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2118B" w14:textId="3DF1FCC7" w:rsidR="00222238" w:rsidRPr="00D16520" w:rsidRDefault="00314766" w:rsidP="00D16520">
      <w:pPr>
        <w:spacing w:after="0"/>
        <w:rPr>
          <w:rFonts w:ascii="Times New Roman" w:hAnsi="Times New Roman" w:cs="Times New Roman"/>
          <w:sz w:val="28"/>
          <w:szCs w:val="20"/>
        </w:rPr>
      </w:pPr>
      <w:r w:rsidRPr="00D16520">
        <w:rPr>
          <w:rFonts w:ascii="Times New Roman" w:hAnsi="Times New Roman" w:cs="Times New Roman"/>
          <w:sz w:val="28"/>
          <w:szCs w:val="20"/>
        </w:rPr>
        <w:t>Supporting information</w:t>
      </w:r>
    </w:p>
    <w:p w14:paraId="1C7AF7FD" w14:textId="008E4443" w:rsidR="00C63447" w:rsidRPr="00D16520" w:rsidRDefault="00C63447" w:rsidP="00D16520">
      <w:pPr>
        <w:spacing w:after="0"/>
        <w:rPr>
          <w:rFonts w:ascii="Times New Roman" w:hAnsi="Times New Roman" w:cs="Times New Roman"/>
          <w:sz w:val="20"/>
          <w:szCs w:val="20"/>
        </w:rPr>
      </w:pPr>
    </w:p>
    <w:p w14:paraId="2B71459A" w14:textId="387A819B" w:rsidR="009B10D9" w:rsidRPr="00D16520" w:rsidRDefault="0072367D" w:rsidP="00D16520">
      <w:pPr>
        <w:pStyle w:val="Ingetavstnd"/>
        <w:jc w:val="both"/>
        <w:rPr>
          <w:rFonts w:ascii="Times New Roman" w:hAnsi="Times New Roman" w:cs="Times New Roman"/>
          <w:sz w:val="28"/>
          <w:szCs w:val="20"/>
          <w:shd w:val="clear" w:color="auto" w:fill="FFFFFF"/>
        </w:rPr>
      </w:pPr>
      <w:r w:rsidRPr="00D16520">
        <w:rPr>
          <w:rFonts w:ascii="Times New Roman" w:hAnsi="Times New Roman" w:cs="Times New Roman"/>
          <w:sz w:val="28"/>
          <w:szCs w:val="20"/>
          <w:shd w:val="clear" w:color="auto" w:fill="FFFFFF"/>
        </w:rPr>
        <w:t>Article tit</w:t>
      </w:r>
      <w:r w:rsidR="009B10D9" w:rsidRPr="00D16520">
        <w:rPr>
          <w:rFonts w:ascii="Times New Roman" w:hAnsi="Times New Roman" w:cs="Times New Roman"/>
          <w:sz w:val="28"/>
          <w:szCs w:val="20"/>
          <w:shd w:val="clear" w:color="auto" w:fill="FFFFFF"/>
        </w:rPr>
        <w:t>l</w:t>
      </w:r>
      <w:r w:rsidRPr="00D16520">
        <w:rPr>
          <w:rFonts w:ascii="Times New Roman" w:hAnsi="Times New Roman" w:cs="Times New Roman"/>
          <w:sz w:val="28"/>
          <w:szCs w:val="20"/>
          <w:shd w:val="clear" w:color="auto" w:fill="FFFFFF"/>
        </w:rPr>
        <w:t>e</w:t>
      </w:r>
    </w:p>
    <w:p w14:paraId="1D94DBB2" w14:textId="77777777" w:rsidR="009B10D9" w:rsidRPr="00D16520" w:rsidRDefault="009B10D9" w:rsidP="00D16520">
      <w:pPr>
        <w:pStyle w:val="Ingetavstnd"/>
        <w:jc w:val="both"/>
        <w:rPr>
          <w:rFonts w:ascii="Times New Roman" w:hAnsi="Times New Roman" w:cs="Times New Roman"/>
          <w:sz w:val="20"/>
          <w:szCs w:val="20"/>
          <w:shd w:val="clear" w:color="auto" w:fill="FFFFFF"/>
        </w:rPr>
      </w:pPr>
    </w:p>
    <w:p w14:paraId="7D68A390" w14:textId="77777777" w:rsidR="002D4158" w:rsidRPr="001C78DA" w:rsidRDefault="002D4158" w:rsidP="002D4158">
      <w:pPr>
        <w:pStyle w:val="Ingetavstnd"/>
        <w:rPr>
          <w:rFonts w:ascii="Times New Roman" w:hAnsi="Times New Roman" w:cs="Times New Roman"/>
          <w:sz w:val="20"/>
          <w:szCs w:val="20"/>
          <w:shd w:val="clear" w:color="auto" w:fill="FFFFFF"/>
          <w:lang w:val="en-US"/>
        </w:rPr>
      </w:pPr>
      <w:r w:rsidRPr="001C78DA">
        <w:rPr>
          <w:rFonts w:ascii="Times New Roman" w:hAnsi="Times New Roman" w:cs="Times New Roman"/>
          <w:sz w:val="20"/>
          <w:szCs w:val="20"/>
          <w:shd w:val="clear" w:color="auto" w:fill="FFFFFF"/>
          <w:lang w:val="en-US"/>
        </w:rPr>
        <w:t xml:space="preserve">Novel Associations Between Mid-Pregnancy Cardiovascular Biomarkers and Preeclampsia: </w:t>
      </w:r>
      <w:r w:rsidRPr="001C78DA">
        <w:rPr>
          <w:rFonts w:ascii="Times New Roman" w:hAnsi="Times New Roman" w:cs="Times New Roman"/>
          <w:sz w:val="20"/>
          <w:szCs w:val="20"/>
          <w:lang w:val="en-US"/>
        </w:rPr>
        <w:t>an Explorative Nested Case-Control Study</w:t>
      </w:r>
    </w:p>
    <w:p w14:paraId="4EB663FA" w14:textId="77777777" w:rsidR="00A7195F" w:rsidRPr="002D4158" w:rsidRDefault="00A7195F" w:rsidP="00D16520">
      <w:pPr>
        <w:pStyle w:val="Ingetavstnd"/>
        <w:jc w:val="both"/>
        <w:rPr>
          <w:rFonts w:ascii="Times New Roman" w:hAnsi="Times New Roman" w:cs="Times New Roman"/>
          <w:sz w:val="20"/>
          <w:szCs w:val="20"/>
          <w:lang w:val="en-US"/>
        </w:rPr>
      </w:pPr>
    </w:p>
    <w:p w14:paraId="0EA67EC3" w14:textId="718B5903" w:rsidR="00D16520" w:rsidRPr="00D16520" w:rsidRDefault="00D16520" w:rsidP="00D16520">
      <w:pPr>
        <w:pStyle w:val="Rubrikitext"/>
        <w:spacing w:before="0" w:after="0"/>
        <w:rPr>
          <w:rFonts w:cs="Times New Roman"/>
          <w:szCs w:val="20"/>
        </w:rPr>
      </w:pPr>
      <w:r w:rsidRPr="00D16520">
        <w:rPr>
          <w:rFonts w:cs="Times New Roman"/>
          <w:szCs w:val="20"/>
        </w:rPr>
        <w:t>Journal name</w:t>
      </w:r>
    </w:p>
    <w:p w14:paraId="09E2C5AD" w14:textId="77777777" w:rsidR="00D16520" w:rsidRPr="00D16520" w:rsidRDefault="00D16520" w:rsidP="00D16520">
      <w:pPr>
        <w:pStyle w:val="Rubrikitext"/>
        <w:spacing w:before="0" w:after="0"/>
        <w:rPr>
          <w:rFonts w:cs="Times New Roman"/>
          <w:sz w:val="24"/>
          <w:szCs w:val="20"/>
        </w:rPr>
      </w:pPr>
    </w:p>
    <w:p w14:paraId="381F1776" w14:textId="5BC63285" w:rsidR="009B10D9" w:rsidRDefault="009B10D9" w:rsidP="00D16520">
      <w:pPr>
        <w:pStyle w:val="Rubrikitext"/>
        <w:spacing w:before="0" w:after="0"/>
        <w:rPr>
          <w:rFonts w:cs="Times New Roman"/>
          <w:sz w:val="20"/>
          <w:szCs w:val="20"/>
        </w:rPr>
      </w:pPr>
      <w:r w:rsidRPr="00D16520">
        <w:rPr>
          <w:rFonts w:cs="Times New Roman"/>
          <w:sz w:val="20"/>
          <w:szCs w:val="20"/>
        </w:rPr>
        <w:t>Reproductive Sciences</w:t>
      </w:r>
    </w:p>
    <w:p w14:paraId="5D8D0CC1" w14:textId="77777777" w:rsidR="00D16520" w:rsidRPr="00D16520" w:rsidRDefault="00D16520" w:rsidP="00D16520">
      <w:pPr>
        <w:pStyle w:val="Rubrikitext"/>
        <w:spacing w:before="0" w:after="0"/>
        <w:rPr>
          <w:rFonts w:cs="Times New Roman"/>
          <w:sz w:val="20"/>
          <w:szCs w:val="20"/>
        </w:rPr>
      </w:pPr>
    </w:p>
    <w:p w14:paraId="1A6CF995" w14:textId="133D6DE8" w:rsidR="009B10D9" w:rsidRPr="00D16520" w:rsidRDefault="009B10D9" w:rsidP="00D16520">
      <w:pPr>
        <w:pStyle w:val="Rubrikitext"/>
        <w:spacing w:before="0" w:after="0"/>
        <w:rPr>
          <w:rFonts w:cs="Times New Roman"/>
          <w:sz w:val="24"/>
          <w:szCs w:val="20"/>
        </w:rPr>
      </w:pPr>
      <w:r w:rsidRPr="00D16520">
        <w:rPr>
          <w:rFonts w:cs="Times New Roman"/>
          <w:sz w:val="24"/>
          <w:szCs w:val="20"/>
        </w:rPr>
        <w:t>Names of the authors and affiliations</w:t>
      </w:r>
    </w:p>
    <w:p w14:paraId="61AF957B" w14:textId="15DF2485" w:rsidR="009B10D9" w:rsidRDefault="009B10D9" w:rsidP="00D16520">
      <w:pPr>
        <w:spacing w:after="0" w:line="240" w:lineRule="auto"/>
        <w:jc w:val="both"/>
        <w:rPr>
          <w:rFonts w:ascii="Times New Roman" w:hAnsi="Times New Roman" w:cs="Times New Roman"/>
          <w:sz w:val="20"/>
          <w:szCs w:val="20"/>
        </w:rPr>
      </w:pPr>
      <w:r w:rsidRPr="00D16520">
        <w:rPr>
          <w:rFonts w:ascii="Times New Roman" w:hAnsi="Times New Roman" w:cs="Times New Roman"/>
          <w:sz w:val="20"/>
          <w:szCs w:val="20"/>
        </w:rPr>
        <w:t xml:space="preserve">Paliz Nordlöf Callbo, MD; Katja Junus, MD, PhD; Katja Gabrysch, PhD; Lina Bergman, MD, PhD; Inger </w:t>
      </w:r>
      <w:r w:rsidR="0072367D" w:rsidRPr="00D16520">
        <w:rPr>
          <w:rFonts w:ascii="Times New Roman" w:hAnsi="Times New Roman" w:cs="Times New Roman"/>
          <w:sz w:val="20"/>
          <w:szCs w:val="20"/>
        </w:rPr>
        <w:t>Sunds</w:t>
      </w:r>
      <w:r w:rsidRPr="00D16520">
        <w:rPr>
          <w:rFonts w:ascii="Times New Roman" w:hAnsi="Times New Roman" w:cs="Times New Roman"/>
          <w:sz w:val="20"/>
          <w:szCs w:val="20"/>
        </w:rPr>
        <w:t>t</w:t>
      </w:r>
      <w:r w:rsidR="0072367D" w:rsidRPr="00D16520">
        <w:rPr>
          <w:rFonts w:ascii="Times New Roman" w:hAnsi="Times New Roman" w:cs="Times New Roman"/>
          <w:sz w:val="20"/>
          <w:szCs w:val="20"/>
        </w:rPr>
        <w:t>r</w:t>
      </w:r>
      <w:r w:rsidRPr="00D16520">
        <w:rPr>
          <w:rFonts w:ascii="Times New Roman" w:hAnsi="Times New Roman" w:cs="Times New Roman"/>
          <w:sz w:val="20"/>
          <w:szCs w:val="20"/>
        </w:rPr>
        <w:t>öm Poromaa, MD, PhD; Susanne Lager, MSc, PhD; Anna-Karin Wikström, MD, PhD</w:t>
      </w:r>
    </w:p>
    <w:p w14:paraId="2C88B891" w14:textId="77777777" w:rsidR="00781914" w:rsidRPr="00D16520" w:rsidRDefault="00781914" w:rsidP="00D16520">
      <w:pPr>
        <w:spacing w:after="0" w:line="240" w:lineRule="auto"/>
        <w:jc w:val="both"/>
        <w:rPr>
          <w:rFonts w:ascii="Times New Roman" w:hAnsi="Times New Roman" w:cs="Times New Roman"/>
          <w:sz w:val="20"/>
          <w:szCs w:val="20"/>
        </w:rPr>
      </w:pPr>
    </w:p>
    <w:p w14:paraId="1D4CE971" w14:textId="77777777" w:rsidR="009B10D9" w:rsidRPr="00D16520" w:rsidRDefault="009B10D9" w:rsidP="00D16520">
      <w:pPr>
        <w:spacing w:after="0" w:line="240" w:lineRule="auto"/>
        <w:jc w:val="both"/>
        <w:rPr>
          <w:rFonts w:ascii="Times New Roman" w:hAnsi="Times New Roman" w:cs="Times New Roman"/>
          <w:sz w:val="20"/>
          <w:szCs w:val="20"/>
        </w:rPr>
      </w:pPr>
      <w:r w:rsidRPr="00D16520">
        <w:rPr>
          <w:rFonts w:ascii="Times New Roman" w:hAnsi="Times New Roman" w:cs="Times New Roman"/>
          <w:sz w:val="20"/>
          <w:szCs w:val="20"/>
        </w:rPr>
        <w:t xml:space="preserve">Corresponding author </w:t>
      </w:r>
    </w:p>
    <w:p w14:paraId="2AA456D0" w14:textId="77777777" w:rsidR="009B10D9" w:rsidRPr="00D16520" w:rsidRDefault="009B10D9" w:rsidP="00D16520">
      <w:pPr>
        <w:spacing w:after="0" w:line="240" w:lineRule="auto"/>
        <w:jc w:val="both"/>
        <w:rPr>
          <w:rFonts w:ascii="Times New Roman" w:hAnsi="Times New Roman" w:cs="Times New Roman"/>
          <w:sz w:val="20"/>
          <w:szCs w:val="20"/>
        </w:rPr>
      </w:pPr>
      <w:r w:rsidRPr="00D16520">
        <w:rPr>
          <w:rFonts w:ascii="Times New Roman" w:hAnsi="Times New Roman" w:cs="Times New Roman"/>
          <w:sz w:val="20"/>
          <w:szCs w:val="20"/>
        </w:rPr>
        <w:t xml:space="preserve">Paliz Nordlöf Callbo   </w:t>
      </w:r>
    </w:p>
    <w:p w14:paraId="7DA33D54" w14:textId="77777777" w:rsidR="009B10D9" w:rsidRPr="00D16520" w:rsidRDefault="009B10D9" w:rsidP="00D16520">
      <w:pPr>
        <w:spacing w:after="0" w:line="240" w:lineRule="auto"/>
        <w:jc w:val="both"/>
        <w:rPr>
          <w:rFonts w:ascii="Times New Roman" w:hAnsi="Times New Roman" w:cs="Times New Roman"/>
          <w:sz w:val="20"/>
          <w:szCs w:val="20"/>
        </w:rPr>
      </w:pPr>
      <w:r w:rsidRPr="00D16520">
        <w:rPr>
          <w:rFonts w:ascii="Times New Roman" w:hAnsi="Times New Roman" w:cs="Times New Roman"/>
          <w:sz w:val="20"/>
          <w:szCs w:val="20"/>
        </w:rPr>
        <w:t>Department of Women´s and Children´s Health, Uppsala University, Sweden</w:t>
      </w:r>
    </w:p>
    <w:p w14:paraId="7A74C290" w14:textId="77777777" w:rsidR="009B10D9" w:rsidRPr="00D16520" w:rsidRDefault="009B10D9" w:rsidP="00D16520">
      <w:pPr>
        <w:spacing w:after="0" w:line="240" w:lineRule="auto"/>
        <w:jc w:val="both"/>
        <w:rPr>
          <w:rFonts w:ascii="Times New Roman" w:hAnsi="Times New Roman" w:cs="Times New Roman"/>
          <w:sz w:val="20"/>
          <w:szCs w:val="20"/>
          <w:lang w:val="sv-SE"/>
        </w:rPr>
      </w:pPr>
      <w:r w:rsidRPr="00D16520">
        <w:rPr>
          <w:rFonts w:ascii="Times New Roman" w:hAnsi="Times New Roman" w:cs="Times New Roman"/>
          <w:sz w:val="20"/>
          <w:szCs w:val="20"/>
          <w:lang w:val="sv-SE"/>
        </w:rPr>
        <w:t>Akademiska sjukhuset, SE 751 85 Uppsala, Sweden</w:t>
      </w:r>
    </w:p>
    <w:p w14:paraId="6C5902AC" w14:textId="77777777" w:rsidR="009B10D9" w:rsidRPr="00D16520" w:rsidRDefault="009B10D9" w:rsidP="00D16520">
      <w:pPr>
        <w:spacing w:after="0" w:line="240" w:lineRule="auto"/>
        <w:jc w:val="both"/>
        <w:rPr>
          <w:rFonts w:ascii="Times New Roman" w:hAnsi="Times New Roman" w:cs="Times New Roman"/>
          <w:sz w:val="20"/>
          <w:szCs w:val="20"/>
          <w:lang w:val="sv-SE"/>
        </w:rPr>
      </w:pPr>
      <w:r w:rsidRPr="00D16520">
        <w:rPr>
          <w:rFonts w:ascii="Times New Roman" w:hAnsi="Times New Roman" w:cs="Times New Roman"/>
          <w:sz w:val="20"/>
          <w:szCs w:val="20"/>
          <w:lang w:val="sv-SE"/>
        </w:rPr>
        <w:t xml:space="preserve">Telephone number: 0046700913986; e-mail: </w:t>
      </w:r>
      <w:hyperlink r:id="rId8" w:history="1">
        <w:r w:rsidRPr="00D16520">
          <w:rPr>
            <w:rStyle w:val="Hyperlnk"/>
            <w:rFonts w:ascii="Times New Roman" w:hAnsi="Times New Roman" w:cs="Times New Roman"/>
            <w:sz w:val="20"/>
            <w:szCs w:val="20"/>
            <w:lang w:val="sv-SE"/>
          </w:rPr>
          <w:t>Paliz.Nordlof_Callbo@kbh.uu.se</w:t>
        </w:r>
      </w:hyperlink>
    </w:p>
    <w:p w14:paraId="722BAC2A" w14:textId="77777777" w:rsidR="00C63447" w:rsidRPr="00D16520" w:rsidRDefault="00C63447" w:rsidP="00D16520">
      <w:pPr>
        <w:spacing w:after="0"/>
        <w:jc w:val="both"/>
        <w:rPr>
          <w:rFonts w:ascii="Times New Roman" w:hAnsi="Times New Roman" w:cs="Times New Roman"/>
          <w:b/>
          <w:sz w:val="20"/>
          <w:szCs w:val="20"/>
          <w:lang w:val="sv-SE"/>
        </w:rPr>
      </w:pPr>
    </w:p>
    <w:p w14:paraId="6D6C222B" w14:textId="77777777" w:rsidR="00C63447" w:rsidRPr="00D16520" w:rsidRDefault="00C63447" w:rsidP="00D16520">
      <w:pPr>
        <w:spacing w:after="0"/>
        <w:jc w:val="center"/>
        <w:rPr>
          <w:rFonts w:ascii="Times New Roman" w:hAnsi="Times New Roman" w:cs="Times New Roman"/>
          <w:b/>
          <w:sz w:val="20"/>
          <w:szCs w:val="20"/>
          <w:lang w:val="sv-SE"/>
        </w:rPr>
      </w:pPr>
    </w:p>
    <w:p w14:paraId="701D39BE" w14:textId="77777777" w:rsidR="00C63447" w:rsidRPr="00D16520" w:rsidRDefault="00C63447" w:rsidP="00D16520">
      <w:pPr>
        <w:spacing w:after="0"/>
        <w:jc w:val="center"/>
        <w:rPr>
          <w:rFonts w:ascii="Times New Roman" w:hAnsi="Times New Roman" w:cs="Times New Roman"/>
          <w:b/>
          <w:sz w:val="20"/>
          <w:szCs w:val="20"/>
          <w:lang w:val="sv-SE"/>
        </w:rPr>
      </w:pPr>
    </w:p>
    <w:p w14:paraId="40C7688A" w14:textId="77777777" w:rsidR="00C63447" w:rsidRPr="00D16520" w:rsidRDefault="00C63447" w:rsidP="00D16520">
      <w:pPr>
        <w:spacing w:after="0"/>
        <w:jc w:val="center"/>
        <w:rPr>
          <w:rFonts w:ascii="Times New Roman" w:hAnsi="Times New Roman" w:cs="Times New Roman"/>
          <w:b/>
          <w:sz w:val="20"/>
          <w:szCs w:val="20"/>
          <w:lang w:val="sv-SE"/>
        </w:rPr>
      </w:pPr>
    </w:p>
    <w:p w14:paraId="1EC55DFB" w14:textId="77777777" w:rsidR="00C63447" w:rsidRPr="00D16520" w:rsidRDefault="00C63447" w:rsidP="00D16520">
      <w:pPr>
        <w:spacing w:after="0"/>
        <w:jc w:val="center"/>
        <w:rPr>
          <w:rFonts w:ascii="Times New Roman" w:hAnsi="Times New Roman" w:cs="Times New Roman"/>
          <w:b/>
          <w:sz w:val="20"/>
          <w:szCs w:val="20"/>
          <w:lang w:val="sv-SE"/>
        </w:rPr>
      </w:pPr>
    </w:p>
    <w:p w14:paraId="3A4A67C2" w14:textId="77777777" w:rsidR="00C63447" w:rsidRPr="00D16520" w:rsidRDefault="00C63447" w:rsidP="00D16520">
      <w:pPr>
        <w:spacing w:after="0"/>
        <w:jc w:val="center"/>
        <w:rPr>
          <w:rFonts w:ascii="Times New Roman" w:hAnsi="Times New Roman" w:cs="Times New Roman"/>
          <w:b/>
          <w:sz w:val="20"/>
          <w:szCs w:val="20"/>
          <w:lang w:val="sv-SE"/>
        </w:rPr>
      </w:pPr>
    </w:p>
    <w:p w14:paraId="3EF9A2C7" w14:textId="77777777" w:rsidR="00C63447" w:rsidRPr="00D16520" w:rsidRDefault="00C63447" w:rsidP="00D16520">
      <w:pPr>
        <w:spacing w:after="0"/>
        <w:jc w:val="center"/>
        <w:rPr>
          <w:rFonts w:ascii="Times New Roman" w:hAnsi="Times New Roman" w:cs="Times New Roman"/>
          <w:b/>
          <w:sz w:val="20"/>
          <w:szCs w:val="20"/>
          <w:lang w:val="sv-SE"/>
        </w:rPr>
      </w:pPr>
    </w:p>
    <w:p w14:paraId="6B447D11" w14:textId="77777777" w:rsidR="00C63447" w:rsidRPr="00D16520" w:rsidRDefault="00C63447" w:rsidP="00D16520">
      <w:pPr>
        <w:spacing w:after="0"/>
        <w:jc w:val="center"/>
        <w:rPr>
          <w:rFonts w:ascii="Times New Roman" w:hAnsi="Times New Roman" w:cs="Times New Roman"/>
          <w:b/>
          <w:sz w:val="20"/>
          <w:szCs w:val="20"/>
          <w:lang w:val="sv-SE"/>
        </w:rPr>
      </w:pPr>
    </w:p>
    <w:p w14:paraId="45DE3282" w14:textId="77777777" w:rsidR="00C63447" w:rsidRPr="00D16520" w:rsidRDefault="00C63447" w:rsidP="00D16520">
      <w:pPr>
        <w:spacing w:after="0"/>
        <w:jc w:val="center"/>
        <w:rPr>
          <w:rFonts w:ascii="Times New Roman" w:hAnsi="Times New Roman" w:cs="Times New Roman"/>
          <w:b/>
          <w:sz w:val="20"/>
          <w:szCs w:val="20"/>
          <w:lang w:val="sv-SE"/>
        </w:rPr>
      </w:pPr>
    </w:p>
    <w:p w14:paraId="745BBCE9" w14:textId="77777777" w:rsidR="00C63447" w:rsidRPr="00D16520" w:rsidRDefault="00C63447" w:rsidP="00D16520">
      <w:pPr>
        <w:spacing w:after="0"/>
        <w:jc w:val="center"/>
        <w:rPr>
          <w:rFonts w:ascii="Times New Roman" w:hAnsi="Times New Roman" w:cs="Times New Roman"/>
          <w:b/>
          <w:sz w:val="20"/>
          <w:szCs w:val="20"/>
          <w:lang w:val="sv-SE"/>
        </w:rPr>
      </w:pPr>
    </w:p>
    <w:p w14:paraId="6E1EE2E0" w14:textId="77777777" w:rsidR="00C63447" w:rsidRPr="00D16520" w:rsidRDefault="00C63447" w:rsidP="00D16520">
      <w:pPr>
        <w:spacing w:after="0"/>
        <w:jc w:val="center"/>
        <w:rPr>
          <w:rFonts w:ascii="Times New Roman" w:hAnsi="Times New Roman" w:cs="Times New Roman"/>
          <w:b/>
          <w:sz w:val="20"/>
          <w:szCs w:val="20"/>
          <w:lang w:val="sv-SE"/>
        </w:rPr>
      </w:pPr>
    </w:p>
    <w:p w14:paraId="438AF716" w14:textId="77777777" w:rsidR="00C63447" w:rsidRPr="00D16520" w:rsidRDefault="00C63447" w:rsidP="00D16520">
      <w:pPr>
        <w:spacing w:after="0"/>
        <w:jc w:val="center"/>
        <w:rPr>
          <w:rFonts w:ascii="Times New Roman" w:hAnsi="Times New Roman" w:cs="Times New Roman"/>
          <w:b/>
          <w:sz w:val="20"/>
          <w:szCs w:val="20"/>
          <w:lang w:val="sv-SE"/>
        </w:rPr>
      </w:pPr>
    </w:p>
    <w:p w14:paraId="3C9518DB" w14:textId="77777777" w:rsidR="00C63447" w:rsidRPr="00D16520" w:rsidRDefault="00C63447" w:rsidP="00D16520">
      <w:pPr>
        <w:spacing w:after="0"/>
        <w:jc w:val="center"/>
        <w:rPr>
          <w:rFonts w:ascii="Times New Roman" w:hAnsi="Times New Roman" w:cs="Times New Roman"/>
          <w:b/>
          <w:sz w:val="20"/>
          <w:szCs w:val="20"/>
          <w:lang w:val="sv-SE"/>
        </w:rPr>
      </w:pPr>
    </w:p>
    <w:p w14:paraId="2B7D17D5" w14:textId="5283A221" w:rsidR="00C63447" w:rsidRDefault="00C63447" w:rsidP="00D16520">
      <w:pPr>
        <w:spacing w:after="0"/>
        <w:rPr>
          <w:rFonts w:ascii="Times New Roman" w:hAnsi="Times New Roman" w:cs="Times New Roman"/>
          <w:b/>
          <w:sz w:val="20"/>
          <w:szCs w:val="20"/>
          <w:lang w:val="sv-SE"/>
        </w:rPr>
      </w:pPr>
    </w:p>
    <w:p w14:paraId="1EEFB6D7" w14:textId="6D460A54" w:rsidR="00D16520" w:rsidRDefault="00D16520" w:rsidP="00D16520">
      <w:pPr>
        <w:spacing w:after="0"/>
        <w:rPr>
          <w:rFonts w:ascii="Times New Roman" w:hAnsi="Times New Roman" w:cs="Times New Roman"/>
          <w:b/>
          <w:sz w:val="20"/>
          <w:szCs w:val="20"/>
          <w:lang w:val="sv-SE"/>
        </w:rPr>
      </w:pPr>
    </w:p>
    <w:p w14:paraId="33072982" w14:textId="34D036C5" w:rsidR="00D16520" w:rsidRDefault="00D16520" w:rsidP="00D16520">
      <w:pPr>
        <w:spacing w:after="0"/>
        <w:rPr>
          <w:rFonts w:ascii="Times New Roman" w:hAnsi="Times New Roman" w:cs="Times New Roman"/>
          <w:b/>
          <w:sz w:val="20"/>
          <w:szCs w:val="20"/>
          <w:lang w:val="sv-SE"/>
        </w:rPr>
      </w:pPr>
    </w:p>
    <w:p w14:paraId="32D1F58A" w14:textId="3BC57E08" w:rsidR="00D16520" w:rsidRDefault="00D16520" w:rsidP="00D16520">
      <w:pPr>
        <w:spacing w:after="0"/>
        <w:rPr>
          <w:rFonts w:ascii="Times New Roman" w:hAnsi="Times New Roman" w:cs="Times New Roman"/>
          <w:b/>
          <w:sz w:val="20"/>
          <w:szCs w:val="20"/>
          <w:lang w:val="sv-SE"/>
        </w:rPr>
      </w:pPr>
    </w:p>
    <w:p w14:paraId="2280DD03" w14:textId="44AB8957" w:rsidR="00D16520" w:rsidRDefault="00D16520" w:rsidP="00D16520">
      <w:pPr>
        <w:spacing w:after="0"/>
        <w:rPr>
          <w:rFonts w:ascii="Times New Roman" w:hAnsi="Times New Roman" w:cs="Times New Roman"/>
          <w:b/>
          <w:sz w:val="20"/>
          <w:szCs w:val="20"/>
          <w:lang w:val="sv-SE"/>
        </w:rPr>
      </w:pPr>
    </w:p>
    <w:p w14:paraId="03C0B2DD" w14:textId="129A7D1D" w:rsidR="00D16520" w:rsidRDefault="00D16520" w:rsidP="00D16520">
      <w:pPr>
        <w:spacing w:after="0"/>
        <w:rPr>
          <w:rFonts w:ascii="Times New Roman" w:hAnsi="Times New Roman" w:cs="Times New Roman"/>
          <w:b/>
          <w:sz w:val="20"/>
          <w:szCs w:val="20"/>
          <w:lang w:val="sv-SE"/>
        </w:rPr>
      </w:pPr>
    </w:p>
    <w:p w14:paraId="4BBE772F" w14:textId="64EF2202" w:rsidR="00D16520" w:rsidRDefault="00D16520" w:rsidP="00D16520">
      <w:pPr>
        <w:spacing w:after="0"/>
        <w:rPr>
          <w:rFonts w:ascii="Times New Roman" w:hAnsi="Times New Roman" w:cs="Times New Roman"/>
          <w:b/>
          <w:sz w:val="20"/>
          <w:szCs w:val="20"/>
          <w:lang w:val="sv-SE"/>
        </w:rPr>
      </w:pPr>
    </w:p>
    <w:p w14:paraId="44F8A20F" w14:textId="116DF28B" w:rsidR="00D16520" w:rsidRDefault="00D16520" w:rsidP="00D16520">
      <w:pPr>
        <w:spacing w:after="0"/>
        <w:rPr>
          <w:rFonts w:ascii="Times New Roman" w:hAnsi="Times New Roman" w:cs="Times New Roman"/>
          <w:b/>
          <w:sz w:val="20"/>
          <w:szCs w:val="20"/>
          <w:lang w:val="sv-SE"/>
        </w:rPr>
      </w:pPr>
    </w:p>
    <w:p w14:paraId="41FE70D9" w14:textId="593C1111" w:rsidR="00D16520" w:rsidRDefault="00D16520" w:rsidP="00D16520">
      <w:pPr>
        <w:spacing w:after="0"/>
        <w:rPr>
          <w:rFonts w:ascii="Times New Roman" w:hAnsi="Times New Roman" w:cs="Times New Roman"/>
          <w:b/>
          <w:sz w:val="20"/>
          <w:szCs w:val="20"/>
          <w:lang w:val="sv-SE"/>
        </w:rPr>
      </w:pPr>
    </w:p>
    <w:p w14:paraId="7067AA04" w14:textId="53F24A6C" w:rsidR="00D16520" w:rsidRDefault="00D16520" w:rsidP="00D16520">
      <w:pPr>
        <w:spacing w:after="0"/>
        <w:rPr>
          <w:rFonts w:ascii="Times New Roman" w:hAnsi="Times New Roman" w:cs="Times New Roman"/>
          <w:b/>
          <w:sz w:val="20"/>
          <w:szCs w:val="20"/>
          <w:lang w:val="sv-SE"/>
        </w:rPr>
      </w:pPr>
    </w:p>
    <w:p w14:paraId="111DEB87" w14:textId="43E148CC" w:rsidR="00D16520" w:rsidRDefault="00D16520" w:rsidP="00D16520">
      <w:pPr>
        <w:spacing w:after="0"/>
        <w:rPr>
          <w:rFonts w:ascii="Times New Roman" w:hAnsi="Times New Roman" w:cs="Times New Roman"/>
          <w:b/>
          <w:sz w:val="20"/>
          <w:szCs w:val="20"/>
          <w:lang w:val="sv-SE"/>
        </w:rPr>
      </w:pPr>
    </w:p>
    <w:p w14:paraId="34B2A123" w14:textId="43DC8C30" w:rsidR="00D16520" w:rsidRDefault="00D16520" w:rsidP="00D16520">
      <w:pPr>
        <w:spacing w:after="0"/>
        <w:rPr>
          <w:rFonts w:ascii="Times New Roman" w:hAnsi="Times New Roman" w:cs="Times New Roman"/>
          <w:b/>
          <w:sz w:val="20"/>
          <w:szCs w:val="20"/>
          <w:lang w:val="sv-SE"/>
        </w:rPr>
      </w:pPr>
    </w:p>
    <w:p w14:paraId="7EFAEA6C" w14:textId="7B001B08" w:rsidR="00D16520" w:rsidRDefault="00D16520" w:rsidP="00D16520">
      <w:pPr>
        <w:spacing w:after="0"/>
        <w:rPr>
          <w:rFonts w:ascii="Times New Roman" w:hAnsi="Times New Roman" w:cs="Times New Roman"/>
          <w:b/>
          <w:sz w:val="20"/>
          <w:szCs w:val="20"/>
          <w:lang w:val="sv-SE"/>
        </w:rPr>
      </w:pPr>
    </w:p>
    <w:p w14:paraId="4E19EE07" w14:textId="53CD6094" w:rsidR="00D16520" w:rsidRDefault="00D16520" w:rsidP="00D16520">
      <w:pPr>
        <w:spacing w:after="0"/>
        <w:rPr>
          <w:rFonts w:ascii="Times New Roman" w:hAnsi="Times New Roman" w:cs="Times New Roman"/>
          <w:b/>
          <w:sz w:val="20"/>
          <w:szCs w:val="20"/>
          <w:lang w:val="sv-SE"/>
        </w:rPr>
      </w:pPr>
    </w:p>
    <w:p w14:paraId="08FEE609" w14:textId="35CB99B2" w:rsidR="00D16520" w:rsidRDefault="00D16520" w:rsidP="00D16520">
      <w:pPr>
        <w:spacing w:after="0"/>
        <w:rPr>
          <w:rFonts w:ascii="Times New Roman" w:hAnsi="Times New Roman" w:cs="Times New Roman"/>
          <w:b/>
          <w:sz w:val="20"/>
          <w:szCs w:val="20"/>
          <w:lang w:val="sv-SE"/>
        </w:rPr>
      </w:pPr>
    </w:p>
    <w:p w14:paraId="5ED424DE" w14:textId="0B97455F" w:rsidR="00D16520" w:rsidRDefault="00D16520" w:rsidP="00D16520">
      <w:pPr>
        <w:spacing w:after="0"/>
        <w:rPr>
          <w:rFonts w:ascii="Times New Roman" w:hAnsi="Times New Roman" w:cs="Times New Roman"/>
          <w:b/>
          <w:sz w:val="20"/>
          <w:szCs w:val="20"/>
          <w:lang w:val="sv-SE"/>
        </w:rPr>
      </w:pPr>
    </w:p>
    <w:p w14:paraId="454D167E" w14:textId="3964B677" w:rsidR="00D16520" w:rsidRDefault="00D16520" w:rsidP="00D16520">
      <w:pPr>
        <w:spacing w:after="0"/>
        <w:rPr>
          <w:rFonts w:ascii="Times New Roman" w:hAnsi="Times New Roman" w:cs="Times New Roman"/>
          <w:b/>
          <w:sz w:val="20"/>
          <w:szCs w:val="20"/>
          <w:lang w:val="sv-SE"/>
        </w:rPr>
      </w:pPr>
    </w:p>
    <w:p w14:paraId="67B8D323" w14:textId="3888D2BC" w:rsidR="00D16520" w:rsidRDefault="00D16520" w:rsidP="00D16520">
      <w:pPr>
        <w:spacing w:after="0"/>
        <w:rPr>
          <w:rFonts w:ascii="Times New Roman" w:hAnsi="Times New Roman" w:cs="Times New Roman"/>
          <w:b/>
          <w:sz w:val="20"/>
          <w:szCs w:val="20"/>
          <w:lang w:val="sv-SE"/>
        </w:rPr>
      </w:pPr>
    </w:p>
    <w:p w14:paraId="1CDA1D5C" w14:textId="76A511F5" w:rsidR="00D16520" w:rsidRPr="00D16520" w:rsidRDefault="00D16520" w:rsidP="00D16520">
      <w:pPr>
        <w:spacing w:after="0"/>
        <w:rPr>
          <w:rFonts w:ascii="Times New Roman" w:hAnsi="Times New Roman" w:cs="Times New Roman"/>
          <w:b/>
          <w:sz w:val="20"/>
          <w:szCs w:val="20"/>
          <w:lang w:val="sv-SE"/>
        </w:rPr>
      </w:pPr>
    </w:p>
    <w:p w14:paraId="1C00262C" w14:textId="77777777" w:rsidR="0082761D" w:rsidRPr="00D16520" w:rsidRDefault="0082761D" w:rsidP="00D16520">
      <w:pPr>
        <w:spacing w:after="0"/>
        <w:jc w:val="center"/>
        <w:rPr>
          <w:rFonts w:ascii="Times New Roman" w:hAnsi="Times New Roman" w:cs="Times New Roman"/>
          <w:b/>
          <w:sz w:val="20"/>
          <w:szCs w:val="20"/>
          <w:lang w:val="sv-SE"/>
        </w:rPr>
      </w:pPr>
    </w:p>
    <w:p w14:paraId="41576B10" w14:textId="77777777" w:rsidR="0082761D" w:rsidRPr="00D16520" w:rsidRDefault="0082761D" w:rsidP="00D16520">
      <w:pPr>
        <w:spacing w:after="0"/>
        <w:jc w:val="center"/>
        <w:rPr>
          <w:rFonts w:ascii="Times New Roman" w:hAnsi="Times New Roman" w:cs="Times New Roman"/>
          <w:b/>
          <w:sz w:val="20"/>
          <w:szCs w:val="20"/>
          <w:lang w:val="sv-SE"/>
        </w:rPr>
      </w:pPr>
    </w:p>
    <w:p w14:paraId="61524B54" w14:textId="4BB089B8" w:rsidR="0082761D" w:rsidRPr="00D16520" w:rsidRDefault="0082761D" w:rsidP="00D16520">
      <w:pPr>
        <w:spacing w:after="0"/>
        <w:jc w:val="center"/>
        <w:rPr>
          <w:rFonts w:ascii="Times New Roman" w:hAnsi="Times New Roman" w:cs="Times New Roman"/>
          <w:b/>
          <w:sz w:val="20"/>
          <w:szCs w:val="20"/>
          <w:lang w:val="sv-SE"/>
        </w:rPr>
      </w:pPr>
    </w:p>
    <w:p w14:paraId="4EA043D1" w14:textId="77777777" w:rsidR="00742BF7" w:rsidRPr="00D16520" w:rsidRDefault="00742BF7" w:rsidP="00D16520">
      <w:pPr>
        <w:spacing w:after="0"/>
        <w:jc w:val="center"/>
        <w:rPr>
          <w:rFonts w:ascii="Times New Roman" w:hAnsi="Times New Roman" w:cs="Times New Roman"/>
          <w:b/>
          <w:sz w:val="20"/>
          <w:szCs w:val="20"/>
          <w:lang w:val="sv-SE"/>
        </w:rPr>
      </w:pPr>
    </w:p>
    <w:p w14:paraId="59EC64DB" w14:textId="604A95F8" w:rsidR="0082761D" w:rsidRPr="00D16520" w:rsidRDefault="0082761D" w:rsidP="00D16520">
      <w:pPr>
        <w:spacing w:after="0"/>
        <w:jc w:val="center"/>
        <w:rPr>
          <w:rFonts w:ascii="Times New Roman" w:hAnsi="Times New Roman" w:cs="Times New Roman"/>
          <w:b/>
          <w:sz w:val="20"/>
          <w:szCs w:val="20"/>
          <w:lang w:val="sv-SE"/>
        </w:rPr>
      </w:pPr>
    </w:p>
    <w:p w14:paraId="3DCEC8D2" w14:textId="319FBF61" w:rsidR="003C390E" w:rsidRPr="00D16520" w:rsidRDefault="003C390E" w:rsidP="00D16520">
      <w:pPr>
        <w:autoSpaceDE w:val="0"/>
        <w:autoSpaceDN w:val="0"/>
        <w:adjustRightInd w:val="0"/>
        <w:spacing w:after="0" w:line="240" w:lineRule="auto"/>
        <w:rPr>
          <w:rFonts w:ascii="Times New Roman" w:hAnsi="Times New Roman" w:cs="Times New Roman"/>
          <w:color w:val="000000" w:themeColor="text1"/>
          <w:sz w:val="28"/>
          <w:szCs w:val="20"/>
        </w:rPr>
      </w:pPr>
      <w:r w:rsidRPr="00D16520">
        <w:rPr>
          <w:rFonts w:ascii="Times New Roman" w:hAnsi="Times New Roman" w:cs="Times New Roman"/>
          <w:color w:val="000000" w:themeColor="text1"/>
          <w:sz w:val="28"/>
          <w:szCs w:val="20"/>
        </w:rPr>
        <w:t>Expanded materials and methods</w:t>
      </w:r>
    </w:p>
    <w:p w14:paraId="0415446F" w14:textId="77777777" w:rsidR="0072367D" w:rsidRPr="00D16520" w:rsidRDefault="0072367D" w:rsidP="00D16520">
      <w:pPr>
        <w:autoSpaceDE w:val="0"/>
        <w:autoSpaceDN w:val="0"/>
        <w:adjustRightInd w:val="0"/>
        <w:spacing w:after="0" w:line="240" w:lineRule="auto"/>
        <w:rPr>
          <w:rFonts w:ascii="Times New Roman" w:hAnsi="Times New Roman" w:cs="Times New Roman"/>
          <w:i/>
          <w:color w:val="000000" w:themeColor="text1"/>
          <w:sz w:val="20"/>
          <w:szCs w:val="20"/>
        </w:rPr>
      </w:pPr>
    </w:p>
    <w:p w14:paraId="32401D4C" w14:textId="5B9BD3B2" w:rsidR="00453E25" w:rsidRPr="002D4158" w:rsidRDefault="00453E25" w:rsidP="00D16520">
      <w:pPr>
        <w:autoSpaceDE w:val="0"/>
        <w:autoSpaceDN w:val="0"/>
        <w:adjustRightInd w:val="0"/>
        <w:spacing w:after="0" w:line="240" w:lineRule="auto"/>
        <w:rPr>
          <w:rFonts w:ascii="Times New Roman" w:hAnsi="Times New Roman" w:cs="Times New Roman"/>
          <w:i/>
          <w:color w:val="000000" w:themeColor="text1"/>
          <w:sz w:val="20"/>
          <w:szCs w:val="20"/>
        </w:rPr>
      </w:pPr>
      <w:bookmarkStart w:id="0" w:name="_GoBack"/>
      <w:r w:rsidRPr="002D4158">
        <w:rPr>
          <w:rFonts w:ascii="Times New Roman" w:hAnsi="Times New Roman" w:cs="Times New Roman"/>
          <w:i/>
          <w:color w:val="000000" w:themeColor="text1"/>
          <w:sz w:val="20"/>
          <w:szCs w:val="20"/>
        </w:rPr>
        <w:t>Biochemical analyses</w:t>
      </w:r>
    </w:p>
    <w:bookmarkEnd w:id="0"/>
    <w:p w14:paraId="60B0BECE" w14:textId="4FD103D3" w:rsidR="00453E25" w:rsidRPr="00D16520" w:rsidRDefault="00453E25" w:rsidP="00D16520">
      <w:pPr>
        <w:autoSpaceDE w:val="0"/>
        <w:autoSpaceDN w:val="0"/>
        <w:adjustRightInd w:val="0"/>
        <w:spacing w:after="0" w:line="240" w:lineRule="auto"/>
        <w:jc w:val="both"/>
        <w:rPr>
          <w:rFonts w:ascii="Times New Roman" w:hAnsi="Times New Roman" w:cs="Times New Roman"/>
          <w:color w:val="000000" w:themeColor="text1"/>
          <w:sz w:val="20"/>
          <w:szCs w:val="20"/>
        </w:rPr>
      </w:pPr>
      <w:r w:rsidRPr="00D16520">
        <w:rPr>
          <w:rFonts w:ascii="Times New Roman" w:hAnsi="Times New Roman" w:cs="Times New Roman"/>
          <w:sz w:val="20"/>
          <w:szCs w:val="20"/>
        </w:rPr>
        <w:t>The samples were centrifuged (</w:t>
      </w:r>
      <w:r w:rsidRPr="00D16520">
        <w:rPr>
          <w:rFonts w:ascii="Times New Roman" w:hAnsi="Times New Roman" w:cs="Times New Roman"/>
          <w:color w:val="000000" w:themeColor="text1"/>
          <w:sz w:val="20"/>
          <w:szCs w:val="20"/>
        </w:rPr>
        <w:t xml:space="preserve">1,500g for 10 min) </w:t>
      </w:r>
      <w:r w:rsidRPr="00D16520">
        <w:rPr>
          <w:rFonts w:ascii="Times New Roman" w:hAnsi="Times New Roman" w:cs="Times New Roman"/>
          <w:sz w:val="20"/>
          <w:szCs w:val="20"/>
        </w:rPr>
        <w:t xml:space="preserve">and stored at -70°C within two hours after sampling. </w:t>
      </w:r>
      <w:r w:rsidRPr="00D16520">
        <w:rPr>
          <w:rFonts w:ascii="Times New Roman" w:hAnsi="Times New Roman" w:cs="Times New Roman"/>
          <w:color w:val="000000" w:themeColor="text1"/>
          <w:sz w:val="20"/>
          <w:szCs w:val="20"/>
        </w:rPr>
        <w:t>Proximity extension assay (PEA) technology followed by quantification using real-time PCR on the Fluidigm BioMark HD real-time PCR platform were used to measure relative protein levels</w:t>
      </w:r>
      <w:r w:rsidR="00D16520" w:rsidRPr="00D16520">
        <w:rPr>
          <w:rFonts w:ascii="Times New Roman" w:hAnsi="Times New Roman" w:cs="Times New Roman"/>
          <w:color w:val="000000" w:themeColor="text1"/>
          <w:sz w:val="20"/>
          <w:szCs w:val="20"/>
        </w:rPr>
        <w:t xml:space="preserve"> </w:t>
      </w:r>
      <w:r w:rsidRPr="00D16520">
        <w:rPr>
          <w:rFonts w:ascii="Times New Roman" w:hAnsi="Times New Roman" w:cs="Times New Roman"/>
          <w:color w:val="000000" w:themeColor="text1"/>
          <w:sz w:val="20"/>
          <w:szCs w:val="20"/>
        </w:rPr>
        <w:fldChar w:fldCharType="begin"/>
      </w:r>
      <w:r w:rsidR="00231EDE" w:rsidRPr="00D16520">
        <w:rPr>
          <w:rFonts w:ascii="Times New Roman" w:hAnsi="Times New Roman" w:cs="Times New Roman"/>
          <w:color w:val="000000" w:themeColor="text1"/>
          <w:sz w:val="20"/>
          <w:szCs w:val="20"/>
        </w:rPr>
        <w:instrText xml:space="preserve"> ADDIN EN.CITE &lt;EndNote&gt;&lt;Cite&gt;&lt;Author&gt;Assarsson&lt;/Author&gt;&lt;Year&gt;2014&lt;/Year&gt;&lt;RecNum&gt;242&lt;/RecNum&gt;&lt;DisplayText&gt;[1]&lt;/DisplayText&gt;&lt;record&gt;&lt;rec-number&gt;242&lt;/rec-number&gt;&lt;foreign-keys&gt;&lt;key app="EN" db-id="fat5zasxpvevvveaxsapasp4aevwd2rad9ff" timestamp="1622727516"&gt;242&lt;/key&gt;&lt;/foreign-keys&gt;&lt;ref-type name="Journal Article"&gt;17&lt;/ref-type&gt;&lt;contributors&gt;&lt;authors&gt;&lt;author&gt;Assarsson, Erika&lt;/author&gt;&lt;author&gt;Lundberg, Martin&lt;/author&gt;&lt;author&gt;Holmquist, Göran&lt;/author&gt;&lt;author&gt;Björkesten, Johan&lt;/author&gt;&lt;author&gt;Bucht Thorsen, Stine&lt;/author&gt;&lt;author&gt;Ekman, Daniel&lt;/author&gt;&lt;author&gt;Eriksson, Anna&lt;/author&gt;&lt;author&gt;Rennel Dickens, Emma&lt;/author&gt;&lt;author&gt;Ohlsson, Sandra&lt;/author&gt;&lt;author&gt;Edfeldt, Gabriella&lt;/author&gt;&lt;author&gt;Andersson, Ann-Catrin&lt;/author&gt;&lt;author&gt;Lindstedt, Patrik&lt;/author&gt;&lt;author&gt;Stenvang, Jan&lt;/author&gt;&lt;author&gt;Gullberg, Mats&lt;/author&gt;&lt;author&gt;Fredriksson, Simon&lt;/author&gt;&lt;/authors&gt;&lt;/contributors&gt;&lt;titles&gt;&lt;title&gt;Homogenous 96-Plex PEA Immunoassay Exhibiting High Sensitivity, Specificity, and Excellent Scalability&lt;/title&gt;&lt;secondary-title&gt;PLOS ONE&lt;/secondary-title&gt;&lt;/titles&gt;&lt;periodical&gt;&lt;full-title&gt;PLoS One&lt;/full-title&gt;&lt;abbr-1&gt;PloS one&lt;/abbr-1&gt;&lt;/periodical&gt;&lt;pages&gt;e95192&lt;/pages&gt;&lt;volume&gt;9&lt;/volume&gt;&lt;number&gt;4&lt;/number&gt;&lt;dates&gt;&lt;year&gt;2014&lt;/year&gt;&lt;/dates&gt;&lt;publisher&gt;Public Library of Science&lt;/publisher&gt;&lt;urls&gt;&lt;related-urls&gt;&lt;url&gt;https://doi.org/10.1371/journal.pone.0095192&lt;/url&gt;&lt;/related-urls&gt;&lt;/urls&gt;&lt;electronic-resource-num&gt;10.1371/journal.pone.0095192&lt;/electronic-resource-num&gt;&lt;/record&gt;&lt;/Cite&gt;&lt;/EndNote&gt;</w:instrText>
      </w:r>
      <w:r w:rsidRPr="00D16520">
        <w:rPr>
          <w:rFonts w:ascii="Times New Roman" w:hAnsi="Times New Roman" w:cs="Times New Roman"/>
          <w:color w:val="000000" w:themeColor="text1"/>
          <w:sz w:val="20"/>
          <w:szCs w:val="20"/>
        </w:rPr>
        <w:fldChar w:fldCharType="separate"/>
      </w:r>
      <w:r w:rsidR="00231EDE" w:rsidRPr="00D16520">
        <w:rPr>
          <w:rFonts w:ascii="Times New Roman" w:hAnsi="Times New Roman" w:cs="Times New Roman"/>
          <w:noProof/>
          <w:color w:val="000000" w:themeColor="text1"/>
          <w:sz w:val="20"/>
          <w:szCs w:val="20"/>
        </w:rPr>
        <w:t>[1]</w:t>
      </w:r>
      <w:r w:rsidRPr="00D16520">
        <w:rPr>
          <w:rFonts w:ascii="Times New Roman" w:hAnsi="Times New Roman" w:cs="Times New Roman"/>
          <w:color w:val="000000" w:themeColor="text1"/>
          <w:sz w:val="20"/>
          <w:szCs w:val="20"/>
        </w:rPr>
        <w:fldChar w:fldCharType="end"/>
      </w:r>
      <w:r w:rsidR="00D16520" w:rsidRPr="00D16520">
        <w:rPr>
          <w:rFonts w:ascii="Times New Roman" w:hAnsi="Times New Roman" w:cs="Times New Roman"/>
          <w:color w:val="000000" w:themeColor="text1"/>
          <w:sz w:val="20"/>
          <w:szCs w:val="20"/>
        </w:rPr>
        <w:t>.</w:t>
      </w:r>
      <w:r w:rsidRPr="00D16520">
        <w:rPr>
          <w:rFonts w:ascii="Times New Roman" w:hAnsi="Times New Roman" w:cs="Times New Roman"/>
          <w:color w:val="000000" w:themeColor="text1"/>
          <w:sz w:val="20"/>
          <w:szCs w:val="20"/>
        </w:rPr>
        <w:t xml:space="preserve"> The high through-put multiplex immunoassay supplied by Olink® Target 96 uses proximity extension assay to measure 92 proteins across 96 samples simultaneously using one microliter of plasma. The proximity extension assay allows a pair of antibodies to pair-wise bind to the target protein present in the sample. A new real-time polymerase chain reaction (PCR) target sequence is produced by a proximity-dependent DNA polymerization event. The resulting sequence is detected and quantified using standard PCR.</w:t>
      </w:r>
      <w:r w:rsidRPr="00D16520">
        <w:rPr>
          <w:rFonts w:ascii="Times New Roman" w:hAnsi="Times New Roman" w:cs="Times New Roman"/>
          <w:b/>
          <w:color w:val="000000" w:themeColor="text1"/>
          <w:sz w:val="20"/>
          <w:szCs w:val="20"/>
        </w:rPr>
        <w:t xml:space="preserve"> </w:t>
      </w:r>
      <w:r w:rsidRPr="00D16520">
        <w:rPr>
          <w:rFonts w:ascii="Times New Roman" w:hAnsi="Times New Roman" w:cs="Times New Roman"/>
          <w:color w:val="000000" w:themeColor="text1"/>
          <w:sz w:val="20"/>
          <w:szCs w:val="20"/>
        </w:rPr>
        <w:t xml:space="preserve">The data are reported as normalized protein expression (NPX), </w:t>
      </w:r>
      <w:r w:rsidRPr="00D16520">
        <w:rPr>
          <w:rFonts w:ascii="Times New Roman" w:hAnsi="Times New Roman" w:cs="Times New Roman"/>
          <w:sz w:val="20"/>
          <w:szCs w:val="20"/>
        </w:rPr>
        <w:t xml:space="preserve">calculated on normalized Ct values in GenEx software using Olink Wizard. Estimations of the relation between NPX and absolute values are presented at </w:t>
      </w:r>
      <w:hyperlink r:id="rId9" w:history="1">
        <w:r w:rsidRPr="00D16520">
          <w:rPr>
            <w:rStyle w:val="Hyperlnk"/>
            <w:rFonts w:ascii="Times New Roman" w:hAnsi="Times New Roman" w:cs="Times New Roman"/>
            <w:sz w:val="20"/>
            <w:szCs w:val="20"/>
          </w:rPr>
          <w:t>http://www.olink.com</w:t>
        </w:r>
      </w:hyperlink>
      <w:r w:rsidRPr="00D16520">
        <w:rPr>
          <w:rFonts w:ascii="Times New Roman" w:hAnsi="Times New Roman" w:cs="Times New Roman"/>
          <w:sz w:val="20"/>
          <w:szCs w:val="20"/>
        </w:rPr>
        <w:t xml:space="preserve">. </w:t>
      </w:r>
      <w:r w:rsidRPr="00D16520">
        <w:rPr>
          <w:rFonts w:ascii="Times New Roman" w:hAnsi="Times New Roman" w:cs="Times New Roman"/>
          <w:color w:val="000000" w:themeColor="text1"/>
          <w:sz w:val="20"/>
          <w:szCs w:val="20"/>
        </w:rPr>
        <w:t xml:space="preserve">On each assay plate, both cases and controls were included. Each plate also contained interplate controls (allowing for adjustments of any differences between runs) and negative controls. The limit of detection (LOD) is based on the background plus three standard deviations estimated from negative controls and calculated separately for each sample plate. All 92 proteins had levels above LOD in more than 50% of the samples (Table S2-4). </w:t>
      </w:r>
    </w:p>
    <w:p w14:paraId="1C9E6AB0" w14:textId="77777777" w:rsidR="00792776" w:rsidRPr="00D16520" w:rsidRDefault="00792776" w:rsidP="00D16520">
      <w:pPr>
        <w:spacing w:after="0"/>
        <w:jc w:val="center"/>
        <w:rPr>
          <w:rFonts w:ascii="Times New Roman" w:hAnsi="Times New Roman" w:cs="Times New Roman"/>
          <w:sz w:val="20"/>
          <w:szCs w:val="20"/>
        </w:rPr>
      </w:pPr>
    </w:p>
    <w:p w14:paraId="0844F2FC" w14:textId="587DAF5F" w:rsidR="00C63447" w:rsidRPr="00D16520" w:rsidRDefault="00C63447" w:rsidP="00D16520">
      <w:pPr>
        <w:autoSpaceDE w:val="0"/>
        <w:autoSpaceDN w:val="0"/>
        <w:adjustRightInd w:val="0"/>
        <w:spacing w:after="0" w:line="240" w:lineRule="auto"/>
        <w:rPr>
          <w:rFonts w:ascii="Times New Roman" w:hAnsi="Times New Roman" w:cs="Times New Roman"/>
          <w:b/>
          <w:sz w:val="20"/>
          <w:szCs w:val="20"/>
        </w:rPr>
      </w:pPr>
    </w:p>
    <w:p w14:paraId="68BDC61F" w14:textId="77777777" w:rsidR="003C390E" w:rsidRPr="00D16520" w:rsidRDefault="003C390E" w:rsidP="00D16520">
      <w:pPr>
        <w:autoSpaceDE w:val="0"/>
        <w:autoSpaceDN w:val="0"/>
        <w:adjustRightInd w:val="0"/>
        <w:spacing w:after="0" w:line="240" w:lineRule="auto"/>
        <w:rPr>
          <w:rFonts w:ascii="Times New Roman" w:hAnsi="Times New Roman" w:cs="Times New Roman"/>
          <w:b/>
          <w:sz w:val="20"/>
          <w:szCs w:val="20"/>
        </w:rPr>
      </w:pPr>
    </w:p>
    <w:p w14:paraId="297D3948" w14:textId="009B5F5F" w:rsidR="00596BBC" w:rsidRPr="00D16520" w:rsidRDefault="00B54B00" w:rsidP="00D16520">
      <w:pPr>
        <w:spacing w:after="0" w:line="360" w:lineRule="auto"/>
        <w:jc w:val="both"/>
        <w:rPr>
          <w:rFonts w:ascii="Times New Roman" w:hAnsi="Times New Roman" w:cs="Times New Roman"/>
          <w:sz w:val="20"/>
          <w:szCs w:val="20"/>
        </w:rPr>
      </w:pPr>
      <w:r w:rsidRPr="00D16520">
        <w:rPr>
          <w:rFonts w:ascii="Times New Roman" w:hAnsi="Times New Roman" w:cs="Times New Roman"/>
          <w:noProof/>
          <w:sz w:val="20"/>
          <w:szCs w:val="20"/>
          <w:lang w:eastAsia="en-GB"/>
        </w:rPr>
        <w:drawing>
          <wp:inline distT="0" distB="0" distL="0" distR="0" wp14:anchorId="63A661D4" wp14:editId="033E3054">
            <wp:extent cx="5760720" cy="1625600"/>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gitty-model (5).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1625600"/>
                    </a:xfrm>
                    <a:prstGeom prst="rect">
                      <a:avLst/>
                    </a:prstGeom>
                  </pic:spPr>
                </pic:pic>
              </a:graphicData>
            </a:graphic>
          </wp:inline>
        </w:drawing>
      </w:r>
    </w:p>
    <w:p w14:paraId="5EEBE46D" w14:textId="05D05EB0" w:rsidR="00E75F23" w:rsidRPr="00D16520" w:rsidRDefault="00A7195F" w:rsidP="00D16520">
      <w:pPr>
        <w:spacing w:after="0"/>
        <w:rPr>
          <w:rFonts w:ascii="Times New Roman" w:hAnsi="Times New Roman" w:cs="Times New Roman"/>
          <w:sz w:val="20"/>
          <w:szCs w:val="20"/>
        </w:rPr>
      </w:pPr>
      <w:r>
        <w:rPr>
          <w:rFonts w:ascii="Times New Roman" w:hAnsi="Times New Roman" w:cs="Times New Roman"/>
          <w:sz w:val="20"/>
          <w:szCs w:val="20"/>
        </w:rPr>
        <w:t>Fig. S1</w:t>
      </w:r>
      <w:r w:rsidR="004D51F7" w:rsidRPr="00D16520">
        <w:rPr>
          <w:rFonts w:ascii="Times New Roman" w:hAnsi="Times New Roman" w:cs="Times New Roman"/>
          <w:sz w:val="20"/>
          <w:szCs w:val="20"/>
        </w:rPr>
        <w:t xml:space="preserve"> Directed acyclic graph</w:t>
      </w:r>
      <w:r w:rsidR="00BF0390" w:rsidRPr="00D16520">
        <w:rPr>
          <w:rFonts w:ascii="Times New Roman" w:hAnsi="Times New Roman" w:cs="Times New Roman"/>
          <w:sz w:val="20"/>
          <w:szCs w:val="20"/>
        </w:rPr>
        <w:t xml:space="preserve"> illustrating the causal effect of cardiovascular proteins on preeclampsia</w:t>
      </w:r>
      <w:r w:rsidR="004D51F7" w:rsidRPr="00D16520">
        <w:rPr>
          <w:rFonts w:ascii="Times New Roman" w:hAnsi="Times New Roman" w:cs="Times New Roman"/>
          <w:sz w:val="20"/>
          <w:szCs w:val="20"/>
        </w:rPr>
        <w:t>.</w:t>
      </w:r>
      <w:r w:rsidR="00BF0390" w:rsidRPr="00D16520">
        <w:rPr>
          <w:rFonts w:ascii="Times New Roman" w:hAnsi="Times New Roman" w:cs="Times New Roman"/>
          <w:sz w:val="20"/>
          <w:szCs w:val="20"/>
        </w:rPr>
        <w:t xml:space="preserve"> </w:t>
      </w:r>
      <w:r w:rsidR="0019579E" w:rsidRPr="00D16520">
        <w:rPr>
          <w:rFonts w:ascii="Times New Roman" w:hAnsi="Times New Roman" w:cs="Times New Roman"/>
          <w:sz w:val="20"/>
          <w:szCs w:val="20"/>
        </w:rPr>
        <w:t xml:space="preserve">Variables that could affect the relationship </w:t>
      </w:r>
      <w:r w:rsidR="00BF0390" w:rsidRPr="00D16520">
        <w:rPr>
          <w:rFonts w:ascii="Times New Roman" w:hAnsi="Times New Roman" w:cs="Times New Roman"/>
          <w:sz w:val="20"/>
          <w:szCs w:val="20"/>
        </w:rPr>
        <w:t xml:space="preserve">of the cardiovascular proteins (exposure) on preeclampsia (outcome) </w:t>
      </w:r>
      <w:r w:rsidR="0019579E" w:rsidRPr="00D16520">
        <w:rPr>
          <w:rFonts w:ascii="Times New Roman" w:hAnsi="Times New Roman" w:cs="Times New Roman"/>
          <w:sz w:val="20"/>
          <w:szCs w:val="20"/>
        </w:rPr>
        <w:t>were</w:t>
      </w:r>
      <w:r w:rsidR="00BF0390" w:rsidRPr="00D16520">
        <w:rPr>
          <w:rFonts w:ascii="Times New Roman" w:hAnsi="Times New Roman" w:cs="Times New Roman"/>
          <w:sz w:val="20"/>
          <w:szCs w:val="20"/>
        </w:rPr>
        <w:t xml:space="preserve"> identified </w:t>
      </w:r>
      <w:r w:rsidR="00821793" w:rsidRPr="00D16520">
        <w:rPr>
          <w:rFonts w:ascii="Times New Roman" w:hAnsi="Times New Roman" w:cs="Times New Roman"/>
          <w:sz w:val="20"/>
          <w:szCs w:val="20"/>
        </w:rPr>
        <w:t xml:space="preserve">as </w:t>
      </w:r>
      <w:r w:rsidR="00BF0390" w:rsidRPr="00D16520">
        <w:rPr>
          <w:rFonts w:ascii="Times New Roman" w:hAnsi="Times New Roman" w:cs="Times New Roman"/>
          <w:sz w:val="20"/>
          <w:szCs w:val="20"/>
        </w:rPr>
        <w:t>confounders</w:t>
      </w:r>
      <w:r w:rsidR="00150EFE" w:rsidRPr="00D16520">
        <w:rPr>
          <w:rFonts w:ascii="Times New Roman" w:hAnsi="Times New Roman" w:cs="Times New Roman"/>
          <w:sz w:val="20"/>
          <w:szCs w:val="20"/>
        </w:rPr>
        <w:t>:</w:t>
      </w:r>
      <w:r w:rsidR="00BF0390" w:rsidRPr="00D16520">
        <w:rPr>
          <w:rFonts w:ascii="Times New Roman" w:hAnsi="Times New Roman" w:cs="Times New Roman"/>
          <w:sz w:val="20"/>
          <w:szCs w:val="20"/>
        </w:rPr>
        <w:t xml:space="preserve"> age, body mass index, blood pressure at </w:t>
      </w:r>
      <w:r w:rsidR="00150EFE" w:rsidRPr="00D16520">
        <w:rPr>
          <w:rFonts w:ascii="Times New Roman" w:hAnsi="Times New Roman" w:cs="Times New Roman"/>
          <w:sz w:val="20"/>
          <w:szCs w:val="20"/>
        </w:rPr>
        <w:t xml:space="preserve">the </w:t>
      </w:r>
      <w:r w:rsidR="00BF0390" w:rsidRPr="00D16520">
        <w:rPr>
          <w:rFonts w:ascii="Times New Roman" w:hAnsi="Times New Roman" w:cs="Times New Roman"/>
          <w:sz w:val="20"/>
          <w:szCs w:val="20"/>
        </w:rPr>
        <w:t>first</w:t>
      </w:r>
      <w:r w:rsidR="00150EFE" w:rsidRPr="00D16520">
        <w:rPr>
          <w:rFonts w:ascii="Times New Roman" w:hAnsi="Times New Roman" w:cs="Times New Roman"/>
          <w:sz w:val="20"/>
          <w:szCs w:val="20"/>
        </w:rPr>
        <w:t xml:space="preserve"> antenatal visit</w:t>
      </w:r>
      <w:r w:rsidR="00BF0390" w:rsidRPr="00D16520">
        <w:rPr>
          <w:rFonts w:ascii="Times New Roman" w:hAnsi="Times New Roman" w:cs="Times New Roman"/>
          <w:sz w:val="20"/>
          <w:szCs w:val="20"/>
        </w:rPr>
        <w:t>, smoking</w:t>
      </w:r>
      <w:r w:rsidR="00150EFE" w:rsidRPr="00D16520">
        <w:rPr>
          <w:rFonts w:ascii="Times New Roman" w:hAnsi="Times New Roman" w:cs="Times New Roman"/>
          <w:sz w:val="20"/>
          <w:szCs w:val="20"/>
        </w:rPr>
        <w:t>,</w:t>
      </w:r>
      <w:r w:rsidR="00BF0390" w:rsidRPr="00D16520">
        <w:rPr>
          <w:rFonts w:ascii="Times New Roman" w:hAnsi="Times New Roman" w:cs="Times New Roman"/>
          <w:sz w:val="20"/>
          <w:szCs w:val="20"/>
        </w:rPr>
        <w:t xml:space="preserve"> and parity. </w:t>
      </w:r>
      <w:r w:rsidR="00907D94" w:rsidRPr="00D16520">
        <w:rPr>
          <w:rFonts w:ascii="Times New Roman" w:hAnsi="Times New Roman" w:cs="Times New Roman"/>
          <w:sz w:val="20"/>
          <w:szCs w:val="20"/>
        </w:rPr>
        <w:t>Colour coding of squares</w:t>
      </w:r>
      <w:r w:rsidR="00150EFE" w:rsidRPr="00D16520">
        <w:rPr>
          <w:rFonts w:ascii="Times New Roman" w:hAnsi="Times New Roman" w:cs="Times New Roman"/>
          <w:sz w:val="20"/>
          <w:szCs w:val="20"/>
        </w:rPr>
        <w:t>:</w:t>
      </w:r>
      <w:r w:rsidR="00907D94" w:rsidRPr="00D16520">
        <w:rPr>
          <w:rFonts w:ascii="Times New Roman" w:hAnsi="Times New Roman" w:cs="Times New Roman"/>
          <w:sz w:val="20"/>
          <w:szCs w:val="20"/>
        </w:rPr>
        <w:t xml:space="preserve"> yellow=exposure, blue=outcome, pink= confounders. Col</w:t>
      </w:r>
      <w:r w:rsidR="00BF0390" w:rsidRPr="00D16520">
        <w:rPr>
          <w:rFonts w:ascii="Times New Roman" w:hAnsi="Times New Roman" w:cs="Times New Roman"/>
          <w:sz w:val="20"/>
          <w:szCs w:val="20"/>
        </w:rPr>
        <w:t>o</w:t>
      </w:r>
      <w:r w:rsidR="00907D94" w:rsidRPr="00D16520">
        <w:rPr>
          <w:rFonts w:ascii="Times New Roman" w:hAnsi="Times New Roman" w:cs="Times New Roman"/>
          <w:sz w:val="20"/>
          <w:szCs w:val="20"/>
        </w:rPr>
        <w:t>ur codi</w:t>
      </w:r>
      <w:r w:rsidR="00BF0390" w:rsidRPr="00D16520">
        <w:rPr>
          <w:rFonts w:ascii="Times New Roman" w:hAnsi="Times New Roman" w:cs="Times New Roman"/>
          <w:sz w:val="20"/>
          <w:szCs w:val="20"/>
        </w:rPr>
        <w:t>n</w:t>
      </w:r>
      <w:r w:rsidR="00907D94" w:rsidRPr="00D16520">
        <w:rPr>
          <w:rFonts w:ascii="Times New Roman" w:hAnsi="Times New Roman" w:cs="Times New Roman"/>
          <w:sz w:val="20"/>
          <w:szCs w:val="20"/>
        </w:rPr>
        <w:t>g of arrows</w:t>
      </w:r>
      <w:r w:rsidR="00541ED9" w:rsidRPr="00D16520">
        <w:rPr>
          <w:rFonts w:ascii="Times New Roman" w:hAnsi="Times New Roman" w:cs="Times New Roman"/>
          <w:sz w:val="20"/>
          <w:szCs w:val="20"/>
        </w:rPr>
        <w:t>:</w:t>
      </w:r>
      <w:r w:rsidR="00907D94" w:rsidRPr="00D16520">
        <w:rPr>
          <w:rFonts w:ascii="Times New Roman" w:hAnsi="Times New Roman" w:cs="Times New Roman"/>
          <w:sz w:val="20"/>
          <w:szCs w:val="20"/>
        </w:rPr>
        <w:t xml:space="preserve"> green= casual path, purple=biasing path.</w:t>
      </w:r>
    </w:p>
    <w:p w14:paraId="58B7CD52" w14:textId="2F85BFA3" w:rsidR="004D51F7" w:rsidRPr="00D16520" w:rsidRDefault="004D51F7" w:rsidP="00D16520">
      <w:pPr>
        <w:spacing w:after="0"/>
        <w:rPr>
          <w:rFonts w:ascii="Times New Roman" w:hAnsi="Times New Roman" w:cs="Times New Roman"/>
          <w:b/>
          <w:sz w:val="20"/>
          <w:szCs w:val="20"/>
        </w:rPr>
      </w:pPr>
    </w:p>
    <w:p w14:paraId="3915ACAD" w14:textId="0F8E483C" w:rsidR="00742BF7" w:rsidRPr="00D16520" w:rsidRDefault="00742BF7" w:rsidP="00D16520">
      <w:pPr>
        <w:spacing w:after="0"/>
        <w:rPr>
          <w:rFonts w:ascii="Times New Roman" w:hAnsi="Times New Roman" w:cs="Times New Roman"/>
          <w:b/>
          <w:sz w:val="20"/>
          <w:szCs w:val="20"/>
        </w:rPr>
      </w:pPr>
    </w:p>
    <w:p w14:paraId="61A5C941" w14:textId="6D4AC4D2" w:rsidR="00E75F23" w:rsidRPr="00D16520" w:rsidRDefault="00A7195F" w:rsidP="00D16520">
      <w:pPr>
        <w:spacing w:after="0"/>
        <w:rPr>
          <w:rFonts w:ascii="Times New Roman" w:hAnsi="Times New Roman" w:cs="Times New Roman"/>
          <w:sz w:val="20"/>
          <w:szCs w:val="20"/>
        </w:rPr>
      </w:pPr>
      <w:r>
        <w:rPr>
          <w:rFonts w:ascii="Times New Roman" w:hAnsi="Times New Roman" w:cs="Times New Roman"/>
          <w:sz w:val="20"/>
          <w:szCs w:val="20"/>
        </w:rPr>
        <w:t>Table. S1</w:t>
      </w:r>
      <w:r w:rsidR="00852719" w:rsidRPr="00D16520">
        <w:rPr>
          <w:rFonts w:ascii="Times New Roman" w:hAnsi="Times New Roman" w:cs="Times New Roman"/>
          <w:sz w:val="20"/>
          <w:szCs w:val="20"/>
        </w:rPr>
        <w:t xml:space="preserve"> </w:t>
      </w:r>
      <w:r w:rsidR="00E75F23" w:rsidRPr="00D16520">
        <w:rPr>
          <w:rFonts w:ascii="Times New Roman" w:hAnsi="Times New Roman" w:cs="Times New Roman"/>
          <w:sz w:val="20"/>
          <w:szCs w:val="20"/>
        </w:rPr>
        <w:t>Biomarkers</w:t>
      </w:r>
      <w:r w:rsidR="000A4882" w:rsidRPr="00D16520">
        <w:rPr>
          <w:rFonts w:ascii="Times New Roman" w:hAnsi="Times New Roman" w:cs="Times New Roman"/>
          <w:sz w:val="20"/>
          <w:szCs w:val="20"/>
        </w:rPr>
        <w:t xml:space="preserve"> in Proseek Multiplex Cardiovascular II panel</w:t>
      </w:r>
    </w:p>
    <w:tbl>
      <w:tblPr>
        <w:tblStyle w:val="Tabellrutntljust"/>
        <w:tblW w:w="0" w:type="auto"/>
        <w:tblLook w:val="04A0" w:firstRow="1" w:lastRow="0" w:firstColumn="1" w:lastColumn="0" w:noHBand="0" w:noVBand="1"/>
      </w:tblPr>
      <w:tblGrid>
        <w:gridCol w:w="1832"/>
        <w:gridCol w:w="5605"/>
      </w:tblGrid>
      <w:tr w:rsidR="00B44388" w:rsidRPr="00D16520" w14:paraId="1BD3E5E5" w14:textId="77777777" w:rsidTr="00222209">
        <w:trPr>
          <w:trHeight w:val="288"/>
        </w:trPr>
        <w:tc>
          <w:tcPr>
            <w:tcW w:w="0" w:type="auto"/>
            <w:noWrap/>
          </w:tcPr>
          <w:p w14:paraId="4852D4B9" w14:textId="0C7C813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b/>
                <w:sz w:val="20"/>
                <w:szCs w:val="20"/>
              </w:rPr>
              <w:t>Abb</w:t>
            </w:r>
            <w:r w:rsidR="00222209" w:rsidRPr="00D16520">
              <w:rPr>
                <w:rFonts w:ascii="Times New Roman" w:hAnsi="Times New Roman" w:cs="Times New Roman"/>
                <w:b/>
                <w:sz w:val="20"/>
                <w:szCs w:val="20"/>
              </w:rPr>
              <w:t>r</w:t>
            </w:r>
            <w:r w:rsidRPr="00D16520">
              <w:rPr>
                <w:rFonts w:ascii="Times New Roman" w:hAnsi="Times New Roman" w:cs="Times New Roman"/>
                <w:b/>
                <w:sz w:val="20"/>
                <w:szCs w:val="20"/>
              </w:rPr>
              <w:t>eviation</w:t>
            </w:r>
          </w:p>
        </w:tc>
        <w:tc>
          <w:tcPr>
            <w:tcW w:w="0" w:type="auto"/>
            <w:noWrap/>
          </w:tcPr>
          <w:p w14:paraId="2CB7A223" w14:textId="5E561F3F"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b/>
                <w:sz w:val="20"/>
                <w:szCs w:val="20"/>
              </w:rPr>
              <w:t>Full name</w:t>
            </w:r>
          </w:p>
        </w:tc>
      </w:tr>
      <w:tr w:rsidR="00B44388" w:rsidRPr="00D16520" w14:paraId="1064B1E1" w14:textId="77777777" w:rsidTr="002D2102">
        <w:trPr>
          <w:trHeight w:val="288"/>
        </w:trPr>
        <w:tc>
          <w:tcPr>
            <w:tcW w:w="0" w:type="auto"/>
            <w:noWrap/>
          </w:tcPr>
          <w:p w14:paraId="2E67E0F4" w14:textId="174DB7A3" w:rsidR="00B44388" w:rsidRPr="00D16520" w:rsidRDefault="00B44388" w:rsidP="00D16520">
            <w:pPr>
              <w:rPr>
                <w:rFonts w:ascii="Times New Roman" w:hAnsi="Times New Roman" w:cs="Times New Roman"/>
                <w:b/>
                <w:sz w:val="20"/>
                <w:szCs w:val="20"/>
              </w:rPr>
            </w:pPr>
          </w:p>
        </w:tc>
        <w:tc>
          <w:tcPr>
            <w:tcW w:w="0" w:type="auto"/>
            <w:noWrap/>
          </w:tcPr>
          <w:p w14:paraId="622DC17D" w14:textId="1B8AAF19" w:rsidR="00B44388" w:rsidRPr="00D16520" w:rsidRDefault="00B44388" w:rsidP="00D16520">
            <w:pPr>
              <w:rPr>
                <w:rFonts w:ascii="Times New Roman" w:hAnsi="Times New Roman" w:cs="Times New Roman"/>
                <w:sz w:val="20"/>
                <w:szCs w:val="20"/>
              </w:rPr>
            </w:pPr>
          </w:p>
        </w:tc>
      </w:tr>
      <w:tr w:rsidR="00B44388" w:rsidRPr="00D16520" w14:paraId="2DA925D7" w14:textId="77777777" w:rsidTr="00222209">
        <w:trPr>
          <w:trHeight w:val="288"/>
        </w:trPr>
        <w:tc>
          <w:tcPr>
            <w:tcW w:w="0" w:type="auto"/>
            <w:noWrap/>
            <w:hideMark/>
          </w:tcPr>
          <w:p w14:paraId="0208B393"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ACE2</w:t>
            </w:r>
          </w:p>
        </w:tc>
        <w:tc>
          <w:tcPr>
            <w:tcW w:w="0" w:type="auto"/>
            <w:noWrap/>
            <w:hideMark/>
          </w:tcPr>
          <w:p w14:paraId="22DDAFAC"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Angiotensin-converting enzyme 2 </w:t>
            </w:r>
          </w:p>
        </w:tc>
      </w:tr>
      <w:tr w:rsidR="00B44388" w:rsidRPr="00D16520" w14:paraId="08C5AC29" w14:textId="77777777" w:rsidTr="00222209">
        <w:trPr>
          <w:trHeight w:val="288"/>
        </w:trPr>
        <w:tc>
          <w:tcPr>
            <w:tcW w:w="0" w:type="auto"/>
            <w:noWrap/>
            <w:hideMark/>
          </w:tcPr>
          <w:p w14:paraId="4D1D771B"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ADAM-TS13</w:t>
            </w:r>
          </w:p>
        </w:tc>
        <w:tc>
          <w:tcPr>
            <w:tcW w:w="0" w:type="auto"/>
            <w:noWrap/>
            <w:hideMark/>
          </w:tcPr>
          <w:p w14:paraId="7E6F2404"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A disintegrin and metalloproteinase with thrombospondin motifs13</w:t>
            </w:r>
          </w:p>
        </w:tc>
      </w:tr>
      <w:tr w:rsidR="00B44388" w:rsidRPr="00D16520" w14:paraId="1F7D05B8" w14:textId="77777777" w:rsidTr="00222209">
        <w:trPr>
          <w:trHeight w:val="288"/>
        </w:trPr>
        <w:tc>
          <w:tcPr>
            <w:tcW w:w="0" w:type="auto"/>
            <w:noWrap/>
            <w:hideMark/>
          </w:tcPr>
          <w:p w14:paraId="226A5A5E"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ADM</w:t>
            </w:r>
          </w:p>
        </w:tc>
        <w:tc>
          <w:tcPr>
            <w:tcW w:w="0" w:type="auto"/>
            <w:noWrap/>
            <w:hideMark/>
          </w:tcPr>
          <w:p w14:paraId="651987D6"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Adrenomedullin</w:t>
            </w:r>
          </w:p>
        </w:tc>
      </w:tr>
      <w:tr w:rsidR="00B44388" w:rsidRPr="00D16520" w14:paraId="6748BD78" w14:textId="77777777" w:rsidTr="00222209">
        <w:trPr>
          <w:trHeight w:val="288"/>
        </w:trPr>
        <w:tc>
          <w:tcPr>
            <w:tcW w:w="0" w:type="auto"/>
            <w:noWrap/>
            <w:hideMark/>
          </w:tcPr>
          <w:p w14:paraId="1A5129AE"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AGRP</w:t>
            </w:r>
          </w:p>
        </w:tc>
        <w:tc>
          <w:tcPr>
            <w:tcW w:w="0" w:type="auto"/>
            <w:noWrap/>
            <w:hideMark/>
          </w:tcPr>
          <w:p w14:paraId="36B8B6C7"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Agouti-related protein </w:t>
            </w:r>
          </w:p>
        </w:tc>
      </w:tr>
      <w:tr w:rsidR="00B44388" w:rsidRPr="00D16520" w14:paraId="3D28CBFF" w14:textId="77777777" w:rsidTr="00222209">
        <w:trPr>
          <w:trHeight w:val="288"/>
        </w:trPr>
        <w:tc>
          <w:tcPr>
            <w:tcW w:w="0" w:type="auto"/>
            <w:noWrap/>
            <w:hideMark/>
          </w:tcPr>
          <w:p w14:paraId="6C9981E1"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lang w:val="sv-SE"/>
              </w:rPr>
              <w:t>AMBP</w:t>
            </w:r>
          </w:p>
        </w:tc>
        <w:tc>
          <w:tcPr>
            <w:tcW w:w="0" w:type="auto"/>
            <w:noWrap/>
            <w:hideMark/>
          </w:tcPr>
          <w:p w14:paraId="5818740C"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Protein AMBP </w:t>
            </w:r>
          </w:p>
        </w:tc>
      </w:tr>
      <w:tr w:rsidR="00B44388" w:rsidRPr="00D16520" w14:paraId="41218B76" w14:textId="77777777" w:rsidTr="00222209">
        <w:trPr>
          <w:trHeight w:val="288"/>
        </w:trPr>
        <w:tc>
          <w:tcPr>
            <w:tcW w:w="0" w:type="auto"/>
            <w:noWrap/>
            <w:hideMark/>
          </w:tcPr>
          <w:p w14:paraId="6126D518"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ANGPT1</w:t>
            </w:r>
          </w:p>
        </w:tc>
        <w:tc>
          <w:tcPr>
            <w:tcW w:w="0" w:type="auto"/>
            <w:noWrap/>
            <w:hideMark/>
          </w:tcPr>
          <w:p w14:paraId="29C9E34B"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Angiopoietin-1 </w:t>
            </w:r>
          </w:p>
        </w:tc>
      </w:tr>
      <w:tr w:rsidR="00B44388" w:rsidRPr="00D16520" w14:paraId="03893AF0" w14:textId="77777777" w:rsidTr="00222209">
        <w:trPr>
          <w:trHeight w:val="288"/>
        </w:trPr>
        <w:tc>
          <w:tcPr>
            <w:tcW w:w="0" w:type="auto"/>
            <w:noWrap/>
            <w:hideMark/>
          </w:tcPr>
          <w:p w14:paraId="3EF01831"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BMI</w:t>
            </w:r>
          </w:p>
        </w:tc>
        <w:tc>
          <w:tcPr>
            <w:tcW w:w="0" w:type="auto"/>
            <w:noWrap/>
            <w:hideMark/>
          </w:tcPr>
          <w:p w14:paraId="1BDCDFFA"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Body mass index</w:t>
            </w:r>
          </w:p>
        </w:tc>
      </w:tr>
      <w:tr w:rsidR="00B44388" w:rsidRPr="00D16520" w14:paraId="512382FD" w14:textId="77777777" w:rsidTr="00222209">
        <w:trPr>
          <w:trHeight w:val="288"/>
        </w:trPr>
        <w:tc>
          <w:tcPr>
            <w:tcW w:w="0" w:type="auto"/>
            <w:noWrap/>
            <w:hideMark/>
          </w:tcPr>
          <w:p w14:paraId="42A6B6BE"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BMP-6</w:t>
            </w:r>
          </w:p>
        </w:tc>
        <w:tc>
          <w:tcPr>
            <w:tcW w:w="0" w:type="auto"/>
            <w:noWrap/>
            <w:hideMark/>
          </w:tcPr>
          <w:p w14:paraId="10BD81A6"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Bone morphogenetic protein 6</w:t>
            </w:r>
          </w:p>
        </w:tc>
      </w:tr>
      <w:tr w:rsidR="00B44388" w:rsidRPr="00D16520" w14:paraId="1242D0C8" w14:textId="77777777" w:rsidTr="00222209">
        <w:trPr>
          <w:trHeight w:val="288"/>
        </w:trPr>
        <w:tc>
          <w:tcPr>
            <w:tcW w:w="0" w:type="auto"/>
            <w:noWrap/>
            <w:hideMark/>
          </w:tcPr>
          <w:p w14:paraId="5A64FAE7"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BNP</w:t>
            </w:r>
          </w:p>
        </w:tc>
        <w:tc>
          <w:tcPr>
            <w:tcW w:w="0" w:type="auto"/>
            <w:noWrap/>
            <w:hideMark/>
          </w:tcPr>
          <w:p w14:paraId="6EFA4555" w14:textId="33ED654E"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Natriuretic peptide B </w:t>
            </w:r>
          </w:p>
        </w:tc>
      </w:tr>
      <w:tr w:rsidR="00B44388" w:rsidRPr="00D16520" w14:paraId="1ECC5B34" w14:textId="77777777" w:rsidTr="00222209">
        <w:trPr>
          <w:trHeight w:val="288"/>
        </w:trPr>
        <w:tc>
          <w:tcPr>
            <w:tcW w:w="0" w:type="auto"/>
            <w:noWrap/>
            <w:hideMark/>
          </w:tcPr>
          <w:p w14:paraId="285048B9"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BOC</w:t>
            </w:r>
          </w:p>
        </w:tc>
        <w:tc>
          <w:tcPr>
            <w:tcW w:w="0" w:type="auto"/>
            <w:noWrap/>
            <w:hideMark/>
          </w:tcPr>
          <w:p w14:paraId="2B02A04C"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Brother of CDO</w:t>
            </w:r>
          </w:p>
        </w:tc>
      </w:tr>
      <w:tr w:rsidR="00B44388" w:rsidRPr="00D16520" w14:paraId="200480C4" w14:textId="77777777" w:rsidTr="00222209">
        <w:trPr>
          <w:trHeight w:val="288"/>
        </w:trPr>
        <w:tc>
          <w:tcPr>
            <w:tcW w:w="0" w:type="auto"/>
            <w:noWrap/>
            <w:hideMark/>
          </w:tcPr>
          <w:p w14:paraId="20D39A55"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CA5A</w:t>
            </w:r>
          </w:p>
        </w:tc>
        <w:tc>
          <w:tcPr>
            <w:tcW w:w="0" w:type="auto"/>
            <w:noWrap/>
            <w:hideMark/>
          </w:tcPr>
          <w:p w14:paraId="70D46A72"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Carbonic anhydrase 5A, mitochondrial </w:t>
            </w:r>
          </w:p>
        </w:tc>
      </w:tr>
      <w:tr w:rsidR="00B44388" w:rsidRPr="00D16520" w14:paraId="5A92E79F" w14:textId="77777777" w:rsidTr="00222209">
        <w:trPr>
          <w:trHeight w:val="288"/>
        </w:trPr>
        <w:tc>
          <w:tcPr>
            <w:tcW w:w="0" w:type="auto"/>
            <w:noWrap/>
            <w:hideMark/>
          </w:tcPr>
          <w:p w14:paraId="67CCA1AA"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CCL17</w:t>
            </w:r>
          </w:p>
        </w:tc>
        <w:tc>
          <w:tcPr>
            <w:tcW w:w="0" w:type="auto"/>
            <w:noWrap/>
            <w:hideMark/>
          </w:tcPr>
          <w:p w14:paraId="3062D505"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C-C motif chemokine 17 </w:t>
            </w:r>
          </w:p>
        </w:tc>
      </w:tr>
      <w:tr w:rsidR="00B44388" w:rsidRPr="00D16520" w14:paraId="219FCD62" w14:textId="77777777" w:rsidTr="00222209">
        <w:trPr>
          <w:trHeight w:val="288"/>
        </w:trPr>
        <w:tc>
          <w:tcPr>
            <w:tcW w:w="0" w:type="auto"/>
            <w:noWrap/>
            <w:hideMark/>
          </w:tcPr>
          <w:p w14:paraId="50CCB18D"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lastRenderedPageBreak/>
              <w:t>CCL3</w:t>
            </w:r>
          </w:p>
        </w:tc>
        <w:tc>
          <w:tcPr>
            <w:tcW w:w="0" w:type="auto"/>
            <w:noWrap/>
            <w:hideMark/>
          </w:tcPr>
          <w:p w14:paraId="57C4528D"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C-C motif chemokine 3</w:t>
            </w:r>
          </w:p>
        </w:tc>
      </w:tr>
      <w:tr w:rsidR="00B44388" w:rsidRPr="00D16520" w14:paraId="6A875B6B" w14:textId="77777777" w:rsidTr="00222209">
        <w:trPr>
          <w:trHeight w:val="288"/>
        </w:trPr>
        <w:tc>
          <w:tcPr>
            <w:tcW w:w="0" w:type="auto"/>
            <w:noWrap/>
            <w:hideMark/>
          </w:tcPr>
          <w:p w14:paraId="0A96DA22"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CD4</w:t>
            </w:r>
          </w:p>
        </w:tc>
        <w:tc>
          <w:tcPr>
            <w:tcW w:w="0" w:type="auto"/>
            <w:noWrap/>
            <w:hideMark/>
          </w:tcPr>
          <w:p w14:paraId="583B004C"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T-cell surface glycoprotein CD4 </w:t>
            </w:r>
          </w:p>
        </w:tc>
      </w:tr>
      <w:tr w:rsidR="00B44388" w:rsidRPr="00D16520" w14:paraId="43D997F4" w14:textId="77777777" w:rsidTr="00222209">
        <w:trPr>
          <w:trHeight w:val="288"/>
        </w:trPr>
        <w:tc>
          <w:tcPr>
            <w:tcW w:w="0" w:type="auto"/>
            <w:noWrap/>
            <w:hideMark/>
          </w:tcPr>
          <w:p w14:paraId="65CB02B8"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CD40-L</w:t>
            </w:r>
          </w:p>
        </w:tc>
        <w:tc>
          <w:tcPr>
            <w:tcW w:w="0" w:type="auto"/>
            <w:noWrap/>
            <w:hideMark/>
          </w:tcPr>
          <w:p w14:paraId="3834276F"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CD40 ligand </w:t>
            </w:r>
          </w:p>
        </w:tc>
      </w:tr>
      <w:tr w:rsidR="00B44388" w:rsidRPr="00D16520" w14:paraId="5620B642" w14:textId="77777777" w:rsidTr="00222209">
        <w:trPr>
          <w:trHeight w:val="288"/>
        </w:trPr>
        <w:tc>
          <w:tcPr>
            <w:tcW w:w="0" w:type="auto"/>
            <w:noWrap/>
            <w:hideMark/>
          </w:tcPr>
          <w:p w14:paraId="0DA74230"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CD84</w:t>
            </w:r>
          </w:p>
        </w:tc>
        <w:tc>
          <w:tcPr>
            <w:tcW w:w="0" w:type="auto"/>
            <w:noWrap/>
            <w:hideMark/>
          </w:tcPr>
          <w:p w14:paraId="64A2D70B"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SLAM family member 5 </w:t>
            </w:r>
          </w:p>
        </w:tc>
      </w:tr>
      <w:tr w:rsidR="00B44388" w:rsidRPr="00D16520" w14:paraId="5B441BFE" w14:textId="77777777" w:rsidTr="00222209">
        <w:trPr>
          <w:trHeight w:val="288"/>
        </w:trPr>
        <w:tc>
          <w:tcPr>
            <w:tcW w:w="0" w:type="auto"/>
            <w:noWrap/>
            <w:hideMark/>
          </w:tcPr>
          <w:p w14:paraId="3FFCE615"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CEACAM8</w:t>
            </w:r>
          </w:p>
        </w:tc>
        <w:tc>
          <w:tcPr>
            <w:tcW w:w="0" w:type="auto"/>
            <w:noWrap/>
            <w:hideMark/>
          </w:tcPr>
          <w:p w14:paraId="641380E1"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Carcinoembryonic antigenrelated cell adhesion molecule 8 </w:t>
            </w:r>
          </w:p>
        </w:tc>
      </w:tr>
      <w:tr w:rsidR="00B44388" w:rsidRPr="00D16520" w14:paraId="03A8BFAE" w14:textId="77777777" w:rsidTr="00222209">
        <w:trPr>
          <w:trHeight w:val="288"/>
        </w:trPr>
        <w:tc>
          <w:tcPr>
            <w:tcW w:w="0" w:type="auto"/>
            <w:noWrap/>
            <w:hideMark/>
          </w:tcPr>
          <w:p w14:paraId="5EF2BA76"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CTRC</w:t>
            </w:r>
          </w:p>
        </w:tc>
        <w:tc>
          <w:tcPr>
            <w:tcW w:w="0" w:type="auto"/>
            <w:noWrap/>
            <w:hideMark/>
          </w:tcPr>
          <w:p w14:paraId="20E81CE2"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Chymotrypsin C </w:t>
            </w:r>
          </w:p>
        </w:tc>
      </w:tr>
      <w:tr w:rsidR="00B44388" w:rsidRPr="00D16520" w14:paraId="49E9553E" w14:textId="77777777" w:rsidTr="00222209">
        <w:trPr>
          <w:trHeight w:val="288"/>
        </w:trPr>
        <w:tc>
          <w:tcPr>
            <w:tcW w:w="0" w:type="auto"/>
            <w:noWrap/>
            <w:hideMark/>
          </w:tcPr>
          <w:p w14:paraId="7BCE24D0"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CTSL1</w:t>
            </w:r>
          </w:p>
        </w:tc>
        <w:tc>
          <w:tcPr>
            <w:tcW w:w="0" w:type="auto"/>
            <w:noWrap/>
            <w:hideMark/>
          </w:tcPr>
          <w:p w14:paraId="2E673F04"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Cathepsin L1 </w:t>
            </w:r>
          </w:p>
        </w:tc>
      </w:tr>
      <w:tr w:rsidR="00B44388" w:rsidRPr="00D16520" w14:paraId="08CB203B" w14:textId="77777777" w:rsidTr="00222209">
        <w:trPr>
          <w:trHeight w:val="288"/>
        </w:trPr>
        <w:tc>
          <w:tcPr>
            <w:tcW w:w="0" w:type="auto"/>
            <w:noWrap/>
            <w:hideMark/>
          </w:tcPr>
          <w:p w14:paraId="17780EBB"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CXCL1</w:t>
            </w:r>
          </w:p>
        </w:tc>
        <w:tc>
          <w:tcPr>
            <w:tcW w:w="0" w:type="auto"/>
            <w:noWrap/>
            <w:hideMark/>
          </w:tcPr>
          <w:p w14:paraId="73D9E24A"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C-X-C motif chemokine 1</w:t>
            </w:r>
          </w:p>
        </w:tc>
      </w:tr>
      <w:tr w:rsidR="00B44388" w:rsidRPr="00D16520" w14:paraId="341AB757" w14:textId="77777777" w:rsidTr="00222209">
        <w:trPr>
          <w:trHeight w:val="288"/>
        </w:trPr>
        <w:tc>
          <w:tcPr>
            <w:tcW w:w="0" w:type="auto"/>
            <w:noWrap/>
            <w:hideMark/>
          </w:tcPr>
          <w:p w14:paraId="73A027E9" w14:textId="77777777" w:rsidR="00B44388" w:rsidRPr="00D16520" w:rsidRDefault="00B44388" w:rsidP="00D16520">
            <w:pPr>
              <w:rPr>
                <w:rFonts w:ascii="Times New Roman" w:hAnsi="Times New Roman" w:cs="Times New Roman"/>
                <w:b/>
                <w:sz w:val="20"/>
                <w:szCs w:val="20"/>
              </w:rPr>
            </w:pPr>
            <w:r w:rsidRPr="00D16520">
              <w:rPr>
                <w:rFonts w:ascii="Times New Roman" w:hAnsi="Times New Roman" w:cs="Times New Roman"/>
                <w:sz w:val="20"/>
                <w:szCs w:val="20"/>
              </w:rPr>
              <w:t>DCN</w:t>
            </w:r>
          </w:p>
        </w:tc>
        <w:tc>
          <w:tcPr>
            <w:tcW w:w="0" w:type="auto"/>
            <w:noWrap/>
            <w:hideMark/>
          </w:tcPr>
          <w:p w14:paraId="6228037D" w14:textId="77777777" w:rsidR="00B44388" w:rsidRPr="00D16520" w:rsidRDefault="00B44388" w:rsidP="00D16520">
            <w:pPr>
              <w:rPr>
                <w:rFonts w:ascii="Times New Roman" w:hAnsi="Times New Roman" w:cs="Times New Roman"/>
                <w:sz w:val="20"/>
                <w:szCs w:val="20"/>
              </w:rPr>
            </w:pPr>
            <w:r w:rsidRPr="00D16520">
              <w:rPr>
                <w:rFonts w:ascii="Times New Roman" w:hAnsi="Times New Roman" w:cs="Times New Roman"/>
                <w:sz w:val="20"/>
                <w:szCs w:val="20"/>
              </w:rPr>
              <w:t xml:space="preserve">Decorin </w:t>
            </w:r>
          </w:p>
        </w:tc>
      </w:tr>
      <w:tr w:rsidR="002D2102" w:rsidRPr="00D16520" w14:paraId="3DBA400D" w14:textId="77777777" w:rsidTr="00222209">
        <w:trPr>
          <w:trHeight w:val="288"/>
        </w:trPr>
        <w:tc>
          <w:tcPr>
            <w:tcW w:w="0" w:type="auto"/>
            <w:noWrap/>
          </w:tcPr>
          <w:p w14:paraId="0517F514" w14:textId="3C62D2E8"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DECR1</w:t>
            </w:r>
          </w:p>
        </w:tc>
        <w:tc>
          <w:tcPr>
            <w:tcW w:w="0" w:type="auto"/>
            <w:noWrap/>
          </w:tcPr>
          <w:p w14:paraId="0321AB6E" w14:textId="3641D9CF"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2,4-dienoyl-CoA reductase, mitochondrial</w:t>
            </w:r>
          </w:p>
        </w:tc>
      </w:tr>
      <w:tr w:rsidR="002D2102" w:rsidRPr="00D16520" w14:paraId="1222F6F0" w14:textId="77777777" w:rsidTr="00222209">
        <w:trPr>
          <w:trHeight w:val="288"/>
        </w:trPr>
        <w:tc>
          <w:tcPr>
            <w:tcW w:w="0" w:type="auto"/>
            <w:noWrap/>
            <w:hideMark/>
          </w:tcPr>
          <w:p w14:paraId="7FF851C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Dkk-1</w:t>
            </w:r>
          </w:p>
        </w:tc>
        <w:tc>
          <w:tcPr>
            <w:tcW w:w="0" w:type="auto"/>
            <w:noWrap/>
            <w:hideMark/>
          </w:tcPr>
          <w:p w14:paraId="746642F0"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Dickkopf-related protein 1 </w:t>
            </w:r>
          </w:p>
        </w:tc>
      </w:tr>
      <w:tr w:rsidR="002D2102" w:rsidRPr="00D16520" w14:paraId="0533AB74" w14:textId="77777777" w:rsidTr="00222209">
        <w:trPr>
          <w:trHeight w:val="288"/>
        </w:trPr>
        <w:tc>
          <w:tcPr>
            <w:tcW w:w="0" w:type="auto"/>
            <w:noWrap/>
            <w:hideMark/>
          </w:tcPr>
          <w:p w14:paraId="62681181"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FABP2</w:t>
            </w:r>
          </w:p>
        </w:tc>
        <w:tc>
          <w:tcPr>
            <w:tcW w:w="0" w:type="auto"/>
            <w:noWrap/>
            <w:hideMark/>
          </w:tcPr>
          <w:p w14:paraId="4D74642B"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Fatty acid-binding protein, intestinal </w:t>
            </w:r>
          </w:p>
        </w:tc>
      </w:tr>
      <w:tr w:rsidR="002D2102" w:rsidRPr="00D16520" w14:paraId="4AB7A959" w14:textId="77777777" w:rsidTr="00222209">
        <w:trPr>
          <w:trHeight w:val="288"/>
        </w:trPr>
        <w:tc>
          <w:tcPr>
            <w:tcW w:w="0" w:type="auto"/>
            <w:noWrap/>
            <w:hideMark/>
          </w:tcPr>
          <w:p w14:paraId="2A452ED9"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FGF21</w:t>
            </w:r>
          </w:p>
        </w:tc>
        <w:tc>
          <w:tcPr>
            <w:tcW w:w="0" w:type="auto"/>
            <w:noWrap/>
            <w:hideMark/>
          </w:tcPr>
          <w:p w14:paraId="3B230D07"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Fibroblast growth factor 21</w:t>
            </w:r>
          </w:p>
        </w:tc>
      </w:tr>
      <w:tr w:rsidR="002D2102" w:rsidRPr="00D16520" w14:paraId="6CB3937B" w14:textId="77777777" w:rsidTr="00222209">
        <w:trPr>
          <w:trHeight w:val="288"/>
        </w:trPr>
        <w:tc>
          <w:tcPr>
            <w:tcW w:w="0" w:type="auto"/>
            <w:noWrap/>
            <w:hideMark/>
          </w:tcPr>
          <w:p w14:paraId="02E89314"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FGF-23</w:t>
            </w:r>
          </w:p>
        </w:tc>
        <w:tc>
          <w:tcPr>
            <w:tcW w:w="0" w:type="auto"/>
            <w:noWrap/>
            <w:hideMark/>
          </w:tcPr>
          <w:p w14:paraId="2F5F0E47"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Fibroblast growth factor 23 </w:t>
            </w:r>
          </w:p>
        </w:tc>
      </w:tr>
      <w:tr w:rsidR="002D2102" w:rsidRPr="00D16520" w14:paraId="3F66E9AA" w14:textId="77777777" w:rsidTr="00222209">
        <w:trPr>
          <w:trHeight w:val="288"/>
        </w:trPr>
        <w:tc>
          <w:tcPr>
            <w:tcW w:w="0" w:type="auto"/>
            <w:noWrap/>
            <w:hideMark/>
          </w:tcPr>
          <w:p w14:paraId="402DD6C9"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FS</w:t>
            </w:r>
          </w:p>
        </w:tc>
        <w:tc>
          <w:tcPr>
            <w:tcW w:w="0" w:type="auto"/>
            <w:noWrap/>
            <w:hideMark/>
          </w:tcPr>
          <w:p w14:paraId="3995B5A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Follistatin </w:t>
            </w:r>
          </w:p>
        </w:tc>
      </w:tr>
      <w:tr w:rsidR="002D2102" w:rsidRPr="00D16520" w14:paraId="5F93A667" w14:textId="77777777" w:rsidTr="00222209">
        <w:trPr>
          <w:trHeight w:val="288"/>
        </w:trPr>
        <w:tc>
          <w:tcPr>
            <w:tcW w:w="0" w:type="auto"/>
            <w:noWrap/>
            <w:hideMark/>
          </w:tcPr>
          <w:p w14:paraId="6A1EED5B"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Gal-9</w:t>
            </w:r>
          </w:p>
        </w:tc>
        <w:tc>
          <w:tcPr>
            <w:tcW w:w="0" w:type="auto"/>
            <w:noWrap/>
            <w:hideMark/>
          </w:tcPr>
          <w:p w14:paraId="3F84AAA7"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Galectin-9 </w:t>
            </w:r>
          </w:p>
        </w:tc>
      </w:tr>
      <w:tr w:rsidR="002D2102" w:rsidRPr="00D16520" w14:paraId="3FAB42AF" w14:textId="77777777" w:rsidTr="00222209">
        <w:trPr>
          <w:trHeight w:val="288"/>
        </w:trPr>
        <w:tc>
          <w:tcPr>
            <w:tcW w:w="0" w:type="auto"/>
            <w:noWrap/>
            <w:hideMark/>
          </w:tcPr>
          <w:p w14:paraId="3E63A02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GDF-2</w:t>
            </w:r>
          </w:p>
        </w:tc>
        <w:tc>
          <w:tcPr>
            <w:tcW w:w="0" w:type="auto"/>
            <w:noWrap/>
            <w:hideMark/>
          </w:tcPr>
          <w:p w14:paraId="0F04A14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Growth/differentiation factor 2</w:t>
            </w:r>
          </w:p>
        </w:tc>
      </w:tr>
      <w:tr w:rsidR="002D2102" w:rsidRPr="00D16520" w14:paraId="7B088EF8" w14:textId="77777777" w:rsidTr="00222209">
        <w:trPr>
          <w:trHeight w:val="288"/>
        </w:trPr>
        <w:tc>
          <w:tcPr>
            <w:tcW w:w="0" w:type="auto"/>
            <w:noWrap/>
            <w:hideMark/>
          </w:tcPr>
          <w:p w14:paraId="282A0805"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GH</w:t>
            </w:r>
          </w:p>
        </w:tc>
        <w:tc>
          <w:tcPr>
            <w:tcW w:w="0" w:type="auto"/>
            <w:noWrap/>
            <w:hideMark/>
          </w:tcPr>
          <w:p w14:paraId="6F82767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Growth hormone </w:t>
            </w:r>
          </w:p>
        </w:tc>
      </w:tr>
      <w:tr w:rsidR="002D2102" w:rsidRPr="00D16520" w14:paraId="07B6B0A4" w14:textId="77777777" w:rsidTr="00222209">
        <w:trPr>
          <w:trHeight w:val="288"/>
        </w:trPr>
        <w:tc>
          <w:tcPr>
            <w:tcW w:w="0" w:type="auto"/>
            <w:noWrap/>
            <w:hideMark/>
          </w:tcPr>
          <w:p w14:paraId="1261C026"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GIF</w:t>
            </w:r>
          </w:p>
        </w:tc>
        <w:tc>
          <w:tcPr>
            <w:tcW w:w="0" w:type="auto"/>
            <w:noWrap/>
            <w:hideMark/>
          </w:tcPr>
          <w:p w14:paraId="4B15359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Gastric intrinsic factor </w:t>
            </w:r>
          </w:p>
        </w:tc>
      </w:tr>
      <w:tr w:rsidR="002D2102" w:rsidRPr="00D16520" w14:paraId="208F1CEC" w14:textId="77777777" w:rsidTr="00222209">
        <w:trPr>
          <w:trHeight w:val="288"/>
        </w:trPr>
        <w:tc>
          <w:tcPr>
            <w:tcW w:w="0" w:type="auto"/>
            <w:noWrap/>
            <w:hideMark/>
          </w:tcPr>
          <w:p w14:paraId="06A32693"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GLO1</w:t>
            </w:r>
          </w:p>
        </w:tc>
        <w:tc>
          <w:tcPr>
            <w:tcW w:w="0" w:type="auto"/>
            <w:noWrap/>
            <w:hideMark/>
          </w:tcPr>
          <w:p w14:paraId="3C0B823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Lactoylglutathione lyase </w:t>
            </w:r>
          </w:p>
        </w:tc>
      </w:tr>
      <w:tr w:rsidR="002D2102" w:rsidRPr="00D16520" w14:paraId="2086B58D" w14:textId="77777777" w:rsidTr="00222209">
        <w:trPr>
          <w:trHeight w:val="288"/>
        </w:trPr>
        <w:tc>
          <w:tcPr>
            <w:tcW w:w="0" w:type="auto"/>
            <w:noWrap/>
            <w:hideMark/>
          </w:tcPr>
          <w:p w14:paraId="2D555244"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GT</w:t>
            </w:r>
          </w:p>
        </w:tc>
        <w:tc>
          <w:tcPr>
            <w:tcW w:w="0" w:type="auto"/>
            <w:noWrap/>
            <w:hideMark/>
          </w:tcPr>
          <w:p w14:paraId="3D41CDF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Gastrotropin</w:t>
            </w:r>
          </w:p>
        </w:tc>
      </w:tr>
      <w:tr w:rsidR="002D2102" w:rsidRPr="00D16520" w14:paraId="372CB8B5" w14:textId="77777777" w:rsidTr="00222209">
        <w:trPr>
          <w:trHeight w:val="288"/>
        </w:trPr>
        <w:tc>
          <w:tcPr>
            <w:tcW w:w="0" w:type="auto"/>
            <w:noWrap/>
            <w:hideMark/>
          </w:tcPr>
          <w:p w14:paraId="6AEFA6A1"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HAOX1</w:t>
            </w:r>
          </w:p>
        </w:tc>
        <w:tc>
          <w:tcPr>
            <w:tcW w:w="0" w:type="auto"/>
            <w:noWrap/>
            <w:hideMark/>
          </w:tcPr>
          <w:p w14:paraId="06D8687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Hydroxyacid oxidase 1 </w:t>
            </w:r>
          </w:p>
        </w:tc>
      </w:tr>
      <w:tr w:rsidR="002D2102" w:rsidRPr="00D16520" w14:paraId="6C0A1093" w14:textId="77777777" w:rsidTr="00222209">
        <w:trPr>
          <w:trHeight w:val="288"/>
        </w:trPr>
        <w:tc>
          <w:tcPr>
            <w:tcW w:w="0" w:type="auto"/>
            <w:noWrap/>
            <w:hideMark/>
          </w:tcPr>
          <w:p w14:paraId="49B6CDEC"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HB-EGF</w:t>
            </w:r>
          </w:p>
        </w:tc>
        <w:tc>
          <w:tcPr>
            <w:tcW w:w="0" w:type="auto"/>
            <w:noWrap/>
            <w:hideMark/>
          </w:tcPr>
          <w:p w14:paraId="0506AC3B"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Proheparin-binding EGF-like growth factor </w:t>
            </w:r>
          </w:p>
        </w:tc>
      </w:tr>
      <w:tr w:rsidR="002D2102" w:rsidRPr="00D16520" w14:paraId="0F47B02F" w14:textId="77777777" w:rsidTr="00222209">
        <w:trPr>
          <w:trHeight w:val="288"/>
        </w:trPr>
        <w:tc>
          <w:tcPr>
            <w:tcW w:w="0" w:type="auto"/>
            <w:noWrap/>
            <w:hideMark/>
          </w:tcPr>
          <w:p w14:paraId="592AB9A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HO-1</w:t>
            </w:r>
          </w:p>
        </w:tc>
        <w:tc>
          <w:tcPr>
            <w:tcW w:w="0" w:type="auto"/>
            <w:noWrap/>
            <w:hideMark/>
          </w:tcPr>
          <w:p w14:paraId="57205AC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Heme oxygenase 1 </w:t>
            </w:r>
          </w:p>
        </w:tc>
      </w:tr>
      <w:tr w:rsidR="002D2102" w:rsidRPr="00D16520" w14:paraId="2D8DB04B" w14:textId="77777777" w:rsidTr="00222209">
        <w:trPr>
          <w:trHeight w:val="288"/>
        </w:trPr>
        <w:tc>
          <w:tcPr>
            <w:tcW w:w="0" w:type="auto"/>
            <w:noWrap/>
            <w:hideMark/>
          </w:tcPr>
          <w:p w14:paraId="4C3EA269"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hOSCAR</w:t>
            </w:r>
          </w:p>
        </w:tc>
        <w:tc>
          <w:tcPr>
            <w:tcW w:w="0" w:type="auto"/>
            <w:noWrap/>
            <w:hideMark/>
          </w:tcPr>
          <w:p w14:paraId="19E97DD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Osteoclast-associated immunoglobulin-like receptor </w:t>
            </w:r>
          </w:p>
        </w:tc>
      </w:tr>
      <w:tr w:rsidR="002D2102" w:rsidRPr="00D16520" w14:paraId="1BB2C2B3" w14:textId="77777777" w:rsidTr="00222209">
        <w:trPr>
          <w:trHeight w:val="288"/>
        </w:trPr>
        <w:tc>
          <w:tcPr>
            <w:tcW w:w="0" w:type="auto"/>
            <w:noWrap/>
            <w:hideMark/>
          </w:tcPr>
          <w:p w14:paraId="2FB10B8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HSP 27</w:t>
            </w:r>
          </w:p>
        </w:tc>
        <w:tc>
          <w:tcPr>
            <w:tcW w:w="0" w:type="auto"/>
            <w:noWrap/>
            <w:hideMark/>
          </w:tcPr>
          <w:p w14:paraId="3613410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Heat shock 27 kDa protein </w:t>
            </w:r>
          </w:p>
        </w:tc>
      </w:tr>
      <w:tr w:rsidR="002D2102" w:rsidRPr="00D16520" w14:paraId="1BF917DB" w14:textId="77777777" w:rsidTr="00222209">
        <w:trPr>
          <w:trHeight w:val="288"/>
        </w:trPr>
        <w:tc>
          <w:tcPr>
            <w:tcW w:w="0" w:type="auto"/>
            <w:noWrap/>
            <w:hideMark/>
          </w:tcPr>
          <w:p w14:paraId="33E40AF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IDUA</w:t>
            </w:r>
          </w:p>
        </w:tc>
        <w:tc>
          <w:tcPr>
            <w:tcW w:w="0" w:type="auto"/>
            <w:noWrap/>
            <w:hideMark/>
          </w:tcPr>
          <w:p w14:paraId="4E86946E"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Alpha-L-iduronidase</w:t>
            </w:r>
          </w:p>
        </w:tc>
      </w:tr>
      <w:tr w:rsidR="002D2102" w:rsidRPr="00D16520" w14:paraId="0869BF56" w14:textId="77777777" w:rsidTr="00222209">
        <w:trPr>
          <w:trHeight w:val="288"/>
        </w:trPr>
        <w:tc>
          <w:tcPr>
            <w:tcW w:w="0" w:type="auto"/>
            <w:noWrap/>
            <w:hideMark/>
          </w:tcPr>
          <w:p w14:paraId="3E14E28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IgG Fc receptor II-b</w:t>
            </w:r>
          </w:p>
        </w:tc>
        <w:tc>
          <w:tcPr>
            <w:tcW w:w="0" w:type="auto"/>
            <w:noWrap/>
            <w:hideMark/>
          </w:tcPr>
          <w:p w14:paraId="424266AC"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Low affinity immunoglobulin gamma Fc region receptor II-b </w:t>
            </w:r>
          </w:p>
        </w:tc>
      </w:tr>
      <w:tr w:rsidR="002D2102" w:rsidRPr="00D16520" w14:paraId="0F829941" w14:textId="77777777" w:rsidTr="00222209">
        <w:trPr>
          <w:trHeight w:val="288"/>
        </w:trPr>
        <w:tc>
          <w:tcPr>
            <w:tcW w:w="0" w:type="auto"/>
            <w:noWrap/>
            <w:hideMark/>
          </w:tcPr>
          <w:p w14:paraId="5BDDFA7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IL16</w:t>
            </w:r>
          </w:p>
        </w:tc>
        <w:tc>
          <w:tcPr>
            <w:tcW w:w="0" w:type="auto"/>
            <w:noWrap/>
            <w:hideMark/>
          </w:tcPr>
          <w:p w14:paraId="6DDE9838"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Pro-interleukin-16 </w:t>
            </w:r>
          </w:p>
        </w:tc>
      </w:tr>
      <w:tr w:rsidR="002D2102" w:rsidRPr="00D16520" w14:paraId="22944B4E" w14:textId="77777777" w:rsidTr="00222209">
        <w:trPr>
          <w:trHeight w:val="288"/>
        </w:trPr>
        <w:tc>
          <w:tcPr>
            <w:tcW w:w="0" w:type="auto"/>
            <w:noWrap/>
            <w:hideMark/>
          </w:tcPr>
          <w:p w14:paraId="203DFE4C"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t>IL-17D</w:t>
            </w:r>
          </w:p>
        </w:tc>
        <w:tc>
          <w:tcPr>
            <w:tcW w:w="0" w:type="auto"/>
            <w:noWrap/>
            <w:hideMark/>
          </w:tcPr>
          <w:p w14:paraId="05517F7B"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Interleukin-17D </w:t>
            </w:r>
          </w:p>
        </w:tc>
      </w:tr>
      <w:tr w:rsidR="002D2102" w:rsidRPr="00D16520" w14:paraId="54574E07" w14:textId="77777777" w:rsidTr="00222209">
        <w:trPr>
          <w:trHeight w:val="288"/>
        </w:trPr>
        <w:tc>
          <w:tcPr>
            <w:tcW w:w="0" w:type="auto"/>
            <w:noWrap/>
            <w:hideMark/>
          </w:tcPr>
          <w:p w14:paraId="2E19BCF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IL-18</w:t>
            </w:r>
          </w:p>
        </w:tc>
        <w:tc>
          <w:tcPr>
            <w:tcW w:w="0" w:type="auto"/>
            <w:noWrap/>
            <w:hideMark/>
          </w:tcPr>
          <w:p w14:paraId="2C730A1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Interleukin-18 </w:t>
            </w:r>
          </w:p>
        </w:tc>
      </w:tr>
      <w:tr w:rsidR="002D2102" w:rsidRPr="00D16520" w14:paraId="0B71A5EB" w14:textId="77777777" w:rsidTr="00222209">
        <w:trPr>
          <w:trHeight w:val="288"/>
        </w:trPr>
        <w:tc>
          <w:tcPr>
            <w:tcW w:w="0" w:type="auto"/>
            <w:noWrap/>
            <w:hideMark/>
          </w:tcPr>
          <w:p w14:paraId="3459406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IL-1ra</w:t>
            </w:r>
          </w:p>
        </w:tc>
        <w:tc>
          <w:tcPr>
            <w:tcW w:w="0" w:type="auto"/>
            <w:noWrap/>
            <w:hideMark/>
          </w:tcPr>
          <w:p w14:paraId="5F09864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Interleukin-1 receptor antagonist protein </w:t>
            </w:r>
          </w:p>
        </w:tc>
      </w:tr>
      <w:tr w:rsidR="002D2102" w:rsidRPr="00D16520" w14:paraId="0E7EF0AF" w14:textId="77777777" w:rsidTr="00222209">
        <w:trPr>
          <w:trHeight w:val="288"/>
        </w:trPr>
        <w:tc>
          <w:tcPr>
            <w:tcW w:w="0" w:type="auto"/>
            <w:noWrap/>
            <w:hideMark/>
          </w:tcPr>
          <w:p w14:paraId="21F6E47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IL1RL2</w:t>
            </w:r>
          </w:p>
        </w:tc>
        <w:tc>
          <w:tcPr>
            <w:tcW w:w="0" w:type="auto"/>
            <w:noWrap/>
            <w:hideMark/>
          </w:tcPr>
          <w:p w14:paraId="17A776A2"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Interleukin-1 receptor-like 2 </w:t>
            </w:r>
          </w:p>
        </w:tc>
      </w:tr>
      <w:tr w:rsidR="002D2102" w:rsidRPr="00D16520" w14:paraId="24C6E724" w14:textId="77777777" w:rsidTr="00222209">
        <w:trPr>
          <w:trHeight w:val="288"/>
        </w:trPr>
        <w:tc>
          <w:tcPr>
            <w:tcW w:w="0" w:type="auto"/>
            <w:noWrap/>
            <w:hideMark/>
          </w:tcPr>
          <w:p w14:paraId="36E41628"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IL-27</w:t>
            </w:r>
          </w:p>
        </w:tc>
        <w:tc>
          <w:tcPr>
            <w:tcW w:w="0" w:type="auto"/>
            <w:noWrap/>
            <w:hideMark/>
          </w:tcPr>
          <w:p w14:paraId="6732D94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Interleukin-27 </w:t>
            </w:r>
          </w:p>
        </w:tc>
      </w:tr>
      <w:tr w:rsidR="002D2102" w:rsidRPr="00D16520" w14:paraId="3AF65AB9" w14:textId="77777777" w:rsidTr="00222209">
        <w:trPr>
          <w:trHeight w:val="288"/>
        </w:trPr>
        <w:tc>
          <w:tcPr>
            <w:tcW w:w="0" w:type="auto"/>
            <w:noWrap/>
            <w:hideMark/>
          </w:tcPr>
          <w:p w14:paraId="7D9E223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IL-4RA</w:t>
            </w:r>
          </w:p>
        </w:tc>
        <w:tc>
          <w:tcPr>
            <w:tcW w:w="0" w:type="auto"/>
            <w:noWrap/>
            <w:hideMark/>
          </w:tcPr>
          <w:p w14:paraId="3692DB5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Interleukin-4 receptor subunit alpha </w:t>
            </w:r>
          </w:p>
        </w:tc>
      </w:tr>
      <w:tr w:rsidR="002D2102" w:rsidRPr="00D16520" w14:paraId="5A72BC67" w14:textId="77777777" w:rsidTr="00222209">
        <w:trPr>
          <w:trHeight w:val="288"/>
        </w:trPr>
        <w:tc>
          <w:tcPr>
            <w:tcW w:w="0" w:type="auto"/>
            <w:noWrap/>
            <w:hideMark/>
          </w:tcPr>
          <w:p w14:paraId="1803402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IL6</w:t>
            </w:r>
          </w:p>
        </w:tc>
        <w:tc>
          <w:tcPr>
            <w:tcW w:w="0" w:type="auto"/>
            <w:noWrap/>
            <w:hideMark/>
          </w:tcPr>
          <w:p w14:paraId="4FC1D770"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Interleukin-6 </w:t>
            </w:r>
          </w:p>
        </w:tc>
      </w:tr>
      <w:tr w:rsidR="002D2102" w:rsidRPr="00D16520" w14:paraId="1748B459" w14:textId="77777777" w:rsidTr="00222209">
        <w:trPr>
          <w:trHeight w:val="288"/>
        </w:trPr>
        <w:tc>
          <w:tcPr>
            <w:tcW w:w="0" w:type="auto"/>
            <w:noWrap/>
            <w:hideMark/>
          </w:tcPr>
          <w:p w14:paraId="7EB297A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ITGB1BP2</w:t>
            </w:r>
          </w:p>
        </w:tc>
        <w:tc>
          <w:tcPr>
            <w:tcW w:w="0" w:type="auto"/>
            <w:noWrap/>
            <w:hideMark/>
          </w:tcPr>
          <w:p w14:paraId="2470D28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Melusin </w:t>
            </w:r>
          </w:p>
        </w:tc>
      </w:tr>
      <w:tr w:rsidR="002D2102" w:rsidRPr="00D16520" w14:paraId="16899885" w14:textId="77777777" w:rsidTr="00222209">
        <w:trPr>
          <w:trHeight w:val="288"/>
        </w:trPr>
        <w:tc>
          <w:tcPr>
            <w:tcW w:w="0" w:type="auto"/>
            <w:noWrap/>
            <w:hideMark/>
          </w:tcPr>
          <w:p w14:paraId="5B3B7C1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KIM1</w:t>
            </w:r>
          </w:p>
        </w:tc>
        <w:tc>
          <w:tcPr>
            <w:tcW w:w="0" w:type="auto"/>
            <w:noWrap/>
            <w:hideMark/>
          </w:tcPr>
          <w:p w14:paraId="1415772C"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Kidney Injury Molecule </w:t>
            </w:r>
          </w:p>
        </w:tc>
      </w:tr>
      <w:tr w:rsidR="002D2102" w:rsidRPr="00D16520" w14:paraId="2E028CC6" w14:textId="77777777" w:rsidTr="00222209">
        <w:trPr>
          <w:trHeight w:val="288"/>
        </w:trPr>
        <w:tc>
          <w:tcPr>
            <w:tcW w:w="0" w:type="auto"/>
            <w:noWrap/>
            <w:hideMark/>
          </w:tcPr>
          <w:p w14:paraId="37ACEF5F"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LEP</w:t>
            </w:r>
          </w:p>
        </w:tc>
        <w:tc>
          <w:tcPr>
            <w:tcW w:w="0" w:type="auto"/>
            <w:noWrap/>
            <w:hideMark/>
          </w:tcPr>
          <w:p w14:paraId="0067ED2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Leptin </w:t>
            </w:r>
          </w:p>
        </w:tc>
      </w:tr>
      <w:tr w:rsidR="002D2102" w:rsidRPr="00D16520" w14:paraId="607FD629" w14:textId="77777777" w:rsidTr="00222209">
        <w:trPr>
          <w:trHeight w:val="288"/>
        </w:trPr>
        <w:tc>
          <w:tcPr>
            <w:tcW w:w="0" w:type="auto"/>
            <w:noWrap/>
            <w:hideMark/>
          </w:tcPr>
          <w:p w14:paraId="32DF4EF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LOX-1</w:t>
            </w:r>
          </w:p>
        </w:tc>
        <w:tc>
          <w:tcPr>
            <w:tcW w:w="0" w:type="auto"/>
            <w:noWrap/>
            <w:hideMark/>
          </w:tcPr>
          <w:p w14:paraId="3BE5231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Lectin-like oxidized LDL receptor 1 </w:t>
            </w:r>
          </w:p>
        </w:tc>
      </w:tr>
      <w:tr w:rsidR="002D2102" w:rsidRPr="00D16520" w14:paraId="773A11B6" w14:textId="77777777" w:rsidTr="00222209">
        <w:trPr>
          <w:trHeight w:val="288"/>
        </w:trPr>
        <w:tc>
          <w:tcPr>
            <w:tcW w:w="0" w:type="auto"/>
            <w:noWrap/>
            <w:hideMark/>
          </w:tcPr>
          <w:p w14:paraId="2347D490"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LPL</w:t>
            </w:r>
          </w:p>
        </w:tc>
        <w:tc>
          <w:tcPr>
            <w:tcW w:w="0" w:type="auto"/>
            <w:noWrap/>
            <w:hideMark/>
          </w:tcPr>
          <w:p w14:paraId="15B260D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Lipoprotein lipase </w:t>
            </w:r>
          </w:p>
        </w:tc>
      </w:tr>
      <w:tr w:rsidR="002D2102" w:rsidRPr="00D16520" w14:paraId="28349B0B" w14:textId="77777777" w:rsidTr="00222209">
        <w:trPr>
          <w:trHeight w:val="288"/>
        </w:trPr>
        <w:tc>
          <w:tcPr>
            <w:tcW w:w="0" w:type="auto"/>
            <w:noWrap/>
            <w:hideMark/>
          </w:tcPr>
          <w:p w14:paraId="09C66BC1"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MARCO</w:t>
            </w:r>
          </w:p>
        </w:tc>
        <w:tc>
          <w:tcPr>
            <w:tcW w:w="0" w:type="auto"/>
            <w:noWrap/>
            <w:hideMark/>
          </w:tcPr>
          <w:p w14:paraId="1C208FA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Macrophage receptor MARCO</w:t>
            </w:r>
          </w:p>
        </w:tc>
      </w:tr>
      <w:tr w:rsidR="002D2102" w:rsidRPr="00D16520" w14:paraId="576A391B" w14:textId="77777777" w:rsidTr="00222209">
        <w:trPr>
          <w:trHeight w:val="288"/>
        </w:trPr>
        <w:tc>
          <w:tcPr>
            <w:tcW w:w="0" w:type="auto"/>
            <w:noWrap/>
            <w:hideMark/>
          </w:tcPr>
          <w:p w14:paraId="052CBB8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t>MERTK</w:t>
            </w:r>
          </w:p>
        </w:tc>
        <w:tc>
          <w:tcPr>
            <w:tcW w:w="0" w:type="auto"/>
            <w:noWrap/>
            <w:hideMark/>
          </w:tcPr>
          <w:p w14:paraId="20221AC8"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Tyrosine-protein kinase Mer </w:t>
            </w:r>
          </w:p>
        </w:tc>
      </w:tr>
      <w:tr w:rsidR="002D2102" w:rsidRPr="00D16520" w14:paraId="04212B44" w14:textId="77777777" w:rsidTr="00222209">
        <w:trPr>
          <w:trHeight w:val="288"/>
        </w:trPr>
        <w:tc>
          <w:tcPr>
            <w:tcW w:w="0" w:type="auto"/>
            <w:noWrap/>
            <w:hideMark/>
          </w:tcPr>
          <w:p w14:paraId="211DA178"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MMP-12</w:t>
            </w:r>
          </w:p>
        </w:tc>
        <w:tc>
          <w:tcPr>
            <w:tcW w:w="0" w:type="auto"/>
            <w:noWrap/>
            <w:hideMark/>
          </w:tcPr>
          <w:p w14:paraId="08C8383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Matrix metalloproteinase-12</w:t>
            </w:r>
          </w:p>
        </w:tc>
      </w:tr>
      <w:tr w:rsidR="002D2102" w:rsidRPr="00D16520" w14:paraId="4283D12C" w14:textId="77777777" w:rsidTr="00222209">
        <w:trPr>
          <w:trHeight w:val="288"/>
        </w:trPr>
        <w:tc>
          <w:tcPr>
            <w:tcW w:w="0" w:type="auto"/>
            <w:noWrap/>
            <w:hideMark/>
          </w:tcPr>
          <w:p w14:paraId="0785734C"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MMP-7</w:t>
            </w:r>
          </w:p>
        </w:tc>
        <w:tc>
          <w:tcPr>
            <w:tcW w:w="0" w:type="auto"/>
            <w:noWrap/>
            <w:hideMark/>
          </w:tcPr>
          <w:p w14:paraId="25A4E8CD"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Matrix metalloproteinase-7 </w:t>
            </w:r>
          </w:p>
        </w:tc>
      </w:tr>
      <w:tr w:rsidR="002D2102" w:rsidRPr="00D16520" w14:paraId="42E0C66D" w14:textId="77777777" w:rsidTr="00222209">
        <w:trPr>
          <w:trHeight w:val="288"/>
        </w:trPr>
        <w:tc>
          <w:tcPr>
            <w:tcW w:w="0" w:type="auto"/>
            <w:noWrap/>
            <w:hideMark/>
          </w:tcPr>
          <w:p w14:paraId="55FC5083"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NEMO</w:t>
            </w:r>
          </w:p>
        </w:tc>
        <w:tc>
          <w:tcPr>
            <w:tcW w:w="0" w:type="auto"/>
            <w:noWrap/>
            <w:hideMark/>
          </w:tcPr>
          <w:p w14:paraId="4BA98F0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NF-kappa-B essential modulator</w:t>
            </w:r>
          </w:p>
        </w:tc>
      </w:tr>
      <w:tr w:rsidR="002D2102" w:rsidRPr="00D16520" w14:paraId="4FC0C737" w14:textId="77777777" w:rsidTr="00222209">
        <w:trPr>
          <w:trHeight w:val="288"/>
        </w:trPr>
        <w:tc>
          <w:tcPr>
            <w:tcW w:w="0" w:type="auto"/>
            <w:noWrap/>
            <w:hideMark/>
          </w:tcPr>
          <w:p w14:paraId="442916F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lastRenderedPageBreak/>
              <w:t>PAPPA</w:t>
            </w:r>
          </w:p>
        </w:tc>
        <w:tc>
          <w:tcPr>
            <w:tcW w:w="0" w:type="auto"/>
            <w:noWrap/>
            <w:hideMark/>
          </w:tcPr>
          <w:p w14:paraId="7763EE7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Pappalysin-1 </w:t>
            </w:r>
          </w:p>
        </w:tc>
      </w:tr>
      <w:tr w:rsidR="002D2102" w:rsidRPr="00D16520" w14:paraId="371665A1" w14:textId="77777777" w:rsidTr="00222209">
        <w:trPr>
          <w:trHeight w:val="288"/>
        </w:trPr>
        <w:tc>
          <w:tcPr>
            <w:tcW w:w="0" w:type="auto"/>
            <w:noWrap/>
            <w:hideMark/>
          </w:tcPr>
          <w:p w14:paraId="31A75D6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PAR-1</w:t>
            </w:r>
          </w:p>
        </w:tc>
        <w:tc>
          <w:tcPr>
            <w:tcW w:w="0" w:type="auto"/>
            <w:noWrap/>
            <w:hideMark/>
          </w:tcPr>
          <w:p w14:paraId="7CB7ED45"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Proteinase-activated receptor 1 </w:t>
            </w:r>
          </w:p>
        </w:tc>
      </w:tr>
      <w:tr w:rsidR="002D2102" w:rsidRPr="00D16520" w14:paraId="5024420C" w14:textId="77777777" w:rsidTr="00222209">
        <w:trPr>
          <w:trHeight w:val="288"/>
        </w:trPr>
        <w:tc>
          <w:tcPr>
            <w:tcW w:w="0" w:type="auto"/>
            <w:noWrap/>
            <w:hideMark/>
          </w:tcPr>
          <w:p w14:paraId="7145AB2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PARP-1</w:t>
            </w:r>
          </w:p>
        </w:tc>
        <w:tc>
          <w:tcPr>
            <w:tcW w:w="0" w:type="auto"/>
            <w:noWrap/>
            <w:hideMark/>
          </w:tcPr>
          <w:p w14:paraId="18C4C77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Poly [ADP-ribose] polymerase 1 </w:t>
            </w:r>
          </w:p>
        </w:tc>
      </w:tr>
      <w:tr w:rsidR="002D2102" w:rsidRPr="00D16520" w14:paraId="1AF8BBF6" w14:textId="77777777" w:rsidTr="00222209">
        <w:trPr>
          <w:trHeight w:val="288"/>
        </w:trPr>
        <w:tc>
          <w:tcPr>
            <w:tcW w:w="0" w:type="auto"/>
            <w:noWrap/>
            <w:hideMark/>
          </w:tcPr>
          <w:p w14:paraId="1A0693D6"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PDGF subunit B</w:t>
            </w:r>
          </w:p>
        </w:tc>
        <w:tc>
          <w:tcPr>
            <w:tcW w:w="0" w:type="auto"/>
            <w:noWrap/>
            <w:hideMark/>
          </w:tcPr>
          <w:p w14:paraId="09624B8B"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Platelet-derived growth factor subunit B</w:t>
            </w:r>
          </w:p>
        </w:tc>
      </w:tr>
      <w:tr w:rsidR="002D2102" w:rsidRPr="00D16520" w14:paraId="7EE498A7" w14:textId="77777777" w:rsidTr="00222209">
        <w:trPr>
          <w:trHeight w:val="288"/>
        </w:trPr>
        <w:tc>
          <w:tcPr>
            <w:tcW w:w="0" w:type="auto"/>
            <w:noWrap/>
            <w:hideMark/>
          </w:tcPr>
          <w:p w14:paraId="534F8324"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PD-L2</w:t>
            </w:r>
          </w:p>
        </w:tc>
        <w:tc>
          <w:tcPr>
            <w:tcW w:w="0" w:type="auto"/>
            <w:noWrap/>
            <w:hideMark/>
          </w:tcPr>
          <w:p w14:paraId="2C66CD74"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Programmed cell death 1 ligand 2 </w:t>
            </w:r>
          </w:p>
        </w:tc>
      </w:tr>
      <w:tr w:rsidR="002D2102" w:rsidRPr="00D16520" w14:paraId="0E3B6FDC" w14:textId="77777777" w:rsidTr="00222209">
        <w:trPr>
          <w:trHeight w:val="288"/>
        </w:trPr>
        <w:tc>
          <w:tcPr>
            <w:tcW w:w="0" w:type="auto"/>
            <w:noWrap/>
            <w:hideMark/>
          </w:tcPr>
          <w:p w14:paraId="22C143B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PGF</w:t>
            </w:r>
          </w:p>
        </w:tc>
        <w:tc>
          <w:tcPr>
            <w:tcW w:w="0" w:type="auto"/>
            <w:noWrap/>
            <w:hideMark/>
          </w:tcPr>
          <w:p w14:paraId="6B509A4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Placenta growth factor </w:t>
            </w:r>
          </w:p>
        </w:tc>
      </w:tr>
      <w:tr w:rsidR="002D2102" w:rsidRPr="00D16520" w14:paraId="0D84BE28" w14:textId="77777777" w:rsidTr="00222209">
        <w:trPr>
          <w:trHeight w:val="288"/>
        </w:trPr>
        <w:tc>
          <w:tcPr>
            <w:tcW w:w="0" w:type="auto"/>
            <w:noWrap/>
            <w:hideMark/>
          </w:tcPr>
          <w:p w14:paraId="193F0B4A"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PIgR</w:t>
            </w:r>
          </w:p>
        </w:tc>
        <w:tc>
          <w:tcPr>
            <w:tcW w:w="0" w:type="auto"/>
            <w:noWrap/>
            <w:hideMark/>
          </w:tcPr>
          <w:p w14:paraId="22A0CA7C"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Polymeric immunoglobulin receptor </w:t>
            </w:r>
          </w:p>
        </w:tc>
      </w:tr>
      <w:tr w:rsidR="002D2102" w:rsidRPr="00D16520" w14:paraId="73895557" w14:textId="77777777" w:rsidTr="00222209">
        <w:trPr>
          <w:trHeight w:val="288"/>
        </w:trPr>
        <w:tc>
          <w:tcPr>
            <w:tcW w:w="0" w:type="auto"/>
            <w:noWrap/>
            <w:hideMark/>
          </w:tcPr>
          <w:p w14:paraId="387FC678"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t>PRELP</w:t>
            </w:r>
          </w:p>
        </w:tc>
        <w:tc>
          <w:tcPr>
            <w:tcW w:w="0" w:type="auto"/>
            <w:noWrap/>
            <w:hideMark/>
          </w:tcPr>
          <w:p w14:paraId="18EDBD71"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Prolargin </w:t>
            </w:r>
          </w:p>
        </w:tc>
      </w:tr>
      <w:tr w:rsidR="002D2102" w:rsidRPr="00D16520" w14:paraId="1F3217BF" w14:textId="77777777" w:rsidTr="00222209">
        <w:trPr>
          <w:trHeight w:val="288"/>
        </w:trPr>
        <w:tc>
          <w:tcPr>
            <w:tcW w:w="0" w:type="auto"/>
            <w:noWrap/>
            <w:hideMark/>
          </w:tcPr>
          <w:p w14:paraId="769BDAC5"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PRSS27</w:t>
            </w:r>
          </w:p>
        </w:tc>
        <w:tc>
          <w:tcPr>
            <w:tcW w:w="0" w:type="auto"/>
            <w:noWrap/>
            <w:hideMark/>
          </w:tcPr>
          <w:p w14:paraId="5424B49F"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Serine protease 27 </w:t>
            </w:r>
          </w:p>
        </w:tc>
      </w:tr>
      <w:tr w:rsidR="002D2102" w:rsidRPr="00D16520" w14:paraId="5847943C" w14:textId="77777777" w:rsidTr="00222209">
        <w:trPr>
          <w:trHeight w:val="288"/>
        </w:trPr>
        <w:tc>
          <w:tcPr>
            <w:tcW w:w="0" w:type="auto"/>
            <w:noWrap/>
            <w:hideMark/>
          </w:tcPr>
          <w:p w14:paraId="5FC5C803"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t>PRSS8</w:t>
            </w:r>
          </w:p>
        </w:tc>
        <w:tc>
          <w:tcPr>
            <w:tcW w:w="0" w:type="auto"/>
            <w:noWrap/>
            <w:hideMark/>
          </w:tcPr>
          <w:p w14:paraId="4196FBD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Prostasin </w:t>
            </w:r>
          </w:p>
        </w:tc>
      </w:tr>
      <w:tr w:rsidR="002D2102" w:rsidRPr="00D16520" w14:paraId="2FAB6CF4" w14:textId="77777777" w:rsidTr="00222209">
        <w:trPr>
          <w:trHeight w:val="288"/>
        </w:trPr>
        <w:tc>
          <w:tcPr>
            <w:tcW w:w="0" w:type="auto"/>
            <w:noWrap/>
            <w:hideMark/>
          </w:tcPr>
          <w:p w14:paraId="4D0E9FAE"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PSGL-1</w:t>
            </w:r>
          </w:p>
        </w:tc>
        <w:tc>
          <w:tcPr>
            <w:tcW w:w="0" w:type="auto"/>
            <w:noWrap/>
            <w:hideMark/>
          </w:tcPr>
          <w:p w14:paraId="4510C6E7"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P-selectin glycoprotein ligand 1 </w:t>
            </w:r>
          </w:p>
        </w:tc>
      </w:tr>
      <w:tr w:rsidR="002D2102" w:rsidRPr="00D16520" w14:paraId="5F89DBDA" w14:textId="77777777" w:rsidTr="00222209">
        <w:trPr>
          <w:trHeight w:val="288"/>
        </w:trPr>
        <w:tc>
          <w:tcPr>
            <w:tcW w:w="0" w:type="auto"/>
            <w:noWrap/>
            <w:hideMark/>
          </w:tcPr>
          <w:p w14:paraId="5E7F88BB"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PTX3</w:t>
            </w:r>
          </w:p>
        </w:tc>
        <w:tc>
          <w:tcPr>
            <w:tcW w:w="0" w:type="auto"/>
            <w:noWrap/>
            <w:hideMark/>
          </w:tcPr>
          <w:p w14:paraId="5DAD61B2"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Pentraxin-related protein PTX3 </w:t>
            </w:r>
          </w:p>
        </w:tc>
      </w:tr>
      <w:tr w:rsidR="002D2102" w:rsidRPr="00D16520" w14:paraId="33CFA705" w14:textId="77777777" w:rsidTr="00222209">
        <w:trPr>
          <w:trHeight w:val="288"/>
        </w:trPr>
        <w:tc>
          <w:tcPr>
            <w:tcW w:w="0" w:type="auto"/>
            <w:noWrap/>
            <w:hideMark/>
          </w:tcPr>
          <w:p w14:paraId="46C43381"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RAGE</w:t>
            </w:r>
          </w:p>
        </w:tc>
        <w:tc>
          <w:tcPr>
            <w:tcW w:w="0" w:type="auto"/>
            <w:noWrap/>
            <w:hideMark/>
          </w:tcPr>
          <w:p w14:paraId="6FF8B89F"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Receptor for advanced glycosylation end products </w:t>
            </w:r>
          </w:p>
        </w:tc>
      </w:tr>
      <w:tr w:rsidR="002D2102" w:rsidRPr="00D16520" w14:paraId="7CC34BEE" w14:textId="77777777" w:rsidTr="00222209">
        <w:trPr>
          <w:trHeight w:val="288"/>
        </w:trPr>
        <w:tc>
          <w:tcPr>
            <w:tcW w:w="0" w:type="auto"/>
            <w:noWrap/>
            <w:hideMark/>
          </w:tcPr>
          <w:p w14:paraId="40473D03"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REN</w:t>
            </w:r>
          </w:p>
        </w:tc>
        <w:tc>
          <w:tcPr>
            <w:tcW w:w="0" w:type="auto"/>
            <w:noWrap/>
            <w:hideMark/>
          </w:tcPr>
          <w:p w14:paraId="07FC7FE6"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Renin </w:t>
            </w:r>
          </w:p>
        </w:tc>
      </w:tr>
      <w:tr w:rsidR="002D2102" w:rsidRPr="00D16520" w14:paraId="2F38FBE6" w14:textId="77777777" w:rsidTr="00222209">
        <w:trPr>
          <w:trHeight w:val="288"/>
        </w:trPr>
        <w:tc>
          <w:tcPr>
            <w:tcW w:w="0" w:type="auto"/>
            <w:noWrap/>
            <w:hideMark/>
          </w:tcPr>
          <w:p w14:paraId="6B44DE3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SCF</w:t>
            </w:r>
          </w:p>
        </w:tc>
        <w:tc>
          <w:tcPr>
            <w:tcW w:w="0" w:type="auto"/>
            <w:noWrap/>
            <w:hideMark/>
          </w:tcPr>
          <w:p w14:paraId="4C0D245E"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Stem cell factor </w:t>
            </w:r>
          </w:p>
        </w:tc>
      </w:tr>
      <w:tr w:rsidR="002D2102" w:rsidRPr="00D16520" w14:paraId="0EBD21A5" w14:textId="77777777" w:rsidTr="00222209">
        <w:trPr>
          <w:trHeight w:val="288"/>
        </w:trPr>
        <w:tc>
          <w:tcPr>
            <w:tcW w:w="0" w:type="auto"/>
            <w:noWrap/>
            <w:hideMark/>
          </w:tcPr>
          <w:p w14:paraId="3824608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SERPINA12</w:t>
            </w:r>
          </w:p>
        </w:tc>
        <w:tc>
          <w:tcPr>
            <w:tcW w:w="0" w:type="auto"/>
            <w:noWrap/>
            <w:hideMark/>
          </w:tcPr>
          <w:p w14:paraId="6698CB5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Serpin A12 </w:t>
            </w:r>
          </w:p>
        </w:tc>
      </w:tr>
      <w:tr w:rsidR="002D2102" w:rsidRPr="00D16520" w14:paraId="5D51EB45" w14:textId="77777777" w:rsidTr="00222209">
        <w:trPr>
          <w:trHeight w:val="288"/>
        </w:trPr>
        <w:tc>
          <w:tcPr>
            <w:tcW w:w="0" w:type="auto"/>
            <w:noWrap/>
            <w:hideMark/>
          </w:tcPr>
          <w:p w14:paraId="08C07F6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SLAMF7</w:t>
            </w:r>
          </w:p>
        </w:tc>
        <w:tc>
          <w:tcPr>
            <w:tcW w:w="0" w:type="auto"/>
            <w:noWrap/>
            <w:hideMark/>
          </w:tcPr>
          <w:p w14:paraId="5BE43855"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SLAM family member 7 </w:t>
            </w:r>
          </w:p>
        </w:tc>
      </w:tr>
      <w:tr w:rsidR="002D2102" w:rsidRPr="00D16520" w14:paraId="75383BDD" w14:textId="77777777" w:rsidTr="00222209">
        <w:trPr>
          <w:trHeight w:val="288"/>
        </w:trPr>
        <w:tc>
          <w:tcPr>
            <w:tcW w:w="0" w:type="auto"/>
            <w:noWrap/>
            <w:hideMark/>
          </w:tcPr>
          <w:p w14:paraId="2ABBA07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SOD2</w:t>
            </w:r>
          </w:p>
        </w:tc>
        <w:tc>
          <w:tcPr>
            <w:tcW w:w="0" w:type="auto"/>
            <w:noWrap/>
            <w:hideMark/>
          </w:tcPr>
          <w:p w14:paraId="7B07CC5E"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Superoxide dismutase [Mn], mitochondrial </w:t>
            </w:r>
          </w:p>
        </w:tc>
      </w:tr>
      <w:tr w:rsidR="002D2102" w:rsidRPr="00D16520" w14:paraId="3F3604C3" w14:textId="77777777" w:rsidTr="00222209">
        <w:trPr>
          <w:trHeight w:val="288"/>
        </w:trPr>
        <w:tc>
          <w:tcPr>
            <w:tcW w:w="0" w:type="auto"/>
            <w:noWrap/>
            <w:hideMark/>
          </w:tcPr>
          <w:p w14:paraId="095D8819"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SORT1</w:t>
            </w:r>
          </w:p>
        </w:tc>
        <w:tc>
          <w:tcPr>
            <w:tcW w:w="0" w:type="auto"/>
            <w:noWrap/>
            <w:hideMark/>
          </w:tcPr>
          <w:p w14:paraId="643ACF77"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Sortilin </w:t>
            </w:r>
          </w:p>
        </w:tc>
      </w:tr>
      <w:tr w:rsidR="002D2102" w:rsidRPr="00D16520" w14:paraId="4EB3C3D5" w14:textId="77777777" w:rsidTr="00222209">
        <w:trPr>
          <w:trHeight w:val="288"/>
        </w:trPr>
        <w:tc>
          <w:tcPr>
            <w:tcW w:w="0" w:type="auto"/>
            <w:noWrap/>
            <w:hideMark/>
          </w:tcPr>
          <w:p w14:paraId="16618256"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SPON2</w:t>
            </w:r>
          </w:p>
        </w:tc>
        <w:tc>
          <w:tcPr>
            <w:tcW w:w="0" w:type="auto"/>
            <w:noWrap/>
            <w:hideMark/>
          </w:tcPr>
          <w:p w14:paraId="35D1DA62"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Spondin-2 </w:t>
            </w:r>
          </w:p>
        </w:tc>
      </w:tr>
      <w:tr w:rsidR="002D2102" w:rsidRPr="00D16520" w14:paraId="05A64385" w14:textId="77777777" w:rsidTr="00222209">
        <w:trPr>
          <w:trHeight w:val="288"/>
        </w:trPr>
        <w:tc>
          <w:tcPr>
            <w:tcW w:w="0" w:type="auto"/>
            <w:noWrap/>
            <w:hideMark/>
          </w:tcPr>
          <w:p w14:paraId="616CA13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SRC</w:t>
            </w:r>
          </w:p>
        </w:tc>
        <w:tc>
          <w:tcPr>
            <w:tcW w:w="0" w:type="auto"/>
            <w:noWrap/>
            <w:hideMark/>
          </w:tcPr>
          <w:p w14:paraId="1F72795A"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Proto-oncogene tyrosine-protein kinase Src </w:t>
            </w:r>
          </w:p>
        </w:tc>
      </w:tr>
      <w:tr w:rsidR="002D2102" w:rsidRPr="00D16520" w14:paraId="2A753795" w14:textId="77777777" w:rsidTr="00222209">
        <w:trPr>
          <w:trHeight w:val="288"/>
        </w:trPr>
        <w:tc>
          <w:tcPr>
            <w:tcW w:w="0" w:type="auto"/>
            <w:noWrap/>
            <w:hideMark/>
          </w:tcPr>
          <w:p w14:paraId="5679064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STK4</w:t>
            </w:r>
          </w:p>
        </w:tc>
        <w:tc>
          <w:tcPr>
            <w:tcW w:w="0" w:type="auto"/>
            <w:noWrap/>
            <w:hideMark/>
          </w:tcPr>
          <w:p w14:paraId="7BF2BE2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Serine/threonine-protein kinase 4 </w:t>
            </w:r>
          </w:p>
        </w:tc>
      </w:tr>
      <w:tr w:rsidR="002D2102" w:rsidRPr="00D16520" w14:paraId="3D36D1FD" w14:textId="77777777" w:rsidTr="00222209">
        <w:trPr>
          <w:trHeight w:val="288"/>
        </w:trPr>
        <w:tc>
          <w:tcPr>
            <w:tcW w:w="0" w:type="auto"/>
            <w:noWrap/>
            <w:hideMark/>
          </w:tcPr>
          <w:p w14:paraId="6DE21423"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TF</w:t>
            </w:r>
          </w:p>
        </w:tc>
        <w:tc>
          <w:tcPr>
            <w:tcW w:w="0" w:type="auto"/>
            <w:noWrap/>
            <w:hideMark/>
          </w:tcPr>
          <w:p w14:paraId="152B67B9"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Tissue factor </w:t>
            </w:r>
          </w:p>
        </w:tc>
      </w:tr>
      <w:tr w:rsidR="002D2102" w:rsidRPr="00D16520" w14:paraId="5F555AAE" w14:textId="77777777" w:rsidTr="00222209">
        <w:trPr>
          <w:trHeight w:val="288"/>
        </w:trPr>
        <w:tc>
          <w:tcPr>
            <w:tcW w:w="0" w:type="auto"/>
            <w:noWrap/>
            <w:hideMark/>
          </w:tcPr>
          <w:p w14:paraId="7B22B01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lang w:val="sv-SE"/>
              </w:rPr>
              <w:t>TGM2</w:t>
            </w:r>
          </w:p>
        </w:tc>
        <w:tc>
          <w:tcPr>
            <w:tcW w:w="0" w:type="auto"/>
            <w:noWrap/>
            <w:hideMark/>
          </w:tcPr>
          <w:p w14:paraId="7CC9A895"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lang w:val="sv-SE"/>
              </w:rPr>
              <w:t xml:space="preserve">Protein-glutamine gamma-glutamyltransferase 2 </w:t>
            </w:r>
          </w:p>
        </w:tc>
      </w:tr>
      <w:tr w:rsidR="002D2102" w:rsidRPr="00D16520" w14:paraId="1EC0F6B1" w14:textId="77777777" w:rsidTr="00222209">
        <w:trPr>
          <w:trHeight w:val="288"/>
        </w:trPr>
        <w:tc>
          <w:tcPr>
            <w:tcW w:w="0" w:type="auto"/>
            <w:noWrap/>
            <w:hideMark/>
          </w:tcPr>
          <w:p w14:paraId="6884BD78"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THBS2</w:t>
            </w:r>
          </w:p>
        </w:tc>
        <w:tc>
          <w:tcPr>
            <w:tcW w:w="0" w:type="auto"/>
            <w:noWrap/>
            <w:hideMark/>
          </w:tcPr>
          <w:p w14:paraId="476592E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Thrombospondin-2 </w:t>
            </w:r>
          </w:p>
        </w:tc>
      </w:tr>
      <w:tr w:rsidR="002D2102" w:rsidRPr="00D16520" w14:paraId="3EF4DC21" w14:textId="77777777" w:rsidTr="00222209">
        <w:trPr>
          <w:trHeight w:val="288"/>
        </w:trPr>
        <w:tc>
          <w:tcPr>
            <w:tcW w:w="0" w:type="auto"/>
            <w:noWrap/>
            <w:hideMark/>
          </w:tcPr>
          <w:p w14:paraId="6BC4B12D"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THPO</w:t>
            </w:r>
          </w:p>
        </w:tc>
        <w:tc>
          <w:tcPr>
            <w:tcW w:w="0" w:type="auto"/>
            <w:noWrap/>
            <w:hideMark/>
          </w:tcPr>
          <w:p w14:paraId="73CDF31F"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Thrombopoietin </w:t>
            </w:r>
          </w:p>
        </w:tc>
      </w:tr>
      <w:tr w:rsidR="002D2102" w:rsidRPr="00D16520" w14:paraId="0311EF9E" w14:textId="77777777" w:rsidTr="00222209">
        <w:trPr>
          <w:trHeight w:val="288"/>
        </w:trPr>
        <w:tc>
          <w:tcPr>
            <w:tcW w:w="0" w:type="auto"/>
            <w:noWrap/>
            <w:hideMark/>
          </w:tcPr>
          <w:p w14:paraId="52ADBF2B"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TIE2</w:t>
            </w:r>
          </w:p>
        </w:tc>
        <w:tc>
          <w:tcPr>
            <w:tcW w:w="0" w:type="auto"/>
            <w:noWrap/>
            <w:hideMark/>
          </w:tcPr>
          <w:p w14:paraId="6E8BC503"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Angiopoietin-1 receptor </w:t>
            </w:r>
          </w:p>
        </w:tc>
      </w:tr>
      <w:tr w:rsidR="002D2102" w:rsidRPr="00D16520" w14:paraId="66B2F1FE" w14:textId="77777777" w:rsidTr="00222209">
        <w:trPr>
          <w:trHeight w:val="288"/>
        </w:trPr>
        <w:tc>
          <w:tcPr>
            <w:tcW w:w="0" w:type="auto"/>
            <w:noWrap/>
            <w:hideMark/>
          </w:tcPr>
          <w:p w14:paraId="622226AF"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TM</w:t>
            </w:r>
          </w:p>
        </w:tc>
        <w:tc>
          <w:tcPr>
            <w:tcW w:w="0" w:type="auto"/>
            <w:noWrap/>
            <w:hideMark/>
          </w:tcPr>
          <w:p w14:paraId="533300CF"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Thrombomodulin </w:t>
            </w:r>
          </w:p>
        </w:tc>
      </w:tr>
      <w:tr w:rsidR="002D2102" w:rsidRPr="00D16520" w14:paraId="2594AA3F" w14:textId="77777777" w:rsidTr="00222209">
        <w:trPr>
          <w:trHeight w:val="288"/>
        </w:trPr>
        <w:tc>
          <w:tcPr>
            <w:tcW w:w="0" w:type="auto"/>
            <w:noWrap/>
            <w:hideMark/>
          </w:tcPr>
          <w:p w14:paraId="79FA9395"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TNFRSF10A</w:t>
            </w:r>
          </w:p>
        </w:tc>
        <w:tc>
          <w:tcPr>
            <w:tcW w:w="0" w:type="auto"/>
            <w:noWrap/>
            <w:hideMark/>
          </w:tcPr>
          <w:p w14:paraId="1CFCB411"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Tumor necrosis factor receptor superfamily member 10A</w:t>
            </w:r>
          </w:p>
        </w:tc>
      </w:tr>
      <w:tr w:rsidR="002D2102" w:rsidRPr="00D16520" w14:paraId="0ACF77B5" w14:textId="77777777" w:rsidTr="00222209">
        <w:trPr>
          <w:trHeight w:val="288"/>
        </w:trPr>
        <w:tc>
          <w:tcPr>
            <w:tcW w:w="0" w:type="auto"/>
            <w:noWrap/>
            <w:hideMark/>
          </w:tcPr>
          <w:p w14:paraId="535403F5"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TNFRSF11A</w:t>
            </w:r>
          </w:p>
        </w:tc>
        <w:tc>
          <w:tcPr>
            <w:tcW w:w="0" w:type="auto"/>
            <w:noWrap/>
            <w:hideMark/>
          </w:tcPr>
          <w:p w14:paraId="5928BC5F"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Tumor necrosis factor receptor superfamily member 11A </w:t>
            </w:r>
          </w:p>
        </w:tc>
      </w:tr>
      <w:tr w:rsidR="002D2102" w:rsidRPr="00D16520" w14:paraId="0533C126" w14:textId="77777777" w:rsidTr="00222209">
        <w:trPr>
          <w:trHeight w:val="288"/>
        </w:trPr>
        <w:tc>
          <w:tcPr>
            <w:tcW w:w="0" w:type="auto"/>
            <w:noWrap/>
            <w:hideMark/>
          </w:tcPr>
          <w:p w14:paraId="54302382"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TNFRSF13B</w:t>
            </w:r>
          </w:p>
        </w:tc>
        <w:tc>
          <w:tcPr>
            <w:tcW w:w="0" w:type="auto"/>
            <w:noWrap/>
            <w:hideMark/>
          </w:tcPr>
          <w:p w14:paraId="55CF1A60"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Tumor necrosis factor receptor superfamily member 13B </w:t>
            </w:r>
          </w:p>
        </w:tc>
      </w:tr>
      <w:tr w:rsidR="002D2102" w:rsidRPr="00D16520" w14:paraId="10D8AF0F" w14:textId="77777777" w:rsidTr="00222209">
        <w:trPr>
          <w:trHeight w:val="288"/>
        </w:trPr>
        <w:tc>
          <w:tcPr>
            <w:tcW w:w="0" w:type="auto"/>
            <w:noWrap/>
            <w:hideMark/>
          </w:tcPr>
          <w:p w14:paraId="2D859457"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TRAIL-R2</w:t>
            </w:r>
          </w:p>
        </w:tc>
        <w:tc>
          <w:tcPr>
            <w:tcW w:w="0" w:type="auto"/>
            <w:noWrap/>
            <w:hideMark/>
          </w:tcPr>
          <w:p w14:paraId="789896A8"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TNF-related apoptosis-inducing ligand receptor 2 </w:t>
            </w:r>
          </w:p>
        </w:tc>
      </w:tr>
      <w:tr w:rsidR="002D2102" w:rsidRPr="00D16520" w14:paraId="676441E4" w14:textId="77777777" w:rsidTr="00222209">
        <w:trPr>
          <w:trHeight w:val="288"/>
        </w:trPr>
        <w:tc>
          <w:tcPr>
            <w:tcW w:w="0" w:type="auto"/>
            <w:noWrap/>
            <w:hideMark/>
          </w:tcPr>
          <w:p w14:paraId="63C08805"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VEGFD</w:t>
            </w:r>
          </w:p>
        </w:tc>
        <w:tc>
          <w:tcPr>
            <w:tcW w:w="0" w:type="auto"/>
            <w:noWrap/>
            <w:hideMark/>
          </w:tcPr>
          <w:p w14:paraId="6C2F2325"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Vascular endothelial growth factor D </w:t>
            </w:r>
          </w:p>
        </w:tc>
      </w:tr>
      <w:tr w:rsidR="002D2102" w:rsidRPr="00D16520" w14:paraId="267DB8B0" w14:textId="77777777" w:rsidTr="00222209">
        <w:trPr>
          <w:trHeight w:val="288"/>
        </w:trPr>
        <w:tc>
          <w:tcPr>
            <w:tcW w:w="0" w:type="auto"/>
            <w:noWrap/>
            <w:hideMark/>
          </w:tcPr>
          <w:p w14:paraId="0C40C6FC"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VSIG2</w:t>
            </w:r>
          </w:p>
        </w:tc>
        <w:tc>
          <w:tcPr>
            <w:tcW w:w="0" w:type="auto"/>
            <w:noWrap/>
            <w:hideMark/>
          </w:tcPr>
          <w:p w14:paraId="2C1E6E64"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V-set and immunoglobulin domain-containing protein 2 </w:t>
            </w:r>
          </w:p>
        </w:tc>
      </w:tr>
      <w:tr w:rsidR="002D2102" w:rsidRPr="00D16520" w14:paraId="50135BB8" w14:textId="77777777" w:rsidTr="00222209">
        <w:trPr>
          <w:trHeight w:val="288"/>
        </w:trPr>
        <w:tc>
          <w:tcPr>
            <w:tcW w:w="0" w:type="auto"/>
            <w:noWrap/>
            <w:hideMark/>
          </w:tcPr>
          <w:p w14:paraId="402300EB" w14:textId="77777777" w:rsidR="002D2102" w:rsidRPr="00D16520" w:rsidRDefault="002D2102" w:rsidP="00D16520">
            <w:pPr>
              <w:rPr>
                <w:rFonts w:ascii="Times New Roman" w:hAnsi="Times New Roman" w:cs="Times New Roman"/>
                <w:b/>
                <w:sz w:val="20"/>
                <w:szCs w:val="20"/>
              </w:rPr>
            </w:pPr>
            <w:r w:rsidRPr="00D16520">
              <w:rPr>
                <w:rFonts w:ascii="Times New Roman" w:hAnsi="Times New Roman" w:cs="Times New Roman"/>
                <w:sz w:val="20"/>
                <w:szCs w:val="20"/>
              </w:rPr>
              <w:t>XCL1</w:t>
            </w:r>
          </w:p>
        </w:tc>
        <w:tc>
          <w:tcPr>
            <w:tcW w:w="0" w:type="auto"/>
            <w:noWrap/>
            <w:hideMark/>
          </w:tcPr>
          <w:p w14:paraId="19E70E11" w14:textId="77777777" w:rsidR="002D2102" w:rsidRPr="00D16520" w:rsidRDefault="002D2102" w:rsidP="00D16520">
            <w:pPr>
              <w:rPr>
                <w:rFonts w:ascii="Times New Roman" w:hAnsi="Times New Roman" w:cs="Times New Roman"/>
                <w:sz w:val="20"/>
                <w:szCs w:val="20"/>
              </w:rPr>
            </w:pPr>
            <w:r w:rsidRPr="00D16520">
              <w:rPr>
                <w:rFonts w:ascii="Times New Roman" w:hAnsi="Times New Roman" w:cs="Times New Roman"/>
                <w:sz w:val="20"/>
                <w:szCs w:val="20"/>
              </w:rPr>
              <w:t xml:space="preserve">Lymphotactin </w:t>
            </w:r>
          </w:p>
        </w:tc>
      </w:tr>
    </w:tbl>
    <w:p w14:paraId="2739CBBD" w14:textId="230324ED" w:rsidR="00C63447" w:rsidRPr="00D16520" w:rsidRDefault="00C63447" w:rsidP="00D16520">
      <w:pPr>
        <w:spacing w:after="0"/>
        <w:jc w:val="center"/>
        <w:rPr>
          <w:rFonts w:ascii="Times New Roman" w:hAnsi="Times New Roman" w:cs="Times New Roman"/>
          <w:b/>
          <w:sz w:val="20"/>
          <w:szCs w:val="20"/>
        </w:rPr>
      </w:pPr>
    </w:p>
    <w:p w14:paraId="283C66AB" w14:textId="0E54DC19" w:rsidR="00104A85" w:rsidRPr="00D16520" w:rsidRDefault="00D16520" w:rsidP="00D16520">
      <w:pPr>
        <w:autoSpaceDE w:val="0"/>
        <w:autoSpaceDN w:val="0"/>
        <w:adjustRightInd w:val="0"/>
        <w:spacing w:after="0" w:line="240" w:lineRule="auto"/>
        <w:rPr>
          <w:rFonts w:ascii="Times New Roman" w:hAnsi="Times New Roman" w:cs="Times New Roman"/>
          <w:sz w:val="28"/>
          <w:szCs w:val="20"/>
        </w:rPr>
      </w:pPr>
      <w:r>
        <w:rPr>
          <w:rFonts w:ascii="Times New Roman" w:hAnsi="Times New Roman" w:cs="Times New Roman"/>
          <w:sz w:val="28"/>
          <w:szCs w:val="20"/>
        </w:rPr>
        <w:t>References</w:t>
      </w:r>
    </w:p>
    <w:p w14:paraId="2EFEC309" w14:textId="77777777" w:rsidR="00B36C69" w:rsidRPr="00D16520" w:rsidRDefault="00B36C69" w:rsidP="00D16520">
      <w:pPr>
        <w:autoSpaceDE w:val="0"/>
        <w:autoSpaceDN w:val="0"/>
        <w:adjustRightInd w:val="0"/>
        <w:spacing w:after="0" w:line="240" w:lineRule="auto"/>
        <w:rPr>
          <w:rFonts w:ascii="Times New Roman" w:hAnsi="Times New Roman" w:cs="Times New Roman"/>
          <w:sz w:val="20"/>
          <w:szCs w:val="20"/>
        </w:rPr>
      </w:pPr>
    </w:p>
    <w:p w14:paraId="3101A305" w14:textId="77777777" w:rsidR="00231EDE" w:rsidRPr="00D16520" w:rsidRDefault="00591224" w:rsidP="00D16520">
      <w:pPr>
        <w:pStyle w:val="EndNoteBibliography"/>
        <w:spacing w:after="0"/>
        <w:rPr>
          <w:rFonts w:ascii="Times New Roman" w:hAnsi="Times New Roman" w:cs="Times New Roman"/>
          <w:sz w:val="20"/>
          <w:szCs w:val="20"/>
        </w:rPr>
      </w:pPr>
      <w:r w:rsidRPr="00D16520">
        <w:rPr>
          <w:rFonts w:ascii="Times New Roman" w:hAnsi="Times New Roman" w:cs="Times New Roman"/>
          <w:sz w:val="20"/>
          <w:szCs w:val="20"/>
        </w:rPr>
        <w:fldChar w:fldCharType="begin"/>
      </w:r>
      <w:r w:rsidRPr="00D16520">
        <w:rPr>
          <w:rFonts w:ascii="Times New Roman" w:hAnsi="Times New Roman" w:cs="Times New Roman"/>
          <w:sz w:val="20"/>
          <w:szCs w:val="20"/>
          <w:lang w:val="en-GB"/>
        </w:rPr>
        <w:instrText xml:space="preserve"> ADDIN EN.REFLIST </w:instrText>
      </w:r>
      <w:r w:rsidRPr="00D16520">
        <w:rPr>
          <w:rFonts w:ascii="Times New Roman" w:hAnsi="Times New Roman" w:cs="Times New Roman"/>
          <w:sz w:val="20"/>
          <w:szCs w:val="20"/>
        </w:rPr>
        <w:fldChar w:fldCharType="end"/>
      </w:r>
      <w:r w:rsidR="00231EDE" w:rsidRPr="00D16520">
        <w:rPr>
          <w:rFonts w:ascii="Times New Roman" w:hAnsi="Times New Roman" w:cs="Times New Roman"/>
          <w:sz w:val="20"/>
          <w:szCs w:val="20"/>
        </w:rPr>
        <w:t>1. Assarsson E, Lundberg M, Holmquist G, Björkesten J, Bucht Thorsen S, Ekman D, Eriksson A, Rennel Dickens E, Ohlsson S, Edfeldt G, Andersson A-C, Lindstedt P, Stenvang J, Gullberg M, Fredriksson S. Homogenous 96-Plex PEA Immunoassay Exhibiting High Sensitivity, Specificity, and Excellent Scalability. PloS one. 2014;9(4):e95192. doi:10.1371/journal.pone.0095192.</w:t>
      </w:r>
    </w:p>
    <w:p w14:paraId="3F8978EC" w14:textId="77777777" w:rsidR="00231EDE" w:rsidRPr="00D16520" w:rsidRDefault="00231EDE" w:rsidP="00D16520">
      <w:pPr>
        <w:pStyle w:val="EndNoteBibliography"/>
        <w:spacing w:after="0"/>
        <w:rPr>
          <w:rFonts w:ascii="Times New Roman" w:hAnsi="Times New Roman" w:cs="Times New Roman"/>
          <w:sz w:val="20"/>
          <w:szCs w:val="20"/>
        </w:rPr>
      </w:pPr>
    </w:p>
    <w:p w14:paraId="574BA8A7" w14:textId="3B244835" w:rsidR="00453E25" w:rsidRPr="00D16520" w:rsidRDefault="00453E25" w:rsidP="00D16520">
      <w:pPr>
        <w:pStyle w:val="EndNoteBibliography"/>
        <w:spacing w:after="0"/>
        <w:rPr>
          <w:rFonts w:ascii="Times New Roman" w:hAnsi="Times New Roman" w:cs="Times New Roman"/>
          <w:sz w:val="20"/>
          <w:szCs w:val="20"/>
        </w:rPr>
      </w:pPr>
    </w:p>
    <w:p w14:paraId="16A4D69C" w14:textId="10BBDE57" w:rsidR="00B36C69" w:rsidRPr="00D16520" w:rsidRDefault="00B36C69" w:rsidP="00D16520">
      <w:pPr>
        <w:spacing w:after="0"/>
        <w:rPr>
          <w:rFonts w:ascii="Times New Roman" w:hAnsi="Times New Roman" w:cs="Times New Roman"/>
          <w:sz w:val="20"/>
          <w:szCs w:val="20"/>
        </w:rPr>
      </w:pPr>
    </w:p>
    <w:sectPr w:rsidR="00B36C69" w:rsidRPr="00D165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D212A" w14:textId="77777777" w:rsidR="0011054C" w:rsidRDefault="0011054C" w:rsidP="00A54FE6">
      <w:pPr>
        <w:spacing w:after="0" w:line="240" w:lineRule="auto"/>
      </w:pPr>
      <w:r>
        <w:separator/>
      </w:r>
    </w:p>
  </w:endnote>
  <w:endnote w:type="continuationSeparator" w:id="0">
    <w:p w14:paraId="164800AC" w14:textId="77777777" w:rsidR="0011054C" w:rsidRDefault="0011054C" w:rsidP="00A5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FBF4F" w14:textId="77777777" w:rsidR="0011054C" w:rsidRDefault="0011054C" w:rsidP="00A54FE6">
      <w:pPr>
        <w:spacing w:after="0" w:line="240" w:lineRule="auto"/>
      </w:pPr>
      <w:r>
        <w:separator/>
      </w:r>
    </w:p>
  </w:footnote>
  <w:footnote w:type="continuationSeparator" w:id="0">
    <w:p w14:paraId="4A731A21" w14:textId="77777777" w:rsidR="0011054C" w:rsidRDefault="0011054C" w:rsidP="00A54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8226E3"/>
    <w:multiLevelType w:val="hybridMultilevel"/>
    <w:tmpl w:val="C4220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63F33B84"/>
    <w:multiLevelType w:val="hybridMultilevel"/>
    <w:tmpl w:val="0E30C2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ting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at5zasxpvevvveaxsapasp4aevwd2rad9ff&quot;&gt;Paliz EndNote Library&lt;record-ids&gt;&lt;item&gt;168&lt;/item&gt;&lt;item&gt;242&lt;/item&gt;&lt;item&gt;251&lt;/item&gt;&lt;/record-ids&gt;&lt;/item&gt;&lt;/Libraries&gt;"/>
  </w:docVars>
  <w:rsids>
    <w:rsidRoot w:val="00C23EB4"/>
    <w:rsid w:val="00010EDF"/>
    <w:rsid w:val="00012A25"/>
    <w:rsid w:val="00035617"/>
    <w:rsid w:val="00035807"/>
    <w:rsid w:val="00065C27"/>
    <w:rsid w:val="0007747D"/>
    <w:rsid w:val="00087ABD"/>
    <w:rsid w:val="000953B4"/>
    <w:rsid w:val="000A0520"/>
    <w:rsid w:val="000A4882"/>
    <w:rsid w:val="000A652E"/>
    <w:rsid w:val="00104A85"/>
    <w:rsid w:val="0011054C"/>
    <w:rsid w:val="001328F7"/>
    <w:rsid w:val="00150EFE"/>
    <w:rsid w:val="0019579E"/>
    <w:rsid w:val="001E2D39"/>
    <w:rsid w:val="00222209"/>
    <w:rsid w:val="00222238"/>
    <w:rsid w:val="002257AF"/>
    <w:rsid w:val="00231EDE"/>
    <w:rsid w:val="00243F30"/>
    <w:rsid w:val="002448BC"/>
    <w:rsid w:val="0025444E"/>
    <w:rsid w:val="00256681"/>
    <w:rsid w:val="00272E20"/>
    <w:rsid w:val="002737D1"/>
    <w:rsid w:val="0028248B"/>
    <w:rsid w:val="002D2102"/>
    <w:rsid w:val="002D4158"/>
    <w:rsid w:val="00314766"/>
    <w:rsid w:val="00337E8E"/>
    <w:rsid w:val="003451A2"/>
    <w:rsid w:val="00383452"/>
    <w:rsid w:val="003B3F35"/>
    <w:rsid w:val="003C1C33"/>
    <w:rsid w:val="003C390E"/>
    <w:rsid w:val="003E7BC9"/>
    <w:rsid w:val="003E7E72"/>
    <w:rsid w:val="00427A7F"/>
    <w:rsid w:val="00443B8F"/>
    <w:rsid w:val="00453E25"/>
    <w:rsid w:val="00454C55"/>
    <w:rsid w:val="00466953"/>
    <w:rsid w:val="00472024"/>
    <w:rsid w:val="00473252"/>
    <w:rsid w:val="004B1798"/>
    <w:rsid w:val="004D51F7"/>
    <w:rsid w:val="004D719B"/>
    <w:rsid w:val="00541ED9"/>
    <w:rsid w:val="005776F7"/>
    <w:rsid w:val="00591224"/>
    <w:rsid w:val="00596BBC"/>
    <w:rsid w:val="005C408C"/>
    <w:rsid w:val="005E4D1C"/>
    <w:rsid w:val="005F5181"/>
    <w:rsid w:val="00606B37"/>
    <w:rsid w:val="00620862"/>
    <w:rsid w:val="0062456D"/>
    <w:rsid w:val="00635E42"/>
    <w:rsid w:val="00672D47"/>
    <w:rsid w:val="006A3E6F"/>
    <w:rsid w:val="006B0252"/>
    <w:rsid w:val="006B415E"/>
    <w:rsid w:val="006C1C63"/>
    <w:rsid w:val="006C67A5"/>
    <w:rsid w:val="006D4553"/>
    <w:rsid w:val="007227FE"/>
    <w:rsid w:val="0072367D"/>
    <w:rsid w:val="007400D7"/>
    <w:rsid w:val="00742BF7"/>
    <w:rsid w:val="00757AF2"/>
    <w:rsid w:val="007603FF"/>
    <w:rsid w:val="00774AE2"/>
    <w:rsid w:val="007757A5"/>
    <w:rsid w:val="00781914"/>
    <w:rsid w:val="00790954"/>
    <w:rsid w:val="00792776"/>
    <w:rsid w:val="007A5389"/>
    <w:rsid w:val="007C373C"/>
    <w:rsid w:val="007D7CCB"/>
    <w:rsid w:val="007E0E75"/>
    <w:rsid w:val="007E5F9B"/>
    <w:rsid w:val="007F36A7"/>
    <w:rsid w:val="00804B7F"/>
    <w:rsid w:val="00806EAB"/>
    <w:rsid w:val="00821793"/>
    <w:rsid w:val="0082761D"/>
    <w:rsid w:val="0083152D"/>
    <w:rsid w:val="00852719"/>
    <w:rsid w:val="00890EFD"/>
    <w:rsid w:val="008D1CD8"/>
    <w:rsid w:val="008D5290"/>
    <w:rsid w:val="008E1545"/>
    <w:rsid w:val="008F3A3E"/>
    <w:rsid w:val="00901D71"/>
    <w:rsid w:val="00907D94"/>
    <w:rsid w:val="0093309F"/>
    <w:rsid w:val="00943215"/>
    <w:rsid w:val="00955023"/>
    <w:rsid w:val="0099011B"/>
    <w:rsid w:val="00990C8E"/>
    <w:rsid w:val="00992BBF"/>
    <w:rsid w:val="009B10D9"/>
    <w:rsid w:val="009C456D"/>
    <w:rsid w:val="009E42BA"/>
    <w:rsid w:val="00A30F78"/>
    <w:rsid w:val="00A33FAA"/>
    <w:rsid w:val="00A37567"/>
    <w:rsid w:val="00A54FE6"/>
    <w:rsid w:val="00A7195F"/>
    <w:rsid w:val="00A83CFB"/>
    <w:rsid w:val="00AB69C1"/>
    <w:rsid w:val="00AE38F6"/>
    <w:rsid w:val="00AF5D7C"/>
    <w:rsid w:val="00B36C69"/>
    <w:rsid w:val="00B42F0F"/>
    <w:rsid w:val="00B44388"/>
    <w:rsid w:val="00B44D35"/>
    <w:rsid w:val="00B54B00"/>
    <w:rsid w:val="00B604CF"/>
    <w:rsid w:val="00B768E9"/>
    <w:rsid w:val="00B81E44"/>
    <w:rsid w:val="00BA7CCE"/>
    <w:rsid w:val="00BB48E2"/>
    <w:rsid w:val="00BC1451"/>
    <w:rsid w:val="00BC6F35"/>
    <w:rsid w:val="00BF0390"/>
    <w:rsid w:val="00BF662C"/>
    <w:rsid w:val="00BF71DC"/>
    <w:rsid w:val="00C23EB4"/>
    <w:rsid w:val="00C63447"/>
    <w:rsid w:val="00C76B52"/>
    <w:rsid w:val="00C82177"/>
    <w:rsid w:val="00C86193"/>
    <w:rsid w:val="00CA7DE0"/>
    <w:rsid w:val="00D16520"/>
    <w:rsid w:val="00D336FA"/>
    <w:rsid w:val="00D46329"/>
    <w:rsid w:val="00D570D2"/>
    <w:rsid w:val="00D842C8"/>
    <w:rsid w:val="00DA45FA"/>
    <w:rsid w:val="00DF309A"/>
    <w:rsid w:val="00E0657C"/>
    <w:rsid w:val="00E130FF"/>
    <w:rsid w:val="00E23A62"/>
    <w:rsid w:val="00E36EF9"/>
    <w:rsid w:val="00E600E6"/>
    <w:rsid w:val="00E75F23"/>
    <w:rsid w:val="00E87332"/>
    <w:rsid w:val="00EA5E6D"/>
    <w:rsid w:val="00EB7652"/>
    <w:rsid w:val="00EC1186"/>
    <w:rsid w:val="00F100B6"/>
    <w:rsid w:val="00F96A67"/>
    <w:rsid w:val="00FA3BFA"/>
    <w:rsid w:val="00FA59FF"/>
    <w:rsid w:val="00FD00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1407F"/>
  <w15:chartTrackingRefBased/>
  <w15:docId w15:val="{98701FCE-67AB-4404-9B7F-B7291BECD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23EB4"/>
    <w:pPr>
      <w:ind w:left="720"/>
      <w:contextualSpacing/>
    </w:pPr>
  </w:style>
  <w:style w:type="character" w:styleId="Hyperlnk">
    <w:name w:val="Hyperlink"/>
    <w:basedOn w:val="Standardstycketeckensnitt"/>
    <w:uiPriority w:val="99"/>
    <w:unhideWhenUsed/>
    <w:rsid w:val="00AE38F6"/>
    <w:rPr>
      <w:color w:val="0563C1" w:themeColor="hyperlink"/>
      <w:u w:val="single"/>
    </w:rPr>
  </w:style>
  <w:style w:type="paragraph" w:styleId="Kommentarer">
    <w:name w:val="annotation text"/>
    <w:basedOn w:val="Normal"/>
    <w:link w:val="KommentarerChar"/>
    <w:uiPriority w:val="99"/>
    <w:unhideWhenUsed/>
    <w:rsid w:val="00AE38F6"/>
    <w:pPr>
      <w:spacing w:line="240" w:lineRule="auto"/>
    </w:pPr>
    <w:rPr>
      <w:sz w:val="20"/>
      <w:szCs w:val="20"/>
    </w:rPr>
  </w:style>
  <w:style w:type="character" w:customStyle="1" w:styleId="KommentarerChar">
    <w:name w:val="Kommentarer Char"/>
    <w:basedOn w:val="Standardstycketeckensnitt"/>
    <w:link w:val="Kommentarer"/>
    <w:uiPriority w:val="99"/>
    <w:rsid w:val="00AE38F6"/>
    <w:rPr>
      <w:sz w:val="20"/>
      <w:szCs w:val="20"/>
      <w:lang w:val="en-GB"/>
    </w:rPr>
  </w:style>
  <w:style w:type="table" w:styleId="Tabellrutnt">
    <w:name w:val="Table Grid"/>
    <w:basedOn w:val="Normaltabell"/>
    <w:uiPriority w:val="39"/>
    <w:rsid w:val="00AE3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4dekorfrg3">
    <w:name w:val="Grid Table 4 Accent 3"/>
    <w:basedOn w:val="Normaltabell"/>
    <w:uiPriority w:val="49"/>
    <w:rsid w:val="00AE38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5mrkdekorfrg3">
    <w:name w:val="Grid Table 5 Dark Accent 3"/>
    <w:basedOn w:val="Normaltabell"/>
    <w:uiPriority w:val="50"/>
    <w:rsid w:val="00AE38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Rutntstabell6frgstarkdekorfrg3">
    <w:name w:val="Grid Table 6 Colorful Accent 3"/>
    <w:basedOn w:val="Normaltabell"/>
    <w:uiPriority w:val="51"/>
    <w:rsid w:val="00AE38F6"/>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2dekorfrg3">
    <w:name w:val="Grid Table 2 Accent 3"/>
    <w:basedOn w:val="Normaltabell"/>
    <w:uiPriority w:val="47"/>
    <w:rsid w:val="00B81E4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ngtext">
    <w:name w:val="Balloon Text"/>
    <w:basedOn w:val="Normal"/>
    <w:link w:val="BallongtextChar"/>
    <w:uiPriority w:val="99"/>
    <w:semiHidden/>
    <w:unhideWhenUsed/>
    <w:rsid w:val="00E87332"/>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87332"/>
    <w:rPr>
      <w:rFonts w:ascii="Segoe UI" w:hAnsi="Segoe UI" w:cs="Segoe UI"/>
      <w:sz w:val="18"/>
      <w:szCs w:val="18"/>
      <w:lang w:val="en-GB"/>
    </w:rPr>
  </w:style>
  <w:style w:type="table" w:styleId="Oformateradtabell5">
    <w:name w:val="Plain Table 5"/>
    <w:basedOn w:val="Normaltabell"/>
    <w:uiPriority w:val="45"/>
    <w:rsid w:val="00E873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utntstabell1ljusdekorfrg3">
    <w:name w:val="Grid Table 1 Light Accent 3"/>
    <w:basedOn w:val="Normaltabell"/>
    <w:uiPriority w:val="46"/>
    <w:rsid w:val="00E8733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Kommentarsreferens">
    <w:name w:val="annotation reference"/>
    <w:basedOn w:val="Standardstycketeckensnitt"/>
    <w:uiPriority w:val="99"/>
    <w:semiHidden/>
    <w:unhideWhenUsed/>
    <w:rsid w:val="00DF309A"/>
    <w:rPr>
      <w:sz w:val="16"/>
      <w:szCs w:val="16"/>
    </w:rPr>
  </w:style>
  <w:style w:type="paragraph" w:styleId="Kommentarsmne">
    <w:name w:val="annotation subject"/>
    <w:basedOn w:val="Kommentarer"/>
    <w:next w:val="Kommentarer"/>
    <w:link w:val="KommentarsmneChar"/>
    <w:uiPriority w:val="99"/>
    <w:semiHidden/>
    <w:unhideWhenUsed/>
    <w:rsid w:val="00DF309A"/>
    <w:rPr>
      <w:b/>
      <w:bCs/>
    </w:rPr>
  </w:style>
  <w:style w:type="character" w:customStyle="1" w:styleId="KommentarsmneChar">
    <w:name w:val="Kommentarsämne Char"/>
    <w:basedOn w:val="KommentarerChar"/>
    <w:link w:val="Kommentarsmne"/>
    <w:uiPriority w:val="99"/>
    <w:semiHidden/>
    <w:rsid w:val="00DF309A"/>
    <w:rPr>
      <w:b/>
      <w:bCs/>
      <w:sz w:val="20"/>
      <w:szCs w:val="20"/>
      <w:lang w:val="en-GB"/>
    </w:rPr>
  </w:style>
  <w:style w:type="table" w:styleId="Oformateradtabell1">
    <w:name w:val="Plain Table 1"/>
    <w:basedOn w:val="Normaltabell"/>
    <w:uiPriority w:val="41"/>
    <w:rsid w:val="00B4438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basedOn w:val="Normaltabell"/>
    <w:uiPriority w:val="40"/>
    <w:rsid w:val="0022220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92776"/>
    <w:pPr>
      <w:spacing w:after="0" w:line="240" w:lineRule="auto"/>
    </w:pPr>
    <w:rPr>
      <w:lang w:val="en-GB"/>
    </w:rPr>
  </w:style>
  <w:style w:type="table" w:customStyle="1" w:styleId="Tabellrutnt1">
    <w:name w:val="Tabellrutnät1"/>
    <w:basedOn w:val="Normaltabell"/>
    <w:next w:val="Tabellrutnt"/>
    <w:uiPriority w:val="39"/>
    <w:rsid w:val="00A54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A54FE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54FE6"/>
    <w:rPr>
      <w:lang w:val="en-GB"/>
    </w:rPr>
  </w:style>
  <w:style w:type="paragraph" w:styleId="Sidfot">
    <w:name w:val="footer"/>
    <w:basedOn w:val="Normal"/>
    <w:link w:val="SidfotChar"/>
    <w:uiPriority w:val="99"/>
    <w:unhideWhenUsed/>
    <w:rsid w:val="00A54FE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54FE6"/>
    <w:rPr>
      <w:lang w:val="en-GB"/>
    </w:rPr>
  </w:style>
  <w:style w:type="table" w:customStyle="1" w:styleId="Tabellrutnt2">
    <w:name w:val="Tabellrutnät2"/>
    <w:basedOn w:val="Normaltabell"/>
    <w:next w:val="Tabellrutnt"/>
    <w:uiPriority w:val="39"/>
    <w:rsid w:val="00B3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3">
    <w:name w:val="Tabellrutnät3"/>
    <w:basedOn w:val="Normaltabell"/>
    <w:next w:val="Tabellrutnt"/>
    <w:uiPriority w:val="39"/>
    <w:rsid w:val="00B36C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591224"/>
    <w:pPr>
      <w:spacing w:after="0"/>
      <w:jc w:val="center"/>
    </w:pPr>
    <w:rPr>
      <w:rFonts w:ascii="Calibri" w:hAnsi="Calibri" w:cs="Calibri"/>
      <w:noProof/>
      <w:lang w:val="en-US"/>
    </w:rPr>
  </w:style>
  <w:style w:type="character" w:customStyle="1" w:styleId="EndNoteBibliographyTitleChar">
    <w:name w:val="EndNote Bibliography Title Char"/>
    <w:basedOn w:val="Standardstycketeckensnitt"/>
    <w:link w:val="EndNoteBibliographyTitle"/>
    <w:rsid w:val="00591224"/>
    <w:rPr>
      <w:rFonts w:ascii="Calibri" w:hAnsi="Calibri" w:cs="Calibri"/>
      <w:noProof/>
      <w:lang w:val="en-US"/>
    </w:rPr>
  </w:style>
  <w:style w:type="paragraph" w:customStyle="1" w:styleId="EndNoteBibliography">
    <w:name w:val="EndNote Bibliography"/>
    <w:basedOn w:val="Normal"/>
    <w:link w:val="EndNoteBibliographyChar"/>
    <w:rsid w:val="00591224"/>
    <w:pPr>
      <w:spacing w:line="240" w:lineRule="auto"/>
    </w:pPr>
    <w:rPr>
      <w:rFonts w:ascii="Calibri" w:hAnsi="Calibri" w:cs="Calibri"/>
      <w:noProof/>
      <w:lang w:val="en-US"/>
    </w:rPr>
  </w:style>
  <w:style w:type="character" w:customStyle="1" w:styleId="EndNoteBibliographyChar">
    <w:name w:val="EndNote Bibliography Char"/>
    <w:basedOn w:val="Standardstycketeckensnitt"/>
    <w:link w:val="EndNoteBibliography"/>
    <w:rsid w:val="00591224"/>
    <w:rPr>
      <w:rFonts w:ascii="Calibri" w:hAnsi="Calibri" w:cs="Calibri"/>
      <w:noProof/>
      <w:lang w:val="en-US"/>
    </w:rPr>
  </w:style>
  <w:style w:type="paragraph" w:styleId="Ingetavstnd">
    <w:name w:val="No Spacing"/>
    <w:uiPriority w:val="1"/>
    <w:qFormat/>
    <w:rsid w:val="009B10D9"/>
    <w:pPr>
      <w:spacing w:after="0" w:line="240" w:lineRule="auto"/>
    </w:pPr>
    <w:rPr>
      <w:lang w:val="en-GB"/>
    </w:rPr>
  </w:style>
  <w:style w:type="paragraph" w:customStyle="1" w:styleId="Rubrikitext">
    <w:name w:val="Rubrik i text"/>
    <w:basedOn w:val="Normal"/>
    <w:link w:val="RubrikitextChar"/>
    <w:qFormat/>
    <w:rsid w:val="009B10D9"/>
    <w:pPr>
      <w:spacing w:before="320" w:after="80" w:line="240" w:lineRule="auto"/>
      <w:jc w:val="both"/>
    </w:pPr>
    <w:rPr>
      <w:rFonts w:ascii="Times New Roman" w:hAnsi="Times New Roman" w:cstheme="majorHAnsi"/>
      <w:sz w:val="28"/>
      <w:szCs w:val="24"/>
      <w:lang w:val="en-US"/>
    </w:rPr>
  </w:style>
  <w:style w:type="character" w:customStyle="1" w:styleId="RubrikitextChar">
    <w:name w:val="Rubrik i text Char"/>
    <w:basedOn w:val="Standardstycketeckensnitt"/>
    <w:link w:val="Rubrikitext"/>
    <w:rsid w:val="009B10D9"/>
    <w:rPr>
      <w:rFonts w:ascii="Times New Roman" w:hAnsi="Times New Roman" w:cstheme="majorHAnsi"/>
      <w:sz w:val="2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1133">
      <w:bodyDiv w:val="1"/>
      <w:marLeft w:val="0"/>
      <w:marRight w:val="0"/>
      <w:marTop w:val="0"/>
      <w:marBottom w:val="0"/>
      <w:divBdr>
        <w:top w:val="none" w:sz="0" w:space="0" w:color="auto"/>
        <w:left w:val="none" w:sz="0" w:space="0" w:color="auto"/>
        <w:bottom w:val="none" w:sz="0" w:space="0" w:color="auto"/>
        <w:right w:val="none" w:sz="0" w:space="0" w:color="auto"/>
      </w:divBdr>
    </w:div>
    <w:div w:id="176576931">
      <w:bodyDiv w:val="1"/>
      <w:marLeft w:val="0"/>
      <w:marRight w:val="0"/>
      <w:marTop w:val="0"/>
      <w:marBottom w:val="0"/>
      <w:divBdr>
        <w:top w:val="none" w:sz="0" w:space="0" w:color="auto"/>
        <w:left w:val="none" w:sz="0" w:space="0" w:color="auto"/>
        <w:bottom w:val="none" w:sz="0" w:space="0" w:color="auto"/>
        <w:right w:val="none" w:sz="0" w:space="0" w:color="auto"/>
      </w:divBdr>
    </w:div>
    <w:div w:id="348724586">
      <w:bodyDiv w:val="1"/>
      <w:marLeft w:val="0"/>
      <w:marRight w:val="0"/>
      <w:marTop w:val="0"/>
      <w:marBottom w:val="0"/>
      <w:divBdr>
        <w:top w:val="none" w:sz="0" w:space="0" w:color="auto"/>
        <w:left w:val="none" w:sz="0" w:space="0" w:color="auto"/>
        <w:bottom w:val="none" w:sz="0" w:space="0" w:color="auto"/>
        <w:right w:val="none" w:sz="0" w:space="0" w:color="auto"/>
      </w:divBdr>
    </w:div>
    <w:div w:id="1528252037">
      <w:bodyDiv w:val="1"/>
      <w:marLeft w:val="0"/>
      <w:marRight w:val="0"/>
      <w:marTop w:val="0"/>
      <w:marBottom w:val="0"/>
      <w:divBdr>
        <w:top w:val="none" w:sz="0" w:space="0" w:color="auto"/>
        <w:left w:val="none" w:sz="0" w:space="0" w:color="auto"/>
        <w:bottom w:val="none" w:sz="0" w:space="0" w:color="auto"/>
        <w:right w:val="none" w:sz="0" w:space="0" w:color="auto"/>
      </w:divBdr>
    </w:div>
    <w:div w:id="168874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iz.Nordlof_Callbo@kbh.u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olink.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37ECA-07F1-456F-B2F0-3545FDF48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1188</Words>
  <Characters>6777</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Uppsala Universitet</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Paliz Nordlöf Callbo</dc:creator>
  <cp:keywords/>
  <dc:description/>
  <cp:lastModifiedBy>Paliz Nordlöf Callbo</cp:lastModifiedBy>
  <cp:revision>4</cp:revision>
  <cp:lastPrinted>2021-09-22T18:05:00Z</cp:lastPrinted>
  <dcterms:created xsi:type="dcterms:W3CDTF">2023-03-03T08:06:00Z</dcterms:created>
  <dcterms:modified xsi:type="dcterms:W3CDTF">2023-04-30T08:28:00Z</dcterms:modified>
</cp:coreProperties>
</file>