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BC0C" w14:textId="77777777" w:rsidR="002A7E89" w:rsidRPr="00AF61C0" w:rsidRDefault="002A7E89" w:rsidP="002A7E89">
      <w:pPr>
        <w:spacing w:line="360" w:lineRule="auto"/>
        <w:rPr>
          <w:b/>
          <w:bCs/>
          <w:color w:val="000000" w:themeColor="text1"/>
          <w:sz w:val="28"/>
          <w:szCs w:val="28"/>
        </w:rPr>
      </w:pPr>
      <w:r w:rsidRPr="00AF61C0">
        <w:rPr>
          <w:b/>
          <w:bCs/>
          <w:color w:val="000000" w:themeColor="text1"/>
          <w:sz w:val="28"/>
          <w:szCs w:val="28"/>
        </w:rPr>
        <w:t xml:space="preserve">Prenatal androgenization modifies H3K9me3 binding </w:t>
      </w:r>
      <w:r w:rsidRPr="00AF61C0">
        <w:rPr>
          <w:rFonts w:eastAsiaTheme="minorEastAsia"/>
          <w:b/>
          <w:bCs/>
          <w:color w:val="000000" w:themeColor="text1"/>
          <w:sz w:val="28"/>
          <w:szCs w:val="28"/>
        </w:rPr>
        <w:t>in</w:t>
      </w:r>
      <w:r w:rsidRPr="00AF61C0">
        <w:rPr>
          <w:b/>
          <w:bCs/>
          <w:color w:val="000000" w:themeColor="text1"/>
          <w:sz w:val="28"/>
          <w:szCs w:val="28"/>
        </w:rPr>
        <w:t xml:space="preserve"> the promoter of the androgen receptor gene in the arcuate nucleus of the adult female mouse</w:t>
      </w:r>
    </w:p>
    <w:p w14:paraId="7625E575" w14:textId="77777777" w:rsidR="002A7E89" w:rsidRDefault="002A7E89" w:rsidP="002A7E89">
      <w:pPr>
        <w:spacing w:line="360" w:lineRule="auto"/>
        <w:rPr>
          <w:rFonts w:eastAsiaTheme="minorEastAsia"/>
          <w:b/>
          <w:color w:val="000000" w:themeColor="text1"/>
          <w:shd w:val="clear" w:color="auto" w:fill="FFFFFF"/>
        </w:rPr>
      </w:pPr>
    </w:p>
    <w:p w14:paraId="3CBE48FC" w14:textId="1AAD5008" w:rsidR="002A7E89" w:rsidRPr="00AF61C0" w:rsidRDefault="002A7E89" w:rsidP="002A7E89">
      <w:pPr>
        <w:spacing w:line="360" w:lineRule="auto"/>
        <w:rPr>
          <w:rFonts w:eastAsiaTheme="minorEastAsia"/>
          <w:b/>
          <w:color w:val="000000" w:themeColor="text1"/>
          <w:shd w:val="clear" w:color="auto" w:fill="FFFFFF"/>
        </w:rPr>
      </w:pPr>
      <w:r>
        <w:rPr>
          <w:rFonts w:eastAsiaTheme="minorEastAsia" w:hint="eastAsia"/>
          <w:b/>
          <w:color w:val="000000" w:themeColor="text1"/>
          <w:shd w:val="clear" w:color="auto" w:fill="FFFFFF"/>
        </w:rPr>
        <w:t>Reproductive Sciences</w:t>
      </w:r>
    </w:p>
    <w:p w14:paraId="3A2097BF" w14:textId="77777777" w:rsidR="002A7E89" w:rsidRDefault="002A7E89" w:rsidP="002A7E89">
      <w:pPr>
        <w:spacing w:line="360" w:lineRule="auto"/>
        <w:rPr>
          <w:rFonts w:eastAsiaTheme="minorEastAsia"/>
          <w:b/>
          <w:bCs/>
          <w:color w:val="000000" w:themeColor="text1"/>
          <w:shd w:val="clear" w:color="auto" w:fill="FFFFFF"/>
        </w:rPr>
      </w:pPr>
    </w:p>
    <w:p w14:paraId="26E0B630" w14:textId="030D8E81" w:rsidR="002A7E89" w:rsidRPr="00AF61C0" w:rsidRDefault="002A7E89" w:rsidP="002A7E89">
      <w:pPr>
        <w:spacing w:line="360" w:lineRule="auto"/>
        <w:rPr>
          <w:rFonts w:eastAsiaTheme="minorEastAsia"/>
          <w:b/>
          <w:bCs/>
          <w:color w:val="000000" w:themeColor="text1"/>
          <w:shd w:val="clear" w:color="auto" w:fill="FFFFFF"/>
          <w:vertAlign w:val="superscript"/>
        </w:rPr>
      </w:pPr>
      <w:r w:rsidRPr="00AF61C0">
        <w:rPr>
          <w:b/>
          <w:bCs/>
          <w:color w:val="000000" w:themeColor="text1"/>
          <w:shd w:val="clear" w:color="auto" w:fill="FFFFFF"/>
        </w:rPr>
        <w:t>Yugo Watanabe*</w:t>
      </w:r>
      <w:r w:rsidRPr="00AF61C0">
        <w:rPr>
          <w:b/>
          <w:bCs/>
          <w:color w:val="000000" w:themeColor="text1"/>
          <w:shd w:val="clear" w:color="auto" w:fill="FFFFFF"/>
          <w:vertAlign w:val="superscript"/>
        </w:rPr>
        <w:t>1,2</w:t>
      </w:r>
      <w:r w:rsidRPr="00AF61C0">
        <w:rPr>
          <w:b/>
          <w:bCs/>
          <w:color w:val="000000" w:themeColor="text1"/>
          <w:shd w:val="clear" w:color="auto" w:fill="FFFFFF"/>
        </w:rPr>
        <w:t>, Kelly A</w:t>
      </w:r>
      <w:r w:rsidRPr="00AF61C0">
        <w:rPr>
          <w:rFonts w:eastAsiaTheme="minorEastAsia" w:hint="eastAsia"/>
          <w:b/>
          <w:bCs/>
          <w:color w:val="000000" w:themeColor="text1"/>
          <w:shd w:val="clear" w:color="auto" w:fill="FFFFFF"/>
        </w:rPr>
        <w:t>.</w:t>
      </w:r>
      <w:r w:rsidRPr="00AF61C0">
        <w:rPr>
          <w:b/>
          <w:bCs/>
          <w:color w:val="000000" w:themeColor="text1"/>
          <w:shd w:val="clear" w:color="auto" w:fill="FFFFFF"/>
        </w:rPr>
        <w:t xml:space="preserve"> Glendining</w:t>
      </w:r>
      <w:r w:rsidRPr="00AF61C0">
        <w:rPr>
          <w:b/>
          <w:bCs/>
          <w:color w:val="000000" w:themeColor="text1"/>
          <w:shd w:val="clear" w:color="auto" w:fill="FFFFFF"/>
          <w:vertAlign w:val="superscript"/>
        </w:rPr>
        <w:t>3</w:t>
      </w:r>
      <w:r w:rsidRPr="00AF61C0">
        <w:rPr>
          <w:b/>
          <w:bCs/>
          <w:color w:val="000000" w:themeColor="text1"/>
          <w:shd w:val="clear" w:color="auto" w:fill="FFFFFF"/>
        </w:rPr>
        <w:t>, Lorryn Fisher</w:t>
      </w:r>
      <w:r w:rsidRPr="00AF61C0">
        <w:rPr>
          <w:b/>
          <w:bCs/>
          <w:color w:val="000000" w:themeColor="text1"/>
          <w:shd w:val="clear" w:color="auto" w:fill="FFFFFF"/>
          <w:vertAlign w:val="superscript"/>
        </w:rPr>
        <w:t>1</w:t>
      </w:r>
      <w:r w:rsidRPr="00AF61C0">
        <w:rPr>
          <w:b/>
          <w:bCs/>
          <w:color w:val="000000" w:themeColor="text1"/>
          <w:shd w:val="clear" w:color="auto" w:fill="FFFFFF"/>
        </w:rPr>
        <w:t>, Rebecca E. Campbell</w:t>
      </w:r>
      <w:r w:rsidRPr="00AF61C0">
        <w:rPr>
          <w:b/>
          <w:bCs/>
          <w:color w:val="000000" w:themeColor="text1"/>
          <w:shd w:val="clear" w:color="auto" w:fill="FFFFFF"/>
          <w:vertAlign w:val="superscript"/>
        </w:rPr>
        <w:t>3</w:t>
      </w:r>
      <w:r w:rsidRPr="00AF61C0">
        <w:rPr>
          <w:b/>
          <w:bCs/>
          <w:color w:val="000000" w:themeColor="text1"/>
          <w:shd w:val="clear" w:color="auto" w:fill="FFFFFF"/>
        </w:rPr>
        <w:t>, Christine L. Jasoni</w:t>
      </w:r>
      <w:r w:rsidRPr="00AF61C0">
        <w:rPr>
          <w:b/>
          <w:bCs/>
          <w:color w:val="000000" w:themeColor="text1"/>
          <w:shd w:val="clear" w:color="auto" w:fill="FFFFFF"/>
          <w:vertAlign w:val="superscript"/>
        </w:rPr>
        <w:t>1,4</w:t>
      </w:r>
    </w:p>
    <w:p w14:paraId="15BA0C82" w14:textId="77777777" w:rsidR="002A7E89" w:rsidRPr="00AF61C0" w:rsidRDefault="002A7E89" w:rsidP="002A7E89">
      <w:pPr>
        <w:spacing w:line="360" w:lineRule="auto"/>
        <w:rPr>
          <w:rFonts w:eastAsiaTheme="minorEastAsia"/>
          <w:b/>
          <w:bCs/>
          <w:color w:val="000000" w:themeColor="text1"/>
          <w:shd w:val="clear" w:color="auto" w:fill="FFFFFF"/>
          <w:vertAlign w:val="superscript"/>
        </w:rPr>
      </w:pPr>
    </w:p>
    <w:p w14:paraId="1D7E8C21" w14:textId="77777777" w:rsidR="002A7E89" w:rsidRPr="00AF61C0" w:rsidRDefault="002A7E89" w:rsidP="002A7E89">
      <w:pPr>
        <w:spacing w:line="360" w:lineRule="auto"/>
        <w:rPr>
          <w:rFonts w:ascii="Calibri" w:hAnsi="Calibri" w:cs="Calibri"/>
          <w:color w:val="000000" w:themeColor="text1"/>
        </w:rPr>
      </w:pPr>
      <w:r w:rsidRPr="00AF61C0">
        <w:rPr>
          <w:color w:val="000000" w:themeColor="text1"/>
          <w:vertAlign w:val="superscript"/>
        </w:rPr>
        <w:t>1</w:t>
      </w:r>
      <w:r w:rsidRPr="00AF61C0">
        <w:rPr>
          <w:color w:val="000000" w:themeColor="text1"/>
        </w:rPr>
        <w:t>Centre for Neuroendocrinology, Department of Anatomy, University of Otago, School of Biomedical Sciences, Dunedin, New Zealand</w:t>
      </w:r>
    </w:p>
    <w:p w14:paraId="1AD28A9C" w14:textId="77777777" w:rsidR="002A7E89" w:rsidRPr="00AF61C0" w:rsidRDefault="002A7E89" w:rsidP="002A7E89">
      <w:pPr>
        <w:spacing w:line="360" w:lineRule="auto"/>
        <w:rPr>
          <w:b/>
          <w:bCs/>
          <w:color w:val="000000" w:themeColor="text1"/>
          <w:shd w:val="clear" w:color="auto" w:fill="FFFFFF"/>
        </w:rPr>
      </w:pPr>
      <w:r w:rsidRPr="00AF61C0">
        <w:rPr>
          <w:color w:val="000000" w:themeColor="text1"/>
          <w:vertAlign w:val="superscript"/>
        </w:rPr>
        <w:t>2</w:t>
      </w:r>
      <w:r w:rsidRPr="00AF61C0">
        <w:rPr>
          <w:color w:val="000000" w:themeColor="text1"/>
        </w:rPr>
        <w:t xml:space="preserve">Department of Biochemistry, School of Medicine, Asahikawa Medical University, Asahikawa, Japan </w:t>
      </w:r>
    </w:p>
    <w:p w14:paraId="1A1C3421" w14:textId="77777777" w:rsidR="002A7E89" w:rsidRPr="00AF61C0" w:rsidRDefault="002A7E89" w:rsidP="002A7E89">
      <w:pPr>
        <w:spacing w:line="360" w:lineRule="auto"/>
        <w:rPr>
          <w:color w:val="000000" w:themeColor="text1"/>
        </w:rPr>
      </w:pPr>
      <w:r w:rsidRPr="00AF61C0">
        <w:rPr>
          <w:color w:val="000000" w:themeColor="text1"/>
          <w:vertAlign w:val="superscript"/>
        </w:rPr>
        <w:t>3</w:t>
      </w:r>
      <w:r w:rsidRPr="00AF61C0">
        <w:rPr>
          <w:color w:val="000000" w:themeColor="text1"/>
        </w:rPr>
        <w:t>Centre for Neuroendocrinology, Department of Physiology, University of Otago, School of Biomedical Sciences, Dunedin, New Zealand</w:t>
      </w:r>
    </w:p>
    <w:p w14:paraId="470884F8" w14:textId="77777777" w:rsidR="002A7E89" w:rsidRPr="00AF61C0" w:rsidRDefault="002A7E89" w:rsidP="002A7E89">
      <w:pPr>
        <w:spacing w:line="360" w:lineRule="auto"/>
        <w:rPr>
          <w:color w:val="000000" w:themeColor="text1"/>
        </w:rPr>
      </w:pPr>
      <w:r w:rsidRPr="00AF61C0">
        <w:rPr>
          <w:color w:val="000000" w:themeColor="text1"/>
          <w:vertAlign w:val="superscript"/>
        </w:rPr>
        <w:t>4</w:t>
      </w:r>
      <w:r w:rsidRPr="00AF61C0">
        <w:rPr>
          <w:color w:val="000000" w:themeColor="text1"/>
        </w:rPr>
        <w:t>Faculty of Agriculture and Life Sciences, Lincoln University, Lincoln, New Zealand</w:t>
      </w:r>
    </w:p>
    <w:p w14:paraId="2CE1F3AA" w14:textId="77777777" w:rsidR="002A7E89" w:rsidRPr="00AF61C0" w:rsidRDefault="002A7E89" w:rsidP="002A7E89">
      <w:pPr>
        <w:spacing w:line="360" w:lineRule="auto"/>
        <w:rPr>
          <w:rFonts w:eastAsiaTheme="minorEastAsia"/>
          <w:color w:val="000000" w:themeColor="text1"/>
        </w:rPr>
      </w:pPr>
    </w:p>
    <w:p w14:paraId="02E5B132" w14:textId="77777777" w:rsidR="002A7E89" w:rsidRDefault="002A7E89" w:rsidP="002A7E89">
      <w:pPr>
        <w:spacing w:line="360" w:lineRule="auto"/>
        <w:rPr>
          <w:rFonts w:eastAsiaTheme="minorEastAsia"/>
          <w:b/>
          <w:color w:val="000000" w:themeColor="text1"/>
        </w:rPr>
      </w:pPr>
      <w:r w:rsidRPr="00AF61C0">
        <w:rPr>
          <w:rFonts w:eastAsia="ＭＳ 明朝"/>
          <w:b/>
          <w:color w:val="000000" w:themeColor="text1"/>
          <w:lang w:eastAsia="en-US"/>
        </w:rPr>
        <w:t>* Correspondence:</w:t>
      </w:r>
      <w:r w:rsidRPr="00AF61C0">
        <w:rPr>
          <w:b/>
          <w:color w:val="000000" w:themeColor="text1"/>
        </w:rPr>
        <w:t xml:space="preserve"> </w:t>
      </w:r>
    </w:p>
    <w:p w14:paraId="3B495888" w14:textId="69587DF9" w:rsidR="002A7E89" w:rsidRPr="002A7E89" w:rsidRDefault="002A7E89" w:rsidP="002A7E89">
      <w:pPr>
        <w:spacing w:line="360" w:lineRule="auto"/>
        <w:rPr>
          <w:rFonts w:eastAsiaTheme="minorEastAsia"/>
          <w:bCs/>
          <w:color w:val="000000" w:themeColor="text1"/>
          <w:shd w:val="clear" w:color="auto" w:fill="FFFFFF"/>
        </w:rPr>
      </w:pPr>
      <w:r w:rsidRPr="00AF61C0">
        <w:rPr>
          <w:color w:val="000000" w:themeColor="text1"/>
        </w:rPr>
        <w:t>Yugo Watanabe</w:t>
      </w:r>
      <w:r w:rsidRPr="00AF61C0">
        <w:rPr>
          <w:color w:val="000000" w:themeColor="text1"/>
        </w:rPr>
        <w:br/>
      </w:r>
      <w:hyperlink r:id="rId6" w:history="1">
        <w:r w:rsidRPr="00AF61C0">
          <w:rPr>
            <w:rStyle w:val="aa"/>
            <w:rFonts w:eastAsiaTheme="majorEastAsia"/>
            <w:bCs/>
            <w:shd w:val="clear" w:color="auto" w:fill="FFFFFF"/>
          </w:rPr>
          <w:t>yugo</w:t>
        </w:r>
        <w:r w:rsidRPr="00AF61C0">
          <w:rPr>
            <w:rStyle w:val="aa"/>
            <w:rFonts w:eastAsiaTheme="minorEastAsia"/>
            <w:bCs/>
            <w:shd w:val="clear" w:color="auto" w:fill="FFFFFF"/>
          </w:rPr>
          <w:t>_</w:t>
        </w:r>
        <w:r w:rsidRPr="00AF61C0">
          <w:rPr>
            <w:rStyle w:val="aa"/>
            <w:rFonts w:eastAsiaTheme="majorEastAsia"/>
            <w:bCs/>
            <w:shd w:val="clear" w:color="auto" w:fill="FFFFFF"/>
          </w:rPr>
          <w:t>watanabe</w:t>
        </w:r>
      </w:hyperlink>
      <w:r w:rsidRPr="00AF61C0">
        <w:rPr>
          <w:rStyle w:val="aa"/>
          <w:rFonts w:eastAsiaTheme="minorEastAsia"/>
          <w:bCs/>
          <w:shd w:val="clear" w:color="auto" w:fill="FFFFFF"/>
        </w:rPr>
        <w:t>@asahikawa-med.ac.jp</w:t>
      </w:r>
    </w:p>
    <w:p w14:paraId="5B4759EC" w14:textId="77777777" w:rsidR="002A7E89" w:rsidRDefault="002A7E89" w:rsidP="002A7E89">
      <w:pPr>
        <w:spacing w:line="480" w:lineRule="auto"/>
        <w:rPr>
          <w:rFonts w:eastAsiaTheme="minorEastAsia"/>
          <w:b/>
          <w:bCs/>
          <w:color w:val="000000" w:themeColor="text1"/>
        </w:rPr>
      </w:pPr>
    </w:p>
    <w:p w14:paraId="63A74845" w14:textId="77777777" w:rsidR="002A7E89" w:rsidRDefault="002A7E89" w:rsidP="002A7E89">
      <w:pPr>
        <w:spacing w:line="480" w:lineRule="auto"/>
        <w:rPr>
          <w:rFonts w:eastAsiaTheme="minorEastAsia"/>
          <w:b/>
          <w:bCs/>
          <w:color w:val="000000" w:themeColor="text1"/>
        </w:rPr>
      </w:pPr>
    </w:p>
    <w:p w14:paraId="5C43D68B" w14:textId="77777777" w:rsidR="002A7E89" w:rsidRDefault="002A7E89" w:rsidP="002A7E89">
      <w:pPr>
        <w:spacing w:line="480" w:lineRule="auto"/>
        <w:rPr>
          <w:rFonts w:eastAsiaTheme="minorEastAsia"/>
          <w:b/>
          <w:bCs/>
          <w:color w:val="000000" w:themeColor="text1"/>
        </w:rPr>
      </w:pPr>
    </w:p>
    <w:p w14:paraId="18C46A10" w14:textId="0376CA0A" w:rsidR="002A7E89" w:rsidRDefault="002A7E89" w:rsidP="00844B22">
      <w:pPr>
        <w:spacing w:line="480" w:lineRule="auto"/>
        <w:rPr>
          <w:rFonts w:eastAsiaTheme="minorEastAsia"/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Supplemental data</w:t>
      </w:r>
      <w:r>
        <w:rPr>
          <w:rFonts w:eastAsiaTheme="minorEastAsia"/>
          <w:b/>
          <w:noProof/>
          <w:color w:val="000000" w:themeColor="text1"/>
        </w:rPr>
        <w:drawing>
          <wp:inline distT="0" distB="0" distL="0" distR="0" wp14:anchorId="7065042D" wp14:editId="2DB16BA1">
            <wp:extent cx="4953000" cy="4953000"/>
            <wp:effectExtent l="0" t="0" r="0" b="0"/>
            <wp:docPr id="2136283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40D4E" w14:textId="3856F0AA" w:rsidR="00BF4A82" w:rsidRPr="002A7E89" w:rsidRDefault="002A7E89" w:rsidP="002A7E89">
      <w:pPr>
        <w:spacing w:line="480" w:lineRule="auto"/>
        <w:jc w:val="both"/>
        <w:rPr>
          <w:rFonts w:eastAsiaTheme="minorEastAsia"/>
          <w:color w:val="000000" w:themeColor="text1"/>
        </w:rPr>
      </w:pPr>
      <w:r>
        <w:rPr>
          <w:b/>
          <w:bCs/>
          <w:color w:val="000000" w:themeColor="text1"/>
        </w:rPr>
        <w:t>Fig</w:t>
      </w:r>
      <w:r>
        <w:rPr>
          <w:rFonts w:eastAsiaTheme="minorEastAsia"/>
          <w:b/>
          <w:bCs/>
          <w:color w:val="000000" w:themeColor="text1"/>
        </w:rPr>
        <w:t>.</w:t>
      </w:r>
      <w:r>
        <w:rPr>
          <w:b/>
          <w:bCs/>
          <w:color w:val="000000" w:themeColor="text1"/>
        </w:rPr>
        <w:t xml:space="preserve"> S1</w:t>
      </w:r>
      <w:r>
        <w:rPr>
          <w:color w:val="000000" w:themeColor="text1"/>
        </w:rPr>
        <w:t xml:space="preserve">. </w:t>
      </w:r>
      <w:proofErr w:type="spellStart"/>
      <w:r>
        <w:rPr>
          <w:color w:val="000000" w:themeColor="text1"/>
        </w:rPr>
        <w:t>ChIP</w:t>
      </w:r>
      <w:proofErr w:type="spellEnd"/>
      <w:r>
        <w:rPr>
          <w:color w:val="000000" w:themeColor="text1"/>
        </w:rPr>
        <w:t>-qPCR analysis of H3K9me3, H3K27ac or SP1 binding in the ARC of adult or GD18.5 VEH or PNA mice targeting intergenic regions as negative controls. Bar graphs show enrichment of (</w:t>
      </w:r>
      <w:r>
        <w:rPr>
          <w:rFonts w:eastAsiaTheme="minorEastAsia"/>
          <w:color w:val="000000" w:themeColor="text1"/>
        </w:rPr>
        <w:t>a</w:t>
      </w:r>
      <w:r>
        <w:rPr>
          <w:color w:val="000000" w:themeColor="text1"/>
        </w:rPr>
        <w:t>) H3K9me3 and IgG in the adult ARC, (</w:t>
      </w:r>
      <w:r>
        <w:rPr>
          <w:rFonts w:eastAsiaTheme="minorEastAsia"/>
          <w:color w:val="000000" w:themeColor="text1"/>
        </w:rPr>
        <w:t>b</w:t>
      </w:r>
      <w:r>
        <w:rPr>
          <w:color w:val="000000" w:themeColor="text1"/>
        </w:rPr>
        <w:t>) H3K27ac and IgG in the adult ARC, (</w:t>
      </w:r>
      <w:r>
        <w:rPr>
          <w:rFonts w:eastAsiaTheme="minorEastAsia"/>
          <w:color w:val="000000" w:themeColor="text1"/>
        </w:rPr>
        <w:t>c</w:t>
      </w:r>
      <w:r>
        <w:rPr>
          <w:color w:val="000000" w:themeColor="text1"/>
        </w:rPr>
        <w:t>) SP1 and IgG in the adult ARC, (</w:t>
      </w:r>
      <w:r>
        <w:rPr>
          <w:rFonts w:eastAsiaTheme="minorEastAsia"/>
          <w:color w:val="000000" w:themeColor="text1"/>
        </w:rPr>
        <w:t>d</w:t>
      </w:r>
      <w:r>
        <w:rPr>
          <w:color w:val="000000" w:themeColor="text1"/>
        </w:rPr>
        <w:t xml:space="preserve">) H3K9me3 and IgG in the GD18.5 ARC in the selected intergenic regions. </w:t>
      </w:r>
      <w:r>
        <w:rPr>
          <w:bCs/>
          <w:color w:val="000000" w:themeColor="text1"/>
          <w:shd w:val="clear" w:color="auto" w:fill="FFFFFF"/>
        </w:rPr>
        <w:t>Data shown are means ± SEM (n=5-8).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  <w:shd w:val="clear" w:color="auto" w:fill="FFFFFF"/>
        </w:rPr>
        <w:t xml:space="preserve">Abbreviation: </w:t>
      </w:r>
      <w:proofErr w:type="spellStart"/>
      <w:r>
        <w:rPr>
          <w:bCs/>
          <w:color w:val="000000" w:themeColor="text1"/>
          <w:shd w:val="clear" w:color="auto" w:fill="FFFFFF"/>
        </w:rPr>
        <w:t>IntReg</w:t>
      </w:r>
      <w:proofErr w:type="spellEnd"/>
      <w:r>
        <w:rPr>
          <w:bCs/>
          <w:color w:val="000000" w:themeColor="text1"/>
          <w:shd w:val="clear" w:color="auto" w:fill="FFFFFF"/>
        </w:rPr>
        <w:t>, intergenic region.</w:t>
      </w:r>
    </w:p>
    <w:sectPr w:rsidR="00BF4A82" w:rsidRPr="002A7E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9F0A3" w14:textId="77777777" w:rsidR="00F74EA0" w:rsidRDefault="00F74EA0" w:rsidP="00873C36">
      <w:r>
        <w:separator/>
      </w:r>
    </w:p>
  </w:endnote>
  <w:endnote w:type="continuationSeparator" w:id="0">
    <w:p w14:paraId="091EDD3A" w14:textId="77777777" w:rsidR="00F74EA0" w:rsidRDefault="00F74EA0" w:rsidP="0087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81C8" w14:textId="77777777" w:rsidR="00F74EA0" w:rsidRDefault="00F74EA0" w:rsidP="00873C36">
      <w:r>
        <w:separator/>
      </w:r>
    </w:p>
  </w:footnote>
  <w:footnote w:type="continuationSeparator" w:id="0">
    <w:p w14:paraId="36330A3D" w14:textId="77777777" w:rsidR="00F74EA0" w:rsidRDefault="00F74EA0" w:rsidP="00873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89"/>
    <w:rsid w:val="002A6ECF"/>
    <w:rsid w:val="002A7E89"/>
    <w:rsid w:val="003725AB"/>
    <w:rsid w:val="00844B22"/>
    <w:rsid w:val="00873C36"/>
    <w:rsid w:val="009404C4"/>
    <w:rsid w:val="00A60B64"/>
    <w:rsid w:val="00BF4A82"/>
    <w:rsid w:val="00EA3D66"/>
    <w:rsid w:val="00F7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DF9C2"/>
  <w15:chartTrackingRefBased/>
  <w15:docId w15:val="{04934BEC-CEFB-4BF0-B78D-91FE1355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E8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7E89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E89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E89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E89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E89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E89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E89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E89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E89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7E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7E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7E8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A7E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7E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7E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7E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7E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7E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7E89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A7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E89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A7E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7E89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A7E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7E89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2A7E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7E8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A7E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7E8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A7E89"/>
    <w:rPr>
      <w:color w:val="467886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73C3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73C3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873C3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73C3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go.watanabe@otago.ac.n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渡辺裕伍</dc:creator>
  <cp:keywords/>
  <dc:description/>
  <cp:lastModifiedBy>渡辺裕伍</cp:lastModifiedBy>
  <cp:revision>3</cp:revision>
  <dcterms:created xsi:type="dcterms:W3CDTF">2025-11-13T05:19:00Z</dcterms:created>
  <dcterms:modified xsi:type="dcterms:W3CDTF">2025-11-20T08:38:00Z</dcterms:modified>
</cp:coreProperties>
</file>