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7A6C6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 xml:space="preserve">Supplemental Figure S1. </w:t>
      </w: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ab/>
        <w:t>Direct comparison of percent change</w:t>
      </w:r>
      <w:bookmarkStart w:id="0" w:name="_GoBack"/>
      <w:bookmarkEnd w:id="0"/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 xml:space="preserve"> in coronal angle by rod material over ≥24 months</w:t>
      </w:r>
    </w:p>
    <w:p w14:paraId="7B85A696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D4DC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87D8C79" wp14:editId="3382FF5C">
            <wp:extent cx="5942429" cy="1087966"/>
            <wp:effectExtent l="0" t="0" r="127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556" cy="109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4C339" w14:textId="77777777" w:rsidR="00E85EFC" w:rsidRPr="00CD4DCF" w:rsidRDefault="00E85EFC" w:rsidP="00E85EFC">
      <w:pPr>
        <w:spacing w:after="0" w:line="48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3BD24FED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S2. Indirect comparison of percent change in coronal Cobb angle by rod material</w:t>
      </w:r>
    </w:p>
    <w:p w14:paraId="0E51185C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D4DC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38B3A7F" wp14:editId="4F4FFE51">
            <wp:extent cx="5942748" cy="6134100"/>
            <wp:effectExtent l="0" t="0" r="1270" b="0"/>
            <wp:docPr id="3" name="Picture 3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437" cy="6144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02C0E" w14:textId="77777777" w:rsidR="00E85EFC" w:rsidRPr="00CD4DCF" w:rsidRDefault="00E85EFC" w:rsidP="00E85EFC">
      <w:pPr>
        <w:spacing w:after="0" w:line="480" w:lineRule="auto"/>
        <w:ind w:firstLine="720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6546FC7C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szCs w:val="20"/>
          <w:shd w:val="clear" w:color="auto" w:fill="FFFFFF"/>
        </w:rPr>
        <w:br w:type="page"/>
      </w:r>
    </w:p>
    <w:p w14:paraId="6F51145C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S3. Direct comparison of proximal junctional kyphosis by rod material</w:t>
      </w:r>
    </w:p>
    <w:p w14:paraId="1486FC2B" w14:textId="77777777" w:rsidR="00E85EFC" w:rsidRPr="00CD4DCF" w:rsidRDefault="00E85EFC" w:rsidP="00E85EF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D4DC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ADC3DA5" wp14:editId="7E35C312">
            <wp:extent cx="5943600" cy="1276350"/>
            <wp:effectExtent l="0" t="0" r="0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4C315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szCs w:val="20"/>
          <w:shd w:val="clear" w:color="auto" w:fill="FFFFFF"/>
        </w:rPr>
        <w:br w:type="page"/>
      </w:r>
    </w:p>
    <w:p w14:paraId="153CBEB8" w14:textId="77777777" w:rsidR="00E85EFC" w:rsidRPr="00CD4DCF" w:rsidRDefault="00E85EFC" w:rsidP="00E85EFC">
      <w:pPr>
        <w:pStyle w:val="Heading1"/>
        <w:spacing w:before="0" w:after="240" w:line="480" w:lineRule="auto"/>
        <w:ind w:right="-270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S4. Indirect comparison of proximal junction kyphosis by rod material</w:t>
      </w:r>
      <w:r w:rsidRPr="00CD4DCF">
        <w:rPr>
          <w:rFonts w:ascii="Times New Roman" w:hAnsi="Times New Roman" w:cs="Times New Roman"/>
        </w:rPr>
        <w:t xml:space="preserve">. </w:t>
      </w: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6F898B76" wp14:editId="0AB82CE0">
            <wp:extent cx="6134102" cy="2846765"/>
            <wp:effectExtent l="0" t="0" r="0" b="0"/>
            <wp:docPr id="1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2" cy="284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5443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3B4669C1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S5. Indirect comparison of revision surgery by rod material</w:t>
      </w:r>
    </w:p>
    <w:p w14:paraId="1753DBAB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569E3C5B" wp14:editId="0F7E44A1">
            <wp:extent cx="5943486" cy="3546389"/>
            <wp:effectExtent l="0" t="0" r="635" b="0"/>
            <wp:docPr id="1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486" cy="354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EFEB3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4B1DC8C2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S6. Indirect comparison of reoperation by rod material</w:t>
      </w:r>
    </w:p>
    <w:p w14:paraId="50AB8900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7A1B9898" wp14:editId="0FBA03B2">
            <wp:extent cx="5942662" cy="3545898"/>
            <wp:effectExtent l="0" t="0" r="1270" b="0"/>
            <wp:docPr id="20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662" cy="354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3ACA0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0AF257FC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S7. Indirect comparison of infection by rod material</w:t>
      </w:r>
    </w:p>
    <w:p w14:paraId="0E261A91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6E2C7C88" wp14:editId="3BB26870">
            <wp:extent cx="5314950" cy="3771900"/>
            <wp:effectExtent l="0" t="0" r="0" b="0"/>
            <wp:docPr id="21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5F31B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38DC491F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S8. Indirect comparison of kyphosis angle correction by rod diameter</w:t>
      </w:r>
    </w:p>
    <w:p w14:paraId="75EDFCD4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D4DC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65D746B" wp14:editId="0A47FDA6">
            <wp:extent cx="5943600" cy="3088640"/>
            <wp:effectExtent l="0" t="0" r="0" b="0"/>
            <wp:docPr id="22" name="Picture 2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957A9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6F74D7F7" w14:textId="77777777" w:rsidR="00E85EFC" w:rsidRPr="00CD4DCF" w:rsidRDefault="00E85EFC" w:rsidP="00E85EFC">
      <w:pPr>
        <w:pStyle w:val="Heading1"/>
        <w:spacing w:before="0" w:after="240" w:line="480" w:lineRule="auto"/>
        <w:ind w:left="2520" w:right="-270" w:hanging="252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lastRenderedPageBreak/>
        <w:t>Supplemental Figure S9. Indirect comparison of percent change in coronal Cobb angle by rod diameter</w:t>
      </w:r>
    </w:p>
    <w:p w14:paraId="708E1C4F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A7571" wp14:editId="05D82302">
                <wp:simplePos x="0" y="0"/>
                <wp:positionH relativeFrom="column">
                  <wp:posOffset>3691255</wp:posOffset>
                </wp:positionH>
                <wp:positionV relativeFrom="paragraph">
                  <wp:posOffset>5209963</wp:posOffset>
                </wp:positionV>
                <wp:extent cx="1807633" cy="127000"/>
                <wp:effectExtent l="0" t="0" r="2159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33" cy="127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A997A3" id="Rectangle 1" o:spid="_x0000_s1026" style="position:absolute;margin-left:290.65pt;margin-top:410.25pt;width:142.3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" fillcolor="white [3212]" strokecolor="white [3212]" strokeweight="1pt"/>
            </w:pict>
          </mc:Fallback>
        </mc:AlternateContent>
      </w: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4FC3A49F" wp14:editId="1F8F37A3">
            <wp:extent cx="5943600" cy="5370216"/>
            <wp:effectExtent l="0" t="0" r="0" b="1905"/>
            <wp:docPr id="2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7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0ED06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4DF1CF6D" w14:textId="77777777" w:rsidR="00E85EFC" w:rsidRPr="00CD4DCF" w:rsidRDefault="00E85EFC" w:rsidP="00E85EFC">
      <w:pPr>
        <w:pStyle w:val="Heading1"/>
        <w:spacing w:before="0" w:after="240" w:line="480" w:lineRule="auto"/>
        <w:ind w:left="2430" w:right="-270" w:hanging="243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 xml:space="preserve">Supplemental Figure S10. Direct comparison of coronal angle correction by rod diameter </w:t>
      </w:r>
    </w:p>
    <w:p w14:paraId="50AF770B" w14:textId="77777777" w:rsidR="00E85EFC" w:rsidRPr="00CD4DCF" w:rsidRDefault="00E85EFC" w:rsidP="00E85EFC">
      <w:pPr>
        <w:pStyle w:val="Caption"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</w:rPr>
        <w:t>≥6 to 12 months</w:t>
      </w:r>
    </w:p>
    <w:p w14:paraId="7676B0CB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D4DC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45633D1" wp14:editId="0A0EBD55">
            <wp:extent cx="5943600" cy="1101725"/>
            <wp:effectExtent l="0" t="0" r="0" b="3175"/>
            <wp:docPr id="23" name="Picture 2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946BE" w14:textId="77777777" w:rsidR="00E85EFC" w:rsidRPr="00CD4DCF" w:rsidRDefault="00E85EFC" w:rsidP="00E85EFC">
      <w:pPr>
        <w:pStyle w:val="Caption"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</w:rPr>
        <w:t>6 to 12 months</w:t>
      </w:r>
    </w:p>
    <w:p w14:paraId="5BCBCF8C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D4DC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28228A3" wp14:editId="065DEF5A">
            <wp:extent cx="5943600" cy="1181100"/>
            <wp:effectExtent l="0" t="0" r="0" b="0"/>
            <wp:docPr id="24" name="Picture 2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6169C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79FE35F6" w14:textId="77777777" w:rsidR="00E85EFC" w:rsidRPr="00CD4DCF" w:rsidRDefault="00E85EFC" w:rsidP="00E85EFC">
      <w:pPr>
        <w:pStyle w:val="Heading1"/>
        <w:spacing w:before="0" w:after="240" w:line="480" w:lineRule="auto"/>
        <w:ind w:left="2520" w:right="-270" w:hanging="252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Supplemental Figure S11. Indirect comparison of change in lumbar lordosis by rod diameter</w:t>
      </w:r>
    </w:p>
    <w:p w14:paraId="28690FA9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B4062B" wp14:editId="015D7B7D">
                <wp:simplePos x="0" y="0"/>
                <wp:positionH relativeFrom="column">
                  <wp:posOffset>3601932</wp:posOffset>
                </wp:positionH>
                <wp:positionV relativeFrom="paragraph">
                  <wp:posOffset>2374900</wp:posOffset>
                </wp:positionV>
                <wp:extent cx="1807633" cy="127000"/>
                <wp:effectExtent l="0" t="0" r="2159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33" cy="127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4896BE" id="Rectangle 8" o:spid="_x0000_s1026" style="position:absolute;margin-left:283.6pt;margin-top:187pt;width:142.35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" fillcolor="white [3212]" strokecolor="white [3212]" strokeweight="1pt"/>
            </w:pict>
          </mc:Fallback>
        </mc:AlternateContent>
      </w: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7A57120B" wp14:editId="795C3391">
            <wp:extent cx="5943600" cy="2536190"/>
            <wp:effectExtent l="0" t="0" r="0" b="0"/>
            <wp:docPr id="27" name="Picture 2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A9272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1C210744" w14:textId="77777777" w:rsidR="00E85EFC" w:rsidRPr="00CD4DCF" w:rsidRDefault="00E85EFC" w:rsidP="00E85EFC">
      <w:pPr>
        <w:pStyle w:val="Heading1"/>
        <w:spacing w:before="0" w:after="240" w:line="480" w:lineRule="auto"/>
        <w:ind w:left="2520" w:right="-270" w:hanging="252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Supplemental Figure S12. Indirect comparison of revision surgery by rod diameter</w:t>
      </w:r>
    </w:p>
    <w:p w14:paraId="3A208C1A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61334BEB" wp14:editId="07F45529">
            <wp:extent cx="5943600" cy="2428567"/>
            <wp:effectExtent l="0" t="0" r="0" b="0"/>
            <wp:docPr id="2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B9777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  <w:r w:rsidRPr="00CD4DCF">
        <w:rPr>
          <w:rFonts w:ascii="Times New Roman" w:hAnsi="Times New Roman" w:cs="Times New Roman"/>
        </w:rPr>
        <w:br w:type="page"/>
      </w:r>
    </w:p>
    <w:p w14:paraId="0ADE77CA" w14:textId="77777777" w:rsidR="00E85EFC" w:rsidRPr="00CD4DCF" w:rsidRDefault="00E85EFC" w:rsidP="00E85EFC">
      <w:pPr>
        <w:pStyle w:val="Heading1"/>
        <w:spacing w:before="0" w:after="240" w:line="480" w:lineRule="auto"/>
        <w:ind w:left="2520" w:right="-270" w:hanging="2520"/>
        <w:rPr>
          <w:rFonts w:ascii="Times New Roman" w:hAnsi="Times New Roman" w:cs="Times New Roman"/>
          <w:szCs w:val="20"/>
          <w:shd w:val="clear" w:color="auto" w:fill="FFFFFF"/>
        </w:rPr>
      </w:pPr>
      <w:r w:rsidRPr="00CD4DCF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Supplemental Figure S13. Indirect comparison of infection by rod diameter</w:t>
      </w:r>
    </w:p>
    <w:p w14:paraId="13A645C5" w14:textId="77777777" w:rsidR="00E85EFC" w:rsidRPr="00CD4DCF" w:rsidRDefault="00E85EFC" w:rsidP="00E85EFC">
      <w:pPr>
        <w:keepNext/>
        <w:spacing w:line="480" w:lineRule="auto"/>
        <w:rPr>
          <w:rFonts w:ascii="Times New Roman" w:hAnsi="Times New Roman" w:cs="Times New Roman"/>
        </w:rPr>
      </w:pPr>
      <w:r w:rsidRPr="00CD4DCF">
        <w:rPr>
          <w:rFonts w:ascii="Times New Roman" w:hAnsi="Times New Roman" w:cs="Times New Roman"/>
          <w:noProof/>
        </w:rPr>
        <w:drawing>
          <wp:inline distT="0" distB="0" distL="0" distR="0" wp14:anchorId="4373B0C1" wp14:editId="4850B20E">
            <wp:extent cx="5548808" cy="2983230"/>
            <wp:effectExtent l="0" t="0" r="0" b="7620"/>
            <wp:docPr id="29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808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F51AF" w14:textId="77777777" w:rsidR="00E85EFC" w:rsidRPr="00CD4DCF" w:rsidRDefault="00E85EFC" w:rsidP="00E85EFC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0"/>
          <w:szCs w:val="16"/>
        </w:rPr>
      </w:pPr>
    </w:p>
    <w:p w14:paraId="6EE68B48" w14:textId="77777777" w:rsidR="00873B32" w:rsidRPr="00CD4DCF" w:rsidRDefault="00CD4DCF">
      <w:pPr>
        <w:rPr>
          <w:rFonts w:ascii="Times New Roman" w:hAnsi="Times New Roman" w:cs="Times New Roman"/>
        </w:rPr>
      </w:pPr>
    </w:p>
    <w:sectPr w:rsidR="00873B32" w:rsidRPr="00CD4DCF" w:rsidSect="00CD4DCF">
      <w:footerReference w:type="default" r:id="rId27"/>
      <w:headerReference w:type="first" r:id="rId28"/>
      <w:footerReference w:type="first" r:id="rId29"/>
      <w:pgSz w:w="12240" w:h="15840"/>
      <w:pgMar w:top="144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283BB" w14:textId="77777777" w:rsidR="00000000" w:rsidRDefault="00CD4DCF">
      <w:pPr>
        <w:spacing w:after="0" w:line="240" w:lineRule="auto"/>
      </w:pPr>
      <w:r>
        <w:separator/>
      </w:r>
    </w:p>
  </w:endnote>
  <w:endnote w:type="continuationSeparator" w:id="0">
    <w:p w14:paraId="28970BFA" w14:textId="77777777" w:rsidR="00000000" w:rsidRDefault="00CD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CBAA09" w14:textId="77777777" w:rsidR="004135AA" w:rsidRDefault="00CD4D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600C4" w14:textId="77777777" w:rsidR="004135AA" w:rsidRDefault="00CD4D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45497" w14:textId="77777777" w:rsidR="00000000" w:rsidRDefault="00CD4DCF">
      <w:pPr>
        <w:spacing w:after="0" w:line="240" w:lineRule="auto"/>
      </w:pPr>
      <w:r>
        <w:separator/>
      </w:r>
    </w:p>
  </w:footnote>
  <w:footnote w:type="continuationSeparator" w:id="0">
    <w:p w14:paraId="6900CAD1" w14:textId="77777777" w:rsidR="00000000" w:rsidRDefault="00CD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831ED3" w14:textId="77777777" w:rsidR="004135AA" w:rsidRDefault="00CD4D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EFC"/>
    <w:rsid w:val="00547C68"/>
    <w:rsid w:val="00A50826"/>
    <w:rsid w:val="00CD4DCF"/>
    <w:rsid w:val="00E8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3477B"/>
  <w15:chartTrackingRefBased/>
  <w15:docId w15:val="{4E185602-4A06-4602-883E-ACC670DD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EFC"/>
  </w:style>
  <w:style w:type="paragraph" w:styleId="Heading1">
    <w:name w:val="heading 1"/>
    <w:basedOn w:val="Normal"/>
    <w:next w:val="Normal"/>
    <w:link w:val="Heading1Char"/>
    <w:uiPriority w:val="9"/>
    <w:qFormat/>
    <w:rsid w:val="00E85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E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nhideWhenUsed/>
    <w:rsid w:val="00E85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85EFC"/>
  </w:style>
  <w:style w:type="paragraph" w:styleId="Footer">
    <w:name w:val="footer"/>
    <w:basedOn w:val="Normal"/>
    <w:link w:val="FooterChar"/>
    <w:uiPriority w:val="99"/>
    <w:unhideWhenUsed/>
    <w:rsid w:val="00E85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EFC"/>
  </w:style>
  <w:style w:type="paragraph" w:styleId="Caption">
    <w:name w:val="caption"/>
    <w:basedOn w:val="Normal"/>
    <w:next w:val="Normal"/>
    <w:autoRedefine/>
    <w:uiPriority w:val="35"/>
    <w:unhideWhenUsed/>
    <w:qFormat/>
    <w:rsid w:val="00E85EFC"/>
    <w:pPr>
      <w:keepNext/>
      <w:tabs>
        <w:tab w:val="left" w:pos="2610"/>
      </w:tabs>
      <w:spacing w:before="240" w:after="120" w:line="240" w:lineRule="auto"/>
      <w:ind w:left="2610" w:right="-86" w:hanging="2610"/>
      <w:jc w:val="both"/>
    </w:pPr>
    <w:rPr>
      <w:rFonts w:ascii="Arial" w:eastAsia="Times New Roman" w:hAnsi="Arial" w:cs="Arial"/>
      <w:b/>
      <w:bCs/>
      <w:iCs/>
      <w:sz w:val="20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21.svg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image" Target="media/image7.sv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1.svg"/><Relationship Id="rId20" Type="http://schemas.openxmlformats.org/officeDocument/2006/relationships/image" Target="media/image10.png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9.sv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header" Target="header1.xml"/><Relationship Id="rId10" Type="http://schemas.openxmlformats.org/officeDocument/2006/relationships/image" Target="media/image5.svg"/><Relationship Id="rId19" Type="http://schemas.openxmlformats.org/officeDocument/2006/relationships/image" Target="media/image14.sv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svg"/><Relationship Id="rId22" Type="http://schemas.openxmlformats.org/officeDocument/2006/relationships/image" Target="media/image12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Edwards</dc:creator>
  <cp:keywords/>
  <dc:description/>
  <cp:lastModifiedBy>Chithra M.</cp:lastModifiedBy>
  <cp:revision>2</cp:revision>
  <dcterms:created xsi:type="dcterms:W3CDTF">2021-12-11T15:03:00Z</dcterms:created>
  <dcterms:modified xsi:type="dcterms:W3CDTF">2022-06-17T12:23:00Z</dcterms:modified>
</cp:coreProperties>
</file>