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rFonts w:ascii="Times New Roman" w:hAnsi="Times New Roman"/>
          <w:b/>
          <w:sz w:val="24"/>
        </w:rPr>
        <w:t>Supplementary Table S1. PROBAST Risk-of-Bias Assessment for Primary Prediction Model Studies</w:t>
      </w:r>
    </w:p>
    <w:tbl>
      <w:tblPr>
        <w:tblStyle w:val="TableGrid"/>
        <w:tblW w:type="auto" w:w="0"/>
        <w:jc w:val="center"/>
        <w:tblLook w:firstColumn="1" w:firstRow="1" w:lastColumn="0" w:lastRow="0" w:noHBand="0" w:noVBand="1" w:val="04A0"/>
      </w:tblPr>
      <w:tblGrid>
        <w:gridCol w:w="1701"/>
        <w:gridCol w:w="680"/>
        <w:gridCol w:w="1814"/>
        <w:gridCol w:w="2268"/>
        <w:gridCol w:w="1020"/>
        <w:gridCol w:w="1020"/>
        <w:gridCol w:w="1020"/>
        <w:gridCol w:w="1020"/>
        <w:gridCol w:w="1020"/>
      </w:tblGrid>
      <w:tr>
        <w:tc>
          <w:tcPr>
            <w:tcW w:type="dxa" w:w="1701"/>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Study [Ref]</w:t>
            </w:r>
          </w:p>
        </w:tc>
        <w:tc>
          <w:tcPr>
            <w:tcW w:type="dxa" w:w="680"/>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Year</w:t>
            </w:r>
          </w:p>
        </w:tc>
        <w:tc>
          <w:tcPr>
            <w:tcW w:type="dxa" w:w="1814"/>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Study Focus</w:t>
            </w:r>
          </w:p>
        </w:tc>
        <w:tc>
          <w:tcPr>
            <w:tcW w:type="dxa" w:w="2268"/>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Model Type</w:t>
            </w:r>
          </w:p>
        </w:tc>
        <w:tc>
          <w:tcPr>
            <w:tcW w:type="dxa" w:w="1020"/>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D1:</w:t>
              <w:br/>
              <w:t>Participants</w:t>
            </w:r>
          </w:p>
        </w:tc>
        <w:tc>
          <w:tcPr>
            <w:tcW w:type="dxa" w:w="1020"/>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D2:</w:t>
              <w:br/>
              <w:t>Predictors</w:t>
            </w:r>
          </w:p>
        </w:tc>
        <w:tc>
          <w:tcPr>
            <w:tcW w:type="dxa" w:w="1020"/>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D3:</w:t>
              <w:br/>
              <w:t>Outcome</w:t>
            </w:r>
          </w:p>
        </w:tc>
        <w:tc>
          <w:tcPr>
            <w:tcW w:type="dxa" w:w="1020"/>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D4:</w:t>
              <w:br/>
              <w:t>Analysis</w:t>
            </w:r>
          </w:p>
        </w:tc>
        <w:tc>
          <w:tcPr>
            <w:tcW w:type="dxa" w:w="1020"/>
            <w:shd w:fill="D9D9D9" w:val="clear"/>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sz w:val="20"/>
              </w:rPr>
              <w:t>Overall</w:t>
              <w:br/>
              <w:t>ROB</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Broda [1]</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2020</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Logistic regression</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Jadresic [2]</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2022</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External validation</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Zehnder [3]</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2021</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Logistic regression</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Ondeck [4]</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2018</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Index comparison</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Woldu [5]</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2023</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Index comparison</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Fatemi [8]</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2022</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External validation</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Khor [9]</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2018</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Logistic regression</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McGirt [10]</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2017</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Ordinal logistic regression</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Halicka [11]</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2023</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Logistic regression/RF</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Snavely [12]</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2021</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Logistic regression</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Chiew [15]</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2020</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General surgical</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ensemble</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Mahajan [20]</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2023</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General surgical</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Gradient boosting</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Bihorac [13]</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2019</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General surgical</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(MySurgeryRisk)</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Ren [14]</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2022</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General surgical</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(MySurgeryRisk)</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He [29]</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2025</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CKD</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ensemble</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Fahmy [30]</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2022</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Cardiac</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(RF/SVM)</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Xue [31]</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2021</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General surgical</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ensemble</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Liu [32]</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2025</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Rhabdomyolysis</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Multi-task ML</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Graessner [33]</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2023</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General perioperative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XGBoost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FFC7"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Zihni [34]</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2020</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Stroke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ML comparison</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Guo [26]</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2024</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XGBoost/SHAP</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Porche [27]</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2022</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Regression + NN</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FFC7CE" w:val="clear"/>
          </w:tcPr>
          <w:p>
            <w:pPr>
              <w:spacing w:before="20" w:after="20"/>
              <w:jc w:val="center"/>
            </w:pPr>
            <w:r/>
            <w:r>
              <w:rPr>
                <w:rFonts w:ascii="Times New Roman" w:hAnsi="Times New Roman" w:eastAsia="Times New Roman"/>
                <w:b w:val="0"/>
                <w:sz w:val="20"/>
              </w:rPr>
              <w:t>-</w:t>
            </w:r>
          </w:p>
        </w:tc>
      </w:tr>
      <w:tr>
        <w:tc>
          <w:tcPr>
            <w:tcW w:type="dxa" w:w="1701"/>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Li [28]</w:t>
            </w:r>
          </w:p>
        </w:tc>
        <w:tc>
          <w:tcPr>
            <w:tcW w:type="dxa" w:w="680"/>
            <w:tcBorders>
              <w:top w:val="single" w:sz="4" w:space="0" w:color="000000"/>
              <w:bottom w:val="single" w:sz="4" w:space="0" w:color="000000"/>
              <w:left w:val="single" w:sz="4" w:space="0" w:color="000000"/>
              <w:right w:val="single" w:sz="4" w:space="0" w:color="000000"/>
            </w:tcBorders>
          </w:tcPr>
          <w:p>
            <w:pPr>
              <w:spacing w:before="20" w:after="20"/>
              <w:jc w:val="left"/>
            </w:pPr>
            <w:r/>
            <w:r>
              <w:rPr>
                <w:rFonts w:ascii="Times New Roman" w:hAnsi="Times New Roman" w:eastAsia="Times New Roman"/>
                <w:b w:val="0"/>
                <w:sz w:val="20"/>
              </w:rPr>
              <w:t>2025</w:t>
            </w:r>
          </w:p>
        </w:tc>
        <w:tc>
          <w:tcPr>
            <w:tcW w:type="dxa" w:w="1814"/>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Spine</w:t>
            </w:r>
          </w:p>
        </w:tc>
        <w:tc>
          <w:tcPr>
            <w:tcW w:type="dxa" w:w="2268"/>
            <w:tcBorders>
              <w:top w:val="single" w:sz="4" w:space="0" w:color="000000"/>
              <w:bottom w:val="single" w:sz="4" w:space="0" w:color="000000"/>
              <w:left w:val="single" w:sz="4" w:space="0" w:color="000000"/>
              <w:right w:val="single" w:sz="4" w:space="0" w:color="000000"/>
            </w:tcBorders>
          </w:tcPr>
          <w:p>
            <w:pPr>
              <w:spacing w:before="20" w:after="20"/>
              <w:jc w:val="center"/>
            </w:pPr>
            <w:r/>
            <w:r>
              <w:rPr>
                <w:rFonts w:ascii="Times New Roman" w:hAnsi="Times New Roman" w:eastAsia="Times New Roman"/>
                <w:b w:val="0"/>
                <w:sz w:val="20"/>
              </w:rPr>
              <w:t>Random forest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c>
          <w:tcPr>
            <w:tcW w:type="dxa" w:w="1020"/>
            <w:tcBorders>
              <w:top w:val="single" w:sz="4" w:space="0" w:color="000000"/>
              <w:bottom w:val="single" w:sz="4" w:space="0" w:color="000000"/>
              <w:left w:val="single" w:sz="4" w:space="0" w:color="000000"/>
              <w:right w:val="single" w:sz="4" w:space="0" w:color="000000"/>
            </w:tcBorders>
            <w:shd w:fill="C6EFCE" w:val="clear"/>
          </w:tcPr>
          <w:p>
            <w:pPr>
              <w:spacing w:before="20" w:after="20"/>
              <w:jc w:val="center"/>
            </w:pPr>
            <w:r/>
            <w:r>
              <w:rPr>
                <w:rFonts w:ascii="Times New Roman" w:hAnsi="Times New Roman" w:eastAsia="Times New Roman"/>
                <w:b w:val="0"/>
                <w:sz w:val="20"/>
              </w:rPr>
              <w:t>+</w:t>
            </w:r>
          </w:p>
        </w:tc>
      </w:tr>
    </w:tbl>
    <w:p/>
    <w:p>
      <w:pPr>
        <w:spacing w:before="40" w:after="40"/>
      </w:pPr>
      <w:r>
        <w:rPr>
          <w:rFonts w:ascii="Times New Roman" w:hAnsi="Times New Roman"/>
          <w:sz w:val="18"/>
        </w:rPr>
        <w:t>PROBAST = Prediction model Risk Of Bias Assessment Tool; D1 = Domain 1 (Participants); D2 = Domain 2 (Predictors); D3 = Domain 3 (Outcome); D4 = Domain 4 (Analysis); ROB = Risk of Bias; ML = Machine Learning; RF = Random Forest; NN = Neural Network; SVM = Support Vector Machine; CKD = Chronic Kidney Disease.</w:t>
      </w:r>
    </w:p>
    <w:p>
      <w:pPr>
        <w:spacing w:before="40" w:after="40"/>
      </w:pPr>
      <w:r>
        <w:rPr>
          <w:rFonts w:ascii="Times New Roman" w:hAnsi="Times New Roman"/>
          <w:sz w:val="18"/>
        </w:rPr>
        <w:t>Ratings: + = Low risk of bias; − = High risk of bias; ? = Unclear risk of bias. Overall risk of bias is rated as High if any domain is High, Unclear if no domain is High but any is Unclear, and Low only if all domains are Low.</w:t>
      </w:r>
    </w:p>
    <w:p>
      <w:pPr>
        <w:spacing w:before="40" w:after="40"/>
      </w:pPr>
      <w:r>
        <w:rPr>
          <w:rFonts w:ascii="Times New Roman" w:hAnsi="Times New Roman"/>
          <w:sz w:val="18"/>
        </w:rPr>
        <w:t>PROBAST assessment was performed according to Wolff RF, Moons KGM, Riley RD, et al. PROBAST: A Tool to Assess the Risk of Bias and Applicability of Prediction Model Studies. Ann Intern Med. 2019;170(1):51-58.</w:t>
      </w:r>
    </w:p>
    <w:p>
      <w:pPr>
        <w:spacing w:before="40" w:after="40"/>
      </w:pPr>
      <w:r>
        <w:rPr>
          <w:rFonts w:ascii="Times New Roman" w:hAnsi="Times New Roman"/>
          <w:sz w:val="18"/>
        </w:rPr>
        <w:t>Note: Twenty-two references were not eligible for PROBAST assessment: systematic reviews and meta-analyses ([16], [23], [19], [43]); narrative and commentary reviews ([21], [25], [37], [40], [41], [42], [45]); methodology papers ([17], [18]); ethical, regulatory, and fairness analyses ([35], [36], [38], [39]); framework and commentary papers ([22], [24]); implementation and qualitative studies ([44], [46]); and reporting guidelines ([6]).</w:t>
      </w:r>
    </w:p>
    <w:sectPr w:rsidR="00FC693F" w:rsidRPr="0006063C" w:rsidSect="00034616">
      <w:pgSz w:w="12240" w:h="15840"/>
      <w:pgMar w:top="1134" w:right="850" w:bottom="113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