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7BC" w:rsidRPr="00E12FC4" w:rsidRDefault="00A227BC" w:rsidP="00A227BC">
      <w:pPr>
        <w:spacing w:after="0" w:line="360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E12FC4">
        <w:rPr>
          <w:rFonts w:ascii="Arial" w:hAnsi="Arial" w:cs="Arial"/>
          <w:b/>
          <w:bCs/>
          <w:sz w:val="36"/>
          <w:szCs w:val="36"/>
        </w:rPr>
        <w:t>Characterization of dopamine D</w:t>
      </w:r>
      <w:r w:rsidRPr="00E12FC4">
        <w:rPr>
          <w:rFonts w:ascii="Arial" w:hAnsi="Arial" w:cs="Arial"/>
          <w:b/>
          <w:bCs/>
          <w:sz w:val="36"/>
          <w:szCs w:val="36"/>
          <w:vertAlign w:val="subscript"/>
        </w:rPr>
        <w:t>2</w:t>
      </w:r>
      <w:r w:rsidRPr="00E12FC4">
        <w:rPr>
          <w:rFonts w:ascii="Arial" w:hAnsi="Arial" w:cs="Arial"/>
          <w:b/>
          <w:bCs/>
          <w:sz w:val="36"/>
          <w:szCs w:val="36"/>
        </w:rPr>
        <w:t xml:space="preserve"> receptor coupling to G-proteins in </w:t>
      </w:r>
      <w:r w:rsidRPr="00E12FC4">
        <w:rPr>
          <w:rFonts w:ascii="Arial" w:hAnsi="Arial" w:cs="Arial"/>
          <w:b/>
          <w:bCs/>
          <w:i/>
          <w:sz w:val="36"/>
          <w:szCs w:val="36"/>
        </w:rPr>
        <w:t>postmortem</w:t>
      </w:r>
      <w:r w:rsidRPr="00E12FC4">
        <w:rPr>
          <w:rFonts w:ascii="Arial" w:hAnsi="Arial" w:cs="Arial"/>
          <w:b/>
          <w:bCs/>
          <w:sz w:val="36"/>
          <w:szCs w:val="36"/>
        </w:rPr>
        <w:t xml:space="preserve"> brain of subjects with schizophrenia</w:t>
      </w:r>
    </w:p>
    <w:p w:rsidR="00A227BC" w:rsidRPr="00E12FC4" w:rsidRDefault="00A227BC" w:rsidP="00A227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227BC" w:rsidRPr="00E12FC4" w:rsidRDefault="00A227BC" w:rsidP="00A227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227BC" w:rsidRPr="00132199" w:rsidRDefault="00A227BC" w:rsidP="00A227BC">
      <w:pPr>
        <w:spacing w:after="0" w:line="360" w:lineRule="auto"/>
        <w:jc w:val="both"/>
        <w:rPr>
          <w:rFonts w:ascii="Arial" w:hAnsi="Arial" w:cs="Arial"/>
          <w:sz w:val="28"/>
          <w:szCs w:val="28"/>
          <w:lang w:val="es-ES"/>
        </w:rPr>
      </w:pPr>
      <w:r w:rsidRPr="00132199">
        <w:rPr>
          <w:rFonts w:ascii="Arial" w:hAnsi="Arial" w:cs="Arial"/>
          <w:sz w:val="28"/>
          <w:szCs w:val="28"/>
          <w:lang w:val="es-ES"/>
        </w:rPr>
        <w:t>Iker Egusquiza</w:t>
      </w:r>
      <w:r w:rsidRPr="00132199">
        <w:rPr>
          <w:rFonts w:ascii="Arial" w:hAnsi="Arial" w:cs="Arial"/>
          <w:sz w:val="28"/>
          <w:szCs w:val="28"/>
          <w:vertAlign w:val="superscript"/>
          <w:lang w:val="es-ES"/>
        </w:rPr>
        <w:t>1</w:t>
      </w:r>
      <w:r w:rsidRPr="00132199">
        <w:rPr>
          <w:rFonts w:ascii="Arial" w:hAnsi="Arial" w:cs="Arial"/>
          <w:b/>
          <w:bCs/>
          <w:sz w:val="28"/>
          <w:szCs w:val="28"/>
          <w:vertAlign w:val="superscript"/>
          <w:lang w:val="es-ES"/>
        </w:rPr>
        <w:t>*</w:t>
      </w:r>
      <w:r w:rsidRPr="00132199">
        <w:rPr>
          <w:rFonts w:ascii="Arial" w:hAnsi="Arial" w:cs="Arial"/>
          <w:sz w:val="28"/>
          <w:szCs w:val="28"/>
          <w:lang w:val="es-ES"/>
        </w:rPr>
        <w:t>, Eva Munarriz-Cuezva</w:t>
      </w:r>
      <w:r w:rsidRPr="00132199">
        <w:rPr>
          <w:rFonts w:ascii="Arial" w:hAnsi="Arial" w:cs="Arial"/>
          <w:sz w:val="28"/>
          <w:szCs w:val="28"/>
          <w:vertAlign w:val="superscript"/>
          <w:lang w:val="es-ES"/>
        </w:rPr>
        <w:t>1,2</w:t>
      </w:r>
      <w:r w:rsidRPr="00132199">
        <w:rPr>
          <w:rFonts w:ascii="Arial" w:hAnsi="Arial" w:cs="Arial"/>
          <w:b/>
          <w:bCs/>
          <w:sz w:val="28"/>
          <w:szCs w:val="28"/>
          <w:vertAlign w:val="superscript"/>
          <w:lang w:val="es-ES"/>
        </w:rPr>
        <w:t>*</w:t>
      </w:r>
      <w:r w:rsidRPr="00132199">
        <w:rPr>
          <w:rFonts w:ascii="Arial" w:hAnsi="Arial" w:cs="Arial"/>
          <w:sz w:val="28"/>
          <w:szCs w:val="28"/>
          <w:lang w:val="es-ES"/>
        </w:rPr>
        <w:t>, Rafael Segarra</w:t>
      </w:r>
      <w:r w:rsidRPr="00132199">
        <w:rPr>
          <w:rFonts w:ascii="Arial" w:hAnsi="Arial" w:cs="Arial"/>
          <w:sz w:val="28"/>
          <w:szCs w:val="28"/>
          <w:vertAlign w:val="superscript"/>
          <w:lang w:val="es-ES"/>
        </w:rPr>
        <w:t>2,3,4</w:t>
      </w:r>
      <w:r w:rsidRPr="00132199">
        <w:rPr>
          <w:rFonts w:ascii="Arial" w:hAnsi="Arial" w:cs="Arial"/>
          <w:sz w:val="28"/>
          <w:szCs w:val="28"/>
          <w:lang w:val="es-ES"/>
        </w:rPr>
        <w:t>, Javier González-Maeso</w:t>
      </w:r>
      <w:r w:rsidRPr="00132199">
        <w:rPr>
          <w:rFonts w:ascii="Arial" w:hAnsi="Arial" w:cs="Arial"/>
          <w:sz w:val="28"/>
          <w:szCs w:val="28"/>
          <w:vertAlign w:val="superscript"/>
          <w:lang w:val="es-ES"/>
        </w:rPr>
        <w:t>5</w:t>
      </w:r>
      <w:r w:rsidRPr="00132199">
        <w:rPr>
          <w:rFonts w:ascii="Arial" w:hAnsi="Arial" w:cs="Arial"/>
          <w:sz w:val="28"/>
          <w:szCs w:val="28"/>
          <w:lang w:val="es-ES"/>
        </w:rPr>
        <w:t>, Luis F. Callado</w:t>
      </w:r>
      <w:r w:rsidRPr="00132199">
        <w:rPr>
          <w:rFonts w:ascii="Arial" w:hAnsi="Arial" w:cs="Arial"/>
          <w:sz w:val="28"/>
          <w:szCs w:val="28"/>
          <w:vertAlign w:val="superscript"/>
          <w:lang w:val="es-ES"/>
        </w:rPr>
        <w:t>1,2,3</w:t>
      </w:r>
      <w:r w:rsidRPr="00132199">
        <w:rPr>
          <w:rFonts w:ascii="Arial" w:hAnsi="Arial" w:cs="Arial"/>
          <w:sz w:val="28"/>
          <w:szCs w:val="28"/>
          <w:lang w:val="es-ES"/>
        </w:rPr>
        <w:t>, J. Javier Meana</w:t>
      </w:r>
      <w:r w:rsidRPr="00132199">
        <w:rPr>
          <w:rFonts w:ascii="Arial" w:hAnsi="Arial" w:cs="Arial"/>
          <w:sz w:val="28"/>
          <w:szCs w:val="28"/>
          <w:vertAlign w:val="superscript"/>
          <w:lang w:val="es-ES"/>
        </w:rPr>
        <w:t>1,2,3</w:t>
      </w:r>
      <w:r w:rsidRPr="00132199">
        <w:rPr>
          <w:rFonts w:ascii="Arial" w:hAnsi="Arial" w:cs="Arial"/>
          <w:sz w:val="28"/>
          <w:szCs w:val="28"/>
          <w:lang w:val="es-ES"/>
        </w:rPr>
        <w:t>, Rebeca Diez-Alarcia</w:t>
      </w:r>
      <w:r w:rsidRPr="00132199">
        <w:rPr>
          <w:rFonts w:ascii="Arial" w:hAnsi="Arial" w:cs="Arial"/>
          <w:sz w:val="28"/>
          <w:szCs w:val="28"/>
          <w:vertAlign w:val="superscript"/>
          <w:lang w:val="es-ES"/>
        </w:rPr>
        <w:t>1,2,3</w:t>
      </w:r>
    </w:p>
    <w:p w:rsidR="0027642E" w:rsidRDefault="0027642E" w:rsidP="004A7832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:rsidR="007F44E3" w:rsidRDefault="0027642E" w:rsidP="004A783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7642E">
        <w:rPr>
          <w:noProof/>
          <w:lang w:val="en-IN" w:eastAsia="en-IN"/>
        </w:rPr>
        <w:drawing>
          <wp:inline distT="0" distB="0" distL="0" distR="0">
            <wp:extent cx="4800600" cy="33147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832" w:rsidRDefault="004A7832" w:rsidP="007F44E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F44E3" w:rsidRDefault="007F44E3" w:rsidP="007F44E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7F44E3">
        <w:rPr>
          <w:rFonts w:ascii="Arial" w:hAnsi="Arial" w:cs="Arial"/>
          <w:b/>
          <w:sz w:val="28"/>
          <w:szCs w:val="28"/>
        </w:rPr>
        <w:t>Supplementary Figure</w:t>
      </w:r>
      <w:r>
        <w:rPr>
          <w:rFonts w:ascii="Arial" w:hAnsi="Arial" w:cs="Arial"/>
          <w:b/>
          <w:sz w:val="28"/>
          <w:szCs w:val="28"/>
        </w:rPr>
        <w:t xml:space="preserve"> 1</w:t>
      </w:r>
    </w:p>
    <w:p w:rsidR="007F44E3" w:rsidRPr="00C65F03" w:rsidRDefault="007F44E3" w:rsidP="00C65F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Concentration response curves of the [</w:t>
      </w:r>
      <w:r w:rsidRPr="00B67D99">
        <w:rPr>
          <w:rFonts w:ascii="Arial" w:hAnsi="Arial" w:cs="Arial"/>
          <w:sz w:val="24"/>
          <w:szCs w:val="24"/>
          <w:vertAlign w:val="superscript"/>
        </w:rPr>
        <w:t>35</w:t>
      </w:r>
      <w:r>
        <w:rPr>
          <w:rFonts w:ascii="Arial" w:hAnsi="Arial" w:cs="Arial"/>
          <w:sz w:val="24"/>
          <w:szCs w:val="24"/>
        </w:rPr>
        <w:t>S]GTP</w:t>
      </w:r>
      <w:r w:rsidRPr="00B67D99">
        <w:rPr>
          <w:rFonts w:ascii="Symbol" w:hAnsi="Symbol" w:cs="Arial"/>
          <w:sz w:val="24"/>
          <w:szCs w:val="24"/>
        </w:rPr>
        <w:t></w:t>
      </w:r>
      <w:r>
        <w:rPr>
          <w:rFonts w:ascii="Arial" w:hAnsi="Arial" w:cs="Arial"/>
          <w:sz w:val="24"/>
          <w:szCs w:val="24"/>
        </w:rPr>
        <w:t xml:space="preserve">S </w:t>
      </w:r>
      <w:r w:rsidR="00DF752D">
        <w:rPr>
          <w:rFonts w:ascii="Arial" w:hAnsi="Arial" w:cs="Arial"/>
          <w:sz w:val="24"/>
          <w:szCs w:val="24"/>
        </w:rPr>
        <w:t xml:space="preserve">binding </w:t>
      </w:r>
      <w:r>
        <w:rPr>
          <w:rFonts w:ascii="Arial" w:hAnsi="Arial" w:cs="Arial"/>
          <w:sz w:val="24"/>
          <w:szCs w:val="24"/>
        </w:rPr>
        <w:t xml:space="preserve">stimulation </w:t>
      </w:r>
      <w:r w:rsidR="00DF752D">
        <w:rPr>
          <w:rFonts w:ascii="Arial" w:hAnsi="Arial" w:cs="Arial"/>
          <w:sz w:val="24"/>
          <w:szCs w:val="24"/>
        </w:rPr>
        <w:t>by increasing concentrations (10</w:t>
      </w:r>
      <w:r w:rsidR="00DF752D" w:rsidRPr="008932E2">
        <w:rPr>
          <w:rFonts w:ascii="Arial" w:hAnsi="Arial" w:cs="Arial"/>
          <w:sz w:val="24"/>
          <w:szCs w:val="24"/>
          <w:vertAlign w:val="superscript"/>
        </w:rPr>
        <w:t>-10</w:t>
      </w:r>
      <w:r w:rsidR="00DF752D">
        <w:rPr>
          <w:rFonts w:ascii="Arial" w:hAnsi="Arial" w:cs="Arial"/>
          <w:sz w:val="24"/>
          <w:szCs w:val="24"/>
        </w:rPr>
        <w:t>-10</w:t>
      </w:r>
      <w:r w:rsidR="00DF752D" w:rsidRPr="008932E2">
        <w:rPr>
          <w:rFonts w:ascii="Arial" w:hAnsi="Arial" w:cs="Arial"/>
          <w:sz w:val="24"/>
          <w:szCs w:val="24"/>
          <w:vertAlign w:val="superscript"/>
        </w:rPr>
        <w:t>-3</w:t>
      </w:r>
      <w:r w:rsidR="00DF752D">
        <w:rPr>
          <w:rFonts w:ascii="Arial" w:hAnsi="Arial" w:cs="Arial"/>
          <w:sz w:val="24"/>
          <w:szCs w:val="24"/>
        </w:rPr>
        <w:t xml:space="preserve"> M, 13 concentrations) of </w:t>
      </w:r>
      <w:r>
        <w:rPr>
          <w:rFonts w:ascii="Arial" w:hAnsi="Arial" w:cs="Arial"/>
          <w:sz w:val="24"/>
          <w:szCs w:val="24"/>
        </w:rPr>
        <w:t>the selective D2R agonist N-</w:t>
      </w:r>
      <w:proofErr w:type="spellStart"/>
      <w:r>
        <w:rPr>
          <w:rFonts w:ascii="Arial" w:hAnsi="Arial" w:cs="Arial"/>
          <w:sz w:val="24"/>
          <w:szCs w:val="24"/>
        </w:rPr>
        <w:t>propylapomorphine</w:t>
      </w:r>
      <w:proofErr w:type="spellEnd"/>
      <w:r>
        <w:rPr>
          <w:rFonts w:ascii="Arial" w:hAnsi="Arial" w:cs="Arial"/>
          <w:sz w:val="24"/>
          <w:szCs w:val="24"/>
        </w:rPr>
        <w:t xml:space="preserve"> (NPA) in absence of presence of the serotonin 5-HT</w:t>
      </w:r>
      <w:r w:rsidRPr="007F44E3">
        <w:rPr>
          <w:rFonts w:ascii="Arial" w:hAnsi="Arial" w:cs="Arial"/>
          <w:sz w:val="24"/>
          <w:szCs w:val="24"/>
          <w:vertAlign w:val="subscript"/>
        </w:rPr>
        <w:t>2A</w:t>
      </w:r>
      <w:r>
        <w:rPr>
          <w:rFonts w:ascii="Arial" w:hAnsi="Arial" w:cs="Arial"/>
          <w:sz w:val="24"/>
          <w:szCs w:val="24"/>
        </w:rPr>
        <w:t xml:space="preserve"> </w:t>
      </w:r>
      <w:r w:rsidR="004A7832">
        <w:rPr>
          <w:rFonts w:ascii="Arial" w:hAnsi="Arial" w:cs="Arial"/>
          <w:sz w:val="24"/>
          <w:szCs w:val="24"/>
        </w:rPr>
        <w:t>receptor antagonist MDL11939 (</w:t>
      </w:r>
      <w:bookmarkStart w:id="0" w:name="_GoBack"/>
      <w:bookmarkEnd w:id="0"/>
      <w:r w:rsidR="004A783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Pr="007F44E3">
        <w:rPr>
          <w:rFonts w:ascii="Symbol" w:hAnsi="Symbol" w:cs="Arial"/>
          <w:sz w:val="24"/>
          <w:szCs w:val="24"/>
        </w:rPr>
        <w:t></w:t>
      </w:r>
      <w:r>
        <w:rPr>
          <w:rFonts w:ascii="Arial" w:hAnsi="Arial" w:cs="Arial"/>
          <w:sz w:val="24"/>
          <w:szCs w:val="24"/>
        </w:rPr>
        <w:t xml:space="preserve">M). Experiments were performed in human caudate of four different control subjects. </w:t>
      </w:r>
      <w:bookmarkStart w:id="1" w:name="OLE_LINK1"/>
      <w:r>
        <w:rPr>
          <w:rFonts w:ascii="Arial" w:hAnsi="Arial" w:cs="Arial"/>
          <w:sz w:val="24"/>
          <w:szCs w:val="24"/>
        </w:rPr>
        <w:t xml:space="preserve">Points are </w:t>
      </w:r>
      <w:proofErr w:type="spellStart"/>
      <w:r>
        <w:rPr>
          <w:rFonts w:ascii="Arial" w:hAnsi="Arial" w:cs="Arial"/>
          <w:sz w:val="24"/>
          <w:szCs w:val="24"/>
        </w:rPr>
        <w:t>mean±standard</w:t>
      </w:r>
      <w:proofErr w:type="spellEnd"/>
      <w:r>
        <w:rPr>
          <w:rFonts w:ascii="Arial" w:hAnsi="Arial" w:cs="Arial"/>
          <w:sz w:val="24"/>
          <w:szCs w:val="24"/>
        </w:rPr>
        <w:t xml:space="preserve"> error </w:t>
      </w:r>
      <w:r w:rsidR="0081262F">
        <w:rPr>
          <w:rFonts w:ascii="Arial" w:hAnsi="Arial" w:cs="Arial"/>
          <w:sz w:val="24"/>
          <w:szCs w:val="24"/>
        </w:rPr>
        <w:t xml:space="preserve">of the </w:t>
      </w:r>
      <w:r w:rsidR="0081262F" w:rsidRPr="00435C63">
        <w:rPr>
          <w:rFonts w:ascii="Arial" w:hAnsi="Arial" w:cs="Arial"/>
          <w:sz w:val="24"/>
          <w:szCs w:val="24"/>
        </w:rPr>
        <w:t>mean and represent the increase (in percentage) over respective basal values. BB represents the basal binding in absence of agonist.</w:t>
      </w:r>
      <w:bookmarkEnd w:id="1"/>
    </w:p>
    <w:sectPr w:rsidR="007F44E3" w:rsidRPr="00C65F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E3"/>
    <w:rsid w:val="0027642E"/>
    <w:rsid w:val="00435C63"/>
    <w:rsid w:val="004A7832"/>
    <w:rsid w:val="007C1566"/>
    <w:rsid w:val="007F44E3"/>
    <w:rsid w:val="0081262F"/>
    <w:rsid w:val="00A227BC"/>
    <w:rsid w:val="00C65F03"/>
    <w:rsid w:val="00D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E7D40-9D4B-44CC-88A2-48CFDEB3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4E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Neuropsicofarmacología</dc:creator>
  <cp:keywords/>
  <dc:description/>
  <cp:lastModifiedBy>Mohanapriya</cp:lastModifiedBy>
  <cp:revision>3</cp:revision>
  <dcterms:created xsi:type="dcterms:W3CDTF">2021-06-16T08:35:00Z</dcterms:created>
  <dcterms:modified xsi:type="dcterms:W3CDTF">2021-06-26T06:38:00Z</dcterms:modified>
</cp:coreProperties>
</file>