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EB845D" w14:textId="0B7CC9AC" w:rsidR="00A656E8" w:rsidRDefault="00B64482">
      <w:r>
        <w:t>Callout Box for QTL Manuscript 1</w:t>
      </w:r>
    </w:p>
    <w:p w14:paraId="4D517991" w14:textId="49B17E5A" w:rsidR="00B64482" w:rsidRDefault="00B64482"/>
    <w:p w14:paraId="394911E5" w14:textId="3A6C35F1" w:rsidR="00B64482" w:rsidRDefault="00B64482">
      <w:r w:rsidRPr="00B64482">
        <mc:AlternateContent>
          <mc:Choice Requires="wps">
            <w:drawing>
              <wp:anchor distT="0" distB="0" distL="114300" distR="114300" simplePos="0" relativeHeight="251659264" behindDoc="0" locked="0" layoutInCell="1" allowOverlap="1" wp14:anchorId="645E42A7" wp14:editId="0F2FF449">
                <wp:simplePos x="0" y="0"/>
                <wp:positionH relativeFrom="column">
                  <wp:posOffset>0</wp:posOffset>
                </wp:positionH>
                <wp:positionV relativeFrom="paragraph">
                  <wp:posOffset>-635</wp:posOffset>
                </wp:positionV>
                <wp:extent cx="5159229" cy="4510929"/>
                <wp:effectExtent l="0" t="0" r="22860" b="23495"/>
                <wp:wrapNone/>
                <wp:docPr id="5" name="Rectangle 4">
                  <a:extLst xmlns:a="http://schemas.openxmlformats.org/drawingml/2006/main">
                    <a:ext uri="{FF2B5EF4-FFF2-40B4-BE49-F238E27FC236}">
                      <a16:creationId xmlns:a16="http://schemas.microsoft.com/office/drawing/2014/main" id="{9244781E-D2D0-47E3-8067-A67BB610C7A5}"/>
                    </a:ext>
                  </a:extLst>
                </wp:docPr>
                <wp:cNvGraphicFramePr/>
                <a:graphic xmlns:a="http://schemas.openxmlformats.org/drawingml/2006/main">
                  <a:graphicData uri="http://schemas.microsoft.com/office/word/2010/wordprocessingShape">
                    <wps:wsp>
                      <wps:cNvSpPr/>
                      <wps:spPr>
                        <a:xfrm>
                          <a:off x="0" y="0"/>
                          <a:ext cx="5159229" cy="4510929"/>
                        </a:xfrm>
                        <a:prstGeom prst="rect">
                          <a:avLst/>
                        </a:prstGeom>
                        <a:solidFill>
                          <a:srgbClr val="5B9BD5"/>
                        </a:solidFill>
                        <a:ln w="12700" cap="flat" cmpd="sng" algn="ctr">
                          <a:solidFill>
                            <a:srgbClr val="5B9BD5">
                              <a:shade val="50000"/>
                            </a:srgbClr>
                          </a:solidFill>
                          <a:prstDash val="solid"/>
                          <a:miter lim="800000"/>
                        </a:ln>
                        <a:effectLst/>
                      </wps:spPr>
                      <wps:txbx>
                        <w:txbxContent>
                          <w:p w14:paraId="440097B8" w14:textId="77777777" w:rsidR="00B64482" w:rsidRDefault="00B64482" w:rsidP="00B64482">
                            <w:pPr>
                              <w:spacing w:after="120" w:line="256" w:lineRule="auto"/>
                              <w:ind w:left="720" w:hanging="360"/>
                              <w:rPr>
                                <w:sz w:val="24"/>
                                <w:szCs w:val="24"/>
                              </w:rPr>
                            </w:pPr>
                            <w:r>
                              <w:rPr>
                                <w:rFonts w:eastAsia="Calibri"/>
                                <w:b/>
                                <w:bCs/>
                                <w:color w:val="E7E6E6" w:themeColor="background2"/>
                              </w:rPr>
                              <w:t>Key ICH E6 (R2) excerpts related to QTLs</w:t>
                            </w:r>
                          </w:p>
                          <w:p w14:paraId="65C94894" w14:textId="77777777" w:rsidR="00B64482" w:rsidRDefault="00B64482" w:rsidP="00B64482">
                            <w:pPr>
                              <w:spacing w:line="256" w:lineRule="auto"/>
                              <w:ind w:left="720" w:hanging="360"/>
                            </w:pPr>
                            <w:r>
                              <w:rPr>
                                <w:rFonts w:eastAsia="Calibri"/>
                                <w:color w:val="FFFFFF"/>
                                <w:u w:val="single"/>
                              </w:rPr>
                              <w:t>Section 5.0.4 – Risk Control</w:t>
                            </w:r>
                            <w:r>
                              <w:rPr>
                                <w:rFonts w:eastAsia="Calibri"/>
                                <w:color w:val="FFFFFF"/>
                              </w:rPr>
                              <w:t xml:space="preserve">: “The sponsor should decide which risks to reduce and/or which risks to accept. The approach used to reduce risk to an acceptable level should be proportionate to the significance of the risk. Risk reduction activities may be incorporated in protocol design and implementation, monitoring plans, agreements between parties defining roles and responsibilities, systematic safeguards to ensure adherence to standard operating procedures, and training in processes and procedures. </w:t>
                            </w:r>
                          </w:p>
                          <w:p w14:paraId="75F254B1" w14:textId="77777777" w:rsidR="00B64482" w:rsidRDefault="00B64482" w:rsidP="00B64482">
                            <w:pPr>
                              <w:spacing w:line="256" w:lineRule="auto"/>
                              <w:ind w:left="720"/>
                            </w:pPr>
                            <w:r>
                              <w:rPr>
                                <w:rFonts w:eastAsia="Calibri"/>
                                <w:color w:val="FFFFFF"/>
                              </w:rPr>
                              <w:t>Predefined quality tolerance limits should be established, taking into consideration the medical and statistical characteristics of the variables as well as the statistical design of the trial, to identify systematic issues that can impact subject safety or reliability of trial results. Detection of deviations from the predefined quality tolerance limits should trigger an evaluation to determine if action is needed.”</w:t>
                            </w:r>
                            <w:r>
                              <w:rPr>
                                <w:rFonts w:eastAsia="Calibri"/>
                                <w:color w:val="FFFFFF"/>
                                <w:position w:val="7"/>
                                <w:vertAlign w:val="superscript"/>
                              </w:rPr>
                              <w:t>1</w:t>
                            </w:r>
                          </w:p>
                          <w:p w14:paraId="6CA7FEF6" w14:textId="77777777" w:rsidR="00B64482" w:rsidRDefault="00B64482" w:rsidP="00B64482">
                            <w:pPr>
                              <w:spacing w:line="256" w:lineRule="auto"/>
                              <w:ind w:left="720" w:hanging="360"/>
                            </w:pPr>
                            <w:r>
                              <w:rPr>
                                <w:rFonts w:eastAsia="Calibri"/>
                                <w:color w:val="FFFFFF"/>
                                <w:u w:val="single"/>
                              </w:rPr>
                              <w:t>Section 5.0.7 – Risk Reporting</w:t>
                            </w:r>
                            <w:r>
                              <w:rPr>
                                <w:rFonts w:eastAsia="Calibri"/>
                                <w:color w:val="FFFFFF"/>
                              </w:rPr>
                              <w:t>: “The sponsor should describe the quality management approach implemented in the trial and summarize important deviations from the predefined quality tolerance limits and remedial actions taken in the clinical study report (ICH E3, Section 9.6 Data Quality Assurance).”</w:t>
                            </w:r>
                            <w:r>
                              <w:rPr>
                                <w:rFonts w:eastAsia="Calibri"/>
                                <w:color w:val="FFFFFF"/>
                                <w:position w:val="7"/>
                                <w:vertAlign w:val="superscript"/>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5E42A7" id="Rectangle 4" o:spid="_x0000_s1026" style="position:absolute;margin-left:0;margin-top:-.05pt;width:406.25pt;height:355.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" fillcolor="#5b9bd5" strokecolor="#41719c" strokeweight="1pt">
                <v:textbox>
                  <w:txbxContent>
                    <w:p w14:paraId="440097B8" w14:textId="77777777" w:rsidR="00B64482" w:rsidRDefault="00B64482" w:rsidP="00B64482">
                      <w:pPr>
                        <w:spacing w:after="120" w:line="256" w:lineRule="auto"/>
                        <w:ind w:left="720" w:hanging="360"/>
                        <w:rPr>
                          <w:sz w:val="24"/>
                          <w:szCs w:val="24"/>
                        </w:rPr>
                      </w:pPr>
                      <w:r>
                        <w:rPr>
                          <w:rFonts w:eastAsia="Calibri"/>
                          <w:b/>
                          <w:bCs/>
                          <w:color w:val="E7E6E6" w:themeColor="background2"/>
                        </w:rPr>
                        <w:t>Key ICH E6 (R2) excerpts related to QTLs</w:t>
                      </w:r>
                    </w:p>
                    <w:p w14:paraId="65C94894" w14:textId="77777777" w:rsidR="00B64482" w:rsidRDefault="00B64482" w:rsidP="00B64482">
                      <w:pPr>
                        <w:spacing w:line="256" w:lineRule="auto"/>
                        <w:ind w:left="720" w:hanging="360"/>
                      </w:pPr>
                      <w:r>
                        <w:rPr>
                          <w:rFonts w:eastAsia="Calibri"/>
                          <w:color w:val="FFFFFF"/>
                          <w:u w:val="single"/>
                        </w:rPr>
                        <w:t>Section 5.0.4 – Risk Control</w:t>
                      </w:r>
                      <w:r>
                        <w:rPr>
                          <w:rFonts w:eastAsia="Calibri"/>
                          <w:color w:val="FFFFFF"/>
                        </w:rPr>
                        <w:t xml:space="preserve">: “The sponsor should decide which risks to reduce and/or which risks to accept. The approach used to reduce risk to an acceptable level should be proportionate to the significance of the risk. Risk reduction activities may be incorporated in protocol design and implementation, monitoring plans, agreements between parties defining roles and responsibilities, systematic safeguards to ensure adherence to standard operating procedures, and training in processes and procedures. </w:t>
                      </w:r>
                    </w:p>
                    <w:p w14:paraId="75F254B1" w14:textId="77777777" w:rsidR="00B64482" w:rsidRDefault="00B64482" w:rsidP="00B64482">
                      <w:pPr>
                        <w:spacing w:line="256" w:lineRule="auto"/>
                        <w:ind w:left="720"/>
                      </w:pPr>
                      <w:r>
                        <w:rPr>
                          <w:rFonts w:eastAsia="Calibri"/>
                          <w:color w:val="FFFFFF"/>
                        </w:rPr>
                        <w:t>Predefined quality tolerance limits should be established, taking into consideration the medical and statistical characteristics of the variables as well as the statistical design of the trial, to identify systematic issues that can impact subject safety or reliability of trial results. Detection of deviations from the predefined quality tolerance limits should trigger an evaluation to determine if action is needed.”</w:t>
                      </w:r>
                      <w:r>
                        <w:rPr>
                          <w:rFonts w:eastAsia="Calibri"/>
                          <w:color w:val="FFFFFF"/>
                          <w:position w:val="7"/>
                          <w:vertAlign w:val="superscript"/>
                        </w:rPr>
                        <w:t>1</w:t>
                      </w:r>
                    </w:p>
                    <w:p w14:paraId="6CA7FEF6" w14:textId="77777777" w:rsidR="00B64482" w:rsidRDefault="00B64482" w:rsidP="00B64482">
                      <w:pPr>
                        <w:spacing w:line="256" w:lineRule="auto"/>
                        <w:ind w:left="720" w:hanging="360"/>
                      </w:pPr>
                      <w:r>
                        <w:rPr>
                          <w:rFonts w:eastAsia="Calibri"/>
                          <w:color w:val="FFFFFF"/>
                          <w:u w:val="single"/>
                        </w:rPr>
                        <w:t>Section 5.0.7 – Risk Reporting</w:t>
                      </w:r>
                      <w:r>
                        <w:rPr>
                          <w:rFonts w:eastAsia="Calibri"/>
                          <w:color w:val="FFFFFF"/>
                        </w:rPr>
                        <w:t>: “The sponsor should describe the quality management approach implemented in the trial and summarize important deviations from the predefined quality tolerance limits and remedial actions taken in the clinical study report (ICH E3, Section 9.6 Data Quality Assurance).”</w:t>
                      </w:r>
                      <w:r>
                        <w:rPr>
                          <w:rFonts w:eastAsia="Calibri"/>
                          <w:color w:val="FFFFFF"/>
                          <w:position w:val="7"/>
                          <w:vertAlign w:val="superscript"/>
                        </w:rPr>
                        <w:t>1</w:t>
                      </w:r>
                    </w:p>
                  </w:txbxContent>
                </v:textbox>
              </v:rect>
            </w:pict>
          </mc:Fallback>
        </mc:AlternateContent>
      </w:r>
    </w:p>
    <w:sectPr w:rsidR="00B644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82"/>
    <w:rsid w:val="003D3FB4"/>
    <w:rsid w:val="00A656E8"/>
    <w:rsid w:val="00B30AC7"/>
    <w:rsid w:val="00B64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51ABA1"/>
  <w15:chartTrackingRefBased/>
  <w15:docId w15:val="{9925F6ED-70F1-4614-9327-99B1FEE3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Words>
  <Characters>31</Characters>
  <Application>Microsoft Office Word</Application>
  <DocSecurity>0</DocSecurity>
  <Lines>1</Lines>
  <Paragraphs>1</Paragraphs>
  <ScaleCrop>false</ScaleCrop>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Wehr</dc:creator>
  <cp:keywords/>
  <dc:description/>
  <cp:lastModifiedBy>Leslie Wehr</cp:lastModifiedBy>
  <cp:revision>1</cp:revision>
  <dcterms:created xsi:type="dcterms:W3CDTF">2020-07-14T20:03:00Z</dcterms:created>
  <dcterms:modified xsi:type="dcterms:W3CDTF">2020-07-14T20:05:00Z</dcterms:modified>
</cp:coreProperties>
</file>