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93941" w14:textId="09CB545F" w:rsidR="00E866A3" w:rsidRPr="00A30FDD" w:rsidRDefault="00C70A7B" w:rsidP="00E53269">
      <w:pPr>
        <w:pStyle w:val="Heading1"/>
        <w:rPr>
          <w:lang w:val="en-US"/>
        </w:rPr>
      </w:pPr>
      <w:r>
        <w:rPr>
          <w:lang w:val="en-US"/>
        </w:rPr>
        <w:t xml:space="preserve">Supplementary </w:t>
      </w:r>
      <w:r w:rsidRPr="00A30FDD">
        <w:rPr>
          <w:lang w:val="en-US"/>
        </w:rPr>
        <w:t>T</w:t>
      </w:r>
      <w:r>
        <w:rPr>
          <w:lang w:val="en-US"/>
        </w:rPr>
        <w:t>able</w:t>
      </w:r>
      <w:r w:rsidRPr="00A30FDD">
        <w:rPr>
          <w:lang w:val="en-US"/>
        </w:rPr>
        <w:t xml:space="preserve"> 1:</w:t>
      </w:r>
      <w:r>
        <w:rPr>
          <w:lang w:val="en-US"/>
        </w:rPr>
        <w:t xml:space="preserve"> </w:t>
      </w:r>
      <w:r w:rsidRPr="00EA4366">
        <w:rPr>
          <w:rFonts w:asciiTheme="minorHAnsi" w:hAnsiTheme="minorHAnsi" w:cstheme="minorHAnsi"/>
          <w:lang w:val="en-US"/>
        </w:rPr>
        <w:t xml:space="preserve">Complete overview of </w:t>
      </w:r>
      <w:r>
        <w:rPr>
          <w:rFonts w:asciiTheme="minorHAnsi" w:hAnsiTheme="minorHAnsi" w:cstheme="minorHAnsi"/>
          <w:lang w:val="en-US"/>
        </w:rPr>
        <w:t xml:space="preserve">clinical outcome assessments (COA) identified in the </w:t>
      </w:r>
      <w:r>
        <w:rPr>
          <w:rFonts w:asciiTheme="minorHAnsi" w:hAnsiTheme="minorHAnsi" w:cstheme="minorBidi"/>
          <w:lang w:val="en-GB"/>
        </w:rPr>
        <w:t>FDA Review</w:t>
      </w:r>
      <w:r>
        <w:rPr>
          <w:rFonts w:asciiTheme="minorHAnsi" w:hAnsiTheme="minorHAnsi" w:cstheme="minorHAnsi"/>
          <w:lang w:val="en-US"/>
        </w:rPr>
        <w:t xml:space="preserve"> and labels of new molecular entities approved by the FDA Center for Drug Evaluation and Research in 2019. </w:t>
      </w:r>
      <w:bookmarkStart w:id="0" w:name="_GoBack"/>
      <w:r>
        <w:rPr>
          <w:rFonts w:asciiTheme="minorHAnsi" w:hAnsiTheme="minorHAnsi" w:cstheme="minorHAnsi"/>
          <w:lang w:val="en-US"/>
        </w:rPr>
        <w:t xml:space="preserve">COA categories that were checked in the patient experience data (PED) table by FDA as relevant for the application but not readily identified in the </w:t>
      </w:r>
      <w:r>
        <w:rPr>
          <w:rFonts w:asciiTheme="minorHAnsi" w:hAnsiTheme="minorHAnsi" w:cstheme="minorBidi"/>
          <w:lang w:val="en-GB"/>
        </w:rPr>
        <w:t>FDA Review</w:t>
      </w:r>
      <w:r>
        <w:rPr>
          <w:rFonts w:asciiTheme="minorHAnsi" w:hAnsiTheme="minorHAnsi" w:cstheme="minorHAnsi"/>
          <w:lang w:val="en-US"/>
        </w:rPr>
        <w:t xml:space="preserve"> are emphasized in </w:t>
      </w:r>
      <w:r w:rsidRPr="00C2439C">
        <w:rPr>
          <w:rFonts w:asciiTheme="minorHAnsi" w:hAnsiTheme="minorHAnsi" w:cstheme="minorHAnsi"/>
          <w:i/>
          <w:iCs/>
          <w:lang w:val="en-US"/>
        </w:rPr>
        <w:t>italics</w:t>
      </w:r>
      <w:r>
        <w:rPr>
          <w:rFonts w:asciiTheme="minorHAnsi" w:hAnsiTheme="minorHAnsi" w:cstheme="minorHAnsi"/>
          <w:lang w:val="en-US"/>
        </w:rPr>
        <w:t xml:space="preserve">, as are COAs that were identified in the </w:t>
      </w:r>
      <w:r>
        <w:rPr>
          <w:rFonts w:asciiTheme="minorHAnsi" w:hAnsiTheme="minorHAnsi" w:cstheme="minorBidi"/>
          <w:lang w:val="en-GB"/>
        </w:rPr>
        <w:t>FDA Review</w:t>
      </w:r>
      <w:r>
        <w:rPr>
          <w:rFonts w:asciiTheme="minorHAnsi" w:hAnsiTheme="minorHAnsi" w:cstheme="minorHAnsi"/>
          <w:lang w:val="en-US"/>
        </w:rPr>
        <w:t xml:space="preserve"> as part of the present analysis but not reported by category in the PED table.</w:t>
      </w:r>
      <w:bookmarkEnd w:id="0"/>
    </w:p>
    <w:p w14:paraId="1B362EDC" w14:textId="027C7945" w:rsidR="00E53269" w:rsidRPr="00A30FDD" w:rsidRDefault="00E53269">
      <w:pPr>
        <w:rPr>
          <w:i/>
          <w:lang w:val="en-US"/>
        </w:rPr>
      </w:pPr>
    </w:p>
    <w:tbl>
      <w:tblPr>
        <w:tblStyle w:val="GridTable4-Accent3"/>
        <w:tblW w:w="14034" w:type="dxa"/>
        <w:tblLook w:val="04A0" w:firstRow="1" w:lastRow="0" w:firstColumn="1" w:lastColumn="0" w:noHBand="0" w:noVBand="1"/>
      </w:tblPr>
      <w:tblGrid>
        <w:gridCol w:w="2505"/>
        <w:gridCol w:w="2315"/>
        <w:gridCol w:w="2268"/>
        <w:gridCol w:w="1984"/>
        <w:gridCol w:w="4962"/>
      </w:tblGrid>
      <w:tr w:rsidR="000600C0" w:rsidRPr="009A47E2" w14:paraId="4B7987D0" w14:textId="77777777" w:rsidTr="3EB37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C2C4574" w14:textId="77777777" w:rsidR="002A49A4" w:rsidRPr="009A47E2" w:rsidRDefault="002A49A4">
            <w:pPr>
              <w:rPr>
                <w:sz w:val="20"/>
                <w:szCs w:val="20"/>
                <w:lang w:val="en-US"/>
              </w:rPr>
            </w:pPr>
            <w:r w:rsidRPr="009A47E2">
              <w:rPr>
                <w:sz w:val="20"/>
                <w:szCs w:val="20"/>
                <w:lang w:val="en-US"/>
              </w:rPr>
              <w:t>Drug</w:t>
            </w:r>
          </w:p>
        </w:tc>
        <w:tc>
          <w:tcPr>
            <w:tcW w:w="2315" w:type="dxa"/>
          </w:tcPr>
          <w:p w14:paraId="3971421E" w14:textId="7C3C9EA6" w:rsidR="002A49A4" w:rsidRPr="009A47E2" w:rsidRDefault="002A49A4">
            <w:pPr>
              <w:cnfStyle w:val="100000000000" w:firstRow="1"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Summary of FDA-approved use on approval date</w:t>
            </w:r>
          </w:p>
        </w:tc>
        <w:tc>
          <w:tcPr>
            <w:tcW w:w="2268" w:type="dxa"/>
          </w:tcPr>
          <w:p w14:paraId="49023D9C" w14:textId="7BAC721B" w:rsidR="002A49A4" w:rsidRPr="009A47E2" w:rsidRDefault="008536C4">
            <w:pPr>
              <w:cnfStyle w:val="100000000000" w:firstRow="1"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COAs</w:t>
            </w:r>
            <w:r w:rsidR="002A49A4" w:rsidRPr="009A47E2">
              <w:rPr>
                <w:sz w:val="20"/>
                <w:szCs w:val="20"/>
                <w:lang w:val="en-US"/>
              </w:rPr>
              <w:t xml:space="preserve"> </w:t>
            </w:r>
            <w:r w:rsidR="009114EA" w:rsidRPr="009A47E2">
              <w:rPr>
                <w:sz w:val="20"/>
                <w:szCs w:val="20"/>
                <w:lang w:val="en-US"/>
              </w:rPr>
              <w:t>identified in FDA Review</w:t>
            </w:r>
          </w:p>
        </w:tc>
        <w:tc>
          <w:tcPr>
            <w:tcW w:w="1984" w:type="dxa"/>
          </w:tcPr>
          <w:p w14:paraId="760252CD" w14:textId="2C18D3AC" w:rsidR="002A49A4" w:rsidRPr="009A47E2" w:rsidRDefault="008536C4">
            <w:pPr>
              <w:cnfStyle w:val="100000000000" w:firstRow="1"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COAs</w:t>
            </w:r>
            <w:r w:rsidR="002A49A4" w:rsidRPr="009A47E2">
              <w:rPr>
                <w:sz w:val="20"/>
                <w:szCs w:val="20"/>
                <w:lang w:val="en-US"/>
              </w:rPr>
              <w:t xml:space="preserve"> included in label</w:t>
            </w:r>
          </w:p>
        </w:tc>
        <w:tc>
          <w:tcPr>
            <w:tcW w:w="4962" w:type="dxa"/>
          </w:tcPr>
          <w:p w14:paraId="522F671A" w14:textId="0BE2C141" w:rsidR="002A49A4" w:rsidRPr="009A47E2" w:rsidRDefault="00FE4D4A">
            <w:pPr>
              <w:cnfStyle w:val="100000000000" w:firstRow="1"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Additional r</w:t>
            </w:r>
            <w:r w:rsidR="002A49A4" w:rsidRPr="009A47E2">
              <w:rPr>
                <w:sz w:val="20"/>
                <w:szCs w:val="20"/>
                <w:lang w:val="en-US"/>
              </w:rPr>
              <w:t xml:space="preserve">emarks </w:t>
            </w:r>
          </w:p>
        </w:tc>
      </w:tr>
      <w:tr w:rsidR="000600C0" w:rsidRPr="00011EB3" w14:paraId="2BAA3240"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105C1068" w14:textId="77777777" w:rsidR="002A49A4" w:rsidRPr="009A47E2" w:rsidRDefault="002A49A4">
            <w:pPr>
              <w:rPr>
                <w:sz w:val="20"/>
                <w:szCs w:val="20"/>
                <w:lang w:val="en-US"/>
              </w:rPr>
            </w:pPr>
            <w:r w:rsidRPr="009A47E2">
              <w:rPr>
                <w:sz w:val="20"/>
                <w:szCs w:val="20"/>
                <w:lang w:val="en-US"/>
              </w:rPr>
              <w:t>afamelanotide</w:t>
            </w:r>
          </w:p>
        </w:tc>
        <w:tc>
          <w:tcPr>
            <w:tcW w:w="2315" w:type="dxa"/>
          </w:tcPr>
          <w:p w14:paraId="197372EF" w14:textId="77777777" w:rsidR="002A49A4" w:rsidRPr="009A47E2" w:rsidRDefault="002A49A4" w:rsidP="00B84475">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Increase pain-free light exposure in patients with erythropoietic</w:t>
            </w:r>
          </w:p>
          <w:p w14:paraId="36EE1117" w14:textId="7D0CEBAD" w:rsidR="002A49A4" w:rsidRPr="009A47E2" w:rsidRDefault="002A49A4" w:rsidP="00B84475">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protoporphyria</w:t>
            </w:r>
          </w:p>
        </w:tc>
        <w:tc>
          <w:tcPr>
            <w:tcW w:w="2268" w:type="dxa"/>
          </w:tcPr>
          <w:p w14:paraId="661278BE" w14:textId="1EEAD139" w:rsidR="002A49A4" w:rsidRPr="009A47E2" w:rsidRDefault="00636199">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PROs: Likert pain-intensity scale (1+); EPP-QoL (2+); DLQI (2÷)</w:t>
            </w:r>
          </w:p>
        </w:tc>
        <w:tc>
          <w:tcPr>
            <w:tcW w:w="1984" w:type="dxa"/>
          </w:tcPr>
          <w:p w14:paraId="6DAF059C" w14:textId="5D1327E1" w:rsidR="002A49A4" w:rsidRPr="009A47E2" w:rsidRDefault="00636199">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Pain free light exposure (</w:t>
            </w:r>
            <w:r w:rsidR="00162716" w:rsidRPr="009A47E2">
              <w:rPr>
                <w:sz w:val="20"/>
                <w:szCs w:val="20"/>
                <w:lang w:val="en-US"/>
              </w:rPr>
              <w:t xml:space="preserve">based on </w:t>
            </w:r>
            <w:r w:rsidRPr="009A47E2">
              <w:rPr>
                <w:sz w:val="20"/>
                <w:szCs w:val="20"/>
                <w:lang w:val="en-US"/>
              </w:rPr>
              <w:t>Likert pain-intensity scale)</w:t>
            </w:r>
          </w:p>
        </w:tc>
        <w:tc>
          <w:tcPr>
            <w:tcW w:w="4962" w:type="dxa"/>
          </w:tcPr>
          <w:p w14:paraId="6E7723C9" w14:textId="68705B5E" w:rsidR="002A49A4" w:rsidRPr="009A47E2" w:rsidRDefault="004E317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The Applicant has not submitted information to assess whether the QoL tools are fit for purpose and they may not be clinically meaningful</w:t>
            </w:r>
            <w:r w:rsidR="00D86FC8" w:rsidRPr="009A47E2">
              <w:rPr>
                <w:sz w:val="20"/>
                <w:szCs w:val="20"/>
                <w:lang w:val="en-US"/>
              </w:rPr>
              <w:t xml:space="preserve"> </w:t>
            </w:r>
            <w:r w:rsidR="00D86FC8" w:rsidRPr="009A47E2">
              <w:rPr>
                <w:rFonts w:ascii="Wingdings" w:eastAsia="Wingdings" w:hAnsi="Wingdings" w:cs="Wingdings"/>
                <w:sz w:val="20"/>
                <w:szCs w:val="20"/>
                <w:lang w:val="en-US"/>
              </w:rPr>
              <w:t></w:t>
            </w:r>
            <w:r w:rsidR="00D86FC8" w:rsidRPr="009A47E2">
              <w:rPr>
                <w:sz w:val="20"/>
                <w:szCs w:val="20"/>
                <w:lang w:val="en-US"/>
              </w:rPr>
              <w:t xml:space="preserve"> </w:t>
            </w:r>
            <w:r w:rsidRPr="009A47E2">
              <w:rPr>
                <w:sz w:val="20"/>
                <w:szCs w:val="20"/>
                <w:lang w:val="en-US"/>
              </w:rPr>
              <w:t>results not</w:t>
            </w:r>
            <w:r w:rsidR="00D86FC8" w:rsidRPr="009A47E2">
              <w:rPr>
                <w:sz w:val="20"/>
                <w:szCs w:val="20"/>
                <w:lang w:val="en-US"/>
              </w:rPr>
              <w:t xml:space="preserve"> </w:t>
            </w:r>
            <w:r w:rsidRPr="009A47E2">
              <w:rPr>
                <w:sz w:val="20"/>
                <w:szCs w:val="20"/>
                <w:lang w:val="en-US"/>
              </w:rPr>
              <w:t>considered in the overall assessment</w:t>
            </w:r>
          </w:p>
        </w:tc>
      </w:tr>
      <w:tr w:rsidR="000600C0" w:rsidRPr="00011EB3" w14:paraId="59A5D88C"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6E7C4139" w14:textId="77777777" w:rsidR="00DF66B4" w:rsidRPr="009A47E2" w:rsidRDefault="002A49A4">
            <w:pPr>
              <w:rPr>
                <w:b w:val="0"/>
                <w:bCs w:val="0"/>
                <w:sz w:val="20"/>
                <w:szCs w:val="20"/>
                <w:lang w:val="en-US"/>
              </w:rPr>
            </w:pPr>
            <w:r w:rsidRPr="009A47E2">
              <w:rPr>
                <w:sz w:val="20"/>
                <w:szCs w:val="20"/>
                <w:lang w:val="en-US"/>
              </w:rPr>
              <w:t>air polymer-</w:t>
            </w:r>
            <w:r w:rsidR="00B44D27" w:rsidRPr="009A47E2">
              <w:rPr>
                <w:sz w:val="20"/>
                <w:szCs w:val="20"/>
                <w:lang w:val="en-US"/>
              </w:rPr>
              <w:t xml:space="preserve"> </w:t>
            </w:r>
          </w:p>
          <w:p w14:paraId="3B5698B1" w14:textId="1A70A525" w:rsidR="002A49A4" w:rsidRPr="009A47E2" w:rsidRDefault="002A49A4">
            <w:pPr>
              <w:rPr>
                <w:sz w:val="20"/>
                <w:szCs w:val="20"/>
                <w:lang w:val="en-US"/>
              </w:rPr>
            </w:pPr>
            <w:r w:rsidRPr="009A47E2">
              <w:rPr>
                <w:sz w:val="20"/>
                <w:szCs w:val="20"/>
                <w:lang w:val="en-US"/>
              </w:rPr>
              <w:t>type A</w:t>
            </w:r>
          </w:p>
        </w:tc>
        <w:tc>
          <w:tcPr>
            <w:tcW w:w="2315" w:type="dxa"/>
          </w:tcPr>
          <w:p w14:paraId="042C972B" w14:textId="650277DF"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Diagnostic agent for fallopian tube assessment</w:t>
            </w:r>
          </w:p>
        </w:tc>
        <w:tc>
          <w:tcPr>
            <w:tcW w:w="2268" w:type="dxa"/>
          </w:tcPr>
          <w:p w14:paraId="2180D730" w14:textId="4A8FE3B8" w:rsidR="002A49A4" w:rsidRPr="009A47E2" w:rsidRDefault="00000917">
            <w:pPr>
              <w:cnfStyle w:val="000000000000" w:firstRow="0" w:lastRow="0" w:firstColumn="0" w:lastColumn="0" w:oddVBand="0" w:evenVBand="0" w:oddHBand="0" w:evenHBand="0" w:firstRowFirstColumn="0" w:firstRowLastColumn="0" w:lastRowFirstColumn="0" w:lastRowLastColumn="0"/>
              <w:rPr>
                <w:sz w:val="20"/>
                <w:szCs w:val="20"/>
                <w:lang w:val="it-IT"/>
              </w:rPr>
            </w:pPr>
            <w:r w:rsidRPr="009A47E2">
              <w:rPr>
                <w:sz w:val="20"/>
                <w:szCs w:val="20"/>
                <w:lang w:val="it-IT"/>
              </w:rPr>
              <w:t>PRO: VAS pain score (E)</w:t>
            </w:r>
          </w:p>
          <w:p w14:paraId="3DB0106F" w14:textId="789566A7" w:rsidR="00000917" w:rsidRPr="009A47E2" w:rsidRDefault="00000917">
            <w:pPr>
              <w:cnfStyle w:val="000000000000" w:firstRow="0" w:lastRow="0" w:firstColumn="0" w:lastColumn="0" w:oddVBand="0" w:evenVBand="0" w:oddHBand="0" w:evenHBand="0" w:firstRowFirstColumn="0" w:firstRowLastColumn="0" w:lastRowFirstColumn="0" w:lastRowLastColumn="0"/>
              <w:rPr>
                <w:i/>
                <w:sz w:val="20"/>
                <w:szCs w:val="20"/>
                <w:lang w:val="en-US"/>
              </w:rPr>
            </w:pPr>
            <w:r w:rsidRPr="009A47E2">
              <w:rPr>
                <w:i/>
                <w:sz w:val="20"/>
                <w:szCs w:val="20"/>
                <w:lang w:val="en-US"/>
              </w:rPr>
              <w:t xml:space="preserve">ClinRO: </w:t>
            </w:r>
            <w:r w:rsidR="00767907" w:rsidRPr="009A47E2">
              <w:rPr>
                <w:i/>
                <w:sz w:val="20"/>
                <w:szCs w:val="20"/>
                <w:lang w:val="en-US"/>
              </w:rPr>
              <w:t>n</w:t>
            </w:r>
            <w:r w:rsidR="00C46B7B" w:rsidRPr="009A47E2">
              <w:rPr>
                <w:i/>
                <w:sz w:val="20"/>
                <w:szCs w:val="20"/>
                <w:lang w:val="en-US"/>
              </w:rPr>
              <w:t>o</w:t>
            </w:r>
            <w:r w:rsidR="004E6F6F" w:rsidRPr="009A47E2">
              <w:rPr>
                <w:i/>
                <w:sz w:val="20"/>
                <w:szCs w:val="20"/>
                <w:lang w:val="en-US"/>
              </w:rPr>
              <w:t>ne</w:t>
            </w:r>
            <w:r w:rsidR="00C46B7B" w:rsidRPr="009A47E2">
              <w:rPr>
                <w:i/>
                <w:sz w:val="20"/>
                <w:szCs w:val="20"/>
                <w:lang w:val="en-US"/>
              </w:rPr>
              <w:t xml:space="preserve"> identified</w:t>
            </w:r>
          </w:p>
        </w:tc>
        <w:tc>
          <w:tcPr>
            <w:tcW w:w="1984" w:type="dxa"/>
          </w:tcPr>
          <w:p w14:paraId="26733490" w14:textId="771F0576" w:rsidR="002A49A4" w:rsidRPr="009A47E2" w:rsidRDefault="00000917">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5DBCF252" w14:textId="76B2679F" w:rsidR="00000917" w:rsidRPr="009A47E2" w:rsidRDefault="00000917">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Approval based on published studies</w:t>
            </w:r>
          </w:p>
          <w:p w14:paraId="2CB441AB" w14:textId="396E0FEC" w:rsidR="002A49A4" w:rsidRPr="009A47E2" w:rsidRDefault="00C46B7B" w:rsidP="00C46B7B">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As per the PED table, ClinRO data was submitted, however not identified in the FDA Review</w:t>
            </w:r>
          </w:p>
        </w:tc>
      </w:tr>
      <w:tr w:rsidR="000600C0" w:rsidRPr="00011EB3" w14:paraId="1C93819D"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A7161C1" w14:textId="77777777" w:rsidR="002A49A4" w:rsidRPr="009A47E2" w:rsidRDefault="002A49A4">
            <w:pPr>
              <w:rPr>
                <w:sz w:val="20"/>
                <w:szCs w:val="20"/>
                <w:lang w:val="en-US"/>
              </w:rPr>
            </w:pPr>
            <w:r w:rsidRPr="009A47E2">
              <w:rPr>
                <w:sz w:val="20"/>
                <w:szCs w:val="20"/>
                <w:lang w:val="en-US"/>
              </w:rPr>
              <w:t>alpelisib</w:t>
            </w:r>
          </w:p>
        </w:tc>
        <w:tc>
          <w:tcPr>
            <w:tcW w:w="2315" w:type="dxa"/>
          </w:tcPr>
          <w:p w14:paraId="7ABFFC5B" w14:textId="74A78AC2"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Advanced or metastatic breast cancer</w:t>
            </w:r>
          </w:p>
        </w:tc>
        <w:tc>
          <w:tcPr>
            <w:tcW w:w="2268" w:type="dxa"/>
          </w:tcPr>
          <w:p w14:paraId="1CA42928" w14:textId="605186B2" w:rsidR="002A49A4" w:rsidRPr="009A47E2" w:rsidRDefault="003B2F82">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PRO</w:t>
            </w:r>
            <w:r w:rsidR="003C65B0" w:rsidRPr="009A47E2">
              <w:rPr>
                <w:sz w:val="20"/>
                <w:szCs w:val="20"/>
                <w:lang w:val="pt-PT"/>
              </w:rPr>
              <w:t>s</w:t>
            </w:r>
            <w:r w:rsidRPr="009A47E2">
              <w:rPr>
                <w:sz w:val="20"/>
                <w:szCs w:val="20"/>
                <w:lang w:val="pt-PT"/>
              </w:rPr>
              <w:t>: EORTC QLQ-C30</w:t>
            </w:r>
            <w:r w:rsidR="003C65B0" w:rsidRPr="009A47E2">
              <w:rPr>
                <w:sz w:val="20"/>
                <w:szCs w:val="20"/>
                <w:lang w:val="pt-PT"/>
              </w:rPr>
              <w:t xml:space="preserve"> (E);</w:t>
            </w:r>
            <w:r w:rsidRPr="009A47E2">
              <w:rPr>
                <w:sz w:val="20"/>
                <w:szCs w:val="20"/>
                <w:lang w:val="pt-PT"/>
              </w:rPr>
              <w:t xml:space="preserve"> E</w:t>
            </w:r>
            <w:r w:rsidR="00776FDE" w:rsidRPr="009A47E2">
              <w:rPr>
                <w:sz w:val="20"/>
                <w:szCs w:val="20"/>
                <w:lang w:val="pt-PT"/>
              </w:rPr>
              <w:t>Q</w:t>
            </w:r>
            <w:r w:rsidRPr="009A47E2">
              <w:rPr>
                <w:sz w:val="20"/>
                <w:szCs w:val="20"/>
                <w:lang w:val="pt-PT"/>
              </w:rPr>
              <w:t>-5D-5L</w:t>
            </w:r>
            <w:r w:rsidR="003C65B0" w:rsidRPr="009A47E2">
              <w:rPr>
                <w:sz w:val="20"/>
                <w:szCs w:val="20"/>
                <w:lang w:val="pt-PT"/>
              </w:rPr>
              <w:t xml:space="preserve"> (E)</w:t>
            </w:r>
            <w:r w:rsidR="00485CC4" w:rsidRPr="009A47E2">
              <w:rPr>
                <w:sz w:val="20"/>
                <w:szCs w:val="20"/>
                <w:lang w:val="pt-PT"/>
              </w:rPr>
              <w:t>; BPI-SF (E)</w:t>
            </w:r>
          </w:p>
          <w:p w14:paraId="324127B2" w14:textId="4E555BAA" w:rsidR="00485CC4" w:rsidRPr="009A47E2" w:rsidRDefault="00485CC4">
            <w:pPr>
              <w:cnfStyle w:val="000000100000" w:firstRow="0" w:lastRow="0" w:firstColumn="0" w:lastColumn="0" w:oddVBand="0" w:evenVBand="0" w:oddHBand="1" w:evenHBand="0" w:firstRowFirstColumn="0" w:firstRowLastColumn="0" w:lastRowFirstColumn="0" w:lastRowLastColumn="0"/>
              <w:rPr>
                <w:i/>
                <w:sz w:val="20"/>
                <w:szCs w:val="20"/>
                <w:lang w:val="pt-PT"/>
              </w:rPr>
            </w:pPr>
            <w:r w:rsidRPr="009A47E2">
              <w:rPr>
                <w:i/>
                <w:sz w:val="20"/>
                <w:szCs w:val="20"/>
                <w:lang w:val="pt-PT"/>
              </w:rPr>
              <w:t>ClinRO:</w:t>
            </w:r>
            <w:r w:rsidRPr="009A47E2">
              <w:rPr>
                <w:i/>
                <w:sz w:val="20"/>
                <w:szCs w:val="20"/>
              </w:rPr>
              <w:t xml:space="preserve"> </w:t>
            </w:r>
            <w:r w:rsidRPr="009A47E2">
              <w:rPr>
                <w:i/>
                <w:sz w:val="20"/>
                <w:szCs w:val="20"/>
                <w:lang w:val="pt-PT"/>
              </w:rPr>
              <w:t>EGOC-PS (E)</w:t>
            </w:r>
          </w:p>
        </w:tc>
        <w:tc>
          <w:tcPr>
            <w:tcW w:w="1984" w:type="dxa"/>
          </w:tcPr>
          <w:p w14:paraId="089C9C3A" w14:textId="6B4ECB48" w:rsidR="002A49A4" w:rsidRPr="009A47E2" w:rsidRDefault="003C65B0">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w:t>
            </w:r>
          </w:p>
        </w:tc>
        <w:tc>
          <w:tcPr>
            <w:tcW w:w="4962" w:type="dxa"/>
          </w:tcPr>
          <w:p w14:paraId="75EAC43B" w14:textId="0D09E304" w:rsidR="003C65B0" w:rsidRPr="009A47E2" w:rsidRDefault="003C65B0">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 analyses not controlled for multiple comparisons, and therefore considered exploratory</w:t>
            </w:r>
          </w:p>
          <w:p w14:paraId="7B221843" w14:textId="691E8FB5" w:rsidR="002A49A4" w:rsidRPr="009A47E2" w:rsidRDefault="003C65B0">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The review of the PRO results did not identify a large decrement in symptoms or function that would materially alter the overall favorable B/R determination</w:t>
            </w:r>
          </w:p>
        </w:tc>
      </w:tr>
      <w:tr w:rsidR="000600C0" w:rsidRPr="00011EB3" w14:paraId="11AF1B56"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61E01317" w14:textId="046351A3" w:rsidR="002A49A4" w:rsidRPr="009A47E2" w:rsidRDefault="002A49A4">
            <w:pPr>
              <w:rPr>
                <w:sz w:val="20"/>
                <w:szCs w:val="20"/>
                <w:lang w:val="en-US"/>
              </w:rPr>
            </w:pPr>
            <w:bookmarkStart w:id="1" w:name="_Hlk35510836"/>
            <w:r w:rsidRPr="009A47E2">
              <w:rPr>
                <w:sz w:val="20"/>
                <w:szCs w:val="20"/>
                <w:lang w:val="en-US"/>
              </w:rPr>
              <w:t>bremelanotide</w:t>
            </w:r>
            <w:bookmarkEnd w:id="1"/>
          </w:p>
        </w:tc>
        <w:tc>
          <w:tcPr>
            <w:tcW w:w="2315" w:type="dxa"/>
          </w:tcPr>
          <w:p w14:paraId="6C4935E4" w14:textId="22F5D0B1"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Hypoactive sexual desire disorder in premenopausal women</w:t>
            </w:r>
          </w:p>
        </w:tc>
        <w:tc>
          <w:tcPr>
            <w:tcW w:w="2268" w:type="dxa"/>
          </w:tcPr>
          <w:p w14:paraId="4FA5522E" w14:textId="50484BAF"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PROs: FSFI-D Q1&amp;2 (1+); FSDS-DAO Q13 (1+); number of SSEs as measured by FSEP-R Q10 (2</w:t>
            </w:r>
            <w:r w:rsidRPr="009A47E2">
              <w:rPr>
                <w:rFonts w:cstheme="minorHAnsi"/>
                <w:sz w:val="20"/>
                <w:szCs w:val="20"/>
                <w:lang w:val="en-US"/>
              </w:rPr>
              <w:t>÷</w:t>
            </w:r>
            <w:r w:rsidRPr="009A47E2">
              <w:rPr>
                <w:sz w:val="20"/>
                <w:szCs w:val="20"/>
                <w:lang w:val="en-US"/>
              </w:rPr>
              <w:t>); EDQ (E); GAQ (E)</w:t>
            </w:r>
            <w:r w:rsidR="003A16EC" w:rsidRPr="009A47E2">
              <w:rPr>
                <w:sz w:val="20"/>
                <w:szCs w:val="20"/>
                <w:lang w:val="en-US"/>
              </w:rPr>
              <w:t xml:space="preserve">; </w:t>
            </w:r>
            <w:r w:rsidR="009B6E48" w:rsidRPr="009A47E2">
              <w:rPr>
                <w:sz w:val="20"/>
                <w:szCs w:val="20"/>
                <w:lang w:val="en-US"/>
              </w:rPr>
              <w:t xml:space="preserve">WITS-9 (E); </w:t>
            </w:r>
            <w:r w:rsidR="00EB76EB" w:rsidRPr="009A47E2">
              <w:rPr>
                <w:sz w:val="20"/>
                <w:szCs w:val="20"/>
                <w:lang w:val="en-US"/>
              </w:rPr>
              <w:t>BSS (S</w:t>
            </w:r>
            <w:r w:rsidRPr="009A47E2">
              <w:rPr>
                <w:sz w:val="20"/>
                <w:szCs w:val="20"/>
                <w:lang w:val="en-US"/>
              </w:rPr>
              <w:t>)</w:t>
            </w:r>
            <w:r w:rsidR="006341E9" w:rsidRPr="009A47E2">
              <w:rPr>
                <w:sz w:val="20"/>
                <w:szCs w:val="20"/>
                <w:lang w:val="en-US"/>
              </w:rPr>
              <w:t xml:space="preserve">; </w:t>
            </w:r>
            <w:r w:rsidR="002420BB" w:rsidRPr="009A47E2">
              <w:rPr>
                <w:sz w:val="20"/>
                <w:szCs w:val="20"/>
                <w:lang w:val="en-US"/>
              </w:rPr>
              <w:t>v</w:t>
            </w:r>
            <w:r w:rsidR="006341E9" w:rsidRPr="009A47E2">
              <w:rPr>
                <w:sz w:val="20"/>
                <w:szCs w:val="20"/>
                <w:lang w:val="en-US"/>
              </w:rPr>
              <w:t>arious “Drug liking” measures (S)</w:t>
            </w:r>
          </w:p>
        </w:tc>
        <w:tc>
          <w:tcPr>
            <w:tcW w:w="1984" w:type="dxa"/>
          </w:tcPr>
          <w:p w14:paraId="3FA0FAF0" w14:textId="77777777" w:rsidR="0092305C" w:rsidRPr="003A1D03" w:rsidRDefault="002A49A4" w:rsidP="00FA0D23">
            <w:pPr>
              <w:cnfStyle w:val="000000000000" w:firstRow="0" w:lastRow="0" w:firstColumn="0" w:lastColumn="0" w:oddVBand="0" w:evenVBand="0" w:oddHBand="0" w:evenHBand="0" w:firstRowFirstColumn="0" w:firstRowLastColumn="0" w:lastRowFirstColumn="0" w:lastRowLastColumn="0"/>
              <w:rPr>
                <w:sz w:val="20"/>
                <w:szCs w:val="20"/>
              </w:rPr>
            </w:pPr>
            <w:r w:rsidRPr="003A1D03">
              <w:rPr>
                <w:sz w:val="20"/>
                <w:szCs w:val="20"/>
              </w:rPr>
              <w:t xml:space="preserve">FSFI-D Q1&amp;2; FSDS-DAO Q13; </w:t>
            </w:r>
            <w:bookmarkStart w:id="2" w:name="_Hlk35510866"/>
          </w:p>
          <w:p w14:paraId="144E8D59" w14:textId="082F1584" w:rsidR="002A49A4" w:rsidRPr="009A47E2" w:rsidRDefault="002A49A4" w:rsidP="00FA0D23">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sign</w:t>
            </w:r>
            <w:r w:rsidR="00FA0D23" w:rsidRPr="009A47E2">
              <w:rPr>
                <w:sz w:val="20"/>
                <w:szCs w:val="20"/>
                <w:lang w:val="en-US"/>
              </w:rPr>
              <w:t>.</w:t>
            </w:r>
            <w:r w:rsidRPr="009A47E2">
              <w:rPr>
                <w:sz w:val="20"/>
                <w:szCs w:val="20"/>
                <w:lang w:val="en-US"/>
              </w:rPr>
              <w:t xml:space="preserve"> difference in n</w:t>
            </w:r>
            <w:r w:rsidR="00FA0D23" w:rsidRPr="009A47E2">
              <w:rPr>
                <w:sz w:val="20"/>
                <w:szCs w:val="20"/>
                <w:lang w:val="en-US"/>
              </w:rPr>
              <w:t>o.</w:t>
            </w:r>
            <w:r w:rsidRPr="009A47E2">
              <w:rPr>
                <w:sz w:val="20"/>
                <w:szCs w:val="20"/>
                <w:lang w:val="en-US"/>
              </w:rPr>
              <w:t xml:space="preserve"> of SSEs</w:t>
            </w:r>
            <w:bookmarkEnd w:id="2"/>
          </w:p>
        </w:tc>
        <w:tc>
          <w:tcPr>
            <w:tcW w:w="4962" w:type="dxa"/>
          </w:tcPr>
          <w:p w14:paraId="52D94816" w14:textId="4F6F89B8"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rationale provided for including label statement on lack of difference in number of SSEs.</w:t>
            </w:r>
          </w:p>
          <w:p w14:paraId="28BA481F" w14:textId="77777777"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EDQ and GAQ “</w:t>
            </w:r>
            <w:r w:rsidRPr="009A47E2">
              <w:rPr>
                <w:i/>
                <w:sz w:val="20"/>
                <w:szCs w:val="20"/>
                <w:lang w:val="en-US"/>
              </w:rPr>
              <w:t>provided supportive data but were not sufficiently robust to support labeling claims</w:t>
            </w:r>
            <w:r w:rsidRPr="009A47E2">
              <w:rPr>
                <w:sz w:val="20"/>
                <w:szCs w:val="20"/>
                <w:lang w:val="en-US"/>
              </w:rPr>
              <w:t>”</w:t>
            </w:r>
          </w:p>
          <w:p w14:paraId="2491529F" w14:textId="39DA4C8A" w:rsidR="009B6E48" w:rsidRPr="009A47E2" w:rsidRDefault="00CE468C">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The pivotal studies</w:t>
            </w:r>
            <w:r w:rsidR="009B6E48" w:rsidRPr="009A47E2">
              <w:rPr>
                <w:sz w:val="20"/>
                <w:szCs w:val="20"/>
                <w:lang w:val="en-US"/>
              </w:rPr>
              <w:t xml:space="preserve"> include</w:t>
            </w:r>
            <w:r w:rsidRPr="009A47E2">
              <w:rPr>
                <w:sz w:val="20"/>
                <w:szCs w:val="20"/>
                <w:lang w:val="en-US"/>
              </w:rPr>
              <w:t>d</w:t>
            </w:r>
            <w:r w:rsidR="009B6E48" w:rsidRPr="009A47E2">
              <w:rPr>
                <w:sz w:val="20"/>
                <w:szCs w:val="20"/>
                <w:lang w:val="en-US"/>
              </w:rPr>
              <w:t xml:space="preserve"> a treatment satisfaction PRO (</w:t>
            </w:r>
            <w:r w:rsidR="009B6E48" w:rsidRPr="009A47E2">
              <w:rPr>
                <w:sz w:val="20"/>
                <w:szCs w:val="20"/>
                <w:lang w:val="en-GB"/>
              </w:rPr>
              <w:t xml:space="preserve">Women’s inventory of treatment satisfaction; </w:t>
            </w:r>
            <w:r w:rsidR="009B6E48" w:rsidRPr="009A47E2">
              <w:rPr>
                <w:sz w:val="20"/>
                <w:szCs w:val="20"/>
                <w:lang w:val="en-US"/>
              </w:rPr>
              <w:t>WITS-9</w:t>
            </w:r>
            <w:r w:rsidR="009B6E48" w:rsidRPr="009A47E2">
              <w:rPr>
                <w:sz w:val="20"/>
                <w:szCs w:val="20"/>
                <w:lang w:val="en-GB"/>
              </w:rPr>
              <w:t>)</w:t>
            </w:r>
            <w:r w:rsidRPr="009A47E2">
              <w:rPr>
                <w:sz w:val="20"/>
                <w:szCs w:val="20"/>
                <w:lang w:val="en-GB"/>
              </w:rPr>
              <w:t>, but this PRO is not discussed in the FDA Review</w:t>
            </w:r>
          </w:p>
        </w:tc>
      </w:tr>
      <w:tr w:rsidR="000600C0" w:rsidRPr="00011EB3" w14:paraId="6805640F"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5B85C6E" w14:textId="77777777" w:rsidR="002A49A4" w:rsidRPr="009A47E2" w:rsidRDefault="002A49A4">
            <w:pPr>
              <w:rPr>
                <w:sz w:val="20"/>
                <w:szCs w:val="20"/>
                <w:lang w:val="en-US"/>
              </w:rPr>
            </w:pPr>
            <w:r w:rsidRPr="009A47E2">
              <w:rPr>
                <w:sz w:val="20"/>
                <w:szCs w:val="20"/>
                <w:lang w:val="en-US"/>
              </w:rPr>
              <w:t>brexanolone</w:t>
            </w:r>
          </w:p>
        </w:tc>
        <w:tc>
          <w:tcPr>
            <w:tcW w:w="2315" w:type="dxa"/>
          </w:tcPr>
          <w:p w14:paraId="0CBEA58E" w14:textId="40B2B393"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Postpartum depression</w:t>
            </w:r>
          </w:p>
        </w:tc>
        <w:tc>
          <w:tcPr>
            <w:tcW w:w="2268" w:type="dxa"/>
          </w:tcPr>
          <w:p w14:paraId="48639CCC" w14:textId="02110A5B" w:rsidR="002A49A4" w:rsidRPr="00CA7D8F" w:rsidRDefault="002A49A4" w:rsidP="003A509F">
            <w:pPr>
              <w:cnfStyle w:val="000000100000" w:firstRow="0" w:lastRow="0" w:firstColumn="0" w:lastColumn="0" w:oddVBand="0" w:evenVBand="0" w:oddHBand="1" w:evenHBand="0" w:firstRowFirstColumn="0" w:firstRowLastColumn="0" w:lastRowFirstColumn="0" w:lastRowLastColumn="0"/>
              <w:rPr>
                <w:sz w:val="20"/>
                <w:szCs w:val="20"/>
                <w:lang w:val="pt-PT"/>
              </w:rPr>
            </w:pPr>
            <w:r w:rsidRPr="00CA7D8F">
              <w:rPr>
                <w:sz w:val="20"/>
                <w:szCs w:val="20"/>
                <w:lang w:val="pt-PT"/>
              </w:rPr>
              <w:t>PROs: EPDS (E); GAD-7 (E); PHQ-9 (E); BIMF (E); SF-36 (E); HCRU (E)</w:t>
            </w:r>
            <w:r w:rsidR="005748A6" w:rsidRPr="00CA7D8F">
              <w:rPr>
                <w:sz w:val="20"/>
                <w:szCs w:val="20"/>
                <w:lang w:val="pt-PT"/>
              </w:rPr>
              <w:t xml:space="preserve">; </w:t>
            </w:r>
            <w:r w:rsidR="00F93F8D" w:rsidRPr="00CA7D8F">
              <w:rPr>
                <w:sz w:val="20"/>
                <w:szCs w:val="20"/>
                <w:lang w:val="pt-PT"/>
              </w:rPr>
              <w:t xml:space="preserve">StSS (S); </w:t>
            </w:r>
            <w:r w:rsidR="005748A6" w:rsidRPr="00CA7D8F">
              <w:rPr>
                <w:sz w:val="20"/>
                <w:szCs w:val="20"/>
                <w:lang w:val="pt-PT"/>
              </w:rPr>
              <w:t>“Drug Liking” scores (S)</w:t>
            </w:r>
          </w:p>
          <w:p w14:paraId="08E1F7E7" w14:textId="40E17028" w:rsidR="002A49A4" w:rsidRPr="009A47E2" w:rsidRDefault="002A49A4" w:rsidP="003A509F">
            <w:pPr>
              <w:cnfStyle w:val="000000100000" w:firstRow="0" w:lastRow="0" w:firstColumn="0" w:lastColumn="0" w:oddVBand="0" w:evenVBand="0" w:oddHBand="1" w:evenHBand="0" w:firstRowFirstColumn="0" w:firstRowLastColumn="0" w:lastRowFirstColumn="0" w:lastRowLastColumn="0"/>
              <w:rPr>
                <w:sz w:val="20"/>
                <w:szCs w:val="20"/>
              </w:rPr>
            </w:pPr>
            <w:r w:rsidRPr="009A47E2">
              <w:rPr>
                <w:sz w:val="20"/>
                <w:szCs w:val="20"/>
              </w:rPr>
              <w:t>ClinROs: HAM-D (1+); CGI-I (E)</w:t>
            </w:r>
          </w:p>
        </w:tc>
        <w:tc>
          <w:tcPr>
            <w:tcW w:w="1984" w:type="dxa"/>
          </w:tcPr>
          <w:p w14:paraId="5D29F249" w14:textId="170E08CC"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577FB5CB">
              <w:rPr>
                <w:sz w:val="20"/>
                <w:szCs w:val="20"/>
                <w:lang w:val="en-US"/>
              </w:rPr>
              <w:t>HAM-D</w:t>
            </w:r>
          </w:p>
          <w:p w14:paraId="27E38D1F" w14:textId="77777777" w:rsidR="005748A6" w:rsidRPr="009A47E2" w:rsidRDefault="005748A6">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5FF01F0D" w14:textId="54DF637E" w:rsidR="005748A6" w:rsidRPr="009A47E2" w:rsidRDefault="005748A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Safety: Various “Drug Liking” measures</w:t>
            </w:r>
          </w:p>
        </w:tc>
        <w:tc>
          <w:tcPr>
            <w:tcW w:w="4962" w:type="dxa"/>
          </w:tcPr>
          <w:p w14:paraId="496D6CAA" w14:textId="3166342A"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The Applicant is seeking labeling claim based on CGI-I</w:t>
            </w:r>
            <w:r w:rsidRPr="009A47E2">
              <w:rPr>
                <w:sz w:val="20"/>
                <w:szCs w:val="20"/>
                <w:lang w:val="en-US"/>
              </w:rPr>
              <w:t xml:space="preserve">” </w:t>
            </w:r>
          </w:p>
          <w:p w14:paraId="3122D7D7" w14:textId="123A0FD5" w:rsidR="00F93F8D"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No rationale included to explain why labeling claim not obtained.</w:t>
            </w:r>
          </w:p>
          <w:p w14:paraId="19E4102A" w14:textId="21248CCB" w:rsidR="00F93F8D" w:rsidRPr="009A47E2" w:rsidRDefault="00F93F8D">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The C-SSRS (ClinRO) was part of the regular safety assessment</w:t>
            </w:r>
          </w:p>
        </w:tc>
      </w:tr>
      <w:tr w:rsidR="000600C0" w:rsidRPr="00011EB3" w14:paraId="485E7232"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D953835" w14:textId="77777777" w:rsidR="00DF66B4" w:rsidRPr="009A47E2" w:rsidRDefault="002A49A4">
            <w:pPr>
              <w:rPr>
                <w:b w:val="0"/>
                <w:bCs w:val="0"/>
                <w:sz w:val="20"/>
                <w:szCs w:val="20"/>
                <w:lang w:val="en-US"/>
              </w:rPr>
            </w:pPr>
            <w:r w:rsidRPr="009A47E2">
              <w:rPr>
                <w:sz w:val="20"/>
                <w:szCs w:val="20"/>
                <w:lang w:val="en-US"/>
              </w:rPr>
              <w:t xml:space="preserve">brilliant </w:t>
            </w:r>
          </w:p>
          <w:p w14:paraId="31DC8B09" w14:textId="2FDF1E2C" w:rsidR="002A49A4" w:rsidRPr="009A47E2" w:rsidRDefault="002A49A4">
            <w:pPr>
              <w:rPr>
                <w:sz w:val="20"/>
                <w:szCs w:val="20"/>
                <w:lang w:val="en-US"/>
              </w:rPr>
            </w:pPr>
            <w:r w:rsidRPr="009A47E2">
              <w:rPr>
                <w:sz w:val="20"/>
                <w:szCs w:val="20"/>
                <w:lang w:val="en-US"/>
              </w:rPr>
              <w:t xml:space="preserve">blue G </w:t>
            </w:r>
          </w:p>
        </w:tc>
        <w:tc>
          <w:tcPr>
            <w:tcW w:w="2315" w:type="dxa"/>
          </w:tcPr>
          <w:p w14:paraId="74CEAE36" w14:textId="561BF8AA"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Dye used in eye surgery</w:t>
            </w:r>
          </w:p>
        </w:tc>
        <w:tc>
          <w:tcPr>
            <w:tcW w:w="2268" w:type="dxa"/>
          </w:tcPr>
          <w:p w14:paraId="28722C82" w14:textId="386D3D0B" w:rsidR="00C4576D" w:rsidRPr="003A1D03" w:rsidRDefault="00786FE4" w:rsidP="00C4576D">
            <w:pPr>
              <w:cnfStyle w:val="000000000000" w:firstRow="0" w:lastRow="0" w:firstColumn="0" w:lastColumn="0" w:oddVBand="0" w:evenVBand="0" w:oddHBand="0" w:evenHBand="0" w:firstRowFirstColumn="0" w:firstRowLastColumn="0" w:lastRowFirstColumn="0" w:lastRowLastColumn="0"/>
              <w:rPr>
                <w:sz w:val="20"/>
                <w:szCs w:val="20"/>
                <w:lang w:val="en-GB"/>
              </w:rPr>
            </w:pPr>
            <w:r w:rsidRPr="3EB3762B">
              <w:rPr>
                <w:sz w:val="20"/>
                <w:szCs w:val="20"/>
                <w:lang w:val="en-US"/>
              </w:rPr>
              <w:t>ClinROs:</w:t>
            </w:r>
            <w:r w:rsidR="00C4576D" w:rsidRPr="3EB3762B">
              <w:rPr>
                <w:sz w:val="20"/>
                <w:szCs w:val="20"/>
                <w:lang w:val="en-US"/>
              </w:rPr>
              <w:t xml:space="preserve"> </w:t>
            </w:r>
            <w:r w:rsidR="00C4576D" w:rsidRPr="003A1D03">
              <w:rPr>
                <w:sz w:val="20"/>
                <w:szCs w:val="20"/>
                <w:lang w:val="en-GB"/>
              </w:rPr>
              <w:t>slit-lamp biomicroscopy</w:t>
            </w:r>
            <w:r w:rsidR="558E2EA0" w:rsidRPr="003A1D03">
              <w:rPr>
                <w:sz w:val="20"/>
                <w:szCs w:val="20"/>
                <w:lang w:val="en-GB"/>
              </w:rPr>
              <w:t xml:space="preserve"> (1)</w:t>
            </w:r>
            <w:r w:rsidR="00C4576D" w:rsidRPr="3EB3762B">
              <w:rPr>
                <w:sz w:val="20"/>
                <w:szCs w:val="20"/>
                <w:lang w:val="en-US"/>
              </w:rPr>
              <w:t xml:space="preserve">; </w:t>
            </w:r>
            <w:r w:rsidR="00C4576D" w:rsidRPr="003A1D03">
              <w:rPr>
                <w:sz w:val="20"/>
                <w:szCs w:val="20"/>
                <w:lang w:val="en-GB"/>
              </w:rPr>
              <w:t>Surgeon’s Intraope</w:t>
            </w:r>
            <w:r w:rsidR="00C4576D" w:rsidRPr="3EB3762B">
              <w:rPr>
                <w:sz w:val="20"/>
                <w:szCs w:val="20"/>
                <w:lang w:val="en-US"/>
              </w:rPr>
              <w:t>-</w:t>
            </w:r>
            <w:r w:rsidR="00C4576D" w:rsidRPr="003A1D03">
              <w:rPr>
                <w:sz w:val="20"/>
                <w:szCs w:val="20"/>
                <w:lang w:val="en-GB"/>
              </w:rPr>
              <w:t>rative Assessment of Facility of Dye Usage</w:t>
            </w:r>
            <w:r w:rsidR="2A25B1C6" w:rsidRPr="003A1D03">
              <w:rPr>
                <w:sz w:val="20"/>
                <w:szCs w:val="20"/>
                <w:lang w:val="en-GB"/>
              </w:rPr>
              <w:t xml:space="preserve"> (1)</w:t>
            </w:r>
          </w:p>
          <w:p w14:paraId="37FE3492" w14:textId="339EA31A" w:rsidR="002A49A4" w:rsidRPr="009A47E2" w:rsidRDefault="00C4576D" w:rsidP="3EB3762B">
            <w:pPr>
              <w:cnfStyle w:val="000000000000" w:firstRow="0" w:lastRow="0" w:firstColumn="0" w:lastColumn="0" w:oddVBand="0" w:evenVBand="0" w:oddHBand="0" w:evenHBand="0" w:firstRowFirstColumn="0" w:firstRowLastColumn="0" w:lastRowFirstColumn="0" w:lastRowLastColumn="0"/>
              <w:rPr>
                <w:i/>
                <w:iCs/>
                <w:sz w:val="20"/>
                <w:szCs w:val="20"/>
              </w:rPr>
            </w:pPr>
            <w:r w:rsidRPr="3EB3762B">
              <w:rPr>
                <w:i/>
                <w:iCs/>
                <w:sz w:val="20"/>
                <w:szCs w:val="20"/>
              </w:rPr>
              <w:t>PerfO: BCVA/VA</w:t>
            </w:r>
            <w:r w:rsidR="5C038229" w:rsidRPr="3EB3762B">
              <w:rPr>
                <w:i/>
                <w:iCs/>
                <w:sz w:val="20"/>
                <w:szCs w:val="20"/>
              </w:rPr>
              <w:t xml:space="preserve"> (1)</w:t>
            </w:r>
          </w:p>
        </w:tc>
        <w:tc>
          <w:tcPr>
            <w:tcW w:w="1984" w:type="dxa"/>
          </w:tcPr>
          <w:p w14:paraId="2E338EB2" w14:textId="3CE099D4" w:rsidR="002A49A4" w:rsidRPr="009A47E2" w:rsidRDefault="0090706B">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1F41C8EF" w14:textId="40C049A5" w:rsidR="002A49A4" w:rsidRPr="009A47E2" w:rsidRDefault="00786FE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505b2 application based on literature only. The approval was supported by 12 published studies</w:t>
            </w:r>
          </w:p>
          <w:p w14:paraId="7C325577" w14:textId="0BBB0113" w:rsidR="00C4576D" w:rsidRPr="009A47E2" w:rsidRDefault="00C4576D">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Limited description of individual endpoints (primary, secondary, or exploratory) in FDA Review</w:t>
            </w:r>
          </w:p>
          <w:p w14:paraId="0AF60B59" w14:textId="1C1BC09B" w:rsidR="002A49A4" w:rsidRPr="009A47E2" w:rsidRDefault="00786FE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clinical studies described in the label.</w:t>
            </w:r>
          </w:p>
        </w:tc>
      </w:tr>
      <w:tr w:rsidR="000600C0" w:rsidRPr="00011EB3" w14:paraId="68E3EEF1"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A4FD3AF" w14:textId="52FE354A" w:rsidR="002A49A4" w:rsidRPr="009A47E2" w:rsidRDefault="00EA6CB6">
            <w:pPr>
              <w:rPr>
                <w:sz w:val="20"/>
                <w:szCs w:val="20"/>
                <w:lang w:val="en-US"/>
              </w:rPr>
            </w:pPr>
            <w:r w:rsidRPr="009A47E2">
              <w:rPr>
                <w:sz w:val="20"/>
                <w:szCs w:val="20"/>
                <w:lang w:val="en-US"/>
              </w:rPr>
              <w:t>b</w:t>
            </w:r>
            <w:r w:rsidR="002A49A4" w:rsidRPr="009A47E2">
              <w:rPr>
                <w:sz w:val="20"/>
                <w:szCs w:val="20"/>
                <w:lang w:val="en-US"/>
              </w:rPr>
              <w:t>rolucizumab</w:t>
            </w:r>
          </w:p>
        </w:tc>
        <w:tc>
          <w:tcPr>
            <w:tcW w:w="2315" w:type="dxa"/>
          </w:tcPr>
          <w:p w14:paraId="1378D384" w14:textId="7B5F8E3B"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Wet age-related macular degeneration</w:t>
            </w:r>
          </w:p>
        </w:tc>
        <w:tc>
          <w:tcPr>
            <w:tcW w:w="2268" w:type="dxa"/>
          </w:tcPr>
          <w:p w14:paraId="26C672C4" w14:textId="166ACEFD" w:rsidR="004F18D4" w:rsidRPr="009A47E2" w:rsidRDefault="004F18D4" w:rsidP="004F18D4">
            <w:pPr>
              <w:cnfStyle w:val="000000100000" w:firstRow="0" w:lastRow="0" w:firstColumn="0" w:lastColumn="0" w:oddVBand="0" w:evenVBand="0" w:oddHBand="1" w:evenHBand="0" w:firstRowFirstColumn="0" w:firstRowLastColumn="0" w:lastRowFirstColumn="0" w:lastRowLastColumn="0"/>
              <w:rPr>
                <w:i/>
                <w:sz w:val="20"/>
                <w:szCs w:val="20"/>
                <w:lang w:val="it-IT"/>
              </w:rPr>
            </w:pPr>
            <w:r w:rsidRPr="009A47E2">
              <w:rPr>
                <w:i/>
                <w:sz w:val="20"/>
                <w:szCs w:val="20"/>
                <w:lang w:val="it-IT"/>
              </w:rPr>
              <w:t>PRO: VFQ-25</w:t>
            </w:r>
            <w:r w:rsidR="00EA0AC7" w:rsidRPr="009A47E2">
              <w:rPr>
                <w:i/>
                <w:sz w:val="20"/>
                <w:szCs w:val="20"/>
                <w:lang w:val="it-IT"/>
              </w:rPr>
              <w:t xml:space="preserve"> (E)</w:t>
            </w:r>
          </w:p>
          <w:p w14:paraId="1D573ADC" w14:textId="5B3F9991" w:rsidR="002A49A4" w:rsidRPr="009A47E2" w:rsidRDefault="004F18D4" w:rsidP="004F18D4">
            <w:pPr>
              <w:cnfStyle w:val="000000100000" w:firstRow="0" w:lastRow="0" w:firstColumn="0" w:lastColumn="0" w:oddVBand="0" w:evenVBand="0" w:oddHBand="1" w:evenHBand="0" w:firstRowFirstColumn="0" w:firstRowLastColumn="0" w:lastRowFirstColumn="0" w:lastRowLastColumn="0"/>
              <w:rPr>
                <w:sz w:val="20"/>
                <w:szCs w:val="20"/>
                <w:lang w:val="it-IT"/>
              </w:rPr>
            </w:pPr>
            <w:r w:rsidRPr="009A47E2">
              <w:rPr>
                <w:sz w:val="20"/>
                <w:szCs w:val="20"/>
                <w:lang w:val="it-IT"/>
              </w:rPr>
              <w:t>PerfO: ETDRS</w:t>
            </w:r>
            <w:r w:rsidR="00EA0AC7" w:rsidRPr="009A47E2">
              <w:rPr>
                <w:sz w:val="20"/>
                <w:szCs w:val="20"/>
                <w:lang w:val="it-IT"/>
              </w:rPr>
              <w:t xml:space="preserve"> (1+)</w:t>
            </w:r>
          </w:p>
        </w:tc>
        <w:tc>
          <w:tcPr>
            <w:tcW w:w="1984" w:type="dxa"/>
          </w:tcPr>
          <w:p w14:paraId="3679BD79" w14:textId="1945E5C2" w:rsidR="002A49A4" w:rsidRPr="009A47E2" w:rsidRDefault="00EA0AC7">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ET</w:t>
            </w:r>
            <w:r w:rsidR="007817DC" w:rsidRPr="009A47E2">
              <w:rPr>
                <w:sz w:val="20"/>
                <w:szCs w:val="20"/>
                <w:lang w:val="en-US"/>
              </w:rPr>
              <w:t>D</w:t>
            </w:r>
            <w:r w:rsidRPr="009A47E2">
              <w:rPr>
                <w:sz w:val="20"/>
                <w:szCs w:val="20"/>
                <w:lang w:val="en-US"/>
              </w:rPr>
              <w:t>RS</w:t>
            </w:r>
          </w:p>
        </w:tc>
        <w:tc>
          <w:tcPr>
            <w:tcW w:w="4962" w:type="dxa"/>
          </w:tcPr>
          <w:p w14:paraId="7766A398" w14:textId="55A6155A" w:rsidR="002A49A4" w:rsidRPr="009A47E2" w:rsidRDefault="00046079">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PED table only specifies that a PerfO was included</w:t>
            </w:r>
          </w:p>
        </w:tc>
      </w:tr>
      <w:tr w:rsidR="000600C0" w:rsidRPr="00011EB3" w14:paraId="5F3C7E86"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0B529016" w14:textId="323E5A5F" w:rsidR="002A49A4" w:rsidRPr="009A47E2" w:rsidRDefault="002A49A4">
            <w:pPr>
              <w:rPr>
                <w:sz w:val="20"/>
                <w:szCs w:val="20"/>
                <w:lang w:val="en-US"/>
              </w:rPr>
            </w:pPr>
            <w:r w:rsidRPr="009A47E2">
              <w:rPr>
                <w:sz w:val="20"/>
                <w:szCs w:val="20"/>
                <w:lang w:val="en-US"/>
              </w:rPr>
              <w:t>caplacizumab</w:t>
            </w:r>
          </w:p>
        </w:tc>
        <w:tc>
          <w:tcPr>
            <w:tcW w:w="2315" w:type="dxa"/>
          </w:tcPr>
          <w:p w14:paraId="796E4B1E" w14:textId="6FB5FC9F"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Acquired thrombotic thrombocytopenic purpura</w:t>
            </w:r>
          </w:p>
        </w:tc>
        <w:tc>
          <w:tcPr>
            <w:tcW w:w="2268" w:type="dxa"/>
          </w:tcPr>
          <w:p w14:paraId="1744C7C5" w14:textId="464C59FF" w:rsidR="002A49A4" w:rsidRPr="009A47E2" w:rsidRDefault="008457E1">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1984" w:type="dxa"/>
          </w:tcPr>
          <w:p w14:paraId="44B08C6F" w14:textId="7A25580F" w:rsidR="002A49A4" w:rsidRPr="009A47E2" w:rsidRDefault="008457E1">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44085D2F" w14:textId="05B04225" w:rsidR="002A49A4" w:rsidRPr="009A47E2" w:rsidRDefault="008457E1">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PED submitted as part of application as stated in PED table</w:t>
            </w:r>
          </w:p>
        </w:tc>
      </w:tr>
      <w:tr w:rsidR="000600C0" w:rsidRPr="00011EB3" w14:paraId="03D14D69"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ECEC202" w14:textId="77777777" w:rsidR="002A49A4" w:rsidRPr="009A47E2" w:rsidRDefault="002A49A4">
            <w:pPr>
              <w:rPr>
                <w:sz w:val="20"/>
                <w:szCs w:val="20"/>
                <w:lang w:val="en-US"/>
              </w:rPr>
            </w:pPr>
            <w:r w:rsidRPr="009A47E2">
              <w:rPr>
                <w:sz w:val="20"/>
                <w:szCs w:val="20"/>
                <w:lang w:val="en-US"/>
              </w:rPr>
              <w:t>cefiderocol</w:t>
            </w:r>
          </w:p>
        </w:tc>
        <w:tc>
          <w:tcPr>
            <w:tcW w:w="2315" w:type="dxa"/>
          </w:tcPr>
          <w:p w14:paraId="4CF58CB6" w14:textId="3A55AC2B"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Complicated urinary tract infection</w:t>
            </w:r>
          </w:p>
        </w:tc>
        <w:tc>
          <w:tcPr>
            <w:tcW w:w="2268" w:type="dxa"/>
          </w:tcPr>
          <w:p w14:paraId="0323EE9F" w14:textId="305BE5CA" w:rsidR="002A49A4" w:rsidRPr="009A47E2" w:rsidRDefault="006515E3">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PRO: Subject Reported Symptoms as part of composite response (microbiological eradication and clinical cure; </w:t>
            </w:r>
            <w:r w:rsidR="00EC7802" w:rsidRPr="009A47E2">
              <w:rPr>
                <w:sz w:val="20"/>
                <w:szCs w:val="20"/>
                <w:lang w:val="en-US"/>
              </w:rPr>
              <w:t>(</w:t>
            </w:r>
            <w:r w:rsidRPr="009A47E2">
              <w:rPr>
                <w:sz w:val="20"/>
                <w:szCs w:val="20"/>
                <w:lang w:val="en-US"/>
              </w:rPr>
              <w:t>1+) and clinical response (2+)</w:t>
            </w:r>
          </w:p>
        </w:tc>
        <w:tc>
          <w:tcPr>
            <w:tcW w:w="1984" w:type="dxa"/>
          </w:tcPr>
          <w:p w14:paraId="14860EB3" w14:textId="3DC05DA0" w:rsidR="002A49A4" w:rsidRPr="009A47E2" w:rsidRDefault="006515E3">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Composite response; clinical response</w:t>
            </w:r>
          </w:p>
        </w:tc>
        <w:tc>
          <w:tcPr>
            <w:tcW w:w="4962" w:type="dxa"/>
          </w:tcPr>
          <w:p w14:paraId="75EEA0B3" w14:textId="303E9761" w:rsidR="002A49A4" w:rsidRPr="009A47E2" w:rsidRDefault="00716312">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No specific discussion of subject reported symptoms in the context of PED</w:t>
            </w:r>
          </w:p>
        </w:tc>
      </w:tr>
      <w:tr w:rsidR="000600C0" w:rsidRPr="00011EB3" w14:paraId="1E645325"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0F9379C8" w14:textId="77777777" w:rsidR="002A49A4" w:rsidRPr="009A47E2" w:rsidRDefault="002A49A4">
            <w:pPr>
              <w:rPr>
                <w:sz w:val="20"/>
                <w:szCs w:val="20"/>
                <w:lang w:val="en-US"/>
              </w:rPr>
            </w:pPr>
            <w:r w:rsidRPr="009A47E2">
              <w:rPr>
                <w:sz w:val="20"/>
                <w:szCs w:val="20"/>
                <w:lang w:val="en-US"/>
              </w:rPr>
              <w:t>cenobamate</w:t>
            </w:r>
          </w:p>
        </w:tc>
        <w:tc>
          <w:tcPr>
            <w:tcW w:w="2315" w:type="dxa"/>
          </w:tcPr>
          <w:p w14:paraId="27B3AFD2" w14:textId="39D11F66"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Partial-onset seizures</w:t>
            </w:r>
          </w:p>
        </w:tc>
        <w:tc>
          <w:tcPr>
            <w:tcW w:w="2268" w:type="dxa"/>
          </w:tcPr>
          <w:p w14:paraId="79D0BAE9" w14:textId="6DC4EF4C" w:rsidR="00545F5F" w:rsidRPr="009A47E2" w:rsidRDefault="00545F5F" w:rsidP="00545F5F">
            <w:pPr>
              <w:cnfStyle w:val="000000000000" w:firstRow="0" w:lastRow="0" w:firstColumn="0" w:lastColumn="0" w:oddVBand="0" w:evenVBand="0" w:oddHBand="0" w:evenHBand="0" w:firstRowFirstColumn="0" w:firstRowLastColumn="0" w:lastRowFirstColumn="0" w:lastRowLastColumn="0"/>
              <w:rPr>
                <w:bCs/>
                <w:i/>
                <w:iCs/>
                <w:sz w:val="20"/>
                <w:szCs w:val="20"/>
                <w:lang w:val="en-US"/>
              </w:rPr>
            </w:pPr>
            <w:r w:rsidRPr="009A47E2">
              <w:rPr>
                <w:bCs/>
                <w:i/>
                <w:iCs/>
                <w:sz w:val="20"/>
                <w:szCs w:val="20"/>
                <w:lang w:val="en-US"/>
              </w:rPr>
              <w:t>PRO: Various “Drug Liking” measures (S)</w:t>
            </w:r>
          </w:p>
          <w:p w14:paraId="1D73F7EC" w14:textId="57EF5C6D" w:rsidR="00545F5F" w:rsidRPr="009A47E2" w:rsidRDefault="00545F5F" w:rsidP="00545F5F">
            <w:pPr>
              <w:cnfStyle w:val="000000000000" w:firstRow="0" w:lastRow="0" w:firstColumn="0" w:lastColumn="0" w:oddVBand="0" w:evenVBand="0" w:oddHBand="0" w:evenHBand="0" w:firstRowFirstColumn="0" w:firstRowLastColumn="0" w:lastRowFirstColumn="0" w:lastRowLastColumn="0"/>
              <w:rPr>
                <w:bCs/>
                <w:i/>
                <w:iCs/>
                <w:sz w:val="20"/>
                <w:szCs w:val="20"/>
                <w:lang w:val="en-US"/>
              </w:rPr>
            </w:pPr>
            <w:r w:rsidRPr="009A47E2">
              <w:rPr>
                <w:bCs/>
                <w:i/>
                <w:iCs/>
                <w:sz w:val="20"/>
                <w:szCs w:val="20"/>
                <w:lang w:val="en-US"/>
              </w:rPr>
              <w:t xml:space="preserve">PerfOs: </w:t>
            </w:r>
            <w:r w:rsidRPr="003A1D03">
              <w:rPr>
                <w:bCs/>
                <w:i/>
                <w:iCs/>
                <w:sz w:val="20"/>
                <w:szCs w:val="20"/>
                <w:lang w:val="en-GB"/>
              </w:rPr>
              <w:t>CRT</w:t>
            </w:r>
            <w:r w:rsidRPr="009A47E2">
              <w:rPr>
                <w:bCs/>
                <w:i/>
                <w:iCs/>
                <w:sz w:val="20"/>
                <w:szCs w:val="20"/>
                <w:lang w:val="en-US"/>
              </w:rPr>
              <w:t xml:space="preserve"> (S);</w:t>
            </w:r>
            <w:r w:rsidRPr="003A1D03">
              <w:rPr>
                <w:bCs/>
                <w:i/>
                <w:iCs/>
                <w:sz w:val="20"/>
                <w:szCs w:val="20"/>
                <w:lang w:val="en-GB"/>
              </w:rPr>
              <w:t xml:space="preserve"> DAT</w:t>
            </w:r>
            <w:r w:rsidRPr="009A47E2">
              <w:rPr>
                <w:bCs/>
                <w:i/>
                <w:iCs/>
                <w:sz w:val="20"/>
                <w:szCs w:val="20"/>
                <w:lang w:val="en-US"/>
              </w:rPr>
              <w:t xml:space="preserve"> (S</w:t>
            </w:r>
            <w:r w:rsidRPr="003A1D03">
              <w:rPr>
                <w:bCs/>
                <w:i/>
                <w:iCs/>
                <w:sz w:val="20"/>
                <w:szCs w:val="20"/>
                <w:lang w:val="en-GB"/>
              </w:rPr>
              <w:t>)</w:t>
            </w:r>
            <w:r w:rsidRPr="009A47E2">
              <w:rPr>
                <w:bCs/>
                <w:i/>
                <w:iCs/>
                <w:sz w:val="20"/>
                <w:szCs w:val="20"/>
                <w:lang w:val="en-US"/>
              </w:rPr>
              <w:t>;</w:t>
            </w:r>
            <w:r w:rsidRPr="003A1D03">
              <w:rPr>
                <w:bCs/>
                <w:i/>
                <w:iCs/>
                <w:sz w:val="20"/>
                <w:szCs w:val="20"/>
                <w:lang w:val="en-GB"/>
              </w:rPr>
              <w:t xml:space="preserve"> SSTM</w:t>
            </w:r>
            <w:r w:rsidRPr="009A47E2">
              <w:rPr>
                <w:bCs/>
                <w:i/>
                <w:iCs/>
                <w:sz w:val="20"/>
                <w:szCs w:val="20"/>
                <w:lang w:val="en-US"/>
              </w:rPr>
              <w:t xml:space="preserve"> </w:t>
            </w:r>
            <w:r w:rsidRPr="003A1D03">
              <w:rPr>
                <w:bCs/>
                <w:i/>
                <w:iCs/>
                <w:sz w:val="20"/>
                <w:szCs w:val="20"/>
                <w:lang w:val="en-GB"/>
              </w:rPr>
              <w:t>task</w:t>
            </w:r>
            <w:r w:rsidRPr="009A47E2">
              <w:rPr>
                <w:bCs/>
                <w:i/>
                <w:iCs/>
                <w:sz w:val="20"/>
                <w:szCs w:val="20"/>
                <w:lang w:val="en-US"/>
              </w:rPr>
              <w:t xml:space="preserve"> (S</w:t>
            </w:r>
            <w:r w:rsidRPr="003A1D03">
              <w:rPr>
                <w:bCs/>
                <w:i/>
                <w:iCs/>
                <w:sz w:val="20"/>
                <w:szCs w:val="20"/>
                <w:lang w:val="en-GB"/>
              </w:rPr>
              <w:t>)</w:t>
            </w:r>
          </w:p>
          <w:p w14:paraId="336CCDAD" w14:textId="1BD060DA" w:rsidR="002A49A4" w:rsidRPr="009A47E2" w:rsidRDefault="00545F5F">
            <w:pPr>
              <w:cnfStyle w:val="000000000000" w:firstRow="0" w:lastRow="0" w:firstColumn="0" w:lastColumn="0" w:oddVBand="0" w:evenVBand="0" w:oddHBand="0" w:evenHBand="0" w:firstRowFirstColumn="0" w:firstRowLastColumn="0" w:lastRowFirstColumn="0" w:lastRowLastColumn="0"/>
              <w:rPr>
                <w:bCs/>
                <w:sz w:val="20"/>
                <w:szCs w:val="20"/>
              </w:rPr>
            </w:pPr>
            <w:r w:rsidRPr="009A47E2">
              <w:rPr>
                <w:bCs/>
                <w:i/>
                <w:iCs/>
                <w:sz w:val="20"/>
                <w:szCs w:val="20"/>
                <w:lang w:val="en-US"/>
              </w:rPr>
              <w:t xml:space="preserve">ObsRO: </w:t>
            </w:r>
            <w:r w:rsidRPr="009A47E2">
              <w:rPr>
                <w:bCs/>
                <w:i/>
                <w:iCs/>
                <w:sz w:val="20"/>
                <w:szCs w:val="20"/>
              </w:rPr>
              <w:t>OAA/S (S)</w:t>
            </w:r>
          </w:p>
        </w:tc>
        <w:tc>
          <w:tcPr>
            <w:tcW w:w="1984" w:type="dxa"/>
          </w:tcPr>
          <w:p w14:paraId="701B3D23" w14:textId="0AA45135" w:rsidR="002A49A4" w:rsidRPr="009A47E2" w:rsidRDefault="002C10A2">
            <w:pP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9A47E2">
              <w:rPr>
                <w:i/>
                <w:iCs/>
                <w:sz w:val="20"/>
                <w:szCs w:val="20"/>
                <w:lang w:val="en-US"/>
              </w:rPr>
              <w:t xml:space="preserve">Safety: </w:t>
            </w:r>
            <w:r w:rsidR="00162605" w:rsidRPr="009A47E2">
              <w:rPr>
                <w:i/>
                <w:iCs/>
                <w:sz w:val="20"/>
                <w:szCs w:val="20"/>
                <w:lang w:val="en-US"/>
              </w:rPr>
              <w:t>Various</w:t>
            </w:r>
            <w:r w:rsidRPr="009A47E2">
              <w:rPr>
                <w:i/>
                <w:iCs/>
                <w:sz w:val="20"/>
                <w:szCs w:val="20"/>
                <w:lang w:val="en-US"/>
              </w:rPr>
              <w:t xml:space="preserve"> “</w:t>
            </w:r>
            <w:r w:rsidR="00F7577D" w:rsidRPr="009A47E2">
              <w:rPr>
                <w:i/>
                <w:iCs/>
                <w:sz w:val="20"/>
                <w:szCs w:val="20"/>
                <w:lang w:val="en-US"/>
              </w:rPr>
              <w:t xml:space="preserve">Drug </w:t>
            </w:r>
            <w:r w:rsidR="002C7DEA" w:rsidRPr="009A47E2">
              <w:rPr>
                <w:i/>
                <w:iCs/>
                <w:sz w:val="20"/>
                <w:szCs w:val="20"/>
                <w:lang w:val="en-US"/>
              </w:rPr>
              <w:t>l</w:t>
            </w:r>
            <w:r w:rsidR="00F7577D" w:rsidRPr="009A47E2">
              <w:rPr>
                <w:i/>
                <w:iCs/>
                <w:sz w:val="20"/>
                <w:szCs w:val="20"/>
                <w:lang w:val="en-US"/>
              </w:rPr>
              <w:t>iking</w:t>
            </w:r>
            <w:r w:rsidRPr="009A47E2">
              <w:rPr>
                <w:i/>
                <w:iCs/>
                <w:sz w:val="20"/>
                <w:szCs w:val="20"/>
                <w:lang w:val="en-US"/>
              </w:rPr>
              <w:t xml:space="preserve">” </w:t>
            </w:r>
            <w:r w:rsidR="002C7DEA" w:rsidRPr="009A47E2">
              <w:rPr>
                <w:i/>
                <w:iCs/>
                <w:sz w:val="20"/>
                <w:szCs w:val="20"/>
                <w:lang w:val="en-US"/>
              </w:rPr>
              <w:t>measures</w:t>
            </w:r>
          </w:p>
        </w:tc>
        <w:tc>
          <w:tcPr>
            <w:tcW w:w="4962" w:type="dxa"/>
          </w:tcPr>
          <w:p w14:paraId="07CD4A2C" w14:textId="4537AB71" w:rsidR="00AD61FC"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PED table included</w:t>
            </w:r>
            <w:r w:rsidR="00EA0AC7" w:rsidRPr="009A47E2">
              <w:rPr>
                <w:sz w:val="20"/>
                <w:szCs w:val="20"/>
                <w:lang w:val="en-US"/>
              </w:rPr>
              <w:t xml:space="preserve"> in FDA review</w:t>
            </w:r>
          </w:p>
          <w:p w14:paraId="31A6F57A" w14:textId="5EA6F241" w:rsidR="00AD61FC" w:rsidRPr="009A47E2" w:rsidRDefault="00AD61FC">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The human abuse potential study include</w:t>
            </w:r>
            <w:r w:rsidR="00D84F02" w:rsidRPr="009A47E2">
              <w:rPr>
                <w:sz w:val="20"/>
                <w:szCs w:val="20"/>
                <w:lang w:val="en-US"/>
              </w:rPr>
              <w:t>d</w:t>
            </w:r>
            <w:r w:rsidRPr="009A47E2">
              <w:rPr>
                <w:sz w:val="20"/>
                <w:szCs w:val="20"/>
                <w:lang w:val="en-US"/>
              </w:rPr>
              <w:t xml:space="preserve"> an exte</w:t>
            </w:r>
            <w:r w:rsidR="00DD5D1E" w:rsidRPr="009A47E2">
              <w:rPr>
                <w:sz w:val="20"/>
                <w:szCs w:val="20"/>
                <w:lang w:val="en-US"/>
              </w:rPr>
              <w:t>nsive</w:t>
            </w:r>
            <w:r w:rsidRPr="009A47E2">
              <w:rPr>
                <w:sz w:val="20"/>
                <w:szCs w:val="20"/>
                <w:lang w:val="en-US"/>
              </w:rPr>
              <w:t xml:space="preserve"> list of secondary outcome measures</w:t>
            </w:r>
            <w:r w:rsidR="00DD5D1E" w:rsidRPr="009A47E2">
              <w:rPr>
                <w:sz w:val="20"/>
                <w:szCs w:val="20"/>
                <w:lang w:val="en-US"/>
              </w:rPr>
              <w:t xml:space="preserve"> related to “Drug Liking” </w:t>
            </w:r>
            <w:r w:rsidR="00D84F02" w:rsidRPr="009A47E2">
              <w:rPr>
                <w:sz w:val="20"/>
                <w:szCs w:val="20"/>
                <w:lang w:val="en-US"/>
              </w:rPr>
              <w:t>+</w:t>
            </w:r>
            <w:r w:rsidR="00DD5D1E" w:rsidRPr="009A47E2">
              <w:rPr>
                <w:sz w:val="20"/>
                <w:szCs w:val="20"/>
                <w:lang w:val="en-US"/>
              </w:rPr>
              <w:t xml:space="preserve"> </w:t>
            </w:r>
            <w:r w:rsidR="00DD5D1E" w:rsidRPr="003A1D03">
              <w:rPr>
                <w:sz w:val="20"/>
                <w:szCs w:val="20"/>
                <w:lang w:val="en-GB"/>
              </w:rPr>
              <w:t>cognitive/</w:t>
            </w:r>
            <w:r w:rsidR="00DD5D1E" w:rsidRPr="009A47E2">
              <w:rPr>
                <w:sz w:val="20"/>
                <w:szCs w:val="20"/>
                <w:lang w:val="en-US"/>
              </w:rPr>
              <w:t xml:space="preserve"> </w:t>
            </w:r>
            <w:r w:rsidR="00DD5D1E" w:rsidRPr="003A1D03">
              <w:rPr>
                <w:sz w:val="20"/>
                <w:szCs w:val="20"/>
                <w:lang w:val="en-GB"/>
              </w:rPr>
              <w:t>psychomotor impairment</w:t>
            </w:r>
            <w:r w:rsidR="00DD5D1E" w:rsidRPr="009A47E2">
              <w:rPr>
                <w:sz w:val="20"/>
                <w:szCs w:val="20"/>
                <w:lang w:val="en-US"/>
              </w:rPr>
              <w:t xml:space="preserve"> and </w:t>
            </w:r>
            <w:r w:rsidR="00DD5D1E" w:rsidRPr="003A1D03">
              <w:rPr>
                <w:sz w:val="20"/>
                <w:szCs w:val="20"/>
                <w:lang w:val="en-GB"/>
              </w:rPr>
              <w:t>observer-rated measures of sedation</w:t>
            </w:r>
          </w:p>
          <w:p w14:paraId="73A3D37E" w14:textId="77777777" w:rsidR="00C57936" w:rsidRPr="009A47E2" w:rsidRDefault="00C5793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The C-SSRS (ClinRO) was part of the regular safety assessment</w:t>
            </w:r>
          </w:p>
          <w:p w14:paraId="60055901" w14:textId="33BE1315" w:rsidR="00DD5D1E" w:rsidRPr="009A47E2" w:rsidRDefault="00DD5D1E">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PED was identified beyond the abuse study</w:t>
            </w:r>
            <w:r w:rsidR="00D84F02" w:rsidRPr="009A47E2">
              <w:rPr>
                <w:sz w:val="20"/>
                <w:szCs w:val="20"/>
                <w:lang w:val="en-US"/>
              </w:rPr>
              <w:t>. Seizure frequency was reported via a patient diary; however not deemed PRO as the report included no assessment of the severity by the patient (only presence or absence)</w:t>
            </w:r>
          </w:p>
        </w:tc>
      </w:tr>
      <w:tr w:rsidR="000600C0" w:rsidRPr="00011EB3" w14:paraId="20F2A7D1"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9D682D8" w14:textId="35ACD4E3" w:rsidR="002A49A4" w:rsidRPr="009A47E2" w:rsidRDefault="00EA6CB6">
            <w:pPr>
              <w:rPr>
                <w:b w:val="0"/>
                <w:bCs w:val="0"/>
                <w:sz w:val="20"/>
                <w:szCs w:val="20"/>
                <w:lang w:val="en-US"/>
              </w:rPr>
            </w:pPr>
            <w:r w:rsidRPr="009A47E2">
              <w:rPr>
                <w:sz w:val="20"/>
                <w:szCs w:val="20"/>
                <w:lang w:val="en-US"/>
              </w:rPr>
              <w:t>c</w:t>
            </w:r>
            <w:r w:rsidR="002A49A4" w:rsidRPr="009A47E2">
              <w:rPr>
                <w:sz w:val="20"/>
                <w:szCs w:val="20"/>
                <w:lang w:val="en-US"/>
              </w:rPr>
              <w:t>rizanlizumab</w:t>
            </w:r>
          </w:p>
        </w:tc>
        <w:tc>
          <w:tcPr>
            <w:tcW w:w="2315" w:type="dxa"/>
          </w:tcPr>
          <w:p w14:paraId="05664821" w14:textId="2024F7C4"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Reduce vaso</w:t>
            </w:r>
            <w:r w:rsidR="00B719CC" w:rsidRPr="009A47E2">
              <w:rPr>
                <w:sz w:val="20"/>
                <w:szCs w:val="20"/>
                <w:lang w:val="en-US"/>
              </w:rPr>
              <w:t>-</w:t>
            </w:r>
            <w:r w:rsidRPr="009A47E2">
              <w:rPr>
                <w:sz w:val="20"/>
                <w:szCs w:val="20"/>
                <w:lang w:val="en-US"/>
              </w:rPr>
              <w:t>occlusive crises in sickle cell disease</w:t>
            </w:r>
          </w:p>
        </w:tc>
        <w:tc>
          <w:tcPr>
            <w:tcW w:w="2268" w:type="dxa"/>
          </w:tcPr>
          <w:p w14:paraId="3FE9BB2F" w14:textId="01ECE409"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it-IT"/>
              </w:rPr>
            </w:pPr>
            <w:r w:rsidRPr="009A47E2">
              <w:rPr>
                <w:sz w:val="20"/>
                <w:szCs w:val="20"/>
                <w:lang w:val="it-IT"/>
              </w:rPr>
              <w:t>PRO: BPI-Q (2</w:t>
            </w:r>
            <w:r w:rsidRPr="009A47E2">
              <w:rPr>
                <w:rFonts w:cstheme="minorHAnsi"/>
                <w:sz w:val="20"/>
                <w:szCs w:val="20"/>
                <w:lang w:val="it-IT"/>
              </w:rPr>
              <w:t>→</w:t>
            </w:r>
            <w:r w:rsidRPr="009A47E2">
              <w:rPr>
                <w:sz w:val="20"/>
                <w:szCs w:val="20"/>
                <w:lang w:val="it-IT"/>
              </w:rPr>
              <w:t>E)</w:t>
            </w:r>
            <w:r w:rsidR="00E068D3" w:rsidRPr="009A47E2">
              <w:rPr>
                <w:sz w:val="20"/>
                <w:szCs w:val="20"/>
                <w:lang w:val="it-IT"/>
              </w:rPr>
              <w:t>; SF-36 (E)</w:t>
            </w:r>
          </w:p>
        </w:tc>
        <w:tc>
          <w:tcPr>
            <w:tcW w:w="1984" w:type="dxa"/>
          </w:tcPr>
          <w:p w14:paraId="04BEBF76" w14:textId="2EBFBAF7"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55537B66" w14:textId="77777777"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Primary endpoint not statistically significant </w:t>
            </w:r>
            <w:r w:rsidRPr="009A47E2">
              <w:rPr>
                <w:rFonts w:cstheme="minorHAnsi"/>
                <w:sz w:val="20"/>
                <w:szCs w:val="20"/>
                <w:lang w:val="en-US"/>
              </w:rPr>
              <w:t>→</w:t>
            </w:r>
            <w:r w:rsidRPr="009A47E2">
              <w:rPr>
                <w:sz w:val="20"/>
                <w:szCs w:val="20"/>
                <w:lang w:val="en-US"/>
              </w:rPr>
              <w:t xml:space="preserve"> BPI-Q exploratory endpoint </w:t>
            </w:r>
            <w:r w:rsidRPr="009A47E2">
              <w:rPr>
                <w:rFonts w:cstheme="minorHAnsi"/>
                <w:sz w:val="20"/>
                <w:szCs w:val="20"/>
                <w:lang w:val="en-US"/>
              </w:rPr>
              <w:t>→</w:t>
            </w:r>
            <w:r w:rsidRPr="009A47E2">
              <w:rPr>
                <w:sz w:val="20"/>
                <w:szCs w:val="20"/>
                <w:lang w:val="en-US"/>
              </w:rPr>
              <w:t xml:space="preserve"> not included in the USPI</w:t>
            </w:r>
          </w:p>
          <w:p w14:paraId="24C3CCFD" w14:textId="6F7670DD" w:rsidR="00E068D3" w:rsidRPr="009A47E2" w:rsidRDefault="00E068D3">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The PRO endpoints were exploratory and thus were not included in the prescribing information</w:t>
            </w:r>
            <w:r w:rsidRPr="009A47E2">
              <w:rPr>
                <w:sz w:val="20"/>
                <w:szCs w:val="20"/>
                <w:lang w:val="en-US"/>
              </w:rPr>
              <w:t>”</w:t>
            </w:r>
          </w:p>
        </w:tc>
      </w:tr>
      <w:tr w:rsidR="000600C0" w:rsidRPr="00011EB3" w14:paraId="2B83D32E"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81CCB01" w14:textId="77777777" w:rsidR="002A49A4" w:rsidRPr="009A47E2" w:rsidRDefault="002A49A4">
            <w:pPr>
              <w:rPr>
                <w:sz w:val="20"/>
                <w:szCs w:val="20"/>
                <w:lang w:val="en-US"/>
              </w:rPr>
            </w:pPr>
            <w:r w:rsidRPr="009A47E2">
              <w:rPr>
                <w:sz w:val="20"/>
                <w:szCs w:val="20"/>
                <w:lang w:val="en-US"/>
              </w:rPr>
              <w:t>darolutamide</w:t>
            </w:r>
          </w:p>
        </w:tc>
        <w:tc>
          <w:tcPr>
            <w:tcW w:w="2315" w:type="dxa"/>
          </w:tcPr>
          <w:p w14:paraId="23A4A32E" w14:textId="3DE7382D"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Non-metastatic prostate cancer</w:t>
            </w:r>
          </w:p>
        </w:tc>
        <w:tc>
          <w:tcPr>
            <w:tcW w:w="2268" w:type="dxa"/>
          </w:tcPr>
          <w:p w14:paraId="1E43EA74" w14:textId="6A1A530C" w:rsidR="002A49A4" w:rsidRPr="009A47E2" w:rsidRDefault="007A0DC5">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w:t>
            </w:r>
            <w:r w:rsidR="00B23F2D" w:rsidRPr="009A47E2">
              <w:rPr>
                <w:sz w:val="20"/>
                <w:szCs w:val="20"/>
                <w:lang w:val="pt-PT"/>
              </w:rPr>
              <w:t>O</w:t>
            </w:r>
            <w:r w:rsidRPr="009A47E2">
              <w:rPr>
                <w:sz w:val="20"/>
                <w:szCs w:val="20"/>
                <w:lang w:val="pt-PT"/>
              </w:rPr>
              <w:t>s: BPI-SF (2</w:t>
            </w:r>
            <w:r w:rsidR="00D102D1" w:rsidRPr="009A47E2">
              <w:rPr>
                <w:sz w:val="20"/>
                <w:szCs w:val="20"/>
                <w:lang w:val="pt-PT"/>
              </w:rPr>
              <w:t>+</w:t>
            </w:r>
            <w:r w:rsidRPr="009A47E2">
              <w:rPr>
                <w:sz w:val="20"/>
                <w:szCs w:val="20"/>
                <w:lang w:val="pt-PT"/>
              </w:rPr>
              <w:t>), EQ-5D-3L (E), FACT-P (E), EORTC-QLQ-PR25 (E)</w:t>
            </w:r>
          </w:p>
          <w:p w14:paraId="7E14EFED" w14:textId="73D887C3" w:rsidR="001476FC" w:rsidRPr="009A47E2" w:rsidRDefault="001476FC">
            <w:pPr>
              <w:cnfStyle w:val="000000000000" w:firstRow="0" w:lastRow="0" w:firstColumn="0" w:lastColumn="0" w:oddVBand="0" w:evenVBand="0" w:oddHBand="0" w:evenHBand="0" w:firstRowFirstColumn="0" w:firstRowLastColumn="0" w:lastRowFirstColumn="0" w:lastRowLastColumn="0"/>
              <w:rPr>
                <w:i/>
                <w:sz w:val="20"/>
                <w:szCs w:val="20"/>
                <w:lang w:val="pt-PT"/>
              </w:rPr>
            </w:pPr>
            <w:r w:rsidRPr="009A47E2">
              <w:rPr>
                <w:i/>
                <w:sz w:val="20"/>
                <w:szCs w:val="20"/>
                <w:lang w:val="pt-PT"/>
              </w:rPr>
              <w:t>ClinRO: ECOG-PS (E)</w:t>
            </w:r>
          </w:p>
        </w:tc>
        <w:tc>
          <w:tcPr>
            <w:tcW w:w="1984" w:type="dxa"/>
          </w:tcPr>
          <w:p w14:paraId="04455D99" w14:textId="022E021F" w:rsidR="002A49A4" w:rsidRPr="009A47E2" w:rsidRDefault="001A7AF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Delay in time to pain progression (BPI-SF)</w:t>
            </w:r>
          </w:p>
        </w:tc>
        <w:tc>
          <w:tcPr>
            <w:tcW w:w="4962" w:type="dxa"/>
          </w:tcPr>
          <w:p w14:paraId="0BF0BF24" w14:textId="604B4BF6" w:rsidR="00A23AD3" w:rsidRPr="009A47E2" w:rsidRDefault="001022D1">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PRO </w:t>
            </w:r>
            <w:r w:rsidR="00A23AD3" w:rsidRPr="009A47E2">
              <w:rPr>
                <w:sz w:val="20"/>
                <w:szCs w:val="20"/>
                <w:lang w:val="en-US"/>
              </w:rPr>
              <w:t>analyses exploratory as they were not included in the testing hierarchy and Type I error was not controlled for multiple comparisons</w:t>
            </w:r>
          </w:p>
          <w:p w14:paraId="74246BDA" w14:textId="6F18228C" w:rsidR="002A49A4" w:rsidRPr="009A47E2" w:rsidRDefault="001A7AF6">
            <w:pPr>
              <w:cnfStyle w:val="000000000000" w:firstRow="0" w:lastRow="0" w:firstColumn="0" w:lastColumn="0" w:oddVBand="0" w:evenVBand="0" w:oddHBand="0" w:evenHBand="0" w:firstRowFirstColumn="0" w:firstRowLastColumn="0" w:lastRowFirstColumn="0" w:lastRowLastColumn="0"/>
              <w:rPr>
                <w:i/>
                <w:sz w:val="20"/>
                <w:szCs w:val="20"/>
                <w:lang w:val="en-US"/>
              </w:rPr>
            </w:pPr>
            <w:r w:rsidRPr="009A47E2">
              <w:rPr>
                <w:i/>
                <w:sz w:val="20"/>
                <w:szCs w:val="20"/>
                <w:lang w:val="en-US"/>
              </w:rPr>
              <w:t>Considering that it is difficult to differentiate whether pain is related to cancer or not, the size of effect, sensitivity analysis results (…) improvement in time to pain progression will be included descriptively in the label</w:t>
            </w:r>
          </w:p>
        </w:tc>
      </w:tr>
      <w:tr w:rsidR="000600C0" w:rsidRPr="00011EB3" w14:paraId="6D1F629F"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566F7CDB" w14:textId="77777777" w:rsidR="00DF66B4" w:rsidRPr="009A47E2" w:rsidRDefault="002A49A4">
            <w:pPr>
              <w:rPr>
                <w:b w:val="0"/>
                <w:bCs w:val="0"/>
                <w:sz w:val="20"/>
                <w:szCs w:val="20"/>
                <w:lang w:val="en-US"/>
              </w:rPr>
            </w:pPr>
            <w:r w:rsidRPr="009A47E2">
              <w:rPr>
                <w:sz w:val="20"/>
                <w:szCs w:val="20"/>
                <w:lang w:val="en-US"/>
              </w:rPr>
              <w:t xml:space="preserve">elexacaftor/ </w:t>
            </w:r>
          </w:p>
          <w:p w14:paraId="73BC039E" w14:textId="77777777" w:rsidR="00DF66B4" w:rsidRPr="009A47E2" w:rsidRDefault="002A49A4">
            <w:pPr>
              <w:rPr>
                <w:b w:val="0"/>
                <w:bCs w:val="0"/>
                <w:sz w:val="20"/>
                <w:szCs w:val="20"/>
                <w:lang w:val="en-US"/>
              </w:rPr>
            </w:pPr>
            <w:r w:rsidRPr="009A47E2">
              <w:rPr>
                <w:sz w:val="20"/>
                <w:szCs w:val="20"/>
                <w:lang w:val="en-US"/>
              </w:rPr>
              <w:t xml:space="preserve">ivacaftor/ </w:t>
            </w:r>
          </w:p>
          <w:p w14:paraId="7B494A7F" w14:textId="0E15C1E4" w:rsidR="002A49A4" w:rsidRPr="009A47E2" w:rsidRDefault="002A49A4">
            <w:pPr>
              <w:rPr>
                <w:sz w:val="20"/>
                <w:szCs w:val="20"/>
                <w:lang w:val="en-US"/>
              </w:rPr>
            </w:pPr>
            <w:r w:rsidRPr="009A47E2">
              <w:rPr>
                <w:sz w:val="20"/>
                <w:szCs w:val="20"/>
                <w:lang w:val="en-US"/>
              </w:rPr>
              <w:t>tezacaftor</w:t>
            </w:r>
          </w:p>
        </w:tc>
        <w:tc>
          <w:tcPr>
            <w:tcW w:w="2315" w:type="dxa"/>
          </w:tcPr>
          <w:p w14:paraId="45BBF295" w14:textId="6DCF4005"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Cystic Fibrosis</w:t>
            </w:r>
          </w:p>
        </w:tc>
        <w:tc>
          <w:tcPr>
            <w:tcW w:w="2268" w:type="dxa"/>
          </w:tcPr>
          <w:p w14:paraId="56560F20" w14:textId="150DBC2C" w:rsidR="002A49A4" w:rsidRPr="009A47E2" w:rsidRDefault="007459F3">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PROs: CFQ-R RD</w:t>
            </w:r>
            <w:r w:rsidR="001375C4" w:rsidRPr="009A47E2">
              <w:rPr>
                <w:sz w:val="20"/>
                <w:szCs w:val="20"/>
                <w:lang w:val="pt-PT"/>
              </w:rPr>
              <w:t xml:space="preserve"> (2+)</w:t>
            </w:r>
            <w:r w:rsidRPr="009A47E2">
              <w:rPr>
                <w:sz w:val="20"/>
                <w:szCs w:val="20"/>
                <w:lang w:val="pt-PT"/>
              </w:rPr>
              <w:t>; TSMQ</w:t>
            </w:r>
            <w:r w:rsidR="001375C4" w:rsidRPr="009A47E2">
              <w:rPr>
                <w:sz w:val="20"/>
                <w:szCs w:val="20"/>
                <w:lang w:val="pt-PT"/>
              </w:rPr>
              <w:t xml:space="preserve"> (E)</w:t>
            </w:r>
          </w:p>
        </w:tc>
        <w:tc>
          <w:tcPr>
            <w:tcW w:w="1984" w:type="dxa"/>
          </w:tcPr>
          <w:p w14:paraId="3E8F2607" w14:textId="42285B45" w:rsidR="002A49A4" w:rsidRPr="009A47E2" w:rsidRDefault="001375C4">
            <w:pPr>
              <w:cnfStyle w:val="000000100000" w:firstRow="0" w:lastRow="0" w:firstColumn="0" w:lastColumn="0" w:oddVBand="0" w:evenVBand="0" w:oddHBand="1" w:evenHBand="0" w:firstRowFirstColumn="0" w:firstRowLastColumn="0" w:lastRowFirstColumn="0" w:lastRowLastColumn="0"/>
              <w:rPr>
                <w:sz w:val="20"/>
                <w:szCs w:val="20"/>
                <w:lang w:val="pt-PT"/>
              </w:rPr>
            </w:pPr>
            <w:r w:rsidRPr="577FB5CB">
              <w:rPr>
                <w:sz w:val="20"/>
                <w:szCs w:val="20"/>
                <w:lang w:val="pt-PT"/>
              </w:rPr>
              <w:t>CFQ-R RD</w:t>
            </w:r>
          </w:p>
        </w:tc>
        <w:tc>
          <w:tcPr>
            <w:tcW w:w="4962" w:type="dxa"/>
          </w:tcPr>
          <w:p w14:paraId="5CBC5292" w14:textId="1D3BCC23" w:rsidR="002A49A4" w:rsidRPr="009A47E2" w:rsidRDefault="00F752CE">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No specific discussion of CFQ-R RD in context of labeling </w:t>
            </w:r>
          </w:p>
          <w:p w14:paraId="14B2A77F" w14:textId="642FEA49" w:rsidR="002A49A4" w:rsidRPr="009A47E2" w:rsidRDefault="00F752CE">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TSMQ not reviewed in detail</w:t>
            </w:r>
          </w:p>
        </w:tc>
      </w:tr>
      <w:tr w:rsidR="000600C0" w:rsidRPr="00011EB3" w14:paraId="28834243"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52AF5D0E" w14:textId="77777777" w:rsidR="00DF66B4" w:rsidRPr="009A47E2" w:rsidRDefault="002A49A4">
            <w:pPr>
              <w:rPr>
                <w:b w:val="0"/>
                <w:bCs w:val="0"/>
                <w:sz w:val="20"/>
                <w:szCs w:val="20"/>
                <w:lang w:val="en-US"/>
              </w:rPr>
            </w:pPr>
            <w:r w:rsidRPr="009A47E2">
              <w:rPr>
                <w:sz w:val="20"/>
                <w:szCs w:val="20"/>
                <w:lang w:val="en-US"/>
              </w:rPr>
              <w:t xml:space="preserve">enfortumab </w:t>
            </w:r>
          </w:p>
          <w:p w14:paraId="68176EA3" w14:textId="0EE3C2A8" w:rsidR="002A49A4" w:rsidRPr="009A47E2" w:rsidRDefault="002A49A4">
            <w:pPr>
              <w:rPr>
                <w:sz w:val="20"/>
                <w:szCs w:val="20"/>
                <w:lang w:val="en-US"/>
              </w:rPr>
            </w:pPr>
            <w:r w:rsidRPr="009A47E2">
              <w:rPr>
                <w:sz w:val="20"/>
                <w:szCs w:val="20"/>
                <w:lang w:val="en-US"/>
              </w:rPr>
              <w:t>vedoti</w:t>
            </w:r>
            <w:r w:rsidR="000A2AE9" w:rsidRPr="009A47E2">
              <w:rPr>
                <w:sz w:val="20"/>
                <w:szCs w:val="20"/>
                <w:lang w:val="en-US"/>
              </w:rPr>
              <w:t>n</w:t>
            </w:r>
          </w:p>
        </w:tc>
        <w:tc>
          <w:tcPr>
            <w:tcW w:w="2315" w:type="dxa"/>
          </w:tcPr>
          <w:p w14:paraId="65FC4D3D" w14:textId="6C2CAD29"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Refractory bladder cancer</w:t>
            </w:r>
          </w:p>
        </w:tc>
        <w:tc>
          <w:tcPr>
            <w:tcW w:w="2268" w:type="dxa"/>
          </w:tcPr>
          <w:p w14:paraId="04733530" w14:textId="456EA506" w:rsidR="002A49A4" w:rsidRPr="009A47E2" w:rsidRDefault="00E00C39">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PROs: EORTC-QLQ-C30 (E); EQ-5D (E)</w:t>
            </w:r>
          </w:p>
          <w:p w14:paraId="61013D13" w14:textId="77777777" w:rsidR="00E23E6D" w:rsidRPr="009A47E2" w:rsidRDefault="00E23E6D">
            <w:pPr>
              <w:cnfStyle w:val="000000000000" w:firstRow="0" w:lastRow="0" w:firstColumn="0" w:lastColumn="0" w:oddVBand="0" w:evenVBand="0" w:oddHBand="0" w:evenHBand="0" w:firstRowFirstColumn="0" w:firstRowLastColumn="0" w:lastRowFirstColumn="0" w:lastRowLastColumn="0"/>
              <w:rPr>
                <w:sz w:val="20"/>
                <w:szCs w:val="20"/>
                <w:lang w:val="pt-PT"/>
              </w:rPr>
            </w:pPr>
          </w:p>
          <w:p w14:paraId="1B2BF7D3" w14:textId="1EC0E736" w:rsidR="00E00C39" w:rsidRPr="009A47E2" w:rsidRDefault="00A101BA">
            <w:pPr>
              <w:cnfStyle w:val="000000000000" w:firstRow="0" w:lastRow="0" w:firstColumn="0" w:lastColumn="0" w:oddVBand="0" w:evenVBand="0" w:oddHBand="0" w:evenHBand="0" w:firstRowFirstColumn="0" w:firstRowLastColumn="0" w:lastRowFirstColumn="0" w:lastRowLastColumn="0"/>
              <w:rPr>
                <w:i/>
                <w:sz w:val="20"/>
                <w:szCs w:val="20"/>
                <w:lang w:val="en-US"/>
              </w:rPr>
            </w:pPr>
            <w:r w:rsidRPr="009A47E2">
              <w:rPr>
                <w:i/>
                <w:sz w:val="20"/>
                <w:szCs w:val="20"/>
                <w:lang w:val="en-US"/>
              </w:rPr>
              <w:t xml:space="preserve">ClinRO: </w:t>
            </w:r>
            <w:r w:rsidR="00E23E6D" w:rsidRPr="009A47E2">
              <w:rPr>
                <w:i/>
                <w:sz w:val="20"/>
                <w:szCs w:val="20"/>
                <w:lang w:val="en-US"/>
              </w:rPr>
              <w:t>no</w:t>
            </w:r>
            <w:r w:rsidR="004E6F6F" w:rsidRPr="009A47E2">
              <w:rPr>
                <w:i/>
                <w:sz w:val="20"/>
                <w:szCs w:val="20"/>
                <w:lang w:val="en-US"/>
              </w:rPr>
              <w:t>ne</w:t>
            </w:r>
            <w:r w:rsidR="00E23E6D" w:rsidRPr="009A47E2">
              <w:rPr>
                <w:i/>
                <w:sz w:val="20"/>
                <w:szCs w:val="20"/>
                <w:lang w:val="en-US"/>
              </w:rPr>
              <w:t xml:space="preserve"> identified</w:t>
            </w:r>
          </w:p>
        </w:tc>
        <w:tc>
          <w:tcPr>
            <w:tcW w:w="1984" w:type="dxa"/>
          </w:tcPr>
          <w:p w14:paraId="00CF2B41" w14:textId="1A8101DE" w:rsidR="002A49A4" w:rsidRPr="009A47E2" w:rsidRDefault="00AC1EA0">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w:t>
            </w:r>
          </w:p>
        </w:tc>
        <w:tc>
          <w:tcPr>
            <w:tcW w:w="4962" w:type="dxa"/>
          </w:tcPr>
          <w:p w14:paraId="58C07FA3" w14:textId="07269A43" w:rsidR="000B2410" w:rsidRPr="009A47E2" w:rsidRDefault="00AC1EA0">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In a single arm study, the PRO data were analyzed descriptively only, and no statistical inference can be made</w:t>
            </w:r>
          </w:p>
          <w:p w14:paraId="2C967A2E" w14:textId="77777777" w:rsidR="002A49A4" w:rsidRPr="009A47E2" w:rsidRDefault="000B2410">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Applicant concluded that the PRO data support the efficacy and safety results and demonstrate that QoL was maintained</w:t>
            </w:r>
          </w:p>
          <w:p w14:paraId="26BB08AC" w14:textId="20F35E47" w:rsidR="002A49A4" w:rsidRPr="009A47E2" w:rsidRDefault="00055340">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ClinRO checked in PED table, but no ClinRO</w:t>
            </w:r>
            <w:r w:rsidR="002719E5" w:rsidRPr="009A47E2">
              <w:rPr>
                <w:sz w:val="20"/>
                <w:szCs w:val="20"/>
                <w:lang w:val="en-US"/>
              </w:rPr>
              <w:t>s</w:t>
            </w:r>
            <w:r w:rsidRPr="009A47E2">
              <w:rPr>
                <w:sz w:val="20"/>
                <w:szCs w:val="20"/>
                <w:lang w:val="en-US"/>
              </w:rPr>
              <w:t xml:space="preserve"> identified that formed th</w:t>
            </w:r>
            <w:r w:rsidR="00E23E6D" w:rsidRPr="009A47E2">
              <w:rPr>
                <w:sz w:val="20"/>
                <w:szCs w:val="20"/>
                <w:lang w:val="en-US"/>
              </w:rPr>
              <w:t>e</w:t>
            </w:r>
            <w:r w:rsidRPr="009A47E2">
              <w:rPr>
                <w:sz w:val="20"/>
                <w:szCs w:val="20"/>
                <w:lang w:val="en-US"/>
              </w:rPr>
              <w:t xml:space="preserve"> basis of an endpoint (ECOG-PS and slit lamp eye examination were regular safety assessments only)</w:t>
            </w:r>
          </w:p>
        </w:tc>
      </w:tr>
      <w:tr w:rsidR="000600C0" w:rsidRPr="00011EB3" w14:paraId="2BB0549E"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E91BC29" w14:textId="77777777" w:rsidR="002A49A4" w:rsidRPr="009A47E2" w:rsidRDefault="002A49A4">
            <w:pPr>
              <w:rPr>
                <w:sz w:val="20"/>
                <w:szCs w:val="20"/>
                <w:lang w:val="en-US"/>
              </w:rPr>
            </w:pPr>
            <w:r w:rsidRPr="009A47E2">
              <w:rPr>
                <w:sz w:val="20"/>
                <w:szCs w:val="20"/>
                <w:lang w:val="en-US"/>
              </w:rPr>
              <w:t>entrectinib</w:t>
            </w:r>
          </w:p>
        </w:tc>
        <w:tc>
          <w:tcPr>
            <w:tcW w:w="2315" w:type="dxa"/>
          </w:tcPr>
          <w:p w14:paraId="47EC5719" w14:textId="1A679222" w:rsidR="002A49A4" w:rsidRPr="009A47E2" w:rsidRDefault="002A49A4" w:rsidP="00C41C00">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Metastatic non-small cell lung cancer and locally advanced or</w:t>
            </w:r>
            <w:r w:rsidR="00C41C00" w:rsidRPr="009A47E2">
              <w:rPr>
                <w:sz w:val="20"/>
                <w:szCs w:val="20"/>
                <w:lang w:val="en-US"/>
              </w:rPr>
              <w:t xml:space="preserve"> </w:t>
            </w:r>
            <w:r w:rsidRPr="009A47E2">
              <w:rPr>
                <w:sz w:val="20"/>
                <w:szCs w:val="20"/>
                <w:lang w:val="en-US"/>
              </w:rPr>
              <w:t>metastatic solid tumors with a specific genetic defect</w:t>
            </w:r>
          </w:p>
        </w:tc>
        <w:tc>
          <w:tcPr>
            <w:tcW w:w="2268" w:type="dxa"/>
          </w:tcPr>
          <w:p w14:paraId="27897F42" w14:textId="12CF5C53" w:rsidR="002A49A4" w:rsidRPr="009A47E2" w:rsidRDefault="008A6DE1">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PROs: QLQ-C30 (E); QLQ-LC13 (E); EQ-5D (E)</w:t>
            </w:r>
          </w:p>
          <w:p w14:paraId="50D62AA1" w14:textId="251BEA87" w:rsidR="0060569C" w:rsidRPr="009A47E2" w:rsidRDefault="0060569C">
            <w:pPr>
              <w:cnfStyle w:val="000000100000" w:firstRow="0" w:lastRow="0" w:firstColumn="0" w:lastColumn="0" w:oddVBand="0" w:evenVBand="0" w:oddHBand="1" w:evenHBand="0" w:firstRowFirstColumn="0" w:firstRowLastColumn="0" w:lastRowFirstColumn="0" w:lastRowLastColumn="0"/>
              <w:rPr>
                <w:i/>
                <w:sz w:val="20"/>
                <w:szCs w:val="20"/>
                <w:lang w:val="pt-PT"/>
              </w:rPr>
            </w:pPr>
          </w:p>
        </w:tc>
        <w:tc>
          <w:tcPr>
            <w:tcW w:w="1984" w:type="dxa"/>
          </w:tcPr>
          <w:p w14:paraId="432E4671" w14:textId="2D7BED70" w:rsidR="002A49A4" w:rsidRPr="009A47E2" w:rsidRDefault="005748A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192B343A" w14:textId="1FEF01B9" w:rsidR="002719E5" w:rsidRPr="009A47E2" w:rsidRDefault="008A6DE1">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In a single arm trial, the PRO results are not interpretable. Only a descriptive analysis of PRO outcomes was conducted</w:t>
            </w:r>
            <w:r w:rsidR="009C4E0B" w:rsidRPr="009A47E2">
              <w:rPr>
                <w:sz w:val="20"/>
                <w:szCs w:val="20"/>
                <w:lang w:val="en-US"/>
              </w:rPr>
              <w:t>,</w:t>
            </w:r>
            <w:r w:rsidRPr="009A47E2">
              <w:rPr>
                <w:sz w:val="20"/>
                <w:szCs w:val="20"/>
                <w:lang w:val="en-US"/>
              </w:rPr>
              <w:t xml:space="preserve"> and all the PRO analysis results were considered exploratory</w:t>
            </w:r>
          </w:p>
          <w:p w14:paraId="615142BA" w14:textId="7CD8831F" w:rsidR="00E23E6D" w:rsidRPr="009A47E2" w:rsidRDefault="00E23E6D">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ECOG-PS</w:t>
            </w:r>
            <w:r w:rsidR="002719E5" w:rsidRPr="009A47E2">
              <w:rPr>
                <w:sz w:val="20"/>
                <w:szCs w:val="20"/>
                <w:lang w:val="en-US"/>
              </w:rPr>
              <w:t xml:space="preserve"> and Lansky or Karnofsky performance status</w:t>
            </w:r>
            <w:r w:rsidRPr="009A47E2">
              <w:rPr>
                <w:sz w:val="20"/>
                <w:szCs w:val="20"/>
                <w:lang w:val="en-US"/>
              </w:rPr>
              <w:t xml:space="preserve"> (ClinRO</w:t>
            </w:r>
            <w:r w:rsidR="002719E5" w:rsidRPr="009A47E2">
              <w:rPr>
                <w:sz w:val="20"/>
                <w:szCs w:val="20"/>
                <w:lang w:val="en-US"/>
              </w:rPr>
              <w:t>s</w:t>
            </w:r>
            <w:r w:rsidRPr="009A47E2">
              <w:rPr>
                <w:sz w:val="20"/>
                <w:szCs w:val="20"/>
                <w:lang w:val="en-US"/>
              </w:rPr>
              <w:t>) w</w:t>
            </w:r>
            <w:r w:rsidR="002719E5" w:rsidRPr="009A47E2">
              <w:rPr>
                <w:sz w:val="20"/>
                <w:szCs w:val="20"/>
                <w:lang w:val="en-US"/>
              </w:rPr>
              <w:t>ere</w:t>
            </w:r>
            <w:r w:rsidRPr="009A47E2">
              <w:rPr>
                <w:sz w:val="20"/>
                <w:szCs w:val="20"/>
                <w:lang w:val="en-US"/>
              </w:rPr>
              <w:t xml:space="preserve"> part of the </w:t>
            </w:r>
            <w:r w:rsidR="002719E5" w:rsidRPr="009A47E2">
              <w:rPr>
                <w:sz w:val="20"/>
                <w:szCs w:val="20"/>
                <w:lang w:val="en-US"/>
              </w:rPr>
              <w:t xml:space="preserve">regular </w:t>
            </w:r>
            <w:r w:rsidRPr="009A47E2">
              <w:rPr>
                <w:sz w:val="20"/>
                <w:szCs w:val="20"/>
                <w:lang w:val="en-US"/>
              </w:rPr>
              <w:t xml:space="preserve">safety </w:t>
            </w:r>
            <w:r w:rsidR="002719E5" w:rsidRPr="009A47E2">
              <w:rPr>
                <w:sz w:val="20"/>
                <w:szCs w:val="20"/>
                <w:lang w:val="en-US"/>
              </w:rPr>
              <w:t>monitoring</w:t>
            </w:r>
          </w:p>
        </w:tc>
      </w:tr>
      <w:tr w:rsidR="000600C0" w:rsidRPr="00011EB3" w14:paraId="46181F02"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26AAEE18" w14:textId="39CEFF9B" w:rsidR="002A49A4" w:rsidRPr="009A47E2" w:rsidRDefault="00985BC4">
            <w:pPr>
              <w:rPr>
                <w:sz w:val="20"/>
                <w:szCs w:val="20"/>
                <w:lang w:val="en-US"/>
              </w:rPr>
            </w:pPr>
            <w:r w:rsidRPr="009A47E2">
              <w:rPr>
                <w:sz w:val="20"/>
                <w:szCs w:val="20"/>
                <w:lang w:val="en-US"/>
              </w:rPr>
              <w:t>e</w:t>
            </w:r>
            <w:r w:rsidR="002A49A4" w:rsidRPr="009A47E2">
              <w:rPr>
                <w:sz w:val="20"/>
                <w:szCs w:val="20"/>
                <w:lang w:val="en-US"/>
              </w:rPr>
              <w:t>rdafitinib</w:t>
            </w:r>
          </w:p>
        </w:tc>
        <w:tc>
          <w:tcPr>
            <w:tcW w:w="2315" w:type="dxa"/>
          </w:tcPr>
          <w:p w14:paraId="067CC725" w14:textId="08160A49"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Locally advanced or metastatic bladder cancer</w:t>
            </w:r>
          </w:p>
        </w:tc>
        <w:tc>
          <w:tcPr>
            <w:tcW w:w="2268" w:type="dxa"/>
          </w:tcPr>
          <w:p w14:paraId="7BF0814C" w14:textId="7444FE6F" w:rsidR="002A49A4" w:rsidRPr="009A47E2" w:rsidRDefault="009A61EB">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PROs: SMQ</w:t>
            </w:r>
            <w:r w:rsidR="002905CB" w:rsidRPr="009A47E2">
              <w:rPr>
                <w:sz w:val="20"/>
                <w:szCs w:val="20"/>
                <w:lang w:val="pt-PT"/>
              </w:rPr>
              <w:t xml:space="preserve"> (E)</w:t>
            </w:r>
            <w:r w:rsidR="00EA6374" w:rsidRPr="009A47E2">
              <w:rPr>
                <w:sz w:val="20"/>
                <w:szCs w:val="20"/>
                <w:lang w:val="pt-PT"/>
              </w:rPr>
              <w:t>; GIC-S</w:t>
            </w:r>
            <w:r w:rsidR="002905CB" w:rsidRPr="009A47E2">
              <w:rPr>
                <w:sz w:val="20"/>
                <w:szCs w:val="20"/>
                <w:lang w:val="pt-PT"/>
              </w:rPr>
              <w:t xml:space="preserve"> (E)</w:t>
            </w:r>
            <w:r w:rsidR="00EA6374" w:rsidRPr="009A47E2">
              <w:rPr>
                <w:sz w:val="20"/>
                <w:szCs w:val="20"/>
                <w:lang w:val="pt-PT"/>
              </w:rPr>
              <w:t>; GIC-QoL</w:t>
            </w:r>
            <w:r w:rsidR="002905CB" w:rsidRPr="009A47E2">
              <w:rPr>
                <w:sz w:val="20"/>
                <w:szCs w:val="20"/>
                <w:lang w:val="pt-PT"/>
              </w:rPr>
              <w:t xml:space="preserve"> (E)</w:t>
            </w:r>
          </w:p>
        </w:tc>
        <w:tc>
          <w:tcPr>
            <w:tcW w:w="1984" w:type="dxa"/>
          </w:tcPr>
          <w:p w14:paraId="549D3CEA" w14:textId="468E669B" w:rsidR="002A49A4" w:rsidRPr="009A47E2" w:rsidRDefault="00EA637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2936F9C5" w14:textId="77777777" w:rsidR="00E866A3" w:rsidRPr="009A47E2" w:rsidRDefault="00E866A3">
            <w:pPr>
              <w:cnfStyle w:val="000000000000" w:firstRow="0" w:lastRow="0" w:firstColumn="0" w:lastColumn="0" w:oddVBand="0" w:evenVBand="0" w:oddHBand="0" w:evenHBand="0" w:firstRowFirstColumn="0" w:firstRowLastColumn="0" w:lastRowFirstColumn="0" w:lastRowLastColumn="0"/>
              <w:rPr>
                <w:i/>
                <w:sz w:val="20"/>
                <w:szCs w:val="20"/>
                <w:lang w:val="en-US"/>
              </w:rPr>
            </w:pPr>
            <w:r w:rsidRPr="009A47E2">
              <w:rPr>
                <w:sz w:val="20"/>
                <w:szCs w:val="20"/>
                <w:lang w:val="en-US"/>
              </w:rPr>
              <w:t>The SMQ “</w:t>
            </w:r>
            <w:r w:rsidRPr="009A47E2">
              <w:rPr>
                <w:i/>
                <w:sz w:val="20"/>
                <w:szCs w:val="20"/>
                <w:lang w:val="en-US"/>
              </w:rPr>
              <w:t xml:space="preserve">is limited in its ability to ascertain the cause of any decreased level of functioning or QoL for an individual patient” </w:t>
            </w:r>
          </w:p>
          <w:p w14:paraId="2F36C409" w14:textId="3F5B3D6B" w:rsidR="00FE3D6D" w:rsidRPr="009A47E2" w:rsidRDefault="00FE3D6D">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The collection of patient-reported outcomes for this NDA was too rudimentary to allow an in-depth analysis</w:t>
            </w:r>
            <w:r w:rsidRPr="009A47E2">
              <w:rPr>
                <w:sz w:val="20"/>
                <w:szCs w:val="20"/>
                <w:lang w:val="en-US"/>
              </w:rPr>
              <w:t>”</w:t>
            </w:r>
          </w:p>
        </w:tc>
      </w:tr>
      <w:tr w:rsidR="000600C0" w:rsidRPr="00011EB3" w14:paraId="2E96084E"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66A7987" w14:textId="74CBFE1A" w:rsidR="002A49A4" w:rsidRPr="009A47E2" w:rsidRDefault="002A41A9">
            <w:pPr>
              <w:rPr>
                <w:b w:val="0"/>
                <w:bCs w:val="0"/>
                <w:sz w:val="20"/>
                <w:szCs w:val="20"/>
                <w:lang w:val="de-DE"/>
              </w:rPr>
            </w:pPr>
            <w:r w:rsidRPr="009A47E2">
              <w:rPr>
                <w:sz w:val="20"/>
                <w:szCs w:val="20"/>
                <w:lang w:val="de-DE"/>
              </w:rPr>
              <w:t>fam-</w:t>
            </w:r>
            <w:r w:rsidR="002A49A4" w:rsidRPr="009A47E2">
              <w:rPr>
                <w:sz w:val="20"/>
                <w:szCs w:val="20"/>
                <w:lang w:val="de-DE"/>
              </w:rPr>
              <w:t>trastuzumab deruxtecan</w:t>
            </w:r>
          </w:p>
        </w:tc>
        <w:tc>
          <w:tcPr>
            <w:tcW w:w="2315" w:type="dxa"/>
          </w:tcPr>
          <w:p w14:paraId="5DC4F5CD" w14:textId="3D80AA6C" w:rsidR="002A49A4" w:rsidRPr="009A47E2" w:rsidRDefault="002A49A4">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Metastatic breast cancer</w:t>
            </w:r>
          </w:p>
        </w:tc>
        <w:tc>
          <w:tcPr>
            <w:tcW w:w="2268" w:type="dxa"/>
          </w:tcPr>
          <w:p w14:paraId="6816976E" w14:textId="64174EBB" w:rsidR="005F475D" w:rsidRPr="009A47E2" w:rsidRDefault="00E7407B" w:rsidP="005F475D">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1984" w:type="dxa"/>
          </w:tcPr>
          <w:p w14:paraId="45BC4E9F" w14:textId="201D74F5" w:rsidR="002A49A4" w:rsidRPr="009A47E2" w:rsidRDefault="006F5D38">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642106AC" w14:textId="59B0CC05" w:rsidR="002A49A4" w:rsidRPr="009A47E2" w:rsidRDefault="00E7407B">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PED table reported no PED </w:t>
            </w:r>
            <w:r w:rsidR="0072255C" w:rsidRPr="009A47E2">
              <w:rPr>
                <w:sz w:val="20"/>
                <w:szCs w:val="20"/>
                <w:lang w:val="en-US"/>
              </w:rPr>
              <w:t>submitted as part of</w:t>
            </w:r>
            <w:r w:rsidRPr="009A47E2">
              <w:rPr>
                <w:sz w:val="20"/>
                <w:szCs w:val="20"/>
                <w:lang w:val="en-US"/>
              </w:rPr>
              <w:t xml:space="preserve"> the application, however PED (not specified) was considered in this review</w:t>
            </w:r>
            <w:r w:rsidR="0072255C" w:rsidRPr="009A47E2">
              <w:rPr>
                <w:sz w:val="20"/>
                <w:szCs w:val="20"/>
                <w:lang w:val="en-US"/>
              </w:rPr>
              <w:t>.</w:t>
            </w:r>
            <w:r w:rsidRPr="009A47E2">
              <w:rPr>
                <w:sz w:val="20"/>
                <w:szCs w:val="20"/>
                <w:lang w:val="en-US"/>
              </w:rPr>
              <w:t xml:space="preserve"> </w:t>
            </w:r>
          </w:p>
        </w:tc>
      </w:tr>
      <w:tr w:rsidR="000600C0" w:rsidRPr="00011EB3" w14:paraId="6C3F1A24"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4CC975EC" w14:textId="2C5999ED" w:rsidR="002A49A4" w:rsidRPr="009A47E2" w:rsidRDefault="000C4FB3">
            <w:pPr>
              <w:rPr>
                <w:sz w:val="20"/>
                <w:szCs w:val="20"/>
                <w:lang w:val="en-US"/>
              </w:rPr>
            </w:pPr>
            <w:r w:rsidRPr="009A47E2">
              <w:rPr>
                <w:sz w:val="20"/>
                <w:szCs w:val="20"/>
                <w:lang w:val="en-US"/>
              </w:rPr>
              <w:t>f</w:t>
            </w:r>
            <w:r w:rsidR="002A49A4" w:rsidRPr="009A47E2">
              <w:rPr>
                <w:sz w:val="20"/>
                <w:szCs w:val="20"/>
                <w:lang w:val="en-US"/>
              </w:rPr>
              <w:t>edratinib</w:t>
            </w:r>
          </w:p>
        </w:tc>
        <w:tc>
          <w:tcPr>
            <w:tcW w:w="2315" w:type="dxa"/>
          </w:tcPr>
          <w:p w14:paraId="67BDB38D" w14:textId="6EC61F14" w:rsidR="002A49A4" w:rsidRPr="009A47E2" w:rsidRDefault="002A49A4">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Certain types of myelofibrosis</w:t>
            </w:r>
          </w:p>
        </w:tc>
        <w:tc>
          <w:tcPr>
            <w:tcW w:w="2268" w:type="dxa"/>
          </w:tcPr>
          <w:p w14:paraId="739E19BC" w14:textId="63697915" w:rsidR="00E23B22" w:rsidRPr="009A47E2" w:rsidRDefault="00E23B22">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PROs: MFSAF (2+); EQ-5D (E); MPN-SAF (E)</w:t>
            </w:r>
          </w:p>
        </w:tc>
        <w:tc>
          <w:tcPr>
            <w:tcW w:w="1984" w:type="dxa"/>
          </w:tcPr>
          <w:p w14:paraId="134E489F" w14:textId="07D69B66" w:rsidR="002A49A4" w:rsidRPr="009A47E2" w:rsidRDefault="00E23B22">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pt-PT"/>
              </w:rPr>
              <w:t>MFSAF</w:t>
            </w:r>
          </w:p>
        </w:tc>
        <w:tc>
          <w:tcPr>
            <w:tcW w:w="4962" w:type="dxa"/>
          </w:tcPr>
          <w:p w14:paraId="36227505" w14:textId="188AC235" w:rsidR="00E23B22" w:rsidRPr="009A47E2" w:rsidRDefault="00E23B22">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Results for individual symptom scores of MFSAF included in FDA Review</w:t>
            </w:r>
          </w:p>
          <w:p w14:paraId="48532ACA" w14:textId="77777777" w:rsidR="00E23B22" w:rsidRPr="009A47E2" w:rsidRDefault="00E23B22">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EQ-5D and MPN-SAF only mentioned in FDA Summary Review and not discussed in Multidisciplinary Review </w:t>
            </w:r>
            <w:r w:rsidRPr="009A47E2">
              <w:rPr>
                <w:rFonts w:cstheme="minorHAnsi"/>
                <w:sz w:val="20"/>
                <w:szCs w:val="20"/>
                <w:lang w:val="en-US"/>
              </w:rPr>
              <w:t>→</w:t>
            </w:r>
            <w:r w:rsidRPr="009A47E2">
              <w:rPr>
                <w:sz w:val="20"/>
                <w:szCs w:val="20"/>
                <w:lang w:val="en-US"/>
              </w:rPr>
              <w:t xml:space="preserve"> concluded exploratory</w:t>
            </w:r>
          </w:p>
          <w:p w14:paraId="3D44B109" w14:textId="399D6951" w:rsidR="00E23E6D" w:rsidRPr="009A47E2" w:rsidRDefault="00E23E6D">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ECOG-PS (ClinRO) was part of the safety assessment, but not clearly defined as the basis of an endpoint</w:t>
            </w:r>
          </w:p>
        </w:tc>
      </w:tr>
      <w:tr w:rsidR="000600C0" w:rsidRPr="00011EB3" w14:paraId="47AE48F2"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BDAD4A8" w14:textId="77777777" w:rsidR="00060C46" w:rsidRPr="009A47E2" w:rsidRDefault="00060C46" w:rsidP="00060C46">
            <w:pPr>
              <w:rPr>
                <w:sz w:val="20"/>
                <w:szCs w:val="20"/>
                <w:lang w:val="en-US"/>
              </w:rPr>
            </w:pPr>
            <w:r w:rsidRPr="009A47E2">
              <w:rPr>
                <w:sz w:val="20"/>
                <w:szCs w:val="20"/>
                <w:lang w:val="en-US"/>
              </w:rPr>
              <w:t>ferric maltol</w:t>
            </w:r>
          </w:p>
        </w:tc>
        <w:tc>
          <w:tcPr>
            <w:tcW w:w="2315" w:type="dxa"/>
          </w:tcPr>
          <w:p w14:paraId="251D1B5B" w14:textId="2331C73A"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Iron deficiency anemia</w:t>
            </w:r>
          </w:p>
        </w:tc>
        <w:tc>
          <w:tcPr>
            <w:tcW w:w="2268" w:type="dxa"/>
          </w:tcPr>
          <w:p w14:paraId="68AF423B" w14:textId="2AEDB942"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1984" w:type="dxa"/>
          </w:tcPr>
          <w:p w14:paraId="268CB8E9" w14:textId="2C467A4F"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7F9E9690" w14:textId="5549BA0D"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No PED submitted as part of application as stated in PED table</w:t>
            </w:r>
          </w:p>
        </w:tc>
      </w:tr>
      <w:tr w:rsidR="000600C0" w:rsidRPr="00011EB3" w14:paraId="6DF87D24"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768C2556" w14:textId="77777777" w:rsidR="0032297F" w:rsidRPr="009A47E2" w:rsidRDefault="00060C46" w:rsidP="00060C46">
            <w:pPr>
              <w:rPr>
                <w:b w:val="0"/>
                <w:bCs w:val="0"/>
                <w:sz w:val="20"/>
                <w:szCs w:val="20"/>
                <w:lang w:val="en-US"/>
              </w:rPr>
            </w:pPr>
            <w:r w:rsidRPr="009A47E2">
              <w:rPr>
                <w:sz w:val="20"/>
                <w:szCs w:val="20"/>
                <w:lang w:val="en-US"/>
              </w:rPr>
              <w:t xml:space="preserve">fluorodopa </w:t>
            </w:r>
          </w:p>
          <w:p w14:paraId="043149E1" w14:textId="21F2B165" w:rsidR="00060C46" w:rsidRPr="009A47E2" w:rsidRDefault="00060C46" w:rsidP="00060C46">
            <w:pPr>
              <w:rPr>
                <w:sz w:val="20"/>
                <w:szCs w:val="20"/>
                <w:lang w:val="en-US"/>
              </w:rPr>
            </w:pPr>
            <w:r w:rsidRPr="009A47E2">
              <w:rPr>
                <w:sz w:val="20"/>
                <w:szCs w:val="20"/>
                <w:lang w:val="en-US"/>
              </w:rPr>
              <w:t>F 18</w:t>
            </w:r>
          </w:p>
        </w:tc>
        <w:tc>
          <w:tcPr>
            <w:tcW w:w="2315" w:type="dxa"/>
          </w:tcPr>
          <w:p w14:paraId="71EBFEAC" w14:textId="16E5074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Diagnostic agent for Parkinsonian syndromes</w:t>
            </w:r>
          </w:p>
        </w:tc>
        <w:tc>
          <w:tcPr>
            <w:tcW w:w="2268" w:type="dxa"/>
          </w:tcPr>
          <w:p w14:paraId="059606B2" w14:textId="44F45D8E" w:rsidR="00060C46" w:rsidRPr="009A47E2" w:rsidRDefault="00FE4D4A" w:rsidP="00060C46">
            <w:pP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9A47E2">
              <w:rPr>
                <w:i/>
                <w:iCs/>
                <w:sz w:val="20"/>
                <w:szCs w:val="20"/>
                <w:lang w:val="en-US"/>
              </w:rPr>
              <w:t xml:space="preserve">ClinRO: </w:t>
            </w:r>
            <w:r w:rsidR="001E14F0" w:rsidRPr="009A47E2">
              <w:rPr>
                <w:i/>
                <w:iCs/>
                <w:sz w:val="20"/>
                <w:szCs w:val="20"/>
                <w:lang w:val="en-US"/>
              </w:rPr>
              <w:t>Readers’ independent evaluation of PET images (positive and negative % agreement)</w:t>
            </w:r>
            <w:r w:rsidRPr="009A47E2">
              <w:rPr>
                <w:i/>
                <w:iCs/>
                <w:sz w:val="20"/>
                <w:szCs w:val="20"/>
                <w:lang w:val="en-US"/>
              </w:rPr>
              <w:t xml:space="preserve"> (1+)</w:t>
            </w:r>
          </w:p>
        </w:tc>
        <w:tc>
          <w:tcPr>
            <w:tcW w:w="1984" w:type="dxa"/>
          </w:tcPr>
          <w:p w14:paraId="678B9807" w14:textId="1A16493D" w:rsidR="00060C46" w:rsidRPr="009A47E2" w:rsidRDefault="001E14F0" w:rsidP="00060C46">
            <w:pP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9A47E2">
              <w:rPr>
                <w:i/>
                <w:iCs/>
                <w:sz w:val="20"/>
                <w:szCs w:val="20"/>
                <w:lang w:val="en-US"/>
              </w:rPr>
              <w:t>Readers’ independent evaluation of PET images (positive and negative % agreement)</w:t>
            </w:r>
          </w:p>
        </w:tc>
        <w:tc>
          <w:tcPr>
            <w:tcW w:w="4962" w:type="dxa"/>
          </w:tcPr>
          <w:p w14:paraId="3273AE87" w14:textId="77777777" w:rsidR="00060C46" w:rsidRPr="009A47E2" w:rsidRDefault="000C4FB3"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PED table included in FDA Review</w:t>
            </w:r>
          </w:p>
          <w:p w14:paraId="71543BAD" w14:textId="57452C17" w:rsidR="00EB59E6" w:rsidRPr="009A47E2" w:rsidRDefault="00EB59E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Doubt as to whether the outcome measure </w:t>
            </w:r>
            <w:r w:rsidR="00FE4D4A" w:rsidRPr="009A47E2">
              <w:rPr>
                <w:sz w:val="20"/>
                <w:szCs w:val="20"/>
                <w:lang w:val="en-US"/>
              </w:rPr>
              <w:t>should be categorized as</w:t>
            </w:r>
            <w:r w:rsidRPr="009A47E2">
              <w:rPr>
                <w:sz w:val="20"/>
                <w:szCs w:val="20"/>
                <w:lang w:val="en-US"/>
              </w:rPr>
              <w:t xml:space="preserve"> COA resolved by consensus and COA specialist advice; conclusion was ClinRO rather than biomarker as the outcome is based on the clinicians’ interpretation (ClinRO) of the PET images (biomarker) </w:t>
            </w:r>
          </w:p>
        </w:tc>
      </w:tr>
      <w:tr w:rsidR="000600C0" w:rsidRPr="00011EB3" w14:paraId="765A0C93"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71E1E789" w14:textId="77777777" w:rsidR="0032297F" w:rsidRPr="009A47E2" w:rsidRDefault="00060C46" w:rsidP="00060C46">
            <w:pPr>
              <w:rPr>
                <w:b w:val="0"/>
                <w:bCs w:val="0"/>
                <w:sz w:val="20"/>
                <w:szCs w:val="20"/>
                <w:lang w:val="en-US"/>
              </w:rPr>
            </w:pPr>
            <w:r w:rsidRPr="009A47E2">
              <w:rPr>
                <w:sz w:val="20"/>
                <w:szCs w:val="20"/>
                <w:lang w:val="en-US"/>
              </w:rPr>
              <w:t>Ga-68-</w:t>
            </w:r>
          </w:p>
          <w:p w14:paraId="70E5C2AA" w14:textId="7981568A" w:rsidR="00060C46" w:rsidRPr="009A47E2" w:rsidRDefault="00060C46" w:rsidP="00060C46">
            <w:pPr>
              <w:rPr>
                <w:sz w:val="20"/>
                <w:szCs w:val="20"/>
                <w:lang w:val="en-US"/>
              </w:rPr>
            </w:pPr>
            <w:r w:rsidRPr="009A47E2">
              <w:rPr>
                <w:sz w:val="20"/>
                <w:szCs w:val="20"/>
                <w:lang w:val="en-US"/>
              </w:rPr>
              <w:t>DOTATOC</w:t>
            </w:r>
          </w:p>
        </w:tc>
        <w:tc>
          <w:tcPr>
            <w:tcW w:w="2315" w:type="dxa"/>
          </w:tcPr>
          <w:p w14:paraId="3969E5E0" w14:textId="71E9DF48"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Diagnostic agent for neuroendocrine tumors</w:t>
            </w:r>
          </w:p>
        </w:tc>
        <w:tc>
          <w:tcPr>
            <w:tcW w:w="2268" w:type="dxa"/>
          </w:tcPr>
          <w:p w14:paraId="2EA48E6E" w14:textId="18AA4BB3" w:rsidR="00060C46" w:rsidRPr="009A47E2" w:rsidRDefault="00EF5EA0" w:rsidP="00060C46">
            <w:pPr>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9A47E2">
              <w:rPr>
                <w:i/>
                <w:iCs/>
                <w:sz w:val="20"/>
                <w:szCs w:val="20"/>
                <w:lang w:val="en-US"/>
              </w:rPr>
              <w:t xml:space="preserve">ClinRO: Rating of </w:t>
            </w:r>
            <w:r w:rsidRPr="003A1D03">
              <w:rPr>
                <w:i/>
                <w:iCs/>
                <w:sz w:val="20"/>
                <w:szCs w:val="20"/>
                <w:lang w:val="en-GB"/>
              </w:rPr>
              <w:t>images by two independent readers</w:t>
            </w:r>
            <w:r w:rsidRPr="009A47E2">
              <w:rPr>
                <w:i/>
                <w:iCs/>
                <w:sz w:val="20"/>
                <w:szCs w:val="20"/>
                <w:lang w:val="en-US"/>
              </w:rPr>
              <w:t xml:space="preserve"> </w:t>
            </w:r>
            <w:r w:rsidRPr="009A47E2">
              <w:rPr>
                <w:rFonts w:ascii="Wingdings" w:eastAsia="Wingdings" w:hAnsi="Wingdings" w:cs="Wingdings"/>
                <w:i/>
                <w:sz w:val="20"/>
                <w:szCs w:val="20"/>
              </w:rPr>
              <w:t></w:t>
            </w:r>
            <w:r w:rsidRPr="009A47E2">
              <w:rPr>
                <w:i/>
                <w:iCs/>
                <w:sz w:val="20"/>
                <w:szCs w:val="20"/>
                <w:lang w:val="en-US"/>
              </w:rPr>
              <w:t xml:space="preserve"> </w:t>
            </w:r>
            <w:r w:rsidRPr="003A1D03">
              <w:rPr>
                <w:i/>
                <w:iCs/>
                <w:sz w:val="20"/>
                <w:szCs w:val="20"/>
                <w:lang w:val="en-GB"/>
              </w:rPr>
              <w:t xml:space="preserve">positive </w:t>
            </w:r>
            <w:r w:rsidRPr="009A47E2">
              <w:rPr>
                <w:i/>
                <w:iCs/>
                <w:sz w:val="20"/>
                <w:szCs w:val="20"/>
                <w:lang w:val="en-US"/>
              </w:rPr>
              <w:t>&amp; negative %</w:t>
            </w:r>
            <w:r w:rsidRPr="003A1D03">
              <w:rPr>
                <w:i/>
                <w:iCs/>
                <w:sz w:val="20"/>
                <w:szCs w:val="20"/>
                <w:lang w:val="en-GB"/>
              </w:rPr>
              <w:t xml:space="preserve"> agreement</w:t>
            </w:r>
            <w:r w:rsidRPr="009A47E2">
              <w:rPr>
                <w:i/>
                <w:iCs/>
                <w:sz w:val="20"/>
                <w:szCs w:val="20"/>
                <w:lang w:val="en-US"/>
              </w:rPr>
              <w:t xml:space="preserve"> (1+)</w:t>
            </w:r>
            <w:r w:rsidR="005163D2" w:rsidRPr="009A47E2">
              <w:rPr>
                <w:i/>
                <w:iCs/>
                <w:sz w:val="20"/>
                <w:szCs w:val="20"/>
                <w:lang w:val="en-US"/>
              </w:rPr>
              <w:t xml:space="preserve"> </w:t>
            </w:r>
          </w:p>
        </w:tc>
        <w:tc>
          <w:tcPr>
            <w:tcW w:w="1984" w:type="dxa"/>
          </w:tcPr>
          <w:p w14:paraId="79F8D372" w14:textId="2FBB267B" w:rsidR="00060C46" w:rsidRPr="009A47E2" w:rsidRDefault="00EF5EA0"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i/>
                <w:iCs/>
                <w:sz w:val="20"/>
                <w:szCs w:val="20"/>
                <w:lang w:val="en-US"/>
              </w:rPr>
              <w:t xml:space="preserve">Rating of </w:t>
            </w:r>
            <w:r w:rsidRPr="003A1D03">
              <w:rPr>
                <w:i/>
                <w:iCs/>
                <w:sz w:val="20"/>
                <w:szCs w:val="20"/>
                <w:lang w:val="en-GB"/>
              </w:rPr>
              <w:t>images by two independent readers</w:t>
            </w:r>
            <w:r w:rsidRPr="009A47E2">
              <w:rPr>
                <w:i/>
                <w:iCs/>
                <w:sz w:val="20"/>
                <w:szCs w:val="20"/>
                <w:lang w:val="en-US"/>
              </w:rPr>
              <w:t xml:space="preserve"> </w:t>
            </w:r>
            <w:r w:rsidRPr="009A47E2">
              <w:rPr>
                <w:rFonts w:ascii="Wingdings" w:eastAsia="Wingdings" w:hAnsi="Wingdings" w:cs="Wingdings"/>
                <w:i/>
                <w:sz w:val="20"/>
                <w:szCs w:val="20"/>
              </w:rPr>
              <w:t></w:t>
            </w:r>
            <w:r w:rsidRPr="009A47E2">
              <w:rPr>
                <w:i/>
                <w:iCs/>
                <w:sz w:val="20"/>
                <w:szCs w:val="20"/>
                <w:lang w:val="en-US"/>
              </w:rPr>
              <w:t xml:space="preserve"> </w:t>
            </w:r>
            <w:r w:rsidRPr="003A1D03">
              <w:rPr>
                <w:i/>
                <w:iCs/>
                <w:sz w:val="20"/>
                <w:szCs w:val="20"/>
                <w:lang w:val="en-GB"/>
              </w:rPr>
              <w:t xml:space="preserve">positive </w:t>
            </w:r>
            <w:r w:rsidRPr="009A47E2">
              <w:rPr>
                <w:i/>
                <w:iCs/>
                <w:sz w:val="20"/>
                <w:szCs w:val="20"/>
                <w:lang w:val="en-US"/>
              </w:rPr>
              <w:t>&amp;</w:t>
            </w:r>
            <w:r w:rsidRPr="009A47E2">
              <w:rPr>
                <w:sz w:val="20"/>
                <w:szCs w:val="20"/>
                <w:lang w:val="en-US"/>
              </w:rPr>
              <w:t xml:space="preserve"> </w:t>
            </w:r>
            <w:r w:rsidRPr="009A47E2">
              <w:rPr>
                <w:i/>
                <w:iCs/>
                <w:sz w:val="20"/>
                <w:szCs w:val="20"/>
                <w:lang w:val="en-US"/>
              </w:rPr>
              <w:t>negative %</w:t>
            </w:r>
            <w:r w:rsidRPr="003A1D03">
              <w:rPr>
                <w:i/>
                <w:iCs/>
                <w:sz w:val="20"/>
                <w:szCs w:val="20"/>
                <w:lang w:val="en-GB"/>
              </w:rPr>
              <w:t xml:space="preserve"> agreement</w:t>
            </w:r>
          </w:p>
        </w:tc>
        <w:tc>
          <w:tcPr>
            <w:tcW w:w="4962" w:type="dxa"/>
          </w:tcPr>
          <w:p w14:paraId="40DAA51A" w14:textId="77777777" w:rsidR="00060C46" w:rsidRPr="009A47E2" w:rsidRDefault="00C64438"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No PED submitted as part of application as stated in PED table</w:t>
            </w:r>
          </w:p>
          <w:p w14:paraId="59D4B32D" w14:textId="078A149B" w:rsidR="00EF5EA0" w:rsidRPr="009A47E2" w:rsidRDefault="00EF5EA0"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Doubt as to whether the outcome measure should be categorized as COA resolved by consensus and COA specialist advice; conclusion was ClinRO rather than biomarker as the outcome is based on the clinicians’ interpretation (ClinRO) of the Ga-68-DOTATOC images (biomarker)</w:t>
            </w:r>
          </w:p>
        </w:tc>
      </w:tr>
      <w:tr w:rsidR="000600C0" w:rsidRPr="00011EB3" w14:paraId="08330053"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77A14B06" w14:textId="77777777" w:rsidR="00060C46" w:rsidRPr="009A47E2" w:rsidRDefault="00060C46" w:rsidP="00060C46">
            <w:pPr>
              <w:rPr>
                <w:sz w:val="20"/>
                <w:szCs w:val="20"/>
                <w:lang w:val="en-US"/>
              </w:rPr>
            </w:pPr>
            <w:r w:rsidRPr="009A47E2">
              <w:rPr>
                <w:sz w:val="20"/>
                <w:szCs w:val="20"/>
                <w:lang w:val="en-US"/>
              </w:rPr>
              <w:t>givosiran</w:t>
            </w:r>
          </w:p>
        </w:tc>
        <w:tc>
          <w:tcPr>
            <w:tcW w:w="2315" w:type="dxa"/>
          </w:tcPr>
          <w:p w14:paraId="01C82D7A" w14:textId="35774564"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Acute hepatic porphyria</w:t>
            </w:r>
          </w:p>
        </w:tc>
        <w:tc>
          <w:tcPr>
            <w:tcW w:w="2268" w:type="dxa"/>
          </w:tcPr>
          <w:p w14:paraId="77856461" w14:textId="667636C5" w:rsidR="00060C46" w:rsidRPr="009A47E2" w:rsidRDefault="00670B47"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PROs: BPI-SF (2÷)</w:t>
            </w:r>
            <w:r w:rsidR="00C96F3A" w:rsidRPr="009A47E2">
              <w:rPr>
                <w:sz w:val="20"/>
                <w:szCs w:val="20"/>
                <w:lang w:val="en-US"/>
              </w:rPr>
              <w:t>;</w:t>
            </w:r>
            <w:r w:rsidRPr="009A47E2">
              <w:rPr>
                <w:sz w:val="20"/>
                <w:szCs w:val="20"/>
                <w:lang w:val="en-US"/>
              </w:rPr>
              <w:t xml:space="preserve"> SF-12 PCS (E)</w:t>
            </w:r>
            <w:r w:rsidR="00921D82" w:rsidRPr="009A47E2">
              <w:rPr>
                <w:sz w:val="20"/>
                <w:szCs w:val="20"/>
                <w:lang w:val="en-US"/>
              </w:rPr>
              <w:t>; EQ-5D-5L (E); days missed of work/school (E); PGIC (E), PPEQ (E)</w:t>
            </w:r>
          </w:p>
        </w:tc>
        <w:tc>
          <w:tcPr>
            <w:tcW w:w="1984" w:type="dxa"/>
          </w:tcPr>
          <w:p w14:paraId="5368CCE2" w14:textId="3A35BA47" w:rsidR="00060C46" w:rsidRPr="009A47E2" w:rsidRDefault="00C96F3A"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4AC15CFB" w14:textId="77777777" w:rsidR="00060C46" w:rsidRPr="009A47E2" w:rsidRDefault="00C96F3A"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Given that worst pain scores (based on BPI-SF) failed statistical significance, all subsequent secondary endpoints (including SF-12 PCS) were viewed as exploratory endpoints</w:t>
            </w:r>
          </w:p>
          <w:p w14:paraId="7688DD61" w14:textId="1151D936" w:rsidR="00921D82" w:rsidRPr="009A47E2" w:rsidRDefault="00921D82"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PROs/QoL measures not discussed further in FDA Review</w:t>
            </w:r>
          </w:p>
        </w:tc>
      </w:tr>
      <w:tr w:rsidR="000600C0" w:rsidRPr="00011EB3" w14:paraId="27234D69"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7A020EF" w14:textId="4E4BA8B9" w:rsidR="00060C46" w:rsidRPr="009A47E2" w:rsidRDefault="00060C46" w:rsidP="00060C46">
            <w:pPr>
              <w:rPr>
                <w:sz w:val="20"/>
                <w:szCs w:val="20"/>
                <w:lang w:val="en-US"/>
              </w:rPr>
            </w:pPr>
            <w:bookmarkStart w:id="3" w:name="_Hlk35004429"/>
            <w:r w:rsidRPr="009A47E2">
              <w:rPr>
                <w:sz w:val="20"/>
                <w:szCs w:val="20"/>
                <w:lang w:val="en-US"/>
              </w:rPr>
              <w:t>golodirsen</w:t>
            </w:r>
            <w:bookmarkEnd w:id="3"/>
          </w:p>
        </w:tc>
        <w:tc>
          <w:tcPr>
            <w:tcW w:w="2315" w:type="dxa"/>
          </w:tcPr>
          <w:p w14:paraId="451C2DD1" w14:textId="2E7ED13A"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Duchenne muscular dystrophy</w:t>
            </w:r>
          </w:p>
        </w:tc>
        <w:tc>
          <w:tcPr>
            <w:tcW w:w="2268" w:type="dxa"/>
          </w:tcPr>
          <w:p w14:paraId="4E37B99B" w14:textId="0D456B66"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PerfOs: 6MWT (2</w:t>
            </w:r>
            <w:r w:rsidRPr="009A47E2">
              <w:rPr>
                <w:rFonts w:cstheme="minorHAnsi"/>
                <w:sz w:val="20"/>
                <w:szCs w:val="20"/>
                <w:lang w:val="en-US"/>
              </w:rPr>
              <w:t>÷</w:t>
            </w:r>
            <w:r w:rsidRPr="009A47E2">
              <w:rPr>
                <w:sz w:val="20"/>
                <w:szCs w:val="20"/>
                <w:lang w:val="en-US"/>
              </w:rPr>
              <w:t>); NSAA (E); PUL</w:t>
            </w:r>
            <w:r w:rsidR="00F14C22" w:rsidRPr="009A47E2">
              <w:rPr>
                <w:sz w:val="20"/>
                <w:szCs w:val="20"/>
                <w:lang w:val="en-US"/>
              </w:rPr>
              <w:t xml:space="preserve"> </w:t>
            </w:r>
            <w:r w:rsidRPr="009A47E2">
              <w:rPr>
                <w:sz w:val="20"/>
                <w:szCs w:val="20"/>
                <w:lang w:val="en-US"/>
              </w:rPr>
              <w:t>(E); Timed 4-step test (E); MoviPlate (E); Pinch and Hand Grip (E)</w:t>
            </w:r>
          </w:p>
          <w:p w14:paraId="65167F38" w14:textId="31329F22"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en-US"/>
              </w:rPr>
              <w:t xml:space="preserve">PRO: PODCI </w:t>
            </w:r>
            <w:r w:rsidRPr="009A47E2">
              <w:rPr>
                <w:sz w:val="20"/>
                <w:szCs w:val="20"/>
                <w:lang w:val="en-US"/>
              </w:rPr>
              <w:t>(E)</w:t>
            </w:r>
          </w:p>
        </w:tc>
        <w:tc>
          <w:tcPr>
            <w:tcW w:w="1984" w:type="dxa"/>
          </w:tcPr>
          <w:p w14:paraId="2B1B6E72" w14:textId="48A743C8"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673C1807" w14:textId="2405DD5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 xml:space="preserve">Both 6MWT and FVC measures decreased from baseline and there was no correlation observed between dystrophin levels </w:t>
            </w:r>
            <w:r w:rsidRPr="009A47E2">
              <w:rPr>
                <w:rFonts w:cstheme="minorHAnsi"/>
                <w:sz w:val="20"/>
                <w:szCs w:val="20"/>
                <w:lang w:val="en-US"/>
              </w:rPr>
              <w:t>[</w:t>
            </w:r>
            <w:r w:rsidRPr="009A47E2">
              <w:rPr>
                <w:sz w:val="20"/>
                <w:szCs w:val="20"/>
                <w:lang w:val="en-US"/>
              </w:rPr>
              <w:t>primary surrogate endpoint</w:t>
            </w:r>
            <w:r w:rsidRPr="009A47E2">
              <w:rPr>
                <w:rFonts w:cstheme="minorHAnsi"/>
                <w:sz w:val="20"/>
                <w:szCs w:val="20"/>
                <w:lang w:val="en-US"/>
              </w:rPr>
              <w:t>]</w:t>
            </w:r>
            <w:r w:rsidRPr="009A47E2">
              <w:rPr>
                <w:i/>
                <w:sz w:val="20"/>
                <w:szCs w:val="20"/>
                <w:lang w:val="en-US"/>
              </w:rPr>
              <w:t xml:space="preserve"> and 6MWT measures</w:t>
            </w:r>
            <w:r w:rsidRPr="009A47E2">
              <w:rPr>
                <w:sz w:val="20"/>
                <w:szCs w:val="20"/>
                <w:lang w:val="en-US"/>
              </w:rPr>
              <w:t>”</w:t>
            </w:r>
          </w:p>
          <w:p w14:paraId="08A1B58E" w14:textId="02EE5BD3"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Exploratory endpoints only mentioned as ‘other endpoints’ with no results reported</w:t>
            </w:r>
          </w:p>
          <w:p w14:paraId="5668E2DB" w14:textId="280B8A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6MWT </w:t>
            </w:r>
            <w:r w:rsidR="00F14C22" w:rsidRPr="009A47E2">
              <w:rPr>
                <w:sz w:val="20"/>
                <w:szCs w:val="20"/>
                <w:lang w:val="en-US"/>
              </w:rPr>
              <w:t>was</w:t>
            </w:r>
            <w:r w:rsidRPr="009A47E2">
              <w:rPr>
                <w:sz w:val="20"/>
                <w:szCs w:val="20"/>
                <w:lang w:val="en-US"/>
              </w:rPr>
              <w:t xml:space="preserve"> secondary outcome measure but not accounted for in the SAP</w:t>
            </w:r>
          </w:p>
        </w:tc>
      </w:tr>
      <w:tr w:rsidR="000600C0" w:rsidRPr="00011EB3" w14:paraId="761EEEAE"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67AB0A5" w14:textId="77777777" w:rsidR="0032297F" w:rsidRPr="009A47E2" w:rsidRDefault="00EA6CB6" w:rsidP="00060C46">
            <w:pPr>
              <w:rPr>
                <w:b w:val="0"/>
                <w:bCs w:val="0"/>
                <w:sz w:val="20"/>
                <w:szCs w:val="20"/>
                <w:lang w:val="en-US"/>
              </w:rPr>
            </w:pPr>
            <w:r w:rsidRPr="009A47E2">
              <w:rPr>
                <w:sz w:val="20"/>
                <w:szCs w:val="20"/>
                <w:lang w:val="en-US"/>
              </w:rPr>
              <w:t>i</w:t>
            </w:r>
            <w:r w:rsidR="00060C46" w:rsidRPr="009A47E2">
              <w:rPr>
                <w:sz w:val="20"/>
                <w:szCs w:val="20"/>
                <w:lang w:val="en-US"/>
              </w:rPr>
              <w:t xml:space="preserve">mipenem/ </w:t>
            </w:r>
          </w:p>
          <w:p w14:paraId="12B42630" w14:textId="77777777" w:rsidR="0032297F" w:rsidRPr="009A47E2" w:rsidRDefault="00060C46" w:rsidP="00060C46">
            <w:pPr>
              <w:rPr>
                <w:b w:val="0"/>
                <w:bCs w:val="0"/>
                <w:sz w:val="20"/>
                <w:szCs w:val="20"/>
                <w:lang w:val="en-US"/>
              </w:rPr>
            </w:pPr>
            <w:r w:rsidRPr="009A47E2">
              <w:rPr>
                <w:sz w:val="20"/>
                <w:szCs w:val="20"/>
                <w:lang w:val="en-US"/>
              </w:rPr>
              <w:t xml:space="preserve">cilastatin/ </w:t>
            </w:r>
          </w:p>
          <w:p w14:paraId="105D7762" w14:textId="7BD76E6C" w:rsidR="00060C46" w:rsidRPr="009A47E2" w:rsidRDefault="00060C46" w:rsidP="00060C46">
            <w:pPr>
              <w:rPr>
                <w:sz w:val="20"/>
                <w:szCs w:val="20"/>
                <w:lang w:val="en-US"/>
              </w:rPr>
            </w:pPr>
            <w:r w:rsidRPr="009A47E2">
              <w:rPr>
                <w:sz w:val="20"/>
                <w:szCs w:val="20"/>
                <w:lang w:val="en-US"/>
              </w:rPr>
              <w:t>relebactam</w:t>
            </w:r>
          </w:p>
        </w:tc>
        <w:tc>
          <w:tcPr>
            <w:tcW w:w="2315" w:type="dxa"/>
          </w:tcPr>
          <w:p w14:paraId="7540E814" w14:textId="7777777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Complicated urinary tract infections and complicated</w:t>
            </w:r>
          </w:p>
          <w:p w14:paraId="6CB9B3F4" w14:textId="561441B3"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intra-abdominal infections</w:t>
            </w:r>
          </w:p>
        </w:tc>
        <w:tc>
          <w:tcPr>
            <w:tcW w:w="2268" w:type="dxa"/>
          </w:tcPr>
          <w:p w14:paraId="2B39912D" w14:textId="104BCEB8"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ClinRO: Clinician ascertained clinical response (1/2 </w:t>
            </w:r>
            <w:r w:rsidRPr="009A47E2">
              <w:rPr>
                <w:rFonts w:cstheme="minorHAnsi"/>
                <w:sz w:val="20"/>
                <w:szCs w:val="20"/>
                <w:lang w:val="en-US"/>
              </w:rPr>
              <w:t>→</w:t>
            </w:r>
            <w:r w:rsidRPr="009A47E2">
              <w:rPr>
                <w:sz w:val="20"/>
                <w:szCs w:val="20"/>
                <w:lang w:val="en-US"/>
              </w:rPr>
              <w:t xml:space="preserve"> E)</w:t>
            </w:r>
          </w:p>
        </w:tc>
        <w:tc>
          <w:tcPr>
            <w:tcW w:w="1984" w:type="dxa"/>
          </w:tcPr>
          <w:p w14:paraId="5A8336CD" w14:textId="02BA15D0"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07CE4A62" w14:textId="76652E5E"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i/>
                <w:sz w:val="20"/>
                <w:szCs w:val="20"/>
                <w:lang w:val="en-US"/>
              </w:rPr>
              <w:t xml:space="preserve"> “Two studies not appropriately designed for hypothesis testing (no reliable conclusions to be concluded based on results); one study descriptive only with no hypothesis testing”</w:t>
            </w:r>
          </w:p>
          <w:p w14:paraId="76DA2CF0" w14:textId="53752225"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Efficacy primarily established by in vitro and animal studies and supported by previous findings for the antimicrobial components</w:t>
            </w:r>
          </w:p>
        </w:tc>
      </w:tr>
      <w:tr w:rsidR="000600C0" w:rsidRPr="00011EB3" w14:paraId="60342757"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1BB773E9" w14:textId="58303D63" w:rsidR="00060C46" w:rsidRPr="009A47E2" w:rsidRDefault="00060C46" w:rsidP="00060C46">
            <w:pPr>
              <w:rPr>
                <w:sz w:val="20"/>
                <w:szCs w:val="20"/>
                <w:lang w:val="en-US"/>
              </w:rPr>
            </w:pPr>
            <w:bookmarkStart w:id="4" w:name="_Hlk40213504"/>
            <w:r w:rsidRPr="009A47E2">
              <w:rPr>
                <w:sz w:val="20"/>
                <w:szCs w:val="20"/>
                <w:lang w:val="en-US"/>
              </w:rPr>
              <w:t>istradefylline</w:t>
            </w:r>
            <w:bookmarkEnd w:id="4"/>
          </w:p>
        </w:tc>
        <w:tc>
          <w:tcPr>
            <w:tcW w:w="2315" w:type="dxa"/>
          </w:tcPr>
          <w:p w14:paraId="67E67E4B" w14:textId="79F96A11"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Parkinson’s disease “off” episodes</w:t>
            </w:r>
          </w:p>
        </w:tc>
        <w:tc>
          <w:tcPr>
            <w:tcW w:w="2268" w:type="dxa"/>
          </w:tcPr>
          <w:p w14:paraId="63E98929" w14:textId="77777777" w:rsidR="001E2067" w:rsidRPr="009A47E2" w:rsidRDefault="001E2067" w:rsidP="001E2067">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PROs: Patient diary OFF time (1+*) and ON time (2+); PGI-I (2÷); PDQ (2÷); SF-35 (2÷)</w:t>
            </w:r>
          </w:p>
          <w:p w14:paraId="1087FC7C" w14:textId="125F5C25" w:rsidR="00060C46" w:rsidRPr="009A47E2" w:rsidRDefault="001E2067" w:rsidP="001E2067">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ClinROs: UPDRS (2÷); CGI (2÷)</w:t>
            </w:r>
          </w:p>
        </w:tc>
        <w:tc>
          <w:tcPr>
            <w:tcW w:w="1984" w:type="dxa"/>
          </w:tcPr>
          <w:p w14:paraId="1ACF5E76" w14:textId="77777777" w:rsidR="001E2067" w:rsidRPr="009A47E2" w:rsidRDefault="001E2067" w:rsidP="001E2067">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OFF time;</w:t>
            </w:r>
          </w:p>
          <w:p w14:paraId="4BEDD07A" w14:textId="44829145" w:rsidR="00060C46" w:rsidRPr="009A47E2" w:rsidRDefault="001E2067" w:rsidP="001E2067">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ON time without troublesome dyskinesia</w:t>
            </w:r>
          </w:p>
        </w:tc>
        <w:tc>
          <w:tcPr>
            <w:tcW w:w="4962" w:type="dxa"/>
          </w:tcPr>
          <w:p w14:paraId="4F20F433" w14:textId="779C8675" w:rsidR="001E2067" w:rsidRPr="009A47E2" w:rsidRDefault="001E2067"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Initial application </w:t>
            </w:r>
            <w:r w:rsidR="00540854" w:rsidRPr="009A47E2">
              <w:rPr>
                <w:sz w:val="20"/>
                <w:szCs w:val="20"/>
                <w:lang w:val="en-US"/>
              </w:rPr>
              <w:t>resulted in</w:t>
            </w:r>
            <w:r w:rsidRPr="009A47E2">
              <w:rPr>
                <w:sz w:val="20"/>
                <w:szCs w:val="20"/>
                <w:lang w:val="en-US"/>
              </w:rPr>
              <w:t xml:space="preserve"> a non-approvable letter </w:t>
            </w:r>
            <w:r w:rsidR="00540854" w:rsidRPr="009A47E2">
              <w:rPr>
                <w:sz w:val="20"/>
                <w:szCs w:val="20"/>
                <w:lang w:val="en-US"/>
              </w:rPr>
              <w:t>(in 2008)</w:t>
            </w:r>
            <w:r w:rsidR="00591985" w:rsidRPr="009A47E2">
              <w:rPr>
                <w:sz w:val="20"/>
                <w:szCs w:val="20"/>
                <w:lang w:val="en-US"/>
              </w:rPr>
              <w:t>; clinical reviewer recommended against approval of the present re-submitted NDA</w:t>
            </w:r>
          </w:p>
          <w:p w14:paraId="1BD74532" w14:textId="77777777" w:rsidR="00060C46" w:rsidRPr="009A47E2" w:rsidRDefault="001E2067"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In almost all the studies, there was no adjustment for multiplicity for secondary endpoints </w:t>
            </w:r>
            <w:r w:rsidRPr="009A47E2">
              <w:rPr>
                <w:rFonts w:ascii="Wingdings" w:eastAsia="Wingdings" w:hAnsi="Wingdings" w:cs="Wingdings"/>
                <w:sz w:val="20"/>
                <w:szCs w:val="20"/>
                <w:lang w:val="en-US"/>
              </w:rPr>
              <w:t></w:t>
            </w:r>
            <w:r w:rsidRPr="009A47E2">
              <w:rPr>
                <w:sz w:val="20"/>
                <w:szCs w:val="20"/>
                <w:lang w:val="en-US"/>
              </w:rPr>
              <w:t xml:space="preserve"> nominal p-values only</w:t>
            </w:r>
          </w:p>
          <w:p w14:paraId="7D63B155" w14:textId="3CDBD04D" w:rsidR="00E23E6D" w:rsidRPr="009A47E2" w:rsidRDefault="00E23E6D"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The C-SSRS (ClinRO) was part of the </w:t>
            </w:r>
            <w:r w:rsidR="00F93F8D" w:rsidRPr="009A47E2">
              <w:rPr>
                <w:sz w:val="20"/>
                <w:szCs w:val="20"/>
                <w:lang w:val="en-US"/>
              </w:rPr>
              <w:t xml:space="preserve">regular </w:t>
            </w:r>
            <w:r w:rsidRPr="009A47E2">
              <w:rPr>
                <w:sz w:val="20"/>
                <w:szCs w:val="20"/>
                <w:lang w:val="en-US"/>
              </w:rPr>
              <w:t>safety assessment</w:t>
            </w:r>
          </w:p>
        </w:tc>
      </w:tr>
      <w:tr w:rsidR="000600C0" w:rsidRPr="003A1D03" w14:paraId="2E5D08A3"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4BD62C1E" w14:textId="77777777" w:rsidR="00060C46" w:rsidRPr="009A47E2" w:rsidRDefault="00060C46" w:rsidP="00060C46">
            <w:pPr>
              <w:rPr>
                <w:sz w:val="20"/>
                <w:szCs w:val="20"/>
                <w:lang w:val="en-US"/>
              </w:rPr>
            </w:pPr>
            <w:r w:rsidRPr="009A47E2">
              <w:rPr>
                <w:sz w:val="20"/>
                <w:szCs w:val="20"/>
                <w:lang w:val="en-US"/>
              </w:rPr>
              <w:t>lasmiditan</w:t>
            </w:r>
          </w:p>
        </w:tc>
        <w:tc>
          <w:tcPr>
            <w:tcW w:w="2315" w:type="dxa"/>
          </w:tcPr>
          <w:p w14:paraId="726749DF" w14:textId="5371AA9A"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Migraine with or without aura</w:t>
            </w:r>
          </w:p>
        </w:tc>
        <w:tc>
          <w:tcPr>
            <w:tcW w:w="2268" w:type="dxa"/>
          </w:tcPr>
          <w:p w14:paraId="786B5B2D" w14:textId="04287F2E" w:rsidR="00DF66B4" w:rsidRPr="009A47E2" w:rsidRDefault="00094F1D"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PROs: </w:t>
            </w:r>
            <w:r w:rsidR="004E33C5" w:rsidRPr="009A47E2">
              <w:rPr>
                <w:sz w:val="20"/>
                <w:szCs w:val="20"/>
                <w:lang w:val="en-US"/>
              </w:rPr>
              <w:t>eDiary</w:t>
            </w:r>
            <w:r w:rsidRPr="009A47E2">
              <w:rPr>
                <w:sz w:val="20"/>
                <w:szCs w:val="20"/>
                <w:lang w:val="en-US"/>
              </w:rPr>
              <w:t>-</w:t>
            </w:r>
            <w:r w:rsidR="004E33C5" w:rsidRPr="009A47E2">
              <w:rPr>
                <w:sz w:val="20"/>
                <w:szCs w:val="20"/>
                <w:lang w:val="en-US"/>
              </w:rPr>
              <w:t>based assessment of pain (1+) and MBS (</w:t>
            </w:r>
            <w:r w:rsidR="00DF66B4" w:rsidRPr="009A47E2">
              <w:rPr>
                <w:sz w:val="20"/>
                <w:szCs w:val="20"/>
                <w:lang w:val="en-US"/>
              </w:rPr>
              <w:t>2</w:t>
            </w:r>
            <w:r w:rsidR="004E33C5" w:rsidRPr="009A47E2">
              <w:rPr>
                <w:sz w:val="20"/>
                <w:szCs w:val="20"/>
                <w:lang w:val="en-US"/>
              </w:rPr>
              <w:t>+)</w:t>
            </w:r>
            <w:r w:rsidR="00DF66B4" w:rsidRPr="009A47E2">
              <w:rPr>
                <w:sz w:val="20"/>
                <w:szCs w:val="20"/>
                <w:lang w:val="en-US"/>
              </w:rPr>
              <w:t xml:space="preserve">; PGIC (E); </w:t>
            </w:r>
            <w:r w:rsidR="00DF66B4" w:rsidRPr="00011EB3">
              <w:rPr>
                <w:sz w:val="20"/>
                <w:szCs w:val="20"/>
                <w:lang w:val="en-US"/>
              </w:rPr>
              <w:t xml:space="preserve">Interference in daily activity </w:t>
            </w:r>
            <w:r w:rsidR="00DF66B4" w:rsidRPr="009A47E2">
              <w:rPr>
                <w:sz w:val="20"/>
                <w:szCs w:val="20"/>
                <w:lang w:val="en-US"/>
              </w:rPr>
              <w:t xml:space="preserve">(E); “Drug Liking” scores (S); </w:t>
            </w:r>
            <w:r w:rsidR="00D8170E" w:rsidRPr="009A47E2">
              <w:rPr>
                <w:sz w:val="20"/>
                <w:szCs w:val="20"/>
                <w:lang w:val="en-US"/>
              </w:rPr>
              <w:t>S-PSD</w:t>
            </w:r>
            <w:r w:rsidR="00DF66B4" w:rsidRPr="00011EB3">
              <w:rPr>
                <w:sz w:val="20"/>
                <w:szCs w:val="20"/>
                <w:lang w:val="en-US"/>
              </w:rPr>
              <w:t xml:space="preserve"> </w:t>
            </w:r>
            <w:r w:rsidR="00DF66B4" w:rsidRPr="009A47E2">
              <w:rPr>
                <w:sz w:val="20"/>
                <w:szCs w:val="20"/>
                <w:lang w:val="en-US"/>
              </w:rPr>
              <w:t>(S); KSS (S); VAS</w:t>
            </w:r>
            <w:r w:rsidR="00D8170E" w:rsidRPr="009A47E2">
              <w:rPr>
                <w:sz w:val="20"/>
                <w:szCs w:val="20"/>
                <w:lang w:val="en-US"/>
              </w:rPr>
              <w:t>-</w:t>
            </w:r>
            <w:r w:rsidR="00DF66B4" w:rsidRPr="00011EB3">
              <w:rPr>
                <w:sz w:val="20"/>
                <w:szCs w:val="20"/>
                <w:lang w:val="en-US"/>
              </w:rPr>
              <w:t>MS</w:t>
            </w:r>
            <w:r w:rsidR="00D8170E" w:rsidRPr="009A47E2">
              <w:rPr>
                <w:sz w:val="20"/>
                <w:szCs w:val="20"/>
                <w:lang w:val="en-US"/>
              </w:rPr>
              <w:t>A</w:t>
            </w:r>
            <w:r w:rsidR="00DF66B4" w:rsidRPr="00011EB3">
              <w:rPr>
                <w:sz w:val="20"/>
                <w:szCs w:val="20"/>
                <w:lang w:val="en-US"/>
              </w:rPr>
              <w:t>D</w:t>
            </w:r>
            <w:r w:rsidR="00DF66B4" w:rsidRPr="009A47E2">
              <w:rPr>
                <w:sz w:val="20"/>
                <w:szCs w:val="20"/>
                <w:lang w:val="en-US"/>
              </w:rPr>
              <w:t xml:space="preserve"> (S)</w:t>
            </w:r>
          </w:p>
          <w:p w14:paraId="7F89DB15" w14:textId="376FE6AE" w:rsidR="008C496A" w:rsidRPr="009A47E2" w:rsidRDefault="008C496A" w:rsidP="00060C46">
            <w:pPr>
              <w:cnfStyle w:val="000000000000" w:firstRow="0" w:lastRow="0" w:firstColumn="0" w:lastColumn="0" w:oddVBand="0" w:evenVBand="0" w:oddHBand="0" w:evenHBand="0" w:firstRowFirstColumn="0" w:firstRowLastColumn="0" w:lastRowFirstColumn="0" w:lastRowLastColumn="0"/>
              <w:rPr>
                <w:i/>
                <w:iCs/>
                <w:sz w:val="20"/>
                <w:szCs w:val="20"/>
                <w:lang w:val="en-US"/>
              </w:rPr>
            </w:pPr>
            <w:r w:rsidRPr="009A47E2">
              <w:rPr>
                <w:i/>
                <w:iCs/>
                <w:sz w:val="20"/>
                <w:szCs w:val="20"/>
                <w:lang w:val="en-US"/>
              </w:rPr>
              <w:t>PerfO</w:t>
            </w:r>
            <w:r w:rsidR="00DF66B4" w:rsidRPr="009A47E2">
              <w:rPr>
                <w:i/>
                <w:iCs/>
                <w:sz w:val="20"/>
                <w:szCs w:val="20"/>
                <w:lang w:val="en-US"/>
              </w:rPr>
              <w:t>s</w:t>
            </w:r>
            <w:r w:rsidRPr="009A47E2">
              <w:rPr>
                <w:i/>
                <w:iCs/>
                <w:sz w:val="20"/>
                <w:szCs w:val="20"/>
                <w:lang w:val="en-US"/>
              </w:rPr>
              <w:t>: SDLP (S)</w:t>
            </w:r>
            <w:r w:rsidR="00DF66B4" w:rsidRPr="009A47E2">
              <w:rPr>
                <w:i/>
                <w:iCs/>
                <w:sz w:val="20"/>
                <w:szCs w:val="20"/>
                <w:lang w:val="en-US"/>
              </w:rPr>
              <w:t xml:space="preserve">; </w:t>
            </w:r>
            <w:r w:rsidR="00DF66B4" w:rsidRPr="00011EB3">
              <w:rPr>
                <w:i/>
                <w:iCs/>
                <w:sz w:val="20"/>
                <w:szCs w:val="20"/>
                <w:lang w:val="en-US"/>
              </w:rPr>
              <w:t xml:space="preserve">CogScreen </w:t>
            </w:r>
            <w:r w:rsidR="00D8170E" w:rsidRPr="009A47E2">
              <w:rPr>
                <w:i/>
                <w:iCs/>
                <w:sz w:val="20"/>
                <w:szCs w:val="20"/>
                <w:lang w:val="en-US"/>
              </w:rPr>
              <w:t>SDC</w:t>
            </w:r>
            <w:r w:rsidR="00DF66B4" w:rsidRPr="009A47E2">
              <w:rPr>
                <w:i/>
                <w:iCs/>
                <w:sz w:val="20"/>
                <w:szCs w:val="20"/>
                <w:lang w:val="en-US"/>
              </w:rPr>
              <w:t xml:space="preserve"> (S); various </w:t>
            </w:r>
            <w:r w:rsidR="00DF66B4" w:rsidRPr="00011EB3">
              <w:rPr>
                <w:i/>
                <w:iCs/>
                <w:sz w:val="20"/>
                <w:szCs w:val="20"/>
                <w:lang w:val="en-US"/>
              </w:rPr>
              <w:t xml:space="preserve">Collision </w:t>
            </w:r>
            <w:r w:rsidR="00D8170E" w:rsidRPr="009A47E2">
              <w:rPr>
                <w:i/>
                <w:iCs/>
                <w:sz w:val="20"/>
                <w:szCs w:val="20"/>
                <w:lang w:val="en-US"/>
              </w:rPr>
              <w:t>&amp;</w:t>
            </w:r>
            <w:r w:rsidR="00DF66B4" w:rsidRPr="00011EB3">
              <w:rPr>
                <w:i/>
                <w:iCs/>
                <w:sz w:val="20"/>
                <w:szCs w:val="20"/>
                <w:lang w:val="en-US"/>
              </w:rPr>
              <w:t xml:space="preserve"> Speed </w:t>
            </w:r>
            <w:r w:rsidR="00DF66B4" w:rsidRPr="009A47E2">
              <w:rPr>
                <w:i/>
                <w:iCs/>
                <w:sz w:val="20"/>
                <w:szCs w:val="20"/>
                <w:lang w:val="en-US"/>
              </w:rPr>
              <w:t>measures (S)</w:t>
            </w:r>
          </w:p>
        </w:tc>
        <w:tc>
          <w:tcPr>
            <w:tcW w:w="1984" w:type="dxa"/>
          </w:tcPr>
          <w:p w14:paraId="2A60C047" w14:textId="5D211EB3" w:rsidR="008C496A" w:rsidRPr="009A47E2" w:rsidRDefault="004E33C5"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Freedom from</w:t>
            </w:r>
            <w:r w:rsidR="00094F1D" w:rsidRPr="009A47E2">
              <w:rPr>
                <w:sz w:val="20"/>
                <w:szCs w:val="20"/>
                <w:lang w:val="en-US"/>
              </w:rPr>
              <w:t xml:space="preserve"> pain and MBS</w:t>
            </w:r>
            <w:r w:rsidR="008C496A" w:rsidRPr="009A47E2">
              <w:rPr>
                <w:sz w:val="20"/>
                <w:szCs w:val="20"/>
                <w:lang w:val="en-US"/>
              </w:rPr>
              <w:t xml:space="preserve"> </w:t>
            </w:r>
          </w:p>
          <w:p w14:paraId="6988AFCF" w14:textId="77777777" w:rsidR="00CA3034" w:rsidRPr="009A47E2" w:rsidRDefault="00CA3034"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p>
          <w:p w14:paraId="66A6A432" w14:textId="76C47350" w:rsidR="00060C46" w:rsidRPr="003A1D03" w:rsidRDefault="008C496A" w:rsidP="00060C46">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eastAsia="ja-JP"/>
              </w:rPr>
            </w:pPr>
            <w:r w:rsidRPr="009A47E2">
              <w:rPr>
                <w:sz w:val="20"/>
                <w:szCs w:val="20"/>
                <w:lang w:val="en-US"/>
              </w:rPr>
              <w:t xml:space="preserve">Safety: </w:t>
            </w:r>
            <w:r w:rsidRPr="009A47E2">
              <w:rPr>
                <w:i/>
                <w:iCs/>
                <w:sz w:val="20"/>
                <w:szCs w:val="20"/>
                <w:lang w:val="en-US"/>
              </w:rPr>
              <w:t>SDLP</w:t>
            </w:r>
            <w:r w:rsidR="005748A6" w:rsidRPr="009A47E2">
              <w:rPr>
                <w:i/>
                <w:iCs/>
                <w:sz w:val="20"/>
                <w:szCs w:val="20"/>
                <w:lang w:val="en-US"/>
              </w:rPr>
              <w:t>;</w:t>
            </w:r>
            <w:r w:rsidR="005748A6" w:rsidRPr="009A47E2">
              <w:rPr>
                <w:sz w:val="20"/>
                <w:szCs w:val="20"/>
                <w:lang w:val="en-US"/>
              </w:rPr>
              <w:t xml:space="preserve"> </w:t>
            </w:r>
            <w:r w:rsidR="005748A6" w:rsidRPr="003A1D03">
              <w:rPr>
                <w:sz w:val="20"/>
                <w:szCs w:val="20"/>
                <w:lang w:eastAsia="ja-JP"/>
              </w:rPr>
              <w:t>“</w:t>
            </w:r>
            <w:r w:rsidR="00DF66B4" w:rsidRPr="009A47E2">
              <w:rPr>
                <w:sz w:val="20"/>
                <w:szCs w:val="20"/>
                <w:lang w:val="en-US" w:eastAsia="ja-JP"/>
              </w:rPr>
              <w:t>D</w:t>
            </w:r>
            <w:r w:rsidR="005748A6" w:rsidRPr="003A1D03">
              <w:rPr>
                <w:sz w:val="20"/>
                <w:szCs w:val="20"/>
                <w:lang w:eastAsia="ja-JP"/>
              </w:rPr>
              <w:t xml:space="preserve">rug </w:t>
            </w:r>
            <w:r w:rsidR="00DF66B4" w:rsidRPr="009A47E2">
              <w:rPr>
                <w:sz w:val="20"/>
                <w:szCs w:val="20"/>
                <w:lang w:val="en-US" w:eastAsia="ja-JP"/>
              </w:rPr>
              <w:t>L</w:t>
            </w:r>
            <w:r w:rsidR="005748A6" w:rsidRPr="003A1D03">
              <w:rPr>
                <w:sz w:val="20"/>
                <w:szCs w:val="20"/>
                <w:lang w:eastAsia="ja-JP"/>
              </w:rPr>
              <w:t>iking”</w:t>
            </w:r>
            <w:r w:rsidR="00DF66B4" w:rsidRPr="009A47E2">
              <w:rPr>
                <w:sz w:val="20"/>
                <w:szCs w:val="20"/>
                <w:lang w:val="en-US" w:eastAsia="ja-JP"/>
              </w:rPr>
              <w:t xml:space="preserve"> </w:t>
            </w:r>
            <w:r w:rsidR="005748A6" w:rsidRPr="003A1D03">
              <w:rPr>
                <w:sz w:val="20"/>
                <w:szCs w:val="20"/>
                <w:lang w:eastAsia="ja-JP"/>
              </w:rPr>
              <w:t>scores</w:t>
            </w:r>
            <w:r w:rsidR="004E33C5" w:rsidRPr="009A47E2">
              <w:rPr>
                <w:sz w:val="20"/>
                <w:szCs w:val="20"/>
                <w:lang w:val="en-US"/>
              </w:rPr>
              <w:t xml:space="preserve"> </w:t>
            </w:r>
          </w:p>
        </w:tc>
        <w:tc>
          <w:tcPr>
            <w:tcW w:w="4962" w:type="dxa"/>
          </w:tcPr>
          <w:p w14:paraId="54C7ADDB" w14:textId="77777777" w:rsidR="00060C46" w:rsidRPr="003A1D03" w:rsidRDefault="00CA3034" w:rsidP="00060C46">
            <w:pPr>
              <w:cnfStyle w:val="000000000000" w:firstRow="0" w:lastRow="0" w:firstColumn="0" w:lastColumn="0" w:oddVBand="0" w:evenVBand="0" w:oddHBand="0" w:evenHBand="0" w:firstRowFirstColumn="0" w:firstRowLastColumn="0" w:lastRowFirstColumn="0" w:lastRowLastColumn="0"/>
              <w:rPr>
                <w:i/>
                <w:iCs/>
                <w:sz w:val="20"/>
                <w:szCs w:val="20"/>
              </w:rPr>
            </w:pPr>
            <w:r w:rsidRPr="009A47E2">
              <w:rPr>
                <w:sz w:val="20"/>
                <w:szCs w:val="20"/>
                <w:lang w:val="en-US"/>
              </w:rPr>
              <w:t xml:space="preserve">FDA reviewer comment on ‘Interference in daily activity’ measure: </w:t>
            </w:r>
            <w:r w:rsidRPr="003A1D03">
              <w:rPr>
                <w:i/>
                <w:iCs/>
                <w:sz w:val="20"/>
                <w:szCs w:val="20"/>
              </w:rPr>
              <w:t xml:space="preserve">While </w:t>
            </w:r>
            <w:r w:rsidRPr="009A47E2">
              <w:rPr>
                <w:i/>
                <w:iCs/>
                <w:sz w:val="20"/>
                <w:szCs w:val="20"/>
                <w:lang w:val="en-US"/>
              </w:rPr>
              <w:t>PROs</w:t>
            </w:r>
            <w:r w:rsidRPr="003A1D03">
              <w:rPr>
                <w:i/>
                <w:iCs/>
                <w:sz w:val="20"/>
                <w:szCs w:val="20"/>
              </w:rPr>
              <w:t xml:space="preserve"> are important in assessing the benefit of a drug, this measure is not a validated one, and was only an exploratory endpoint.</w:t>
            </w:r>
            <w:r w:rsidRPr="009A47E2">
              <w:rPr>
                <w:i/>
                <w:iCs/>
                <w:sz w:val="20"/>
                <w:szCs w:val="20"/>
                <w:lang w:val="en-US"/>
              </w:rPr>
              <w:t xml:space="preserve"> I </w:t>
            </w:r>
            <w:r w:rsidRPr="003A1D03">
              <w:rPr>
                <w:i/>
                <w:iCs/>
                <w:sz w:val="20"/>
                <w:szCs w:val="20"/>
              </w:rPr>
              <w:t>would not recommend including this information in the label.</w:t>
            </w:r>
          </w:p>
          <w:p w14:paraId="437BB3FF" w14:textId="77777777" w:rsidR="00CA3034" w:rsidRPr="009A47E2" w:rsidRDefault="00CA3034"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PerfOs not checked in PED table, and arguably not included in the pivotal studies; however PerfOs were included in the driving performance studies and reported (SDLP) in the label</w:t>
            </w:r>
          </w:p>
          <w:p w14:paraId="21F5FDD7" w14:textId="7BB511DA" w:rsidR="00CA3034" w:rsidRPr="009A47E2" w:rsidRDefault="00CA3034"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The C-SSRS (ClinRO) was part of the regular safety assessment</w:t>
            </w:r>
          </w:p>
        </w:tc>
      </w:tr>
      <w:tr w:rsidR="000600C0" w:rsidRPr="001876E6" w14:paraId="768B029D"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2212FF4" w14:textId="77777777" w:rsidR="00060C46" w:rsidRPr="009A47E2" w:rsidRDefault="00060C46" w:rsidP="00060C46">
            <w:pPr>
              <w:rPr>
                <w:sz w:val="20"/>
                <w:szCs w:val="20"/>
                <w:lang w:val="en-US"/>
              </w:rPr>
            </w:pPr>
            <w:r w:rsidRPr="009A47E2">
              <w:rPr>
                <w:sz w:val="20"/>
                <w:szCs w:val="20"/>
                <w:lang w:val="en-US"/>
              </w:rPr>
              <w:t>lefamulin</w:t>
            </w:r>
          </w:p>
        </w:tc>
        <w:tc>
          <w:tcPr>
            <w:tcW w:w="2315" w:type="dxa"/>
          </w:tcPr>
          <w:p w14:paraId="0E397C36" w14:textId="5FB0AD1B"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Community-acquired bacterial pneumonia</w:t>
            </w:r>
          </w:p>
        </w:tc>
        <w:tc>
          <w:tcPr>
            <w:tcW w:w="2268" w:type="dxa"/>
          </w:tcPr>
          <w:p w14:paraId="229C8B21" w14:textId="77777777" w:rsidR="00C509D6" w:rsidRPr="009A47E2" w:rsidRDefault="00C509D6" w:rsidP="00C509D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 ECR (1+)</w:t>
            </w:r>
          </w:p>
          <w:p w14:paraId="6A923FD0" w14:textId="77777777" w:rsidR="00C509D6" w:rsidRPr="009A47E2" w:rsidRDefault="00C509D6" w:rsidP="00C509D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ClinRO: IACR (2+)</w:t>
            </w:r>
          </w:p>
          <w:p w14:paraId="4E5ECB8E" w14:textId="777777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984" w:type="dxa"/>
          </w:tcPr>
          <w:p w14:paraId="25B3D94F" w14:textId="7D47FA4C" w:rsidR="00060C46" w:rsidRPr="009A47E2" w:rsidRDefault="00C509D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ECR, IACR</w:t>
            </w:r>
          </w:p>
        </w:tc>
        <w:tc>
          <w:tcPr>
            <w:tcW w:w="4962" w:type="dxa"/>
          </w:tcPr>
          <w:p w14:paraId="7FA4738D" w14:textId="27B385DD" w:rsidR="00060C46" w:rsidRPr="009A47E2" w:rsidRDefault="00F36C20"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The primary endpoint (Early clinical response; ECR) was a composite of </w:t>
            </w:r>
            <w:r w:rsidR="003B67E7" w:rsidRPr="009A47E2">
              <w:rPr>
                <w:sz w:val="20"/>
                <w:szCs w:val="20"/>
                <w:lang w:val="en-US"/>
              </w:rPr>
              <w:t xml:space="preserve">non-COA clinical outcomes (survival and </w:t>
            </w:r>
            <w:r w:rsidR="003B67E7" w:rsidRPr="003A1D03">
              <w:rPr>
                <w:sz w:val="20"/>
                <w:szCs w:val="20"/>
              </w:rPr>
              <w:t>receipt of non-study antibacterial treatment</w:t>
            </w:r>
            <w:r w:rsidR="003B67E7" w:rsidRPr="009A47E2">
              <w:rPr>
                <w:sz w:val="20"/>
                <w:szCs w:val="20"/>
                <w:lang w:val="en-US"/>
              </w:rPr>
              <w:t>) and PROs (patient reported assessment of symptoms severity)</w:t>
            </w:r>
          </w:p>
        </w:tc>
      </w:tr>
      <w:tr w:rsidR="000600C0" w:rsidRPr="001876E6" w14:paraId="5807A69E"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4DF0365F" w14:textId="77777777" w:rsidR="00060C46" w:rsidRPr="009A47E2" w:rsidRDefault="00060C46" w:rsidP="00060C46">
            <w:pPr>
              <w:rPr>
                <w:sz w:val="20"/>
                <w:szCs w:val="20"/>
                <w:lang w:val="en-US"/>
              </w:rPr>
            </w:pPr>
            <w:r w:rsidRPr="009A47E2">
              <w:rPr>
                <w:sz w:val="20"/>
                <w:szCs w:val="20"/>
                <w:lang w:val="en-US"/>
              </w:rPr>
              <w:t>lemborexant</w:t>
            </w:r>
          </w:p>
        </w:tc>
        <w:tc>
          <w:tcPr>
            <w:tcW w:w="2315" w:type="dxa"/>
          </w:tcPr>
          <w:p w14:paraId="1362C5BD" w14:textId="1104523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Insomnia</w:t>
            </w:r>
          </w:p>
        </w:tc>
        <w:tc>
          <w:tcPr>
            <w:tcW w:w="2268" w:type="dxa"/>
          </w:tcPr>
          <w:p w14:paraId="5CE30D12" w14:textId="5F939E53" w:rsidR="008C7E59" w:rsidRPr="009A47E2" w:rsidRDefault="008C7E59" w:rsidP="008C7E5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PROs: sSOL (1+); sWASO (2+); sSEF (2+); sTST (2*); ISI (E); FSS (E); PGI-I (E); WPAI-GH (E); EQ-5D-3L (E); KSS (S); T-BWSQ (S); </w:t>
            </w:r>
            <w:r w:rsidR="00136988" w:rsidRPr="009A47E2">
              <w:rPr>
                <w:sz w:val="20"/>
                <w:szCs w:val="20"/>
                <w:lang w:val="en-US"/>
              </w:rPr>
              <w:t>e</w:t>
            </w:r>
            <w:r w:rsidRPr="009A47E2">
              <w:rPr>
                <w:sz w:val="20"/>
                <w:szCs w:val="20"/>
                <w:lang w:val="en-US"/>
              </w:rPr>
              <w:t>C-SSRS (S)</w:t>
            </w:r>
            <w:r w:rsidR="002C7DEA" w:rsidRPr="009A47E2">
              <w:rPr>
                <w:sz w:val="20"/>
                <w:szCs w:val="20"/>
                <w:lang w:val="en-US"/>
              </w:rPr>
              <w:t>; diverse “Drug liking” measures</w:t>
            </w:r>
            <w:r w:rsidR="00315A64" w:rsidRPr="009A47E2">
              <w:rPr>
                <w:sz w:val="20"/>
                <w:szCs w:val="20"/>
                <w:lang w:val="en-US"/>
              </w:rPr>
              <w:t xml:space="preserve"> (S)</w:t>
            </w:r>
          </w:p>
          <w:p w14:paraId="4F48945D" w14:textId="56D300C9" w:rsidR="00060C46" w:rsidRPr="009A47E2" w:rsidRDefault="008C7E59" w:rsidP="008C7E5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PerfOs: PAB (S); SDLP (S); DSST (S); PVT (S); RTI (S); MSLT (S)</w:t>
            </w:r>
            <w:r w:rsidR="00210573" w:rsidRPr="009A47E2">
              <w:rPr>
                <w:sz w:val="20"/>
                <w:szCs w:val="20"/>
                <w:lang w:val="en-US"/>
              </w:rPr>
              <w:t>; AAT (S)</w:t>
            </w:r>
          </w:p>
        </w:tc>
        <w:tc>
          <w:tcPr>
            <w:tcW w:w="1984" w:type="dxa"/>
          </w:tcPr>
          <w:p w14:paraId="0751A1FF" w14:textId="4541E714" w:rsidR="008C7E59" w:rsidRPr="009A47E2" w:rsidRDefault="008C7E59"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5DA13EF4">
              <w:rPr>
                <w:sz w:val="20"/>
                <w:szCs w:val="20"/>
                <w:lang w:val="en-US"/>
              </w:rPr>
              <w:t>sSOL, sSEF, sWASO</w:t>
            </w:r>
          </w:p>
          <w:p w14:paraId="57E31E61" w14:textId="7739AC4F" w:rsidR="5DA13EF4" w:rsidRDefault="5DA13EF4" w:rsidP="5DA13EF4">
            <w:pPr>
              <w:cnfStyle w:val="000000000000" w:firstRow="0" w:lastRow="0" w:firstColumn="0" w:lastColumn="0" w:oddVBand="0" w:evenVBand="0" w:oddHBand="0" w:evenHBand="0" w:firstRowFirstColumn="0" w:firstRowLastColumn="0" w:lastRowFirstColumn="0" w:lastRowLastColumn="0"/>
              <w:rPr>
                <w:sz w:val="20"/>
                <w:szCs w:val="20"/>
                <w:lang w:val="en-US"/>
              </w:rPr>
            </w:pPr>
          </w:p>
          <w:p w14:paraId="0248AC6C" w14:textId="77777777" w:rsidR="00AF1699" w:rsidRPr="009A47E2" w:rsidRDefault="008C7E59" w:rsidP="00AF169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Safety: </w:t>
            </w:r>
          </w:p>
          <w:p w14:paraId="5C6C0FD7" w14:textId="390B66A7" w:rsidR="00AF1699" w:rsidRPr="009A47E2" w:rsidRDefault="00AF1699" w:rsidP="00AF169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PAB;</w:t>
            </w:r>
          </w:p>
          <w:p w14:paraId="34E41F5F" w14:textId="7238F276" w:rsidR="00AF1699" w:rsidRPr="009A47E2" w:rsidRDefault="00AF1699" w:rsidP="00AF169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SDLP; </w:t>
            </w:r>
          </w:p>
          <w:p w14:paraId="2C4B6700" w14:textId="77777777" w:rsidR="008C7E59" w:rsidRPr="009A47E2" w:rsidRDefault="00AF1699" w:rsidP="00AF169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T-BWSQ</w:t>
            </w:r>
          </w:p>
          <w:p w14:paraId="63BB2824" w14:textId="2DA3C901" w:rsidR="00210573" w:rsidRPr="009A47E2" w:rsidRDefault="00210573" w:rsidP="00210573">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AAT (ability to awaken to sound)</w:t>
            </w:r>
          </w:p>
          <w:p w14:paraId="7F630474" w14:textId="69F2538B" w:rsidR="00764B6B" w:rsidRPr="009A47E2" w:rsidRDefault="00764B6B" w:rsidP="00210573">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eC-SSRS (suicidal ideation)</w:t>
            </w:r>
          </w:p>
          <w:p w14:paraId="2E70902C" w14:textId="26B4DEC8" w:rsidR="00210573" w:rsidRPr="009A47E2" w:rsidRDefault="002C7DEA" w:rsidP="002C7DEA">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“Drug liking” measures</w:t>
            </w:r>
          </w:p>
        </w:tc>
        <w:tc>
          <w:tcPr>
            <w:tcW w:w="4962" w:type="dxa"/>
          </w:tcPr>
          <w:p w14:paraId="226A52A9" w14:textId="77777777" w:rsidR="00060C46" w:rsidRPr="009A47E2" w:rsidRDefault="005E4243"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Prominent role of PerfOs and PROs in special safety studies</w:t>
            </w:r>
          </w:p>
          <w:p w14:paraId="0EDD63E7" w14:textId="77777777" w:rsidR="005E4243" w:rsidRPr="009A47E2" w:rsidRDefault="005E4243"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Results from analyses of primary and key secondary endpoints provide the principal evidence for effectiveness. The studies also provide evidence supporting the clinical meaningfulness of the improvements in sleep parameters; these secondary and exploratory endpoints included objective and patient-reported measures</w:t>
            </w:r>
            <w:r w:rsidRPr="009A47E2">
              <w:rPr>
                <w:sz w:val="20"/>
                <w:szCs w:val="20"/>
                <w:lang w:val="en-US"/>
              </w:rPr>
              <w:t>”</w:t>
            </w:r>
          </w:p>
          <w:p w14:paraId="2F57C067" w14:textId="732512E8" w:rsidR="005E4243" w:rsidRPr="009A47E2" w:rsidRDefault="006A564A"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r w:rsidR="005E4243" w:rsidRPr="009A47E2">
              <w:rPr>
                <w:i/>
                <w:sz w:val="20"/>
                <w:szCs w:val="20"/>
                <w:lang w:val="en-US"/>
              </w:rPr>
              <w:t>Although the change from baseline</w:t>
            </w:r>
            <w:r w:rsidR="005E4243" w:rsidRPr="009A47E2">
              <w:rPr>
                <w:sz w:val="20"/>
                <w:szCs w:val="20"/>
                <w:lang w:val="en-US"/>
              </w:rPr>
              <w:t xml:space="preserve"> </w:t>
            </w:r>
            <w:r w:rsidR="005E4243" w:rsidRPr="009A47E2">
              <w:rPr>
                <w:rFonts w:cstheme="minorHAnsi"/>
                <w:sz w:val="20"/>
                <w:szCs w:val="20"/>
                <w:lang w:val="en-US"/>
              </w:rPr>
              <w:t>[on secondary endpoints</w:t>
            </w:r>
            <w:r w:rsidR="005E4243" w:rsidRPr="009A47E2">
              <w:rPr>
                <w:rFonts w:ascii="Calibri" w:hAnsi="Calibri" w:cs="Calibri"/>
                <w:sz w:val="20"/>
                <w:szCs w:val="20"/>
                <w:lang w:val="en-US"/>
              </w:rPr>
              <w:t>]</w:t>
            </w:r>
            <w:r w:rsidR="005E4243" w:rsidRPr="009A47E2">
              <w:rPr>
                <w:sz w:val="20"/>
                <w:szCs w:val="20"/>
                <w:lang w:val="en-US"/>
              </w:rPr>
              <w:t xml:space="preserve"> </w:t>
            </w:r>
            <w:r w:rsidR="005E4243" w:rsidRPr="009A47E2">
              <w:rPr>
                <w:i/>
                <w:sz w:val="20"/>
                <w:szCs w:val="20"/>
                <w:lang w:val="en-US"/>
              </w:rPr>
              <w:t>to Days 1/2 was not a pre-specified endpoint within the statistical hierarchy, this information is considered highly relevant to clinicians and warrants inclusion in labeling with careful language that does not suggest that this was a prespecified endpoint with appropriate type I error control</w:t>
            </w:r>
            <w:r w:rsidRPr="009A47E2">
              <w:rPr>
                <w:sz w:val="20"/>
                <w:szCs w:val="20"/>
                <w:lang w:val="en-US"/>
              </w:rPr>
              <w:t>”</w:t>
            </w:r>
          </w:p>
        </w:tc>
      </w:tr>
      <w:tr w:rsidR="000600C0" w:rsidRPr="001876E6" w14:paraId="6B0E13AB"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388FE8DF" w14:textId="069CF3FD" w:rsidR="00060C46" w:rsidRPr="009A47E2" w:rsidRDefault="00060C46" w:rsidP="00060C46">
            <w:pPr>
              <w:rPr>
                <w:sz w:val="20"/>
                <w:szCs w:val="20"/>
                <w:lang w:val="en-US"/>
              </w:rPr>
            </w:pPr>
            <w:r w:rsidRPr="009A47E2">
              <w:rPr>
                <w:sz w:val="20"/>
                <w:szCs w:val="20"/>
                <w:lang w:val="en-US"/>
              </w:rPr>
              <w:t xml:space="preserve">lumateperone </w:t>
            </w:r>
          </w:p>
        </w:tc>
        <w:tc>
          <w:tcPr>
            <w:tcW w:w="2315" w:type="dxa"/>
          </w:tcPr>
          <w:p w14:paraId="03E574F4" w14:textId="690BD951"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Schizophrenia</w:t>
            </w:r>
          </w:p>
        </w:tc>
        <w:tc>
          <w:tcPr>
            <w:tcW w:w="2268" w:type="dxa"/>
          </w:tcPr>
          <w:p w14:paraId="444F416C" w14:textId="378D5DA8" w:rsidR="00106B7B" w:rsidRPr="009A47E2" w:rsidRDefault="00106B7B" w:rsidP="00060C46">
            <w:pPr>
              <w:cnfStyle w:val="000000100000" w:firstRow="0" w:lastRow="0" w:firstColumn="0" w:lastColumn="0" w:oddVBand="0" w:evenVBand="0" w:oddHBand="1" w:evenHBand="0" w:firstRowFirstColumn="0" w:firstRowLastColumn="0" w:lastRowFirstColumn="0" w:lastRowLastColumn="0"/>
              <w:rPr>
                <w:i/>
                <w:sz w:val="20"/>
                <w:szCs w:val="20"/>
                <w:lang w:val="pt-PT"/>
              </w:rPr>
            </w:pPr>
            <w:r w:rsidRPr="009A47E2">
              <w:rPr>
                <w:i/>
                <w:sz w:val="20"/>
                <w:szCs w:val="20"/>
                <w:lang w:val="pt-PT"/>
              </w:rPr>
              <w:t>PRO: SWN-S (E)</w:t>
            </w:r>
          </w:p>
          <w:p w14:paraId="4C7E7C9A" w14:textId="01F2C54D" w:rsidR="00060C46" w:rsidRPr="009A47E2" w:rsidRDefault="00106B7B" w:rsidP="00060C46">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ClinROs: PANSS (1+*); CGI-S (2*/E); PSP (E); CDSS (E); SAS (S); AIMS (S)</w:t>
            </w:r>
          </w:p>
          <w:p w14:paraId="04117E16" w14:textId="77777777" w:rsidR="00106B7B" w:rsidRPr="009A47E2" w:rsidRDefault="00106B7B" w:rsidP="00060C46">
            <w:pPr>
              <w:cnfStyle w:val="000000100000" w:firstRow="0" w:lastRow="0" w:firstColumn="0" w:lastColumn="0" w:oddVBand="0" w:evenVBand="0" w:oddHBand="1" w:evenHBand="0" w:firstRowFirstColumn="0" w:firstRowLastColumn="0" w:lastRowFirstColumn="0" w:lastRowLastColumn="0"/>
              <w:rPr>
                <w:i/>
                <w:sz w:val="20"/>
                <w:szCs w:val="20"/>
                <w:lang w:val="it-IT"/>
              </w:rPr>
            </w:pPr>
            <w:r w:rsidRPr="009A47E2">
              <w:rPr>
                <w:i/>
                <w:sz w:val="20"/>
                <w:szCs w:val="20"/>
                <w:lang w:val="it-IT"/>
              </w:rPr>
              <w:t>PRO/ObsRO: PSQI (E)</w:t>
            </w:r>
          </w:p>
          <w:p w14:paraId="14C46220" w14:textId="36110551" w:rsidR="00106B7B" w:rsidRPr="009A47E2" w:rsidRDefault="00106B7B" w:rsidP="00060C46">
            <w:pPr>
              <w:cnfStyle w:val="000000100000" w:firstRow="0" w:lastRow="0" w:firstColumn="0" w:lastColumn="0" w:oddVBand="0" w:evenVBand="0" w:oddHBand="1" w:evenHBand="0" w:firstRowFirstColumn="0" w:firstRowLastColumn="0" w:lastRowFirstColumn="0" w:lastRowLastColumn="0"/>
              <w:rPr>
                <w:sz w:val="20"/>
                <w:szCs w:val="20"/>
                <w:lang w:val="it-IT"/>
              </w:rPr>
            </w:pPr>
            <w:r w:rsidRPr="009A47E2">
              <w:rPr>
                <w:i/>
                <w:sz w:val="20"/>
                <w:szCs w:val="20"/>
                <w:lang w:val="it-IT"/>
              </w:rPr>
              <w:t>ClinRO/PRO: BARS (S)</w:t>
            </w:r>
          </w:p>
        </w:tc>
        <w:tc>
          <w:tcPr>
            <w:tcW w:w="1984" w:type="dxa"/>
          </w:tcPr>
          <w:p w14:paraId="30842669" w14:textId="77777777" w:rsidR="00106B7B" w:rsidRPr="009A47E2" w:rsidRDefault="00106B7B"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PANSS</w:t>
            </w:r>
          </w:p>
          <w:p w14:paraId="3451AE6B" w14:textId="77777777" w:rsidR="00106B7B" w:rsidRPr="009A47E2" w:rsidRDefault="00106B7B"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p>
          <w:p w14:paraId="4CF522EA" w14:textId="25D12D89" w:rsidR="00106B7B" w:rsidRPr="009A47E2" w:rsidRDefault="00106B7B"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Safet</w:t>
            </w:r>
            <w:r w:rsidR="003F6B18" w:rsidRPr="009A47E2">
              <w:rPr>
                <w:sz w:val="20"/>
                <w:szCs w:val="20"/>
                <w:lang w:val="en-US"/>
              </w:rPr>
              <w:t>y</w:t>
            </w:r>
            <w:r w:rsidRPr="009A47E2">
              <w:rPr>
                <w:sz w:val="20"/>
                <w:szCs w:val="20"/>
                <w:lang w:val="en-US"/>
              </w:rPr>
              <w:t xml:space="preserve">: SAS; AIMS; </w:t>
            </w:r>
            <w:r w:rsidRPr="009A47E2">
              <w:rPr>
                <w:i/>
                <w:sz w:val="20"/>
                <w:szCs w:val="20"/>
                <w:lang w:val="en-US"/>
              </w:rPr>
              <w:t>BARS</w:t>
            </w:r>
          </w:p>
        </w:tc>
        <w:tc>
          <w:tcPr>
            <w:tcW w:w="4962" w:type="dxa"/>
          </w:tcPr>
          <w:p w14:paraId="3977E07A" w14:textId="7D89FE6A" w:rsidR="00060C46" w:rsidRPr="009A47E2" w:rsidRDefault="00724082"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sz w:val="20"/>
                <w:szCs w:val="20"/>
                <w:lang w:val="en-US"/>
              </w:rPr>
              <w:t xml:space="preserve">Benefits: </w:t>
            </w:r>
            <w:r w:rsidR="00106B7B" w:rsidRPr="009A47E2">
              <w:rPr>
                <w:i/>
                <w:sz w:val="20"/>
                <w:szCs w:val="20"/>
                <w:lang w:val="en-US"/>
              </w:rPr>
              <w:t>“</w:t>
            </w:r>
            <w:r w:rsidRPr="009A47E2">
              <w:rPr>
                <w:i/>
                <w:sz w:val="20"/>
                <w:szCs w:val="20"/>
                <w:lang w:val="en-US"/>
              </w:rPr>
              <w:t>Results on secondary or exploratory endpoints are not relevant for discussion in this review. There was no prospective plan to control the Type-I error rate for the secondary endpoints. Therefore, all secondary endpoints were regarded as exploratory</w:t>
            </w:r>
            <w:r w:rsidR="00106B7B" w:rsidRPr="009A47E2">
              <w:rPr>
                <w:i/>
                <w:sz w:val="20"/>
                <w:szCs w:val="20"/>
                <w:lang w:val="en-US"/>
              </w:rPr>
              <w:t>”</w:t>
            </w:r>
          </w:p>
          <w:p w14:paraId="1F46BA05" w14:textId="77777777" w:rsidR="00724082" w:rsidRPr="009A47E2" w:rsidRDefault="00724082"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Risks: The Applicant assessed extrapyramidal symptoms using BARS, AIMS, and SAS … no meaningful changes from baseline</w:t>
            </w:r>
          </w:p>
          <w:p w14:paraId="133EE1A7" w14:textId="77777777" w:rsidR="003F43B8" w:rsidRPr="009A47E2" w:rsidRDefault="003F43B8"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Only ClinROs reported in PED table</w:t>
            </w:r>
          </w:p>
          <w:p w14:paraId="73495B2C" w14:textId="360D12DD" w:rsidR="00AC0464" w:rsidRPr="009A47E2" w:rsidRDefault="00AC0464"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The C-SSRS (ClinRO) was part of the</w:t>
            </w:r>
            <w:r w:rsidR="00F93F8D" w:rsidRPr="009A47E2">
              <w:rPr>
                <w:sz w:val="20"/>
                <w:szCs w:val="20"/>
                <w:lang w:val="en-US"/>
              </w:rPr>
              <w:t xml:space="preserve"> regular</w:t>
            </w:r>
            <w:r w:rsidRPr="009A47E2">
              <w:rPr>
                <w:sz w:val="20"/>
                <w:szCs w:val="20"/>
                <w:lang w:val="en-US"/>
              </w:rPr>
              <w:t xml:space="preserve"> safety assessment</w:t>
            </w:r>
          </w:p>
        </w:tc>
      </w:tr>
      <w:tr w:rsidR="000600C0" w:rsidRPr="00011EB3" w14:paraId="31815632"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6157844" w14:textId="5285AB4E" w:rsidR="00060C46" w:rsidRPr="009A47E2" w:rsidRDefault="00EA6CB6" w:rsidP="00060C46">
            <w:pPr>
              <w:rPr>
                <w:sz w:val="20"/>
                <w:szCs w:val="20"/>
                <w:lang w:val="en-US"/>
              </w:rPr>
            </w:pPr>
            <w:r w:rsidRPr="009A47E2">
              <w:rPr>
                <w:sz w:val="20"/>
                <w:szCs w:val="20"/>
                <w:lang w:val="en-US"/>
              </w:rPr>
              <w:t>l</w:t>
            </w:r>
            <w:r w:rsidR="00060C46" w:rsidRPr="009A47E2">
              <w:rPr>
                <w:sz w:val="20"/>
                <w:szCs w:val="20"/>
                <w:lang w:val="en-US"/>
              </w:rPr>
              <w:t>uspatercep</w:t>
            </w:r>
            <w:r w:rsidR="00354ACB" w:rsidRPr="009A47E2">
              <w:rPr>
                <w:sz w:val="20"/>
                <w:szCs w:val="20"/>
                <w:lang w:val="en-US"/>
              </w:rPr>
              <w:t>t</w:t>
            </w:r>
          </w:p>
        </w:tc>
        <w:tc>
          <w:tcPr>
            <w:tcW w:w="2315" w:type="dxa"/>
          </w:tcPr>
          <w:p w14:paraId="50B386F8" w14:textId="1CECCAB8"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Anemia associated with beta thalassemia</w:t>
            </w:r>
          </w:p>
        </w:tc>
        <w:tc>
          <w:tcPr>
            <w:tcW w:w="2268" w:type="dxa"/>
          </w:tcPr>
          <w:p w14:paraId="124DAFC3" w14:textId="46E8479B"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PROs: SF-36 (E); TranQoL (E)</w:t>
            </w:r>
          </w:p>
        </w:tc>
        <w:tc>
          <w:tcPr>
            <w:tcW w:w="1984" w:type="dxa"/>
          </w:tcPr>
          <w:p w14:paraId="495C933F" w14:textId="37E55CBD"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w:t>
            </w:r>
          </w:p>
        </w:tc>
        <w:tc>
          <w:tcPr>
            <w:tcW w:w="4962" w:type="dxa"/>
          </w:tcPr>
          <w:p w14:paraId="7F89B5B2" w14:textId="0005CD1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 xml:space="preserve">There were no prespecified statistical hypotheses in regard to comparison of the HRQoL endpoints and study was not powered to detect any differences” </w:t>
            </w:r>
            <w:r w:rsidRPr="009A47E2">
              <w:rPr>
                <w:rFonts w:cstheme="minorHAnsi"/>
                <w:sz w:val="20"/>
                <w:szCs w:val="20"/>
                <w:lang w:val="en-US"/>
              </w:rPr>
              <w:t>→</w:t>
            </w:r>
            <w:r w:rsidRPr="009A47E2">
              <w:rPr>
                <w:sz w:val="20"/>
                <w:szCs w:val="20"/>
                <w:lang w:val="en-US"/>
              </w:rPr>
              <w:t xml:space="preserve"> all analyses are descriptive”</w:t>
            </w:r>
          </w:p>
        </w:tc>
      </w:tr>
      <w:tr w:rsidR="000600C0" w:rsidRPr="001876E6" w14:paraId="45EF8E9E"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9D47EDA" w14:textId="77777777" w:rsidR="00060C46" w:rsidRPr="009A47E2" w:rsidRDefault="00060C46" w:rsidP="00060C46">
            <w:pPr>
              <w:rPr>
                <w:sz w:val="20"/>
                <w:szCs w:val="20"/>
                <w:lang w:val="en-US"/>
              </w:rPr>
            </w:pPr>
            <w:r w:rsidRPr="009A47E2">
              <w:rPr>
                <w:sz w:val="20"/>
                <w:szCs w:val="20"/>
                <w:lang w:val="en-US"/>
              </w:rPr>
              <w:t>pexidartinib</w:t>
            </w:r>
          </w:p>
        </w:tc>
        <w:tc>
          <w:tcPr>
            <w:tcW w:w="2315" w:type="dxa"/>
          </w:tcPr>
          <w:p w14:paraId="78133DFE" w14:textId="69347FEF"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Symptomatic tenosynovial giant cell tumor</w:t>
            </w:r>
          </w:p>
        </w:tc>
        <w:tc>
          <w:tcPr>
            <w:tcW w:w="2268" w:type="dxa"/>
          </w:tcPr>
          <w:p w14:paraId="6EC27A8C" w14:textId="1AAD84F0"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PROs: PROMIS Physical Function (2*); Worst Stiffness NRS item (2*); BPI- Worst Pain NRS item (2</w:t>
            </w:r>
            <w:r w:rsidRPr="009A47E2">
              <w:rPr>
                <w:rFonts w:cstheme="minorHAnsi"/>
                <w:sz w:val="20"/>
                <w:szCs w:val="20"/>
                <w:lang w:val="en-US"/>
              </w:rPr>
              <w:t>÷</w:t>
            </w:r>
            <w:r w:rsidRPr="009A47E2">
              <w:rPr>
                <w:sz w:val="20"/>
                <w:szCs w:val="20"/>
                <w:lang w:val="en-US"/>
              </w:rPr>
              <w:t>)</w:t>
            </w:r>
          </w:p>
          <w:p w14:paraId="153E4072" w14:textId="0C5DC279"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ClinRO: ROM (2+)</w:t>
            </w:r>
          </w:p>
        </w:tc>
        <w:tc>
          <w:tcPr>
            <w:tcW w:w="1984" w:type="dxa"/>
          </w:tcPr>
          <w:p w14:paraId="103B22F8" w14:textId="34C6BA3C"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ROM</w:t>
            </w:r>
          </w:p>
        </w:tc>
        <w:tc>
          <w:tcPr>
            <w:tcW w:w="4962" w:type="dxa"/>
          </w:tcPr>
          <w:p w14:paraId="47B9377F" w14:textId="39BBAB66"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While the analysis of PROMIS Physical Function and Worst Stiffness NRS item demonstrated a statistically significant improvement, the results may not reliably estimate treatment effects due to a high proportion of missing data and thus, valid inference cannot be made</w:t>
            </w:r>
            <w:r w:rsidRPr="009A47E2">
              <w:rPr>
                <w:sz w:val="20"/>
                <w:szCs w:val="20"/>
                <w:lang w:val="en-US"/>
              </w:rPr>
              <w:t>”</w:t>
            </w:r>
          </w:p>
        </w:tc>
      </w:tr>
      <w:tr w:rsidR="000600C0" w:rsidRPr="001876E6" w14:paraId="1B775A7E"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23F1141" w14:textId="77777777" w:rsidR="00060C46" w:rsidRPr="009A47E2" w:rsidRDefault="00060C46" w:rsidP="00060C46">
            <w:pPr>
              <w:rPr>
                <w:sz w:val="20"/>
                <w:szCs w:val="20"/>
                <w:lang w:val="en-US"/>
              </w:rPr>
            </w:pPr>
            <w:r w:rsidRPr="009A47E2">
              <w:rPr>
                <w:sz w:val="20"/>
                <w:szCs w:val="20"/>
                <w:lang w:val="en-US"/>
              </w:rPr>
              <w:t>pitolisant</w:t>
            </w:r>
          </w:p>
        </w:tc>
        <w:tc>
          <w:tcPr>
            <w:tcW w:w="2315" w:type="dxa"/>
          </w:tcPr>
          <w:p w14:paraId="18859387" w14:textId="4B0DCAF8"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Excessive daytime sleepiness in patients with narcolepsy</w:t>
            </w:r>
          </w:p>
        </w:tc>
        <w:tc>
          <w:tcPr>
            <w:tcW w:w="2268" w:type="dxa"/>
          </w:tcPr>
          <w:p w14:paraId="418C8753" w14:textId="525C425B"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PROs: ESS (1+); Daily/Weekly Cataplexy Attacks (E); EQ-5D (E); Patient’s global opinion on the effect of the drug (E)  </w:t>
            </w:r>
          </w:p>
          <w:p w14:paraId="0C418156" w14:textId="33D0CC8F"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ClinRO</w:t>
            </w:r>
            <w:r w:rsidR="005E3169" w:rsidRPr="009A47E2">
              <w:rPr>
                <w:sz w:val="20"/>
                <w:szCs w:val="20"/>
                <w:lang w:val="pt-PT"/>
              </w:rPr>
              <w:t>s</w:t>
            </w:r>
            <w:r w:rsidRPr="009A47E2">
              <w:rPr>
                <w:sz w:val="20"/>
                <w:szCs w:val="20"/>
                <w:lang w:val="pt-PT"/>
              </w:rPr>
              <w:t>: BDI (S); CGI-C (E)</w:t>
            </w:r>
          </w:p>
          <w:p w14:paraId="57795C43" w14:textId="45401F7C" w:rsidR="00060C46" w:rsidRPr="009A47E2" w:rsidRDefault="005E3169" w:rsidP="00060C46">
            <w:pPr>
              <w:cnfStyle w:val="000000000000" w:firstRow="0" w:lastRow="0" w:firstColumn="0" w:lastColumn="0" w:oddVBand="0" w:evenVBand="0" w:oddHBand="0" w:evenHBand="0" w:firstRowFirstColumn="0" w:firstRowLastColumn="0" w:lastRowFirstColumn="0" w:lastRowLastColumn="0"/>
              <w:rPr>
                <w:i/>
                <w:sz w:val="20"/>
                <w:szCs w:val="20"/>
                <w:lang w:val="en-US"/>
              </w:rPr>
            </w:pPr>
            <w:r w:rsidRPr="009A47E2">
              <w:rPr>
                <w:i/>
                <w:sz w:val="20"/>
                <w:szCs w:val="20"/>
                <w:lang w:val="en-US"/>
              </w:rPr>
              <w:t>PerfO: SART (2*)</w:t>
            </w:r>
          </w:p>
        </w:tc>
        <w:tc>
          <w:tcPr>
            <w:tcW w:w="1984" w:type="dxa"/>
          </w:tcPr>
          <w:p w14:paraId="65D55559" w14:textId="09F38B7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ESS</w:t>
            </w:r>
          </w:p>
        </w:tc>
        <w:tc>
          <w:tcPr>
            <w:tcW w:w="4962" w:type="dxa"/>
          </w:tcPr>
          <w:p w14:paraId="2B885A0F" w14:textId="77777777" w:rsidR="005E3169" w:rsidRPr="009A47E2" w:rsidRDefault="005E3169" w:rsidP="005E3169">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Varying results observed compared to placebo and active compactor using CGI-C, EQ-5D, and Patient’s global opinion on the effect of the drug between the two trials</w:t>
            </w:r>
          </w:p>
          <w:p w14:paraId="44381D76" w14:textId="52B4A23F"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0600C0" w:rsidRPr="001876E6" w14:paraId="1F42DF93"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1B8302B5" w14:textId="77777777" w:rsidR="0032297F" w:rsidRPr="009A47E2" w:rsidRDefault="00060C46" w:rsidP="00060C46">
            <w:pPr>
              <w:rPr>
                <w:b w:val="0"/>
                <w:bCs w:val="0"/>
                <w:sz w:val="20"/>
                <w:szCs w:val="20"/>
                <w:lang w:val="en-US"/>
              </w:rPr>
            </w:pPr>
            <w:r w:rsidRPr="009A47E2">
              <w:rPr>
                <w:sz w:val="20"/>
                <w:szCs w:val="20"/>
                <w:lang w:val="en-US"/>
              </w:rPr>
              <w:t xml:space="preserve">polatuzumab </w:t>
            </w:r>
          </w:p>
          <w:p w14:paraId="4CD752B6" w14:textId="723CA496" w:rsidR="00060C46" w:rsidRPr="009A47E2" w:rsidRDefault="00060C46" w:rsidP="00060C46">
            <w:pPr>
              <w:rPr>
                <w:sz w:val="20"/>
                <w:szCs w:val="20"/>
                <w:lang w:val="en-US"/>
              </w:rPr>
            </w:pPr>
            <w:r w:rsidRPr="009A47E2">
              <w:rPr>
                <w:sz w:val="20"/>
                <w:szCs w:val="20"/>
                <w:lang w:val="en-US"/>
              </w:rPr>
              <w:t>vedotin</w:t>
            </w:r>
          </w:p>
        </w:tc>
        <w:tc>
          <w:tcPr>
            <w:tcW w:w="2315" w:type="dxa"/>
          </w:tcPr>
          <w:p w14:paraId="7B8D0022" w14:textId="17DB9E3F"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Relapsed or refractory diffuse large B-cell lymphoma</w:t>
            </w:r>
          </w:p>
        </w:tc>
        <w:tc>
          <w:tcPr>
            <w:tcW w:w="2268" w:type="dxa"/>
          </w:tcPr>
          <w:p w14:paraId="6B4B0765" w14:textId="532CE8CB"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 TINAS (E)</w:t>
            </w:r>
          </w:p>
        </w:tc>
        <w:tc>
          <w:tcPr>
            <w:tcW w:w="1984" w:type="dxa"/>
          </w:tcPr>
          <w:p w14:paraId="38678F06" w14:textId="3D9E247C"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77E6B138" w14:textId="26311B12"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 results not interpretable due to high proportion of missing data.</w:t>
            </w:r>
          </w:p>
        </w:tc>
      </w:tr>
      <w:tr w:rsidR="000600C0" w:rsidRPr="001876E6" w14:paraId="6DD04E71"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366331FF" w14:textId="77777777" w:rsidR="0032297F" w:rsidRPr="009A47E2" w:rsidRDefault="000A71C4" w:rsidP="00060C46">
            <w:pPr>
              <w:rPr>
                <w:b w:val="0"/>
                <w:bCs w:val="0"/>
                <w:sz w:val="20"/>
                <w:szCs w:val="20"/>
                <w:lang w:val="en-US"/>
              </w:rPr>
            </w:pPr>
            <w:r w:rsidRPr="009A47E2">
              <w:rPr>
                <w:sz w:val="20"/>
                <w:szCs w:val="20"/>
                <w:lang w:val="en-US"/>
              </w:rPr>
              <w:t>p</w:t>
            </w:r>
            <w:r w:rsidR="00060C46" w:rsidRPr="009A47E2">
              <w:rPr>
                <w:sz w:val="20"/>
                <w:szCs w:val="20"/>
                <w:lang w:val="en-US"/>
              </w:rPr>
              <w:t>rabotulinum-</w:t>
            </w:r>
          </w:p>
          <w:p w14:paraId="6387DD92" w14:textId="0C0BA91B" w:rsidR="00060C46" w:rsidRPr="009A47E2" w:rsidRDefault="00060C46" w:rsidP="00060C46">
            <w:pPr>
              <w:rPr>
                <w:sz w:val="20"/>
                <w:szCs w:val="20"/>
                <w:lang w:val="en-US"/>
              </w:rPr>
            </w:pPr>
            <w:r w:rsidRPr="009A47E2">
              <w:rPr>
                <w:sz w:val="20"/>
                <w:szCs w:val="20"/>
                <w:lang w:val="en-US"/>
              </w:rPr>
              <w:t>toxin</w:t>
            </w:r>
            <w:r w:rsidR="005C6E8F" w:rsidRPr="009A47E2">
              <w:rPr>
                <w:sz w:val="20"/>
                <w:szCs w:val="20"/>
                <w:lang w:val="en-US"/>
              </w:rPr>
              <w:t xml:space="preserve"> </w:t>
            </w:r>
            <w:r w:rsidRPr="009A47E2">
              <w:rPr>
                <w:sz w:val="20"/>
                <w:szCs w:val="20"/>
                <w:lang w:val="en-US"/>
              </w:rPr>
              <w:t>A</w:t>
            </w:r>
          </w:p>
        </w:tc>
        <w:tc>
          <w:tcPr>
            <w:tcW w:w="2315" w:type="dxa"/>
          </w:tcPr>
          <w:p w14:paraId="6E4C1BB4" w14:textId="5003342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Improve appearance of glabellar lines</w:t>
            </w:r>
          </w:p>
        </w:tc>
        <w:tc>
          <w:tcPr>
            <w:tcW w:w="2268" w:type="dxa"/>
          </w:tcPr>
          <w:p w14:paraId="71155013" w14:textId="7E59139F" w:rsidR="0077219A" w:rsidRPr="009A47E2" w:rsidRDefault="0077219A" w:rsidP="0077219A">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PROs: GAIS (E), SSS (E)</w:t>
            </w:r>
          </w:p>
          <w:p w14:paraId="78CFB748" w14:textId="3A52C860" w:rsidR="00060C46" w:rsidRPr="009A47E2" w:rsidRDefault="0077219A" w:rsidP="0077219A">
            <w:pPr>
              <w:cnfStyle w:val="000000000000" w:firstRow="0" w:lastRow="0" w:firstColumn="0" w:lastColumn="0" w:oddVBand="0" w:evenVBand="0" w:oddHBand="0" w:evenHBand="0" w:firstRowFirstColumn="0" w:firstRowLastColumn="0" w:lastRowFirstColumn="0" w:lastRowLastColumn="0"/>
              <w:rPr>
                <w:sz w:val="20"/>
                <w:szCs w:val="20"/>
                <w:lang w:val="it-IT"/>
              </w:rPr>
            </w:pPr>
            <w:r w:rsidRPr="009A47E2">
              <w:rPr>
                <w:sz w:val="20"/>
                <w:szCs w:val="20"/>
                <w:lang w:val="it-IT"/>
              </w:rPr>
              <w:t>PRO/ClinRO: GLS (1+)</w:t>
            </w:r>
          </w:p>
        </w:tc>
        <w:tc>
          <w:tcPr>
            <w:tcW w:w="1984" w:type="dxa"/>
          </w:tcPr>
          <w:p w14:paraId="53B73EC4" w14:textId="32878ACF" w:rsidR="00060C46" w:rsidRPr="009A47E2" w:rsidRDefault="0077219A" w:rsidP="00060C46">
            <w:pPr>
              <w:cnfStyle w:val="000000000000" w:firstRow="0" w:lastRow="0" w:firstColumn="0" w:lastColumn="0" w:oddVBand="0" w:evenVBand="0" w:oddHBand="0" w:evenHBand="0" w:firstRowFirstColumn="0" w:firstRowLastColumn="0" w:lastRowFirstColumn="0" w:lastRowLastColumn="0"/>
              <w:rPr>
                <w:sz w:val="20"/>
                <w:szCs w:val="20"/>
                <w:lang w:val="it-IT"/>
              </w:rPr>
            </w:pPr>
            <w:r w:rsidRPr="009A47E2">
              <w:rPr>
                <w:sz w:val="20"/>
                <w:szCs w:val="20"/>
                <w:lang w:val="it-IT"/>
              </w:rPr>
              <w:t>GLS</w:t>
            </w:r>
          </w:p>
        </w:tc>
        <w:tc>
          <w:tcPr>
            <w:tcW w:w="4962" w:type="dxa"/>
          </w:tcPr>
          <w:p w14:paraId="37EFB78D" w14:textId="488B6DD8" w:rsidR="00060C46" w:rsidRPr="009A47E2" w:rsidRDefault="00FA1FE3" w:rsidP="00B719CC">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 xml:space="preserve">As the endpoints based on these PROs </w:t>
            </w:r>
            <w:r w:rsidRPr="009A47E2">
              <w:rPr>
                <w:rFonts w:cstheme="minorHAnsi"/>
                <w:sz w:val="20"/>
                <w:szCs w:val="20"/>
                <w:lang w:val="en-US"/>
              </w:rPr>
              <w:t>[GAIS and SSS</w:t>
            </w:r>
            <w:r w:rsidRPr="009A47E2">
              <w:rPr>
                <w:rFonts w:ascii="Calibri" w:hAnsi="Calibri" w:cs="Calibri"/>
                <w:sz w:val="20"/>
                <w:szCs w:val="20"/>
                <w:lang w:val="en-US"/>
              </w:rPr>
              <w:t>]</w:t>
            </w:r>
            <w:r w:rsidRPr="009A47E2">
              <w:rPr>
                <w:i/>
                <w:sz w:val="20"/>
                <w:szCs w:val="20"/>
                <w:lang w:val="en-US"/>
              </w:rPr>
              <w:t xml:space="preserve"> were designated as ‘exploratory’ and not included in the multiplicity testing strategy, the efficacy results for these endpoints are no</w:t>
            </w:r>
            <w:r w:rsidR="00B719CC" w:rsidRPr="009A47E2">
              <w:rPr>
                <w:i/>
                <w:sz w:val="20"/>
                <w:szCs w:val="20"/>
                <w:lang w:val="en-US"/>
              </w:rPr>
              <w:t xml:space="preserve">t </w:t>
            </w:r>
            <w:r w:rsidRPr="009A47E2">
              <w:rPr>
                <w:i/>
                <w:sz w:val="20"/>
                <w:szCs w:val="20"/>
                <w:lang w:val="en-US"/>
              </w:rPr>
              <w:t>presented in this review</w:t>
            </w:r>
            <w:r w:rsidRPr="009A47E2">
              <w:rPr>
                <w:sz w:val="20"/>
                <w:szCs w:val="20"/>
                <w:lang w:val="en-US"/>
              </w:rPr>
              <w:t>”</w:t>
            </w:r>
          </w:p>
        </w:tc>
      </w:tr>
      <w:tr w:rsidR="000600C0" w:rsidRPr="001876E6" w14:paraId="68239C0E"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6B5E3A8A" w14:textId="77777777" w:rsidR="00060C46" w:rsidRPr="009A47E2" w:rsidRDefault="00060C46" w:rsidP="00060C46">
            <w:pPr>
              <w:rPr>
                <w:sz w:val="20"/>
                <w:szCs w:val="20"/>
                <w:lang w:val="en-US"/>
              </w:rPr>
            </w:pPr>
            <w:r w:rsidRPr="009A47E2">
              <w:rPr>
                <w:sz w:val="20"/>
                <w:szCs w:val="20"/>
                <w:lang w:val="en-US"/>
              </w:rPr>
              <w:t>pretomanid</w:t>
            </w:r>
          </w:p>
        </w:tc>
        <w:tc>
          <w:tcPr>
            <w:tcW w:w="2315" w:type="dxa"/>
          </w:tcPr>
          <w:p w14:paraId="18F8A9DC" w14:textId="2AD6C90F"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Treatment-resistant forms of tuberculosis</w:t>
            </w:r>
          </w:p>
        </w:tc>
        <w:tc>
          <w:tcPr>
            <w:tcW w:w="2268" w:type="dxa"/>
          </w:tcPr>
          <w:p w14:paraId="16991BCA" w14:textId="2E68B755"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en-US"/>
              </w:rPr>
              <w:t>PRO: EQ-5D (2*)</w:t>
            </w:r>
          </w:p>
        </w:tc>
        <w:tc>
          <w:tcPr>
            <w:tcW w:w="1984" w:type="dxa"/>
          </w:tcPr>
          <w:p w14:paraId="0ACBD713" w14:textId="3E7C57A8"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78492E7F" w14:textId="777777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No PED table in FDA Review. </w:t>
            </w:r>
          </w:p>
          <w:p w14:paraId="00ACAFC4" w14:textId="777777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Resolution of symptoms as measured by Patient Self-Reported Health Status </w:t>
            </w:r>
            <w:r w:rsidRPr="009A47E2">
              <w:rPr>
                <w:rFonts w:cstheme="minorHAnsi"/>
                <w:sz w:val="20"/>
                <w:szCs w:val="20"/>
                <w:lang w:val="en-US"/>
              </w:rPr>
              <w:t>[EQ-5D</w:t>
            </w:r>
            <w:r w:rsidRPr="009A47E2">
              <w:rPr>
                <w:rFonts w:ascii="Calibri" w:hAnsi="Calibri" w:cs="Calibri"/>
                <w:sz w:val="20"/>
                <w:szCs w:val="20"/>
                <w:lang w:val="en-US"/>
              </w:rPr>
              <w:t>]</w:t>
            </w:r>
            <w:r w:rsidRPr="009A47E2">
              <w:rPr>
                <w:sz w:val="20"/>
                <w:szCs w:val="20"/>
                <w:lang w:val="en-US"/>
              </w:rPr>
              <w:t xml:space="preserve"> was difficult to interpret without a comparator group</w:t>
            </w:r>
          </w:p>
          <w:p w14:paraId="49069A57" w14:textId="151A8F88" w:rsidR="00060C46" w:rsidRPr="009A47E2" w:rsidRDefault="00FE655E"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ClinROs identified as part of the regular safety assessments (slit lamp eye examination among others), but not as basis for trial endpoints</w:t>
            </w:r>
          </w:p>
        </w:tc>
      </w:tr>
      <w:tr w:rsidR="000600C0" w:rsidRPr="001876E6" w14:paraId="3D45AC51"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3926C537" w14:textId="65F94B52" w:rsidR="00060C46" w:rsidRPr="009A47E2" w:rsidRDefault="00060C46" w:rsidP="00060C46">
            <w:pPr>
              <w:rPr>
                <w:sz w:val="20"/>
                <w:szCs w:val="20"/>
                <w:lang w:val="en-US"/>
              </w:rPr>
            </w:pPr>
            <w:r w:rsidRPr="009A47E2">
              <w:rPr>
                <w:sz w:val="20"/>
                <w:szCs w:val="20"/>
                <w:lang w:val="en-US"/>
              </w:rPr>
              <w:t>risankizumab</w:t>
            </w:r>
          </w:p>
        </w:tc>
        <w:tc>
          <w:tcPr>
            <w:tcW w:w="2315" w:type="dxa"/>
          </w:tcPr>
          <w:p w14:paraId="1F6899B0" w14:textId="3C3F52C8"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Moderate-to-severe plaque psoriasis</w:t>
            </w:r>
          </w:p>
        </w:tc>
        <w:tc>
          <w:tcPr>
            <w:tcW w:w="2268" w:type="dxa"/>
          </w:tcPr>
          <w:p w14:paraId="4A5C6AE2" w14:textId="516F1405"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PROs: PSS (2+); DLQI (2+); EuroQoL (E); HADS (E)</w:t>
            </w:r>
          </w:p>
          <w:p w14:paraId="0ADCAC17" w14:textId="2D5FD796"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pt-PT"/>
              </w:rPr>
            </w:pPr>
            <w:r w:rsidRPr="009A47E2">
              <w:rPr>
                <w:sz w:val="20"/>
                <w:szCs w:val="20"/>
                <w:lang w:val="pt-PT"/>
              </w:rPr>
              <w:t>ClinROs: sPGA (1+); PASI (1+)</w:t>
            </w:r>
          </w:p>
        </w:tc>
        <w:tc>
          <w:tcPr>
            <w:tcW w:w="1984" w:type="dxa"/>
          </w:tcPr>
          <w:p w14:paraId="4EC295D8" w14:textId="0A88919F"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it-IT"/>
              </w:rPr>
            </w:pPr>
            <w:r w:rsidRPr="009A47E2">
              <w:rPr>
                <w:sz w:val="20"/>
                <w:szCs w:val="20"/>
                <w:lang w:val="en-US"/>
              </w:rPr>
              <w:t xml:space="preserve">sPGA; PASI; </w:t>
            </w:r>
            <w:r w:rsidRPr="009A47E2">
              <w:rPr>
                <w:sz w:val="20"/>
                <w:szCs w:val="20"/>
                <w:lang w:val="it-IT"/>
              </w:rPr>
              <w:t>PSS</w:t>
            </w:r>
          </w:p>
        </w:tc>
        <w:tc>
          <w:tcPr>
            <w:tcW w:w="4962" w:type="dxa"/>
          </w:tcPr>
          <w:p w14:paraId="10D56329" w14:textId="7777777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COA review concludes that PSS is adequate to support a labeling claim related to improvement in psoriasis signs and symptoms</w:t>
            </w:r>
          </w:p>
          <w:p w14:paraId="19FB4EBF" w14:textId="772A57A4"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r w:rsidRPr="009A47E2">
              <w:rPr>
                <w:i/>
                <w:sz w:val="20"/>
                <w:szCs w:val="20"/>
                <w:lang w:val="en-US"/>
              </w:rPr>
              <w:t>The DLQI does not appear to be fit-for-purpose for labeling in the context of this drug development program due to lack of item relevancy</w:t>
            </w:r>
            <w:r w:rsidRPr="009A47E2">
              <w:rPr>
                <w:sz w:val="20"/>
                <w:szCs w:val="20"/>
                <w:lang w:val="en-US"/>
              </w:rPr>
              <w:t>”</w:t>
            </w:r>
          </w:p>
        </w:tc>
      </w:tr>
      <w:tr w:rsidR="000600C0" w:rsidRPr="001876E6" w14:paraId="43781917"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34F0858E" w14:textId="1BD82D3F" w:rsidR="00060C46" w:rsidRPr="009A47E2" w:rsidRDefault="00060C46" w:rsidP="00060C46">
            <w:pPr>
              <w:rPr>
                <w:sz w:val="20"/>
                <w:szCs w:val="20"/>
                <w:lang w:val="en-US"/>
              </w:rPr>
            </w:pPr>
            <w:r w:rsidRPr="009A47E2">
              <w:rPr>
                <w:sz w:val="20"/>
                <w:szCs w:val="20"/>
                <w:lang w:val="en-US"/>
              </w:rPr>
              <w:t>romosozumab</w:t>
            </w:r>
          </w:p>
        </w:tc>
        <w:tc>
          <w:tcPr>
            <w:tcW w:w="2315" w:type="dxa"/>
          </w:tcPr>
          <w:p w14:paraId="0A40622B" w14:textId="16B226AD"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Osteoporosis</w:t>
            </w:r>
          </w:p>
        </w:tc>
        <w:tc>
          <w:tcPr>
            <w:tcW w:w="2268" w:type="dxa"/>
          </w:tcPr>
          <w:p w14:paraId="4FD78B88" w14:textId="5B872E36" w:rsidR="00E116F7" w:rsidRPr="009A47E2" w:rsidRDefault="00E116F7" w:rsidP="00E116F7">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PROs: EQ-5D-5L (E); BPI worst pain (E); OPAQ SV (E); LAD (E)</w:t>
            </w:r>
            <w:r w:rsidR="0072255C" w:rsidRPr="009A47E2">
              <w:rPr>
                <w:sz w:val="20"/>
                <w:szCs w:val="20"/>
                <w:lang w:val="pt-PT"/>
              </w:rPr>
              <w:t>; WOMAC (E)</w:t>
            </w:r>
            <w:r w:rsidRPr="009A47E2">
              <w:rPr>
                <w:sz w:val="20"/>
                <w:szCs w:val="20"/>
                <w:lang w:val="pt-PT"/>
              </w:rPr>
              <w:t xml:space="preserve"> </w:t>
            </w:r>
          </w:p>
          <w:p w14:paraId="6302CD55" w14:textId="71E5BB32" w:rsidR="00060C46" w:rsidRPr="009A47E2" w:rsidRDefault="00E116F7" w:rsidP="00E116F7">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pt-PT"/>
              </w:rPr>
              <w:t xml:space="preserve">ClinRO: </w:t>
            </w:r>
            <w:r w:rsidR="004E6F6F" w:rsidRPr="009A47E2">
              <w:rPr>
                <w:i/>
                <w:sz w:val="20"/>
                <w:szCs w:val="20"/>
                <w:lang w:val="pt-PT"/>
              </w:rPr>
              <w:t>n</w:t>
            </w:r>
            <w:r w:rsidRPr="009A47E2">
              <w:rPr>
                <w:i/>
                <w:sz w:val="20"/>
                <w:szCs w:val="20"/>
                <w:lang w:val="pt-PT"/>
              </w:rPr>
              <w:t>one identified</w:t>
            </w:r>
          </w:p>
        </w:tc>
        <w:tc>
          <w:tcPr>
            <w:tcW w:w="1984" w:type="dxa"/>
          </w:tcPr>
          <w:p w14:paraId="7D8C1B2E" w14:textId="4A2EA9D5" w:rsidR="00060C46" w:rsidRPr="009A47E2" w:rsidRDefault="0072255C"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2CE53CBB" w14:textId="77777777" w:rsidR="00060C46" w:rsidRPr="009A47E2" w:rsidRDefault="00E116F7"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No consistent or clinically meaningful differences in PRO/ClinRO endpoints were identified</w:t>
            </w:r>
          </w:p>
          <w:p w14:paraId="02FBA3BC" w14:textId="490FF047" w:rsidR="00C5103E" w:rsidRPr="009A47E2" w:rsidRDefault="00C5103E"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As per the PED table, ClinRO data was submitted, however not identified in the FDA Review.</w:t>
            </w:r>
          </w:p>
        </w:tc>
      </w:tr>
      <w:tr w:rsidR="000600C0" w:rsidRPr="001876E6" w14:paraId="0748D2BA"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71676441" w14:textId="77777777" w:rsidR="00060C46" w:rsidRPr="009A47E2" w:rsidRDefault="00060C46" w:rsidP="00060C46">
            <w:pPr>
              <w:rPr>
                <w:sz w:val="20"/>
                <w:szCs w:val="20"/>
                <w:lang w:val="en-US"/>
              </w:rPr>
            </w:pPr>
            <w:r w:rsidRPr="009A47E2">
              <w:rPr>
                <w:sz w:val="20"/>
                <w:szCs w:val="20"/>
                <w:lang w:val="en-US"/>
              </w:rPr>
              <w:t>selinexor</w:t>
            </w:r>
          </w:p>
        </w:tc>
        <w:tc>
          <w:tcPr>
            <w:tcW w:w="2315" w:type="dxa"/>
          </w:tcPr>
          <w:p w14:paraId="267E0B86" w14:textId="05766A52"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Relapsed or refractory multiple myeloma</w:t>
            </w:r>
          </w:p>
        </w:tc>
        <w:tc>
          <w:tcPr>
            <w:tcW w:w="2268" w:type="dxa"/>
          </w:tcPr>
          <w:p w14:paraId="4C8CDB89" w14:textId="514B23FE"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 FACT-MM (2*)</w:t>
            </w:r>
          </w:p>
        </w:tc>
        <w:tc>
          <w:tcPr>
            <w:tcW w:w="1984" w:type="dxa"/>
          </w:tcPr>
          <w:p w14:paraId="52CEF807" w14:textId="322BB1C4"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690DF58A" w14:textId="7C039F0B"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PRO data only available from small proportion of patients; extremely challenging to interpret PRO data in single arm trial </w:t>
            </w:r>
            <w:r w:rsidRPr="009A47E2">
              <w:rPr>
                <w:rFonts w:cstheme="minorHAnsi"/>
                <w:sz w:val="20"/>
                <w:szCs w:val="20"/>
                <w:lang w:val="en-US"/>
              </w:rPr>
              <w:t>→</w:t>
            </w:r>
            <w:r w:rsidRPr="009A47E2">
              <w:rPr>
                <w:sz w:val="20"/>
                <w:szCs w:val="20"/>
                <w:lang w:val="en-US"/>
              </w:rPr>
              <w:t xml:space="preserve"> not </w:t>
            </w:r>
            <w:r w:rsidR="00401F20" w:rsidRPr="009A47E2">
              <w:rPr>
                <w:sz w:val="20"/>
                <w:szCs w:val="20"/>
                <w:lang w:val="en-US"/>
              </w:rPr>
              <w:t>evaluated</w:t>
            </w:r>
            <w:r w:rsidRPr="009A47E2">
              <w:rPr>
                <w:sz w:val="20"/>
                <w:szCs w:val="20"/>
                <w:lang w:val="en-US"/>
              </w:rPr>
              <w:t xml:space="preserve"> in context of B/R </w:t>
            </w:r>
            <w:r w:rsidR="00401F20" w:rsidRPr="009A47E2">
              <w:rPr>
                <w:sz w:val="20"/>
                <w:szCs w:val="20"/>
                <w:lang w:val="en-US"/>
              </w:rPr>
              <w:t>assessment</w:t>
            </w:r>
          </w:p>
        </w:tc>
      </w:tr>
      <w:tr w:rsidR="000600C0" w:rsidRPr="009A47E2" w14:paraId="4B637A6E"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FC8CB97" w14:textId="77777777" w:rsidR="00060C46" w:rsidRPr="009A47E2" w:rsidRDefault="00060C46" w:rsidP="00060C46">
            <w:pPr>
              <w:rPr>
                <w:sz w:val="20"/>
                <w:szCs w:val="20"/>
                <w:lang w:val="en-US"/>
              </w:rPr>
            </w:pPr>
            <w:r w:rsidRPr="009A47E2">
              <w:rPr>
                <w:sz w:val="20"/>
                <w:szCs w:val="20"/>
                <w:lang w:val="en-US"/>
              </w:rPr>
              <w:t>siponimod</w:t>
            </w:r>
          </w:p>
        </w:tc>
        <w:tc>
          <w:tcPr>
            <w:tcW w:w="2315" w:type="dxa"/>
          </w:tcPr>
          <w:p w14:paraId="2537252B" w14:textId="0F8176AB"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Relapsing forms of multiple sclerosis</w:t>
            </w:r>
          </w:p>
        </w:tc>
        <w:tc>
          <w:tcPr>
            <w:tcW w:w="2268" w:type="dxa"/>
          </w:tcPr>
          <w:p w14:paraId="64D39258" w14:textId="054E8A38" w:rsidR="00CF6770" w:rsidRPr="009A47E2" w:rsidRDefault="00CF6770" w:rsidP="00CF6770">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rFonts w:hint="eastAsia"/>
                <w:sz w:val="20"/>
                <w:szCs w:val="20"/>
                <w:lang w:val="en-US"/>
              </w:rPr>
              <w:t>ClinRO: EDSS (1</w:t>
            </w:r>
            <w:r w:rsidRPr="009A47E2">
              <w:rPr>
                <w:sz w:val="20"/>
                <w:szCs w:val="20"/>
                <w:lang w:val="en-US"/>
              </w:rPr>
              <w:t>+</w:t>
            </w:r>
            <w:r w:rsidRPr="009A47E2">
              <w:rPr>
                <w:rFonts w:hint="eastAsia"/>
                <w:sz w:val="20"/>
                <w:szCs w:val="20"/>
                <w:lang w:val="en-US"/>
              </w:rPr>
              <w:t>); ARR (2</w:t>
            </w:r>
            <w:r w:rsidRPr="009A47E2">
              <w:rPr>
                <w:rFonts w:cstheme="minorHAnsi"/>
                <w:sz w:val="20"/>
                <w:szCs w:val="20"/>
                <w:lang w:val="en-US"/>
              </w:rPr>
              <w:t>→</w:t>
            </w:r>
            <w:r w:rsidRPr="009A47E2">
              <w:rPr>
                <w:rFonts w:hint="eastAsia"/>
                <w:sz w:val="20"/>
                <w:szCs w:val="20"/>
                <w:lang w:val="en-US"/>
              </w:rPr>
              <w:t>E+)</w:t>
            </w:r>
          </w:p>
          <w:p w14:paraId="23A23261" w14:textId="77777777" w:rsidR="00CF6770" w:rsidRPr="009A47E2" w:rsidRDefault="00CF6770" w:rsidP="00CF6770">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PerfO: T25FW (2÷)</w:t>
            </w:r>
          </w:p>
          <w:p w14:paraId="4F9996C5" w14:textId="710E295E" w:rsidR="00060C46" w:rsidRPr="009A47E2" w:rsidRDefault="00CF6770" w:rsidP="00CF6770">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rFonts w:hint="eastAsia"/>
                <w:i/>
                <w:sz w:val="20"/>
                <w:szCs w:val="20"/>
                <w:lang w:val="en-US"/>
              </w:rPr>
              <w:t>PRO: MSWS (2</w:t>
            </w:r>
            <w:r w:rsidRPr="009A47E2">
              <w:rPr>
                <w:rFonts w:cstheme="minorHAnsi"/>
                <w:i/>
                <w:sz w:val="20"/>
                <w:szCs w:val="20"/>
                <w:lang w:val="en-US"/>
              </w:rPr>
              <w:t>→</w:t>
            </w:r>
            <w:r w:rsidRPr="009A47E2">
              <w:rPr>
                <w:rFonts w:hint="eastAsia"/>
                <w:i/>
                <w:sz w:val="20"/>
                <w:szCs w:val="20"/>
                <w:lang w:val="en-US"/>
              </w:rPr>
              <w:t>E)</w:t>
            </w:r>
          </w:p>
        </w:tc>
        <w:tc>
          <w:tcPr>
            <w:tcW w:w="1984" w:type="dxa"/>
          </w:tcPr>
          <w:p w14:paraId="6A7F659E" w14:textId="77777777" w:rsidR="00CF6770" w:rsidRPr="009A47E2" w:rsidRDefault="00CF6770"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EDSS; ARR (w. nominal p-value);</w:t>
            </w:r>
          </w:p>
          <w:p w14:paraId="5239ED97" w14:textId="49DED998" w:rsidR="00CF6770" w:rsidRPr="009A47E2" w:rsidRDefault="00CF6770"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No sign. difference on T25FW  </w:t>
            </w:r>
          </w:p>
        </w:tc>
        <w:tc>
          <w:tcPr>
            <w:tcW w:w="4962" w:type="dxa"/>
          </w:tcPr>
          <w:p w14:paraId="3987611E" w14:textId="567721D5" w:rsidR="00060C46" w:rsidRPr="009A47E2" w:rsidRDefault="00CF6770"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ARR described under ‘other secondary endpoints’; claim included in label with a nominal p-value as key secondary endpoint (T25FW) did not reach statistical significance</w:t>
            </w:r>
          </w:p>
          <w:p w14:paraId="135C9486" w14:textId="2E690FB8" w:rsidR="006A21D9" w:rsidRPr="009A47E2" w:rsidRDefault="006A21D9"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MSWS clearly identified as PRO in FDA review even if this category was not checked off in PED table. </w:t>
            </w:r>
            <w:r w:rsidR="00454239" w:rsidRPr="009A47E2">
              <w:rPr>
                <w:sz w:val="20"/>
                <w:szCs w:val="20"/>
                <w:lang w:val="en-US"/>
              </w:rPr>
              <w:t>MSWS</w:t>
            </w:r>
            <w:r w:rsidRPr="009A47E2">
              <w:rPr>
                <w:sz w:val="20"/>
                <w:szCs w:val="20"/>
                <w:lang w:val="en-US"/>
              </w:rPr>
              <w:t xml:space="preserve"> is not discussed further in the FDA Review</w:t>
            </w:r>
          </w:p>
        </w:tc>
      </w:tr>
      <w:tr w:rsidR="000600C0" w:rsidRPr="001876E6" w14:paraId="562EA5E9"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425CA04F" w14:textId="77777777" w:rsidR="00060C46" w:rsidRPr="009A47E2" w:rsidRDefault="00060C46" w:rsidP="00060C46">
            <w:pPr>
              <w:rPr>
                <w:sz w:val="20"/>
                <w:szCs w:val="20"/>
                <w:lang w:val="en-US"/>
              </w:rPr>
            </w:pPr>
            <w:r w:rsidRPr="009A47E2">
              <w:rPr>
                <w:sz w:val="20"/>
                <w:szCs w:val="20"/>
                <w:lang w:val="en-US"/>
              </w:rPr>
              <w:t>solriamfetol</w:t>
            </w:r>
          </w:p>
        </w:tc>
        <w:tc>
          <w:tcPr>
            <w:tcW w:w="2315" w:type="dxa"/>
          </w:tcPr>
          <w:p w14:paraId="53FA1725" w14:textId="7777777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Excessive daytime sleepiness in patients with narcolepsy or</w:t>
            </w:r>
          </w:p>
          <w:p w14:paraId="767EC213" w14:textId="3C56C42D"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obstructive sleep apnea</w:t>
            </w:r>
          </w:p>
        </w:tc>
        <w:tc>
          <w:tcPr>
            <w:tcW w:w="2268" w:type="dxa"/>
          </w:tcPr>
          <w:p w14:paraId="5D32690B" w14:textId="0AD17A42"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PROs: ESS (1+); PGI</w:t>
            </w:r>
            <w:r w:rsidR="007038C9" w:rsidRPr="009A47E2">
              <w:rPr>
                <w:sz w:val="20"/>
                <w:szCs w:val="20"/>
                <w:lang w:val="en-US"/>
              </w:rPr>
              <w:t>-C</w:t>
            </w:r>
            <w:r w:rsidRPr="009A47E2">
              <w:rPr>
                <w:sz w:val="20"/>
                <w:szCs w:val="20"/>
                <w:lang w:val="en-US"/>
              </w:rPr>
              <w:t xml:space="preserve"> (2</w:t>
            </w:r>
            <w:r w:rsidR="00F73B6B" w:rsidRPr="009A47E2">
              <w:rPr>
                <w:sz w:val="20"/>
                <w:szCs w:val="20"/>
                <w:lang w:val="en-US"/>
              </w:rPr>
              <w:t>+</w:t>
            </w:r>
            <w:r w:rsidRPr="009A47E2">
              <w:rPr>
                <w:sz w:val="20"/>
                <w:szCs w:val="20"/>
                <w:lang w:val="en-US"/>
              </w:rPr>
              <w:t>), FOSQ-10 (E), SF-36v2 Health Survey (E), EuroQol (E), WPAI:SHP (E)</w:t>
            </w:r>
            <w:r w:rsidR="003F6B18" w:rsidRPr="009A47E2">
              <w:rPr>
                <w:sz w:val="20"/>
                <w:szCs w:val="20"/>
                <w:lang w:val="en-US"/>
              </w:rPr>
              <w:t>;</w:t>
            </w:r>
            <w:r w:rsidR="00CE4848" w:rsidRPr="009A47E2">
              <w:rPr>
                <w:sz w:val="20"/>
                <w:szCs w:val="20"/>
                <w:lang w:val="en-US"/>
              </w:rPr>
              <w:t xml:space="preserve"> cataplectic events (E);</w:t>
            </w:r>
            <w:r w:rsidR="003F6B18" w:rsidRPr="009A47E2">
              <w:rPr>
                <w:sz w:val="20"/>
                <w:szCs w:val="20"/>
                <w:lang w:val="en-US"/>
              </w:rPr>
              <w:t xml:space="preserve"> Drug Liking Score (S)</w:t>
            </w:r>
            <w:r w:rsidRPr="009A47E2">
              <w:rPr>
                <w:sz w:val="20"/>
                <w:szCs w:val="20"/>
                <w:lang w:val="en-US"/>
              </w:rPr>
              <w:t xml:space="preserve"> </w:t>
            </w:r>
          </w:p>
          <w:p w14:paraId="795BF3DC" w14:textId="7777777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it-IT"/>
              </w:rPr>
            </w:pPr>
            <w:r w:rsidRPr="009A47E2">
              <w:rPr>
                <w:sz w:val="20"/>
                <w:szCs w:val="20"/>
                <w:lang w:val="it-IT"/>
              </w:rPr>
              <w:t>ClinRO: CGI-C (2</w:t>
            </w:r>
            <w:r w:rsidR="00CE4848" w:rsidRPr="009A47E2">
              <w:rPr>
                <w:sz w:val="20"/>
                <w:szCs w:val="20"/>
                <w:lang w:val="it-IT"/>
              </w:rPr>
              <w:t>+</w:t>
            </w:r>
            <w:r w:rsidRPr="009A47E2">
              <w:rPr>
                <w:sz w:val="20"/>
                <w:szCs w:val="20"/>
                <w:lang w:val="it-IT"/>
              </w:rPr>
              <w:t>)</w:t>
            </w:r>
          </w:p>
          <w:p w14:paraId="77E848C3" w14:textId="1CC0731D" w:rsidR="008D7211" w:rsidRPr="009A47E2" w:rsidRDefault="008D7211" w:rsidP="00060C46">
            <w:pPr>
              <w:cnfStyle w:val="000000000000" w:firstRow="0" w:lastRow="0" w:firstColumn="0" w:lastColumn="0" w:oddVBand="0" w:evenVBand="0" w:oddHBand="0" w:evenHBand="0" w:firstRowFirstColumn="0" w:firstRowLastColumn="0" w:lastRowFirstColumn="0" w:lastRowLastColumn="0"/>
              <w:rPr>
                <w:i/>
                <w:sz w:val="20"/>
                <w:szCs w:val="20"/>
                <w:lang w:val="it-IT"/>
              </w:rPr>
            </w:pPr>
            <w:r w:rsidRPr="009A47E2">
              <w:rPr>
                <w:i/>
                <w:sz w:val="20"/>
                <w:szCs w:val="20"/>
                <w:lang w:val="it-IT"/>
              </w:rPr>
              <w:t>PerfO: MWT</w:t>
            </w:r>
            <w:r w:rsidR="007E5E2B" w:rsidRPr="009A47E2">
              <w:rPr>
                <w:i/>
                <w:sz w:val="20"/>
                <w:szCs w:val="20"/>
                <w:lang w:val="it-IT"/>
              </w:rPr>
              <w:t xml:space="preserve"> (1+)</w:t>
            </w:r>
          </w:p>
        </w:tc>
        <w:tc>
          <w:tcPr>
            <w:tcW w:w="1984" w:type="dxa"/>
          </w:tcPr>
          <w:p w14:paraId="1AAD208A" w14:textId="1E6AD5B2"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ESS; PG</w:t>
            </w:r>
            <w:r w:rsidR="007038C9" w:rsidRPr="009A47E2">
              <w:rPr>
                <w:sz w:val="20"/>
                <w:szCs w:val="20"/>
                <w:lang w:val="en-US"/>
              </w:rPr>
              <w:t>I-C</w:t>
            </w:r>
            <w:r w:rsidR="008D7211" w:rsidRPr="009A47E2">
              <w:rPr>
                <w:sz w:val="20"/>
                <w:szCs w:val="20"/>
                <w:lang w:val="en-US"/>
              </w:rPr>
              <w:t>; MWT</w:t>
            </w:r>
          </w:p>
          <w:p w14:paraId="0F8E7472" w14:textId="77777777" w:rsidR="003F6B18" w:rsidRPr="009A47E2" w:rsidRDefault="003F6B18"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p>
          <w:p w14:paraId="253C5668" w14:textId="75DB8BA0" w:rsidR="003F6B18" w:rsidRPr="009A47E2" w:rsidRDefault="003F6B18"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Safety: Drug Liking Score</w:t>
            </w:r>
          </w:p>
        </w:tc>
        <w:tc>
          <w:tcPr>
            <w:tcW w:w="4962" w:type="dxa"/>
          </w:tcPr>
          <w:p w14:paraId="6DB2EBA8" w14:textId="549A310C"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ESS and MWT</w:t>
            </w:r>
            <w:r w:rsidR="00ED4F41" w:rsidRPr="009A47E2">
              <w:rPr>
                <w:rStyle w:val="FootnoteReference"/>
                <w:sz w:val="20"/>
                <w:szCs w:val="20"/>
                <w:lang w:val="en-US"/>
              </w:rPr>
              <w:footnoteReference w:id="2"/>
            </w:r>
            <w:r w:rsidRPr="009A47E2">
              <w:rPr>
                <w:sz w:val="20"/>
                <w:szCs w:val="20"/>
                <w:lang w:val="en-US"/>
              </w:rPr>
              <w:t xml:space="preserve"> used as co-primary endpoints in most of the studies, and PGI-C almost consistently used as key secondary; all with convincingly positive results. CGI-C was included in some studies and mostly as secondary endpoint; generally positive results.</w:t>
            </w:r>
          </w:p>
          <w:p w14:paraId="0C5F8F29" w14:textId="6D4E6F40"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Exploratory PROs generally positive across trials</w:t>
            </w:r>
          </w:p>
          <w:p w14:paraId="750ED672" w14:textId="12BA50B2" w:rsidR="00F93F8D" w:rsidRPr="009A47E2" w:rsidRDefault="00F93F8D"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The C-SSRS (ClinRO) was part of the regular safety assess</w:t>
            </w:r>
            <w:r w:rsidR="00B02551" w:rsidRPr="009A47E2">
              <w:rPr>
                <w:sz w:val="20"/>
                <w:szCs w:val="20"/>
                <w:lang w:val="en-US"/>
              </w:rPr>
              <w:t>ment</w:t>
            </w:r>
          </w:p>
          <w:p w14:paraId="16CB871C" w14:textId="3A0F0130" w:rsidR="00ED4F41" w:rsidRPr="009A47E2" w:rsidRDefault="00ED4F41"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0600C0" w:rsidRPr="001876E6" w14:paraId="536CF6F3"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43148F52" w14:textId="77777777" w:rsidR="0032297F" w:rsidRPr="009A47E2" w:rsidRDefault="00060C46" w:rsidP="00060C46">
            <w:pPr>
              <w:rPr>
                <w:b w:val="0"/>
                <w:bCs w:val="0"/>
                <w:sz w:val="20"/>
                <w:szCs w:val="20"/>
                <w:lang w:val="en-US"/>
              </w:rPr>
            </w:pPr>
            <w:r w:rsidRPr="009A47E2">
              <w:rPr>
                <w:sz w:val="20"/>
                <w:szCs w:val="20"/>
                <w:lang w:val="en-US"/>
              </w:rPr>
              <w:t xml:space="preserve">tafamidis </w:t>
            </w:r>
          </w:p>
          <w:p w14:paraId="569FCF7C" w14:textId="27CB7357" w:rsidR="00060C46" w:rsidRPr="009A47E2" w:rsidRDefault="00060C46" w:rsidP="00060C46">
            <w:pPr>
              <w:rPr>
                <w:sz w:val="20"/>
                <w:szCs w:val="20"/>
                <w:lang w:val="en-US"/>
              </w:rPr>
            </w:pPr>
            <w:r w:rsidRPr="009A47E2">
              <w:rPr>
                <w:sz w:val="20"/>
                <w:szCs w:val="20"/>
                <w:lang w:val="en-US"/>
              </w:rPr>
              <w:t>meglumine</w:t>
            </w:r>
          </w:p>
        </w:tc>
        <w:tc>
          <w:tcPr>
            <w:tcW w:w="2315" w:type="dxa"/>
          </w:tcPr>
          <w:p w14:paraId="4BE79AD8" w14:textId="049AF45F"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Cardiomyopathy caused by transthyretin-mediated amyloidosis</w:t>
            </w:r>
          </w:p>
        </w:tc>
        <w:tc>
          <w:tcPr>
            <w:tcW w:w="2268" w:type="dxa"/>
          </w:tcPr>
          <w:p w14:paraId="77A0DAF0" w14:textId="2BA57F32"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PRO</w:t>
            </w:r>
            <w:r w:rsidR="0062461F" w:rsidRPr="009A47E2">
              <w:rPr>
                <w:sz w:val="20"/>
                <w:szCs w:val="20"/>
                <w:lang w:val="pt-PT"/>
              </w:rPr>
              <w:t>s</w:t>
            </w:r>
            <w:r w:rsidRPr="009A47E2">
              <w:rPr>
                <w:sz w:val="20"/>
                <w:szCs w:val="20"/>
                <w:lang w:val="pt-PT"/>
              </w:rPr>
              <w:t>: KCCQ-OS (2+)</w:t>
            </w:r>
            <w:r w:rsidR="0062461F" w:rsidRPr="009A47E2">
              <w:rPr>
                <w:sz w:val="20"/>
                <w:szCs w:val="20"/>
                <w:lang w:val="pt-PT"/>
              </w:rPr>
              <w:t>; P</w:t>
            </w:r>
            <w:r w:rsidR="005E2AD2" w:rsidRPr="009A47E2">
              <w:rPr>
                <w:sz w:val="20"/>
                <w:szCs w:val="20"/>
                <w:lang w:val="pt-PT"/>
              </w:rPr>
              <w:t>t</w:t>
            </w:r>
            <w:r w:rsidR="0062461F" w:rsidRPr="009A47E2">
              <w:rPr>
                <w:sz w:val="20"/>
                <w:szCs w:val="20"/>
                <w:lang w:val="pt-PT"/>
              </w:rPr>
              <w:t>GA (E); EQ-5D-3L (E)</w:t>
            </w:r>
          </w:p>
          <w:p w14:paraId="0F2C1F4C" w14:textId="4B1EC4E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PerfO: 6MWT (2+)</w:t>
            </w:r>
          </w:p>
        </w:tc>
        <w:tc>
          <w:tcPr>
            <w:tcW w:w="1984" w:type="dxa"/>
          </w:tcPr>
          <w:p w14:paraId="2AB95D62" w14:textId="7F6E99E8"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pt-PT"/>
              </w:rPr>
            </w:pPr>
            <w:r w:rsidRPr="009A47E2">
              <w:rPr>
                <w:sz w:val="20"/>
                <w:szCs w:val="20"/>
                <w:lang w:val="pt-PT"/>
              </w:rPr>
              <w:t>KCCQ-OS; 6MWT</w:t>
            </w:r>
          </w:p>
        </w:tc>
        <w:tc>
          <w:tcPr>
            <w:tcW w:w="4962" w:type="dxa"/>
          </w:tcPr>
          <w:p w14:paraId="47077696" w14:textId="2E713560"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Study optimally designed to assess all three important outcomes: mortality, function, and QoL.</w:t>
            </w:r>
          </w:p>
          <w:p w14:paraId="36637884" w14:textId="777777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All subgroups demonstrated a consistent beneficial effect with respect to both the 6MWT and the KCCQ-OS</w:t>
            </w:r>
          </w:p>
          <w:p w14:paraId="244049FA" w14:textId="070D6C3F" w:rsidR="00060C46" w:rsidRPr="009A47E2" w:rsidRDefault="0062461F"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w:t>
            </w:r>
            <w:r w:rsidR="005E2AD2" w:rsidRPr="009A47E2">
              <w:rPr>
                <w:sz w:val="20"/>
                <w:szCs w:val="20"/>
                <w:lang w:val="en-US"/>
              </w:rPr>
              <w:t>t</w:t>
            </w:r>
            <w:r w:rsidRPr="009A47E2">
              <w:rPr>
                <w:sz w:val="20"/>
                <w:szCs w:val="20"/>
                <w:lang w:val="en-US"/>
              </w:rPr>
              <w:t>GA and EQ-5D-3L not discussed in FDA Review.</w:t>
            </w:r>
          </w:p>
        </w:tc>
      </w:tr>
      <w:tr w:rsidR="000600C0" w:rsidRPr="001876E6" w14:paraId="470F6C21"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64AB8E6" w14:textId="77777777" w:rsidR="00060C46" w:rsidRPr="009A47E2" w:rsidRDefault="00060C46" w:rsidP="00060C46">
            <w:pPr>
              <w:rPr>
                <w:sz w:val="20"/>
                <w:szCs w:val="20"/>
                <w:lang w:val="en-US"/>
              </w:rPr>
            </w:pPr>
            <w:r w:rsidRPr="009A47E2">
              <w:rPr>
                <w:sz w:val="20"/>
                <w:szCs w:val="20"/>
                <w:lang w:val="en-US"/>
              </w:rPr>
              <w:t>tenapanor</w:t>
            </w:r>
          </w:p>
        </w:tc>
        <w:tc>
          <w:tcPr>
            <w:tcW w:w="2315" w:type="dxa"/>
          </w:tcPr>
          <w:p w14:paraId="4BA40341" w14:textId="6482824A"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Irritable bowel syndrome with constipation</w:t>
            </w:r>
          </w:p>
        </w:tc>
        <w:tc>
          <w:tcPr>
            <w:tcW w:w="2268" w:type="dxa"/>
          </w:tcPr>
          <w:p w14:paraId="6E1DBB30" w14:textId="56298B50" w:rsidR="00060C46" w:rsidRPr="009A47E2" w:rsidRDefault="00202247"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PROs: CSBM (1+/2*/E); abdominal pain (1+/2+/E); straining (E); abdominal bloating (E); discomfort (E); fullness (E); cramping (E); stool consistency (E); IBS-QOL (E)</w:t>
            </w:r>
          </w:p>
        </w:tc>
        <w:tc>
          <w:tcPr>
            <w:tcW w:w="1984" w:type="dxa"/>
          </w:tcPr>
          <w:p w14:paraId="05A313D5" w14:textId="63000A37" w:rsidR="00060C46" w:rsidRPr="009A47E2" w:rsidRDefault="00202247"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GB"/>
              </w:rPr>
              <w:t>CSBM; abdominal pain</w:t>
            </w:r>
          </w:p>
        </w:tc>
        <w:tc>
          <w:tcPr>
            <w:tcW w:w="4962" w:type="dxa"/>
          </w:tcPr>
          <w:p w14:paraId="3CC181C7" w14:textId="77777777" w:rsidR="00060C46" w:rsidRPr="009A47E2" w:rsidRDefault="00202247"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Both CSBM and abdominal pain were components of the primary endpoint (overall response), and the response on the individual components were key secondary endpoints</w:t>
            </w:r>
          </w:p>
          <w:p w14:paraId="5C3C7B5D" w14:textId="23C8C6E0" w:rsidR="00202247" w:rsidRPr="009A47E2" w:rsidRDefault="00B05842"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Some of the </w:t>
            </w:r>
            <w:r w:rsidR="00202247" w:rsidRPr="009A47E2">
              <w:rPr>
                <w:sz w:val="20"/>
                <w:szCs w:val="20"/>
                <w:lang w:val="en-US"/>
              </w:rPr>
              <w:t>additional, exploratory</w:t>
            </w:r>
            <w:r w:rsidRPr="009A47E2">
              <w:rPr>
                <w:sz w:val="20"/>
                <w:szCs w:val="20"/>
                <w:lang w:val="en-US"/>
              </w:rPr>
              <w:t xml:space="preserve"> PRO elements were questioned by the review team and not endorsed by the FDA COA staff; the results on these endpoints </w:t>
            </w:r>
            <w:r w:rsidR="00202247" w:rsidRPr="009A47E2">
              <w:rPr>
                <w:sz w:val="20"/>
                <w:szCs w:val="20"/>
                <w:lang w:val="en-US"/>
              </w:rPr>
              <w:t>were not discussed in the FDA Review</w:t>
            </w:r>
          </w:p>
        </w:tc>
      </w:tr>
      <w:tr w:rsidR="000600C0" w:rsidRPr="009A47E2" w14:paraId="729AE60D"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00573A7D" w14:textId="10A0F19D" w:rsidR="0032297F" w:rsidRPr="009A47E2" w:rsidRDefault="0032297F" w:rsidP="00060C46">
            <w:pPr>
              <w:rPr>
                <w:b w:val="0"/>
                <w:bCs w:val="0"/>
                <w:sz w:val="20"/>
                <w:szCs w:val="20"/>
                <w:lang w:val="en-US"/>
              </w:rPr>
            </w:pPr>
            <w:r w:rsidRPr="009A47E2">
              <w:rPr>
                <w:sz w:val="20"/>
                <w:szCs w:val="20"/>
                <w:lang w:val="en-US"/>
              </w:rPr>
              <w:t>t</w:t>
            </w:r>
            <w:r w:rsidR="00060C46" w:rsidRPr="009A47E2">
              <w:rPr>
                <w:sz w:val="20"/>
                <w:szCs w:val="20"/>
                <w:lang w:val="en-US"/>
              </w:rPr>
              <w:t>riclaben</w:t>
            </w:r>
            <w:r w:rsidRPr="009A47E2">
              <w:rPr>
                <w:sz w:val="20"/>
                <w:szCs w:val="20"/>
                <w:lang w:val="en-US"/>
              </w:rPr>
              <w:t>-</w:t>
            </w:r>
          </w:p>
          <w:p w14:paraId="35B4147E" w14:textId="5D397556" w:rsidR="00060C46" w:rsidRPr="009A47E2" w:rsidRDefault="00060C46" w:rsidP="00060C46">
            <w:pPr>
              <w:rPr>
                <w:sz w:val="20"/>
                <w:szCs w:val="20"/>
                <w:lang w:val="en-US"/>
              </w:rPr>
            </w:pPr>
            <w:r w:rsidRPr="009A47E2">
              <w:rPr>
                <w:sz w:val="20"/>
                <w:szCs w:val="20"/>
                <w:lang w:val="en-US"/>
              </w:rPr>
              <w:t>dazole</w:t>
            </w:r>
          </w:p>
        </w:tc>
        <w:tc>
          <w:tcPr>
            <w:tcW w:w="2315" w:type="dxa"/>
          </w:tcPr>
          <w:p w14:paraId="5882EBD5" w14:textId="6DFEB26D"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Fascioliasis</w:t>
            </w:r>
          </w:p>
        </w:tc>
        <w:tc>
          <w:tcPr>
            <w:tcW w:w="2268" w:type="dxa"/>
          </w:tcPr>
          <w:p w14:paraId="319E1DDA" w14:textId="14A40F7B" w:rsidR="00060C46" w:rsidRPr="009A47E2" w:rsidRDefault="0010067F"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en-US"/>
              </w:rPr>
              <w:t xml:space="preserve">PRO/ObsRO: </w:t>
            </w:r>
            <w:r w:rsidR="000E7948" w:rsidRPr="009A47E2">
              <w:rPr>
                <w:i/>
                <w:sz w:val="20"/>
                <w:szCs w:val="20"/>
                <w:lang w:val="en-US"/>
              </w:rPr>
              <w:t>C</w:t>
            </w:r>
            <w:r w:rsidRPr="009A47E2">
              <w:rPr>
                <w:i/>
                <w:sz w:val="20"/>
                <w:szCs w:val="20"/>
                <w:lang w:val="en-US"/>
              </w:rPr>
              <w:t>linical symptoms (1/E*)</w:t>
            </w:r>
          </w:p>
        </w:tc>
        <w:tc>
          <w:tcPr>
            <w:tcW w:w="1984" w:type="dxa"/>
          </w:tcPr>
          <w:p w14:paraId="19EBF503" w14:textId="7D34A9EA" w:rsidR="00060C46" w:rsidRPr="009A47E2" w:rsidRDefault="0010067F"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en-US"/>
              </w:rPr>
              <w:t>Clinical symptoms</w:t>
            </w:r>
          </w:p>
        </w:tc>
        <w:tc>
          <w:tcPr>
            <w:tcW w:w="4962" w:type="dxa"/>
          </w:tcPr>
          <w:p w14:paraId="03970744" w14:textId="7FED28F0" w:rsidR="009B7593" w:rsidRPr="009A47E2" w:rsidRDefault="009B7593"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PED table included</w:t>
            </w:r>
            <w:r w:rsidR="00390C64" w:rsidRPr="009A47E2">
              <w:rPr>
                <w:sz w:val="20"/>
                <w:szCs w:val="20"/>
                <w:lang w:val="en-US"/>
              </w:rPr>
              <w:t xml:space="preserve"> in FDA review</w:t>
            </w:r>
            <w:r w:rsidRPr="009A47E2">
              <w:rPr>
                <w:sz w:val="20"/>
                <w:szCs w:val="20"/>
                <w:lang w:val="en-US"/>
              </w:rPr>
              <w:t xml:space="preserve"> but </w:t>
            </w:r>
            <w:r w:rsidR="00390C64" w:rsidRPr="009A47E2">
              <w:rPr>
                <w:sz w:val="20"/>
                <w:szCs w:val="20"/>
                <w:lang w:val="en-US"/>
              </w:rPr>
              <w:t>left blank</w:t>
            </w:r>
          </w:p>
          <w:p w14:paraId="0C232C24" w14:textId="52077818" w:rsidR="00060C46" w:rsidRPr="009A47E2" w:rsidRDefault="0010067F"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Clinical efficacy supported partially by literature, partially by very old clinical studies of lower than usual quality. Clinical symptoms were </w:t>
            </w:r>
            <w:r w:rsidR="00E00E33" w:rsidRPr="009A47E2">
              <w:rPr>
                <w:sz w:val="20"/>
                <w:szCs w:val="20"/>
                <w:lang w:val="en-US"/>
              </w:rPr>
              <w:t>PRO/ObsRO</w:t>
            </w:r>
            <w:r w:rsidRPr="009A47E2">
              <w:rPr>
                <w:sz w:val="20"/>
                <w:szCs w:val="20"/>
                <w:lang w:val="en-US"/>
              </w:rPr>
              <w:t xml:space="preserve"> in one published study (primary endpoint) and </w:t>
            </w:r>
            <w:r w:rsidR="00E00E33" w:rsidRPr="009A47E2">
              <w:rPr>
                <w:sz w:val="20"/>
                <w:szCs w:val="20"/>
                <w:lang w:val="en-US"/>
              </w:rPr>
              <w:t xml:space="preserve">PRO </w:t>
            </w:r>
            <w:r w:rsidRPr="009A47E2">
              <w:rPr>
                <w:sz w:val="20"/>
                <w:szCs w:val="20"/>
                <w:lang w:val="en-US"/>
              </w:rPr>
              <w:t xml:space="preserve">only in another </w:t>
            </w:r>
            <w:r w:rsidR="00E00E33" w:rsidRPr="009A47E2">
              <w:rPr>
                <w:sz w:val="20"/>
                <w:szCs w:val="20"/>
                <w:lang w:val="en-US"/>
              </w:rPr>
              <w:t>(</w:t>
            </w:r>
            <w:r w:rsidRPr="009A47E2">
              <w:rPr>
                <w:sz w:val="20"/>
                <w:szCs w:val="20"/>
                <w:lang w:val="en-US"/>
              </w:rPr>
              <w:t>exp</w:t>
            </w:r>
            <w:r w:rsidR="00E00E33" w:rsidRPr="009A47E2">
              <w:rPr>
                <w:sz w:val="20"/>
                <w:szCs w:val="20"/>
                <w:lang w:val="en-US"/>
              </w:rPr>
              <w:t>l</w:t>
            </w:r>
            <w:r w:rsidRPr="009A47E2">
              <w:rPr>
                <w:sz w:val="20"/>
                <w:szCs w:val="20"/>
                <w:lang w:val="en-US"/>
              </w:rPr>
              <w:t>oratory). No COAs reported from non-published studies.</w:t>
            </w:r>
          </w:p>
        </w:tc>
      </w:tr>
      <w:tr w:rsidR="000600C0" w:rsidRPr="009A47E2" w14:paraId="7787BA61"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3B7865CD" w14:textId="77777777" w:rsidR="00060C46" w:rsidRPr="009A47E2" w:rsidRDefault="00060C46" w:rsidP="00060C46">
            <w:pPr>
              <w:rPr>
                <w:sz w:val="20"/>
                <w:szCs w:val="20"/>
                <w:lang w:val="en-US"/>
              </w:rPr>
            </w:pPr>
            <w:r w:rsidRPr="009A47E2">
              <w:rPr>
                <w:sz w:val="20"/>
                <w:szCs w:val="20"/>
                <w:lang w:val="en-US"/>
              </w:rPr>
              <w:t>trifarotene</w:t>
            </w:r>
          </w:p>
        </w:tc>
        <w:tc>
          <w:tcPr>
            <w:tcW w:w="2315" w:type="dxa"/>
          </w:tcPr>
          <w:p w14:paraId="14E644AA" w14:textId="2F42DF60"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Acne vulgaris</w:t>
            </w:r>
          </w:p>
        </w:tc>
        <w:tc>
          <w:tcPr>
            <w:tcW w:w="2268" w:type="dxa"/>
          </w:tcPr>
          <w:p w14:paraId="22DA44E4" w14:textId="521ACA77" w:rsidR="00C4021F" w:rsidRPr="009A47E2" w:rsidRDefault="00C4021F"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 xml:space="preserve">PRO/ClinRO: Local </w:t>
            </w:r>
            <w:r w:rsidR="007817DC" w:rsidRPr="009A47E2">
              <w:rPr>
                <w:sz w:val="20"/>
                <w:szCs w:val="20"/>
                <w:lang w:val="en-US"/>
              </w:rPr>
              <w:t>t</w:t>
            </w:r>
            <w:r w:rsidRPr="009A47E2">
              <w:rPr>
                <w:sz w:val="20"/>
                <w:szCs w:val="20"/>
                <w:lang w:val="en-US"/>
              </w:rPr>
              <w:t>olerability (S)</w:t>
            </w:r>
          </w:p>
          <w:p w14:paraId="60E4E368" w14:textId="58B7EBB4"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ClinROs: IGA (1+), PGA (2+)</w:t>
            </w:r>
          </w:p>
        </w:tc>
        <w:tc>
          <w:tcPr>
            <w:tcW w:w="1984" w:type="dxa"/>
          </w:tcPr>
          <w:p w14:paraId="47F4E8B8" w14:textId="2073EDD9"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IGA; PGA</w:t>
            </w:r>
            <w:r w:rsidR="00C4021F" w:rsidRPr="009A47E2">
              <w:rPr>
                <w:sz w:val="20"/>
                <w:szCs w:val="20"/>
                <w:lang w:val="en-US"/>
              </w:rPr>
              <w:t xml:space="preserve">; </w:t>
            </w:r>
            <w:r w:rsidR="00637A9B" w:rsidRPr="009A47E2">
              <w:rPr>
                <w:sz w:val="20"/>
                <w:szCs w:val="20"/>
                <w:lang w:val="en-US"/>
              </w:rPr>
              <w:t>w</w:t>
            </w:r>
            <w:r w:rsidR="00C4021F" w:rsidRPr="009A47E2">
              <w:rPr>
                <w:sz w:val="20"/>
                <w:szCs w:val="20"/>
                <w:lang w:val="en-US"/>
              </w:rPr>
              <w:t>orsening in local tolerability</w:t>
            </w:r>
          </w:p>
        </w:tc>
        <w:tc>
          <w:tcPr>
            <w:tcW w:w="4962" w:type="dxa"/>
          </w:tcPr>
          <w:p w14:paraId="1990AFD1" w14:textId="22B1107E" w:rsidR="00060C46" w:rsidRPr="009A47E2" w:rsidRDefault="00D4304C"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r>
      <w:tr w:rsidR="000600C0" w:rsidRPr="003A1D03" w14:paraId="006ACE35"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D061DD7" w14:textId="77777777" w:rsidR="00060C46" w:rsidRPr="009A47E2" w:rsidRDefault="00060C46" w:rsidP="00060C46">
            <w:pPr>
              <w:rPr>
                <w:sz w:val="20"/>
                <w:szCs w:val="20"/>
                <w:lang w:val="en-US"/>
              </w:rPr>
            </w:pPr>
            <w:r w:rsidRPr="009A47E2">
              <w:rPr>
                <w:sz w:val="20"/>
                <w:szCs w:val="20"/>
                <w:lang w:val="en-US"/>
              </w:rPr>
              <w:t>ubrogepant</w:t>
            </w:r>
          </w:p>
        </w:tc>
        <w:tc>
          <w:tcPr>
            <w:tcW w:w="2315" w:type="dxa"/>
          </w:tcPr>
          <w:p w14:paraId="5EB38BA8" w14:textId="16BD1F32"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Migraine</w:t>
            </w:r>
          </w:p>
        </w:tc>
        <w:tc>
          <w:tcPr>
            <w:tcW w:w="2268" w:type="dxa"/>
          </w:tcPr>
          <w:p w14:paraId="2901A1F8" w14:textId="399ACF65"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en-US"/>
              </w:rPr>
              <w:t>PROs: Pain freedom (1+); Absence of MBS (1+)</w:t>
            </w:r>
          </w:p>
        </w:tc>
        <w:tc>
          <w:tcPr>
            <w:tcW w:w="1984" w:type="dxa"/>
          </w:tcPr>
          <w:p w14:paraId="3EAF7D30" w14:textId="0C8B2D1A"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i/>
                <w:sz w:val="20"/>
                <w:szCs w:val="20"/>
                <w:lang w:val="en-US"/>
              </w:rPr>
            </w:pPr>
            <w:r w:rsidRPr="009A47E2">
              <w:rPr>
                <w:i/>
                <w:sz w:val="20"/>
                <w:szCs w:val="20"/>
                <w:lang w:val="en-US"/>
              </w:rPr>
              <w:t>Freedom from headache pain and MBS</w:t>
            </w:r>
          </w:p>
        </w:tc>
        <w:tc>
          <w:tcPr>
            <w:tcW w:w="4962" w:type="dxa"/>
          </w:tcPr>
          <w:p w14:paraId="493C2D16" w14:textId="777777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 xml:space="preserve">PED table stated no PED included in submission, yet both assessment of pain and MBS is based on patients’ </w:t>
            </w:r>
            <w:r w:rsidR="003C1560" w:rsidRPr="009A47E2">
              <w:rPr>
                <w:sz w:val="20"/>
                <w:szCs w:val="20"/>
                <w:lang w:val="en-US"/>
              </w:rPr>
              <w:t xml:space="preserve">eDiaries assessing </w:t>
            </w:r>
            <w:r w:rsidR="00CB43FF" w:rsidRPr="009A47E2">
              <w:rPr>
                <w:sz w:val="20"/>
                <w:szCs w:val="20"/>
                <w:lang w:val="en-US"/>
              </w:rPr>
              <w:t>headache pain severity and absence or presence of migraine-associated symptoms</w:t>
            </w:r>
            <w:r w:rsidRPr="009A47E2">
              <w:rPr>
                <w:sz w:val="20"/>
                <w:szCs w:val="20"/>
                <w:lang w:val="en-US"/>
              </w:rPr>
              <w:t xml:space="preserve"> </w:t>
            </w:r>
            <w:r w:rsidRPr="009A47E2">
              <w:rPr>
                <w:rFonts w:cstheme="minorHAnsi"/>
                <w:sz w:val="20"/>
                <w:szCs w:val="20"/>
                <w:lang w:val="en-US"/>
              </w:rPr>
              <w:t>→</w:t>
            </w:r>
            <w:r w:rsidRPr="009A47E2">
              <w:rPr>
                <w:sz w:val="20"/>
                <w:szCs w:val="20"/>
                <w:lang w:val="en-US"/>
              </w:rPr>
              <w:t xml:space="preserve"> PRO</w:t>
            </w:r>
          </w:p>
          <w:p w14:paraId="6D6268F6" w14:textId="551D6D44" w:rsidR="00B02551" w:rsidRPr="009A47E2" w:rsidRDefault="00B02551"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The C-SSRS (ClinRO) was part of the regular safety assessment</w:t>
            </w:r>
          </w:p>
        </w:tc>
      </w:tr>
      <w:tr w:rsidR="000600C0" w:rsidRPr="003A1D03" w14:paraId="6A1E5FE0"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1C758A51" w14:textId="77777777" w:rsidR="00060C46" w:rsidRPr="009A47E2" w:rsidRDefault="00060C46" w:rsidP="00060C46">
            <w:pPr>
              <w:rPr>
                <w:sz w:val="20"/>
                <w:szCs w:val="20"/>
                <w:lang w:val="en-US"/>
              </w:rPr>
            </w:pPr>
            <w:r w:rsidRPr="009A47E2">
              <w:rPr>
                <w:sz w:val="20"/>
                <w:szCs w:val="20"/>
                <w:lang w:val="en-US"/>
              </w:rPr>
              <w:t>upadacitinib</w:t>
            </w:r>
          </w:p>
        </w:tc>
        <w:tc>
          <w:tcPr>
            <w:tcW w:w="2315" w:type="dxa"/>
          </w:tcPr>
          <w:p w14:paraId="64480EB4" w14:textId="51CA4B51"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Moderately to severely active rheumatoid arthritis</w:t>
            </w:r>
          </w:p>
        </w:tc>
        <w:tc>
          <w:tcPr>
            <w:tcW w:w="2268" w:type="dxa"/>
          </w:tcPr>
          <w:p w14:paraId="71CBC8FE" w14:textId="2A4A3F2D"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PROs: HAQ-DI (2+); FACIT-F (2+); morning stiffness (2+); SF-36 PCS (2+); SF-36</w:t>
            </w:r>
            <w:r w:rsidR="00426426" w:rsidRPr="009A47E2">
              <w:rPr>
                <w:sz w:val="20"/>
                <w:szCs w:val="20"/>
                <w:lang w:val="en-US"/>
              </w:rPr>
              <w:t xml:space="preserve"> </w:t>
            </w:r>
            <w:r w:rsidRPr="009A47E2">
              <w:rPr>
                <w:sz w:val="20"/>
                <w:szCs w:val="20"/>
                <w:lang w:val="en-US"/>
              </w:rPr>
              <w:t>MCS (2</w:t>
            </w:r>
            <w:r w:rsidR="008C496A" w:rsidRPr="009A47E2">
              <w:rPr>
                <w:sz w:val="20"/>
                <w:szCs w:val="20"/>
                <w:lang w:val="en-US"/>
              </w:rPr>
              <w:t>*</w:t>
            </w:r>
            <w:r w:rsidRPr="009A47E2">
              <w:rPr>
                <w:sz w:val="20"/>
                <w:szCs w:val="20"/>
                <w:lang w:val="en-US"/>
              </w:rPr>
              <w:t>)</w:t>
            </w:r>
          </w:p>
          <w:p w14:paraId="11A6153F" w14:textId="5C306FB9"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ClinRO</w:t>
            </w:r>
            <w:r w:rsidR="005163D2" w:rsidRPr="009A47E2">
              <w:rPr>
                <w:sz w:val="20"/>
                <w:szCs w:val="20"/>
                <w:lang w:val="en-US"/>
              </w:rPr>
              <w:t>s</w:t>
            </w:r>
            <w:r w:rsidRPr="009A47E2">
              <w:rPr>
                <w:sz w:val="20"/>
                <w:szCs w:val="20"/>
                <w:lang w:val="en-US"/>
              </w:rPr>
              <w:t>:</w:t>
            </w:r>
            <w:r w:rsidR="005163D2" w:rsidRPr="009A47E2">
              <w:rPr>
                <w:sz w:val="20"/>
                <w:szCs w:val="20"/>
                <w:lang w:val="en-US"/>
              </w:rPr>
              <w:t xml:space="preserve"> </w:t>
            </w:r>
            <w:r w:rsidR="005163D2" w:rsidRPr="009A47E2">
              <w:rPr>
                <w:sz w:val="20"/>
                <w:szCs w:val="20"/>
                <w:lang w:val="pt-PT"/>
              </w:rPr>
              <w:t>mTSS (2+);</w:t>
            </w:r>
            <w:r w:rsidRPr="009A47E2">
              <w:rPr>
                <w:sz w:val="20"/>
                <w:szCs w:val="20"/>
                <w:lang w:val="en-US"/>
              </w:rPr>
              <w:t xml:space="preserve"> DAS28-CRP (2+) </w:t>
            </w:r>
          </w:p>
          <w:p w14:paraId="3B690D75" w14:textId="5F9124FF"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PRO/ClinRO composite measure: ACR (1+)</w:t>
            </w:r>
          </w:p>
        </w:tc>
        <w:tc>
          <w:tcPr>
            <w:tcW w:w="1984" w:type="dxa"/>
          </w:tcPr>
          <w:p w14:paraId="1B2870EA" w14:textId="0F6ABC0F"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ACR response; DAS28-CRP;</w:t>
            </w:r>
            <w:r w:rsidR="005163D2" w:rsidRPr="009A47E2">
              <w:rPr>
                <w:sz w:val="20"/>
                <w:szCs w:val="20"/>
                <w:lang w:val="en-US"/>
              </w:rPr>
              <w:t xml:space="preserve"> mTSS</w:t>
            </w:r>
          </w:p>
          <w:p w14:paraId="48361F9D" w14:textId="0BBEBFE1"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HAQ-DI; SF-36 (PCS and MCS); FACIT-F</w:t>
            </w:r>
          </w:p>
        </w:tc>
        <w:tc>
          <w:tcPr>
            <w:tcW w:w="4962" w:type="dxa"/>
          </w:tcPr>
          <w:p w14:paraId="7B7F9678" w14:textId="77777777"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Generally thorough discussion of the rationale for accepting inclusion of the individual COAs in the product labeling.</w:t>
            </w:r>
          </w:p>
          <w:p w14:paraId="5F67A944" w14:textId="15D19DE2"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Not clear why “</w:t>
            </w:r>
            <w:r w:rsidRPr="009A47E2">
              <w:rPr>
                <w:i/>
                <w:sz w:val="20"/>
                <w:szCs w:val="20"/>
                <w:lang w:val="en-US"/>
              </w:rPr>
              <w:t>the general improvement in morning stiffness is clinically useful and supports the primary endpoint that UPA improves the signs and symptoms of RA in a clinically meaningful manner</w:t>
            </w:r>
            <w:r w:rsidRPr="009A47E2">
              <w:rPr>
                <w:sz w:val="20"/>
                <w:szCs w:val="20"/>
                <w:lang w:val="en-US"/>
              </w:rPr>
              <w:t>” did not translate into a label claim.</w:t>
            </w:r>
          </w:p>
        </w:tc>
      </w:tr>
      <w:tr w:rsidR="000600C0" w:rsidRPr="003A1D03" w14:paraId="5890900C" w14:textId="77777777" w:rsidTr="3EB376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dxa"/>
          </w:tcPr>
          <w:p w14:paraId="2A50FD93" w14:textId="77777777" w:rsidR="00060C46" w:rsidRPr="009A47E2" w:rsidRDefault="00060C46" w:rsidP="00060C46">
            <w:pPr>
              <w:rPr>
                <w:sz w:val="20"/>
                <w:szCs w:val="20"/>
                <w:lang w:val="en-US"/>
              </w:rPr>
            </w:pPr>
            <w:r w:rsidRPr="009A47E2">
              <w:rPr>
                <w:sz w:val="20"/>
                <w:szCs w:val="20"/>
                <w:lang w:val="en-US"/>
              </w:rPr>
              <w:t>voxelotor</w:t>
            </w:r>
          </w:p>
        </w:tc>
        <w:tc>
          <w:tcPr>
            <w:tcW w:w="2315" w:type="dxa"/>
          </w:tcPr>
          <w:p w14:paraId="001CCB25" w14:textId="769DD206"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Sickle cell disease</w:t>
            </w:r>
          </w:p>
        </w:tc>
        <w:tc>
          <w:tcPr>
            <w:tcW w:w="2268" w:type="dxa"/>
          </w:tcPr>
          <w:p w14:paraId="433125C3" w14:textId="77777777" w:rsidR="00AE6803" w:rsidRPr="009A47E2" w:rsidRDefault="00AE6803" w:rsidP="00AE6803">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PROs: EQ-5D-5L (E), SCDSM (E); school and/or work attendance as recorded in eDiary (E)</w:t>
            </w:r>
          </w:p>
          <w:p w14:paraId="0A087658" w14:textId="77777777" w:rsidR="00060C46" w:rsidRPr="009A47E2" w:rsidRDefault="00AE6803" w:rsidP="00AE6803">
            <w:pPr>
              <w:cnfStyle w:val="000000100000" w:firstRow="0" w:lastRow="0" w:firstColumn="0" w:lastColumn="0" w:oddVBand="0" w:evenVBand="0" w:oddHBand="1" w:evenHBand="0" w:firstRowFirstColumn="0" w:firstRowLastColumn="0" w:lastRowFirstColumn="0" w:lastRowLastColumn="0"/>
              <w:rPr>
                <w:sz w:val="20"/>
                <w:szCs w:val="20"/>
                <w:lang w:val="it-IT"/>
              </w:rPr>
            </w:pPr>
            <w:r w:rsidRPr="009A47E2">
              <w:rPr>
                <w:sz w:val="20"/>
                <w:szCs w:val="20"/>
                <w:lang w:val="it-IT"/>
              </w:rPr>
              <w:t>ClinRO: CGI-C (E)</w:t>
            </w:r>
          </w:p>
          <w:p w14:paraId="6BA9FCA4" w14:textId="39F1BDBB" w:rsidR="00702EC7" w:rsidRPr="009A47E2" w:rsidRDefault="00702EC7" w:rsidP="00AE6803">
            <w:pPr>
              <w:cnfStyle w:val="000000100000" w:firstRow="0" w:lastRow="0" w:firstColumn="0" w:lastColumn="0" w:oddVBand="0" w:evenVBand="0" w:oddHBand="1" w:evenHBand="0" w:firstRowFirstColumn="0" w:firstRowLastColumn="0" w:lastRowFirstColumn="0" w:lastRowLastColumn="0"/>
              <w:rPr>
                <w:sz w:val="20"/>
                <w:szCs w:val="20"/>
                <w:lang w:val="it-IT"/>
              </w:rPr>
            </w:pPr>
          </w:p>
        </w:tc>
        <w:tc>
          <w:tcPr>
            <w:tcW w:w="1984" w:type="dxa"/>
          </w:tcPr>
          <w:p w14:paraId="734E143D" w14:textId="03428606"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it-IT"/>
              </w:rPr>
            </w:pPr>
            <w:r w:rsidRPr="009A47E2">
              <w:rPr>
                <w:sz w:val="20"/>
                <w:szCs w:val="20"/>
                <w:lang w:val="it-IT"/>
              </w:rPr>
              <w:t>-</w:t>
            </w:r>
          </w:p>
        </w:tc>
        <w:tc>
          <w:tcPr>
            <w:tcW w:w="4962" w:type="dxa"/>
          </w:tcPr>
          <w:p w14:paraId="14EEDA66" w14:textId="77777777"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r w:rsidRPr="009A47E2">
              <w:rPr>
                <w:sz w:val="20"/>
                <w:szCs w:val="20"/>
                <w:lang w:val="en-US"/>
              </w:rPr>
              <w:t>The PROs were exploratory endpoints and no formal conclusions can be drawn from these results</w:t>
            </w:r>
          </w:p>
          <w:p w14:paraId="156B6FB5" w14:textId="5AB25686" w:rsidR="00060C46" w:rsidRPr="009A47E2" w:rsidRDefault="00060C46" w:rsidP="00060C46">
            <w:pP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600C0" w:rsidRPr="003A1D03" w14:paraId="32C7AE7A" w14:textId="77777777" w:rsidTr="3EB3762B">
        <w:tc>
          <w:tcPr>
            <w:cnfStyle w:val="001000000000" w:firstRow="0" w:lastRow="0" w:firstColumn="1" w:lastColumn="0" w:oddVBand="0" w:evenVBand="0" w:oddHBand="0" w:evenHBand="0" w:firstRowFirstColumn="0" w:firstRowLastColumn="0" w:lastRowFirstColumn="0" w:lastRowLastColumn="0"/>
            <w:tcW w:w="2505" w:type="dxa"/>
          </w:tcPr>
          <w:p w14:paraId="3CF30B2E" w14:textId="77777777" w:rsidR="00060C46" w:rsidRPr="009A47E2" w:rsidRDefault="00060C46" w:rsidP="00060C46">
            <w:pPr>
              <w:rPr>
                <w:sz w:val="20"/>
                <w:szCs w:val="20"/>
                <w:lang w:val="en-US"/>
              </w:rPr>
            </w:pPr>
            <w:r w:rsidRPr="009A47E2">
              <w:rPr>
                <w:sz w:val="20"/>
                <w:szCs w:val="20"/>
                <w:lang w:val="en-US"/>
              </w:rPr>
              <w:t>zanubrutinib</w:t>
            </w:r>
          </w:p>
        </w:tc>
        <w:tc>
          <w:tcPr>
            <w:tcW w:w="2315" w:type="dxa"/>
          </w:tcPr>
          <w:p w14:paraId="5300AFFD" w14:textId="128CC356"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Mantle cell lymphoma</w:t>
            </w:r>
          </w:p>
        </w:tc>
        <w:tc>
          <w:tcPr>
            <w:tcW w:w="2268" w:type="dxa"/>
          </w:tcPr>
          <w:p w14:paraId="5C6C534D" w14:textId="7C465DE2"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1984" w:type="dxa"/>
          </w:tcPr>
          <w:p w14:paraId="42C49B5F" w14:textId="328CA61B"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w:t>
            </w:r>
          </w:p>
        </w:tc>
        <w:tc>
          <w:tcPr>
            <w:tcW w:w="4962" w:type="dxa"/>
          </w:tcPr>
          <w:p w14:paraId="0B8962A8" w14:textId="602D40B5" w:rsidR="00060C46" w:rsidRPr="009A47E2" w:rsidRDefault="00060C46" w:rsidP="00060C46">
            <w:pPr>
              <w:cnfStyle w:val="000000000000" w:firstRow="0" w:lastRow="0" w:firstColumn="0" w:lastColumn="0" w:oddVBand="0" w:evenVBand="0" w:oddHBand="0" w:evenHBand="0" w:firstRowFirstColumn="0" w:firstRowLastColumn="0" w:lastRowFirstColumn="0" w:lastRowLastColumn="0"/>
              <w:rPr>
                <w:sz w:val="20"/>
                <w:szCs w:val="20"/>
                <w:lang w:val="en-US"/>
              </w:rPr>
            </w:pPr>
            <w:r w:rsidRPr="009A47E2">
              <w:rPr>
                <w:sz w:val="20"/>
                <w:szCs w:val="20"/>
                <w:lang w:val="en-US"/>
              </w:rPr>
              <w:t>No PED submitted as part of application as stated in PED table</w:t>
            </w:r>
          </w:p>
        </w:tc>
      </w:tr>
    </w:tbl>
    <w:p w14:paraId="3A96A43D" w14:textId="77777777" w:rsidR="00681A94" w:rsidRPr="00040BCC" w:rsidRDefault="008E5A72" w:rsidP="00681A94">
      <w:pPr>
        <w:spacing w:line="480" w:lineRule="auto"/>
        <w:rPr>
          <w:sz w:val="40"/>
          <w:szCs w:val="40"/>
        </w:rPr>
      </w:pPr>
      <w:r w:rsidRPr="00C4331F">
        <w:rPr>
          <w:sz w:val="20"/>
          <w:szCs w:val="20"/>
          <w:lang w:val="en-US"/>
        </w:rPr>
        <w:t xml:space="preserve"> </w:t>
      </w:r>
      <w:r w:rsidR="00681A94" w:rsidRPr="00040BCC">
        <w:rPr>
          <w:b/>
          <w:bCs/>
          <w:sz w:val="40"/>
          <w:szCs w:val="40"/>
        </w:rPr>
        <w:t>Symbols:</w:t>
      </w:r>
      <w:r w:rsidR="00681A94" w:rsidRPr="00040BCC">
        <w:rPr>
          <w:sz w:val="40"/>
          <w:szCs w:val="40"/>
        </w:rPr>
        <w:t xml:space="preserve"> (1) – COA formed the basis of a primary endpoint; (2) – COA formed the basis of a secondary endpoint; (E) – COA formed the basis of an exploratory endpoint: (2→E) – secondary endpoint reduced to exploratory status due to endpoints higher in testing hierarchy failing to reach statistical significance; (S) – COA formed the basis of a safety endpoint only (note: if a COA was included both for efficacy and safety assessment, only the efficacy status – e.g. E for exploratory – is listed); + – endpoint reached statistical significance (or was assessed as demonstrating convincing effect in case of single arm trials); ÷ – endpoint failed to reach statistical significance; * – mixed results (positive and negative, and/or inconclusive) or results not possible to interpret. </w:t>
      </w:r>
    </w:p>
    <w:p w14:paraId="0EAF6EC8" w14:textId="40278556" w:rsidR="00545F5F" w:rsidRPr="00C4331F" w:rsidRDefault="00681A94" w:rsidP="00681A94">
      <w:pPr>
        <w:rPr>
          <w:sz w:val="20"/>
          <w:szCs w:val="20"/>
          <w:lang w:val="en-US"/>
        </w:rPr>
      </w:pPr>
      <w:r w:rsidRPr="00040BCC">
        <w:rPr>
          <w:b/>
          <w:bCs/>
          <w:sz w:val="40"/>
          <w:szCs w:val="40"/>
        </w:rPr>
        <w:t>Abbreviations:</w:t>
      </w:r>
      <w:r w:rsidRPr="00040BCC">
        <w:rPr>
          <w:sz w:val="40"/>
          <w:szCs w:val="40"/>
        </w:rPr>
        <w:t xml:space="preserve"> 6MWT - 6 Minute Walking Test; AIMS - Abnormal Involuntary Movement Scale; ARR – Annualized Relapse Rate; BARS - Barnes Akathisia Rating Scale; BDI - Beck Depression Inventory; BPI - Brief Pain Inventory; BPI-Q - Brief Pain Inventory Questionnaire; BPI-SF – Brief Pain Inventory – Short Form; B/R - Benefit/Risk; BSS - Beck Scale for Suicidal ideation; CDSS - Calgary Depression Scale for Schizophrenia; CFQ-R RD - Cystic Fibrosis Questionnaire-Revised Respiratory Domain; CGI-C - Clinical Global Impression of Change; CGI-S - Clinical Global Impression–Severity; ClinRO – Clinician Reported Outcome; CRT - Choice Reaction Yime; CSBM - Complete Spontaneous Bowel Movement; C-SSRS - Columbia Suicide Severity Rating Scale; DAS28-CRP - Disease Activity Score in 28 joints using C-reactive protein level; DAT - Divided Attention Test; DLQI - Dermatology Life Quality Index; DSST - Digit Symbol Substitution Test; ECOG-PS - Eastern Cooperative Oncology Group (ECOG) Performance Status; ECR – Early Clinical Response; EDQ - Elements of Desire Questionnaire; EDSS - Expanded Disability Status Scale; EORTC - European Organization for the Research and Treatment of Cancer; EPP-QoL - Erythropoietic Protoporphyria QoL questionnaire; ESS - Epworth Sleepiness Scale; ETDRS - Early Treatment Diabetic Retinopathy Study; EQ-5D (or EuroQoL) - European Quality of Life Questionnaire; FACIT-F - Functional Assessment of Chronic Illness Therapy-Fatigue; FACT-MM - Functional Assessment of Cancer Therapy–Multiple Myeloma; FACT-P - Functional Assessment of Cancer Therapy – Prostate; FOSQ-10 - short version of the 30-item Functional Outcomes of Sleep Questionnaire; FSDS-DAO Q13 - Female Sexual Distress Scale – Desire/Arousal/Orgasm Question 13; FSEP-R Q10 - Female Sexual Encounter Profile – Revised, Question 10; FSFI-D Q1&amp;2 - Female Sexual Function Index – Desire Domain Question 1 and 2; FSS - Fatigue Severity Scale; FVC - Forced Vital Capacity; GAIS - Global Aesthetic Improvement Scale; GAQ - General Assessment Questionnaire; GIC-QoL – Global Impression of Change – Quality of Life; GIC-S – Global Impression of Change – Symptoms; GLS - Glabelar Line Scale; HADS - Hospital Anxiety and Depression scale; HAQ-DI - Health Assessment Questionnaire-Disability Index; IACR - Investigator’s Assessment of Clinical Response; IBS-QOL – Irritable Bowel Syndrome-Quality of Life; IGA - Investigator Global Assessment; ISI - Insomnia Severity Index; KCCQ-OS - Kansas City Cardiomyopathy Questionnaire-Overall Summary; KSS - Karolinska Sleepiness Scale; LAD - Limited Activity Days survey; MBS - Most Bothersome Symptom; MCS - Mental Component Summary (of the SF-36); MoviPlate - a tool that measures the ability to produce repeated movements between 2 cylindrical target keys aligned in the sagittal plane; MSLT - Multiple Sleep Latency Test; MSWS - Multiple Sclerosis Walking Scale; mTSS - van der Heijde-modified Total Sharp Score; MWT - Maintenance of Wakefulness Test; NRS - Numeric Rating Scale; NSAA - North Star Ambulatory Assessment; OAA/S - Observer Assessment of Alertness/Sedation scale; OPAQ SV - Osteoporosis Assessment Questionnaire Short Version; PAB - Performance Assessment Battery; PANSS - Positive and Negative Syndrome Scale; PASI - Psoriasis Area and Severity Index; PCS - Physical Components Summary (of the SF-36); PDQ - Parkinson’s Disease Questionnaire; PerfO – Performance Outcome measure; PGA - Physician Global Assessment; PGI-C - Patient Global Impression of Change; PGI-I - Patient Global Impression – Insomnia; PODCI - Pediatric Outcomes Data Collection Instrument; PPEQ - Porphyria Patient Experience Questionnaire; PRO - Patient Reported Outcome; PROMIS - Patient-Reported Outcomes Measurement Information System; PSP - Personal and Social Performance Scale; PSQI - Pittsburgh Sleep Quality Index; PSS - Psoriasis Symptom Scale; PtGA - Patient Global Assessment; PUL - Performance Upper Limb; PVT - Psychomotor Vigilance Test; QLQ-C30 - Quality of Life Questionnaire; QLQ-LC13 - Quality of Life Questionnaire lung cancer module; QLQ-PR25 - Quality of Life Questionnaire – Prostate cancer module; QoL – Quality of Life; RTI - Reaction Time Index; SAS - Simpson-Angus Scale; SCDSM - The Sickle Cell Disease Severity measure; SDC - Symbol Digit Coding; SDLP - Standard Deviation of the mean Lateral Position; SF-12 PCS – Short Form-12, Physical Component Summary; SF36 - Short Form-36; SMQ - Symptom Measurement Questionnaire; sPGA - static Physician’s Global Assessment; SSE - Satisfying Sexual Events; SSTM - Sternberg Short-Term Memory; sSEF – Subjective Sleep Efficiency; sSOL - Subjective Sleep Onset Latency; SSS - Subject Satisfaction Scale; StSS – Stanford Sleepiness Scale; sTST – Subjective Total Sleep Time; sWASO - Subjective Wake After Sleep Onset; S-PSD - Self-Perceived Safety to Drive; SWN-S - Subjective Well-being under Neuroleptic treatment Scale; T25FW - 25-Foot Walk test; TINAS - Therapy-Induced Neuropathy Assessment Scale; TranQoL - Transfusion-dependent QoL questionnaire; TSMQ - Treatment Satisfaction Questionnaire for Medication; T-BWSQ - Tyrer Benzodiazepine Withdrawal Symptom Questionnaire; UPDRS - Unified Parkinson’s Disease Rating Scale; VAS – Visual Analog Scale; VAS-MSAD - Visual Analog Scale for Motivation and Self Appraisal for Driving VFQ-25 - Visual Function Questionnaire 25; WITS-9 - Women’s Inventory of Treatment Satisfaction; WOMAC - Western Ontario and McMaster Universities Arhritis Index; WPAI-GH – Work Productivity and Activity Impairment questionnaire; WPAI-SHP - Work Productivity and Activity Impairment Questionnaire: Specific Health Problem</w:t>
      </w:r>
    </w:p>
    <w:sectPr w:rsidR="00545F5F" w:rsidRPr="00C4331F" w:rsidSect="009A47E2">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786ED" w14:textId="77777777" w:rsidR="008078A9" w:rsidRDefault="008078A9" w:rsidP="00E53269">
      <w:r>
        <w:separator/>
      </w:r>
    </w:p>
  </w:endnote>
  <w:endnote w:type="continuationSeparator" w:id="0">
    <w:p w14:paraId="6FAA1DF5" w14:textId="77777777" w:rsidR="008078A9" w:rsidRDefault="008078A9" w:rsidP="00E53269">
      <w:r>
        <w:continuationSeparator/>
      </w:r>
    </w:p>
  </w:endnote>
  <w:endnote w:type="continuationNotice" w:id="1">
    <w:p w14:paraId="3F96790F" w14:textId="77777777" w:rsidR="008078A9" w:rsidRDefault="00807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3" w:usb1="10000000" w:usb2="00000000" w:usb3="00000000" w:csb0="8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F8400" w14:textId="77777777" w:rsidR="008078A9" w:rsidRDefault="008078A9" w:rsidP="00E53269">
      <w:r>
        <w:separator/>
      </w:r>
    </w:p>
  </w:footnote>
  <w:footnote w:type="continuationSeparator" w:id="0">
    <w:p w14:paraId="11E7E952" w14:textId="77777777" w:rsidR="008078A9" w:rsidRDefault="008078A9" w:rsidP="00E53269">
      <w:r>
        <w:continuationSeparator/>
      </w:r>
    </w:p>
  </w:footnote>
  <w:footnote w:type="continuationNotice" w:id="1">
    <w:p w14:paraId="45D3DC60" w14:textId="77777777" w:rsidR="008078A9" w:rsidRDefault="008078A9"/>
  </w:footnote>
  <w:footnote w:id="2">
    <w:p w14:paraId="3A588D46" w14:textId="368E77FF" w:rsidR="00545F5F" w:rsidRPr="00ED4F41" w:rsidRDefault="00545F5F">
      <w:pPr>
        <w:pStyle w:val="FootnoteText"/>
        <w:rPr>
          <w:lang w:val="en-US"/>
        </w:rPr>
      </w:pPr>
      <w:r>
        <w:rPr>
          <w:rStyle w:val="FootnoteReference"/>
        </w:rPr>
        <w:footnoteRef/>
      </w:r>
      <w:r w:rsidRPr="00ED4F41">
        <w:rPr>
          <w:lang w:val="en-US"/>
        </w:rPr>
        <w:t xml:space="preserve"> </w:t>
      </w:r>
      <w:r w:rsidRPr="00992395">
        <w:rPr>
          <w:sz w:val="18"/>
          <w:szCs w:val="18"/>
          <w:lang w:val="en-US"/>
        </w:rPr>
        <w:t>The maintenance of wakefulness test (MWT) is an objective (based on a polysomnographic procedure) assessment of an individual’s ability to remain awake while resisting the pressure to fall asleep during soporific circumstances. The authors were uncertain of whether the MWT should be categorized as a COA (PerfO), but concluded by consensus that the MWT is a PerfO.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4F"/>
    <w:rsid w:val="00000917"/>
    <w:rsid w:val="00011EB3"/>
    <w:rsid w:val="00013A1A"/>
    <w:rsid w:val="000200DC"/>
    <w:rsid w:val="00020DFA"/>
    <w:rsid w:val="000330D1"/>
    <w:rsid w:val="00046079"/>
    <w:rsid w:val="00055340"/>
    <w:rsid w:val="000600C0"/>
    <w:rsid w:val="00060C46"/>
    <w:rsid w:val="00063CB7"/>
    <w:rsid w:val="00066007"/>
    <w:rsid w:val="00073EDE"/>
    <w:rsid w:val="000822F5"/>
    <w:rsid w:val="00083BD8"/>
    <w:rsid w:val="00094F1D"/>
    <w:rsid w:val="000A2AE9"/>
    <w:rsid w:val="000A71C4"/>
    <w:rsid w:val="000B2410"/>
    <w:rsid w:val="000C0A45"/>
    <w:rsid w:val="000C4FB3"/>
    <w:rsid w:val="000C551A"/>
    <w:rsid w:val="000D5E2A"/>
    <w:rsid w:val="000D6629"/>
    <w:rsid w:val="000D7152"/>
    <w:rsid w:val="000E5C34"/>
    <w:rsid w:val="000E7948"/>
    <w:rsid w:val="000F10CA"/>
    <w:rsid w:val="0010067F"/>
    <w:rsid w:val="001022D1"/>
    <w:rsid w:val="00106B7B"/>
    <w:rsid w:val="00107317"/>
    <w:rsid w:val="00117B44"/>
    <w:rsid w:val="00136988"/>
    <w:rsid w:val="001375C4"/>
    <w:rsid w:val="00143794"/>
    <w:rsid w:val="001476FC"/>
    <w:rsid w:val="00162605"/>
    <w:rsid w:val="00162716"/>
    <w:rsid w:val="001640D0"/>
    <w:rsid w:val="001760BB"/>
    <w:rsid w:val="001876E6"/>
    <w:rsid w:val="00192239"/>
    <w:rsid w:val="001A4DC2"/>
    <w:rsid w:val="001A7AF6"/>
    <w:rsid w:val="001C2EAF"/>
    <w:rsid w:val="001C3C7D"/>
    <w:rsid w:val="001D19FC"/>
    <w:rsid w:val="001E0977"/>
    <w:rsid w:val="001E14F0"/>
    <w:rsid w:val="001E2067"/>
    <w:rsid w:val="001F0D5B"/>
    <w:rsid w:val="001F2934"/>
    <w:rsid w:val="00202247"/>
    <w:rsid w:val="00210573"/>
    <w:rsid w:val="002224A1"/>
    <w:rsid w:val="002254B7"/>
    <w:rsid w:val="00237836"/>
    <w:rsid w:val="002420BB"/>
    <w:rsid w:val="00246A33"/>
    <w:rsid w:val="0025169B"/>
    <w:rsid w:val="0026000A"/>
    <w:rsid w:val="00261628"/>
    <w:rsid w:val="0026531D"/>
    <w:rsid w:val="002719E5"/>
    <w:rsid w:val="0027356C"/>
    <w:rsid w:val="00283D3F"/>
    <w:rsid w:val="002905CB"/>
    <w:rsid w:val="00294A71"/>
    <w:rsid w:val="002A1B3D"/>
    <w:rsid w:val="002A41A9"/>
    <w:rsid w:val="002A49A4"/>
    <w:rsid w:val="002C10A2"/>
    <w:rsid w:val="002C4544"/>
    <w:rsid w:val="002C7DEA"/>
    <w:rsid w:val="002E0369"/>
    <w:rsid w:val="002F333D"/>
    <w:rsid w:val="003011FC"/>
    <w:rsid w:val="00302DE4"/>
    <w:rsid w:val="00305873"/>
    <w:rsid w:val="0031348A"/>
    <w:rsid w:val="00315A64"/>
    <w:rsid w:val="003211FD"/>
    <w:rsid w:val="0032297F"/>
    <w:rsid w:val="00327BC2"/>
    <w:rsid w:val="00330854"/>
    <w:rsid w:val="00333AB3"/>
    <w:rsid w:val="0034202D"/>
    <w:rsid w:val="0034328D"/>
    <w:rsid w:val="00352A7A"/>
    <w:rsid w:val="003531BD"/>
    <w:rsid w:val="00353F12"/>
    <w:rsid w:val="00354ACB"/>
    <w:rsid w:val="0036504F"/>
    <w:rsid w:val="00383773"/>
    <w:rsid w:val="00390C64"/>
    <w:rsid w:val="003A16EC"/>
    <w:rsid w:val="003A1D03"/>
    <w:rsid w:val="003A4A85"/>
    <w:rsid w:val="003A509F"/>
    <w:rsid w:val="003B2F82"/>
    <w:rsid w:val="003B67E7"/>
    <w:rsid w:val="003C1560"/>
    <w:rsid w:val="003C1FCE"/>
    <w:rsid w:val="003C65B0"/>
    <w:rsid w:val="003D1B1C"/>
    <w:rsid w:val="003D629D"/>
    <w:rsid w:val="003F15ED"/>
    <w:rsid w:val="003F2F63"/>
    <w:rsid w:val="003F43B8"/>
    <w:rsid w:val="003F6B18"/>
    <w:rsid w:val="00401F20"/>
    <w:rsid w:val="00414D81"/>
    <w:rsid w:val="00417D01"/>
    <w:rsid w:val="00426426"/>
    <w:rsid w:val="00440B3A"/>
    <w:rsid w:val="0045037F"/>
    <w:rsid w:val="00454239"/>
    <w:rsid w:val="00457EBE"/>
    <w:rsid w:val="00460BD7"/>
    <w:rsid w:val="004612EE"/>
    <w:rsid w:val="004635AE"/>
    <w:rsid w:val="00472BA0"/>
    <w:rsid w:val="004770DB"/>
    <w:rsid w:val="00485CC4"/>
    <w:rsid w:val="00487A1F"/>
    <w:rsid w:val="004D6E38"/>
    <w:rsid w:val="004E1DCD"/>
    <w:rsid w:val="004E3176"/>
    <w:rsid w:val="004E33C5"/>
    <w:rsid w:val="004E6F6F"/>
    <w:rsid w:val="004F18D4"/>
    <w:rsid w:val="00502FB5"/>
    <w:rsid w:val="0051151A"/>
    <w:rsid w:val="005163D2"/>
    <w:rsid w:val="00531476"/>
    <w:rsid w:val="00536715"/>
    <w:rsid w:val="00540854"/>
    <w:rsid w:val="00545F5F"/>
    <w:rsid w:val="00561784"/>
    <w:rsid w:val="00573198"/>
    <w:rsid w:val="005748A6"/>
    <w:rsid w:val="00582C14"/>
    <w:rsid w:val="00591985"/>
    <w:rsid w:val="00593475"/>
    <w:rsid w:val="005A0566"/>
    <w:rsid w:val="005A47CB"/>
    <w:rsid w:val="005C6E8F"/>
    <w:rsid w:val="005D1D61"/>
    <w:rsid w:val="005D6E9C"/>
    <w:rsid w:val="005E2AD2"/>
    <w:rsid w:val="005E3169"/>
    <w:rsid w:val="005E3852"/>
    <w:rsid w:val="005E4243"/>
    <w:rsid w:val="005F475D"/>
    <w:rsid w:val="0060569C"/>
    <w:rsid w:val="00605E0F"/>
    <w:rsid w:val="0062461F"/>
    <w:rsid w:val="006341E9"/>
    <w:rsid w:val="00636199"/>
    <w:rsid w:val="006377D5"/>
    <w:rsid w:val="00637A9B"/>
    <w:rsid w:val="006515E3"/>
    <w:rsid w:val="0067036B"/>
    <w:rsid w:val="00670B47"/>
    <w:rsid w:val="00681A94"/>
    <w:rsid w:val="00686989"/>
    <w:rsid w:val="00687BA7"/>
    <w:rsid w:val="006A21D9"/>
    <w:rsid w:val="006A564A"/>
    <w:rsid w:val="006B1BF2"/>
    <w:rsid w:val="006C0BC5"/>
    <w:rsid w:val="006D7D96"/>
    <w:rsid w:val="006E4722"/>
    <w:rsid w:val="006F5D38"/>
    <w:rsid w:val="00700F24"/>
    <w:rsid w:val="00702EC7"/>
    <w:rsid w:val="007038C9"/>
    <w:rsid w:val="007147D8"/>
    <w:rsid w:val="00716312"/>
    <w:rsid w:val="0072255C"/>
    <w:rsid w:val="00724082"/>
    <w:rsid w:val="007459F3"/>
    <w:rsid w:val="00764B6B"/>
    <w:rsid w:val="00767907"/>
    <w:rsid w:val="0077219A"/>
    <w:rsid w:val="00776FDE"/>
    <w:rsid w:val="007802A3"/>
    <w:rsid w:val="007817DC"/>
    <w:rsid w:val="00786FE4"/>
    <w:rsid w:val="00787871"/>
    <w:rsid w:val="0079404E"/>
    <w:rsid w:val="00794B1B"/>
    <w:rsid w:val="00795980"/>
    <w:rsid w:val="0079750E"/>
    <w:rsid w:val="007A03DE"/>
    <w:rsid w:val="007A0DC5"/>
    <w:rsid w:val="007B5063"/>
    <w:rsid w:val="007D25CD"/>
    <w:rsid w:val="007E5E2B"/>
    <w:rsid w:val="007F7C4E"/>
    <w:rsid w:val="008028C9"/>
    <w:rsid w:val="008034D5"/>
    <w:rsid w:val="008078A9"/>
    <w:rsid w:val="008126D1"/>
    <w:rsid w:val="008140A8"/>
    <w:rsid w:val="00842B4A"/>
    <w:rsid w:val="008457E1"/>
    <w:rsid w:val="00846D1D"/>
    <w:rsid w:val="008536C4"/>
    <w:rsid w:val="0086161F"/>
    <w:rsid w:val="00871F07"/>
    <w:rsid w:val="008928FB"/>
    <w:rsid w:val="008A6DE1"/>
    <w:rsid w:val="008C37DD"/>
    <w:rsid w:val="008C496A"/>
    <w:rsid w:val="008C550F"/>
    <w:rsid w:val="008C65B5"/>
    <w:rsid w:val="008C70BA"/>
    <w:rsid w:val="008C7E59"/>
    <w:rsid w:val="008D663B"/>
    <w:rsid w:val="008D7211"/>
    <w:rsid w:val="008E5A72"/>
    <w:rsid w:val="008F7D51"/>
    <w:rsid w:val="0090706B"/>
    <w:rsid w:val="00910318"/>
    <w:rsid w:val="009114EA"/>
    <w:rsid w:val="00913B8C"/>
    <w:rsid w:val="00921D82"/>
    <w:rsid w:val="0092305C"/>
    <w:rsid w:val="00936244"/>
    <w:rsid w:val="00944D61"/>
    <w:rsid w:val="0095225F"/>
    <w:rsid w:val="00963844"/>
    <w:rsid w:val="00983C0E"/>
    <w:rsid w:val="00985BC4"/>
    <w:rsid w:val="00987E98"/>
    <w:rsid w:val="00992395"/>
    <w:rsid w:val="00995D7D"/>
    <w:rsid w:val="009A47E2"/>
    <w:rsid w:val="009A61EB"/>
    <w:rsid w:val="009B2074"/>
    <w:rsid w:val="009B63D4"/>
    <w:rsid w:val="009B6E48"/>
    <w:rsid w:val="009B7593"/>
    <w:rsid w:val="009C0B94"/>
    <w:rsid w:val="009C4035"/>
    <w:rsid w:val="009C4E0B"/>
    <w:rsid w:val="009C775F"/>
    <w:rsid w:val="009D6BBB"/>
    <w:rsid w:val="009E4B77"/>
    <w:rsid w:val="009E55CD"/>
    <w:rsid w:val="00A02259"/>
    <w:rsid w:val="00A04625"/>
    <w:rsid w:val="00A07090"/>
    <w:rsid w:val="00A101BA"/>
    <w:rsid w:val="00A23AD3"/>
    <w:rsid w:val="00A30FDD"/>
    <w:rsid w:val="00A378D3"/>
    <w:rsid w:val="00A50E23"/>
    <w:rsid w:val="00A53947"/>
    <w:rsid w:val="00A603A3"/>
    <w:rsid w:val="00A615EB"/>
    <w:rsid w:val="00A724C4"/>
    <w:rsid w:val="00A770D9"/>
    <w:rsid w:val="00A830A1"/>
    <w:rsid w:val="00A8440A"/>
    <w:rsid w:val="00A93624"/>
    <w:rsid w:val="00AA1A30"/>
    <w:rsid w:val="00AA38F9"/>
    <w:rsid w:val="00AA69F7"/>
    <w:rsid w:val="00AB5CEF"/>
    <w:rsid w:val="00AC0464"/>
    <w:rsid w:val="00AC1EA0"/>
    <w:rsid w:val="00AC522E"/>
    <w:rsid w:val="00AD61FC"/>
    <w:rsid w:val="00AD7457"/>
    <w:rsid w:val="00AE19CC"/>
    <w:rsid w:val="00AE4713"/>
    <w:rsid w:val="00AE4EFB"/>
    <w:rsid w:val="00AE6803"/>
    <w:rsid w:val="00AF090D"/>
    <w:rsid w:val="00AF1356"/>
    <w:rsid w:val="00AF1699"/>
    <w:rsid w:val="00B02551"/>
    <w:rsid w:val="00B05842"/>
    <w:rsid w:val="00B1047B"/>
    <w:rsid w:val="00B233B6"/>
    <w:rsid w:val="00B23F2D"/>
    <w:rsid w:val="00B26BB0"/>
    <w:rsid w:val="00B30120"/>
    <w:rsid w:val="00B314A9"/>
    <w:rsid w:val="00B44887"/>
    <w:rsid w:val="00B44D27"/>
    <w:rsid w:val="00B5372A"/>
    <w:rsid w:val="00B635EF"/>
    <w:rsid w:val="00B66A16"/>
    <w:rsid w:val="00B719CC"/>
    <w:rsid w:val="00B7262D"/>
    <w:rsid w:val="00B74DAA"/>
    <w:rsid w:val="00B8203E"/>
    <w:rsid w:val="00B83294"/>
    <w:rsid w:val="00B84174"/>
    <w:rsid w:val="00B84475"/>
    <w:rsid w:val="00B878AE"/>
    <w:rsid w:val="00B90E16"/>
    <w:rsid w:val="00B911E9"/>
    <w:rsid w:val="00B94743"/>
    <w:rsid w:val="00BA2B8A"/>
    <w:rsid w:val="00BA4E64"/>
    <w:rsid w:val="00C13F54"/>
    <w:rsid w:val="00C2400B"/>
    <w:rsid w:val="00C33608"/>
    <w:rsid w:val="00C378B2"/>
    <w:rsid w:val="00C4021F"/>
    <w:rsid w:val="00C41C00"/>
    <w:rsid w:val="00C4331F"/>
    <w:rsid w:val="00C4576D"/>
    <w:rsid w:val="00C46B7B"/>
    <w:rsid w:val="00C509D6"/>
    <w:rsid w:val="00C5103E"/>
    <w:rsid w:val="00C5620F"/>
    <w:rsid w:val="00C57936"/>
    <w:rsid w:val="00C64438"/>
    <w:rsid w:val="00C70A7B"/>
    <w:rsid w:val="00C81AC3"/>
    <w:rsid w:val="00C834AF"/>
    <w:rsid w:val="00C908D4"/>
    <w:rsid w:val="00C96F3A"/>
    <w:rsid w:val="00CA3034"/>
    <w:rsid w:val="00CA7D8F"/>
    <w:rsid w:val="00CB43FF"/>
    <w:rsid w:val="00CC1690"/>
    <w:rsid w:val="00CC28D2"/>
    <w:rsid w:val="00CE2FBE"/>
    <w:rsid w:val="00CE468C"/>
    <w:rsid w:val="00CE4848"/>
    <w:rsid w:val="00CF2E79"/>
    <w:rsid w:val="00CF2F48"/>
    <w:rsid w:val="00CF6770"/>
    <w:rsid w:val="00D102D1"/>
    <w:rsid w:val="00D231D6"/>
    <w:rsid w:val="00D339AF"/>
    <w:rsid w:val="00D425D2"/>
    <w:rsid w:val="00D4304C"/>
    <w:rsid w:val="00D545F8"/>
    <w:rsid w:val="00D60464"/>
    <w:rsid w:val="00D62E5E"/>
    <w:rsid w:val="00D75C8E"/>
    <w:rsid w:val="00D8170E"/>
    <w:rsid w:val="00D82F47"/>
    <w:rsid w:val="00D84F02"/>
    <w:rsid w:val="00D86FC8"/>
    <w:rsid w:val="00D94330"/>
    <w:rsid w:val="00DB097F"/>
    <w:rsid w:val="00DD5D1E"/>
    <w:rsid w:val="00DF66B4"/>
    <w:rsid w:val="00DF7C3B"/>
    <w:rsid w:val="00E00C39"/>
    <w:rsid w:val="00E00E33"/>
    <w:rsid w:val="00E068D3"/>
    <w:rsid w:val="00E10CA8"/>
    <w:rsid w:val="00E116F7"/>
    <w:rsid w:val="00E14B4D"/>
    <w:rsid w:val="00E22D1E"/>
    <w:rsid w:val="00E23B22"/>
    <w:rsid w:val="00E23E6D"/>
    <w:rsid w:val="00E426F1"/>
    <w:rsid w:val="00E5228E"/>
    <w:rsid w:val="00E53269"/>
    <w:rsid w:val="00E53A90"/>
    <w:rsid w:val="00E7407B"/>
    <w:rsid w:val="00E8499B"/>
    <w:rsid w:val="00E85750"/>
    <w:rsid w:val="00E866A3"/>
    <w:rsid w:val="00E91DCD"/>
    <w:rsid w:val="00EA0AC7"/>
    <w:rsid w:val="00EA6374"/>
    <w:rsid w:val="00EA6CB6"/>
    <w:rsid w:val="00EB0B26"/>
    <w:rsid w:val="00EB1C02"/>
    <w:rsid w:val="00EB59E6"/>
    <w:rsid w:val="00EB76EB"/>
    <w:rsid w:val="00EC2216"/>
    <w:rsid w:val="00EC7802"/>
    <w:rsid w:val="00ED4F41"/>
    <w:rsid w:val="00EE10AF"/>
    <w:rsid w:val="00EE52FB"/>
    <w:rsid w:val="00EE6259"/>
    <w:rsid w:val="00EF1EFD"/>
    <w:rsid w:val="00EF5EA0"/>
    <w:rsid w:val="00EF69D5"/>
    <w:rsid w:val="00EF79D7"/>
    <w:rsid w:val="00F0030C"/>
    <w:rsid w:val="00F05D5C"/>
    <w:rsid w:val="00F06ED9"/>
    <w:rsid w:val="00F07B36"/>
    <w:rsid w:val="00F14C22"/>
    <w:rsid w:val="00F16B97"/>
    <w:rsid w:val="00F36C20"/>
    <w:rsid w:val="00F45167"/>
    <w:rsid w:val="00F47914"/>
    <w:rsid w:val="00F54D3D"/>
    <w:rsid w:val="00F61795"/>
    <w:rsid w:val="00F62F4B"/>
    <w:rsid w:val="00F708A1"/>
    <w:rsid w:val="00F73B6B"/>
    <w:rsid w:val="00F7444F"/>
    <w:rsid w:val="00F752CE"/>
    <w:rsid w:val="00F7577D"/>
    <w:rsid w:val="00F8289C"/>
    <w:rsid w:val="00F851D7"/>
    <w:rsid w:val="00F93F8D"/>
    <w:rsid w:val="00F9637D"/>
    <w:rsid w:val="00FA0D23"/>
    <w:rsid w:val="00FA1FE3"/>
    <w:rsid w:val="00FD44E7"/>
    <w:rsid w:val="00FE3D6D"/>
    <w:rsid w:val="00FE4D4A"/>
    <w:rsid w:val="00FE655E"/>
    <w:rsid w:val="00FF6DC7"/>
    <w:rsid w:val="00FF7546"/>
    <w:rsid w:val="2A25B1C6"/>
    <w:rsid w:val="3EB3762B"/>
    <w:rsid w:val="3F2ADE18"/>
    <w:rsid w:val="4ECAB908"/>
    <w:rsid w:val="558E2EA0"/>
    <w:rsid w:val="577FB5CB"/>
    <w:rsid w:val="5C038229"/>
    <w:rsid w:val="5DA13EF4"/>
    <w:rsid w:val="68DABFF5"/>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4E5025"/>
  <w15:chartTrackingRefBased/>
  <w15:docId w15:val="{0F14E8CF-3D09-4449-A8E9-B68E69840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a-DK"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8A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5326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53269"/>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E53269"/>
    <w:rPr>
      <w:sz w:val="20"/>
      <w:szCs w:val="20"/>
    </w:rPr>
  </w:style>
  <w:style w:type="character" w:styleId="FootnoteReference">
    <w:name w:val="footnote reference"/>
    <w:basedOn w:val="DefaultParagraphFont"/>
    <w:uiPriority w:val="99"/>
    <w:semiHidden/>
    <w:unhideWhenUsed/>
    <w:rsid w:val="00E53269"/>
    <w:rPr>
      <w:vertAlign w:val="superscript"/>
    </w:rPr>
  </w:style>
  <w:style w:type="table" w:styleId="PlainTable3">
    <w:name w:val="Plain Table 3"/>
    <w:basedOn w:val="TableNormal"/>
    <w:uiPriority w:val="43"/>
    <w:rsid w:val="00E5326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E532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E5326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4174"/>
    <w:pPr>
      <w:tabs>
        <w:tab w:val="center" w:pos="4513"/>
        <w:tab w:val="right" w:pos="9026"/>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B84174"/>
  </w:style>
  <w:style w:type="paragraph" w:styleId="Footer">
    <w:name w:val="footer"/>
    <w:basedOn w:val="Normal"/>
    <w:link w:val="FooterChar"/>
    <w:uiPriority w:val="99"/>
    <w:unhideWhenUsed/>
    <w:rsid w:val="00B84174"/>
    <w:pPr>
      <w:tabs>
        <w:tab w:val="center" w:pos="4513"/>
        <w:tab w:val="right" w:pos="9026"/>
      </w:tabs>
    </w:pPr>
    <w:rPr>
      <w:rFonts w:asciiTheme="minorHAnsi" w:eastAsiaTheme="minorEastAsia" w:hAnsiTheme="minorHAnsi" w:cstheme="minorBidi"/>
      <w:sz w:val="22"/>
      <w:szCs w:val="22"/>
      <w:lang w:eastAsia="ja-JP"/>
    </w:rPr>
  </w:style>
  <w:style w:type="character" w:customStyle="1" w:styleId="FooterChar">
    <w:name w:val="Footer Char"/>
    <w:basedOn w:val="DefaultParagraphFont"/>
    <w:link w:val="Footer"/>
    <w:uiPriority w:val="99"/>
    <w:rsid w:val="00B84174"/>
  </w:style>
  <w:style w:type="paragraph" w:styleId="BalloonText">
    <w:name w:val="Balloon Text"/>
    <w:basedOn w:val="Normal"/>
    <w:link w:val="BalloonTextChar"/>
    <w:uiPriority w:val="99"/>
    <w:semiHidden/>
    <w:unhideWhenUsed/>
    <w:rsid w:val="00B84174"/>
    <w:rPr>
      <w:rFonts w:ascii="Segoe UI" w:eastAsiaTheme="minorEastAsia" w:hAnsi="Segoe UI" w:cs="Segoe UI"/>
      <w:sz w:val="18"/>
      <w:szCs w:val="18"/>
      <w:lang w:eastAsia="ja-JP"/>
    </w:rPr>
  </w:style>
  <w:style w:type="character" w:customStyle="1" w:styleId="BalloonTextChar">
    <w:name w:val="Balloon Text Char"/>
    <w:basedOn w:val="DefaultParagraphFont"/>
    <w:link w:val="BalloonText"/>
    <w:uiPriority w:val="99"/>
    <w:semiHidden/>
    <w:rsid w:val="00B84174"/>
    <w:rPr>
      <w:rFonts w:ascii="Segoe UI" w:hAnsi="Segoe UI" w:cs="Segoe UI"/>
      <w:sz w:val="18"/>
      <w:szCs w:val="18"/>
    </w:rPr>
  </w:style>
  <w:style w:type="paragraph" w:styleId="EndnoteText">
    <w:name w:val="endnote text"/>
    <w:basedOn w:val="Normal"/>
    <w:link w:val="EndnoteTextChar"/>
    <w:uiPriority w:val="99"/>
    <w:semiHidden/>
    <w:unhideWhenUsed/>
    <w:rsid w:val="00D94330"/>
    <w:rPr>
      <w:rFonts w:asciiTheme="minorHAnsi" w:eastAsiaTheme="minorEastAsia" w:hAnsiTheme="minorHAnsi" w:cstheme="minorBidi"/>
      <w:sz w:val="20"/>
      <w:szCs w:val="20"/>
      <w:lang w:eastAsia="ja-JP"/>
    </w:rPr>
  </w:style>
  <w:style w:type="character" w:customStyle="1" w:styleId="EndnoteTextChar">
    <w:name w:val="Endnote Text Char"/>
    <w:basedOn w:val="DefaultParagraphFont"/>
    <w:link w:val="EndnoteText"/>
    <w:uiPriority w:val="99"/>
    <w:semiHidden/>
    <w:rsid w:val="00D94330"/>
    <w:rPr>
      <w:sz w:val="20"/>
      <w:szCs w:val="20"/>
    </w:rPr>
  </w:style>
  <w:style w:type="character" w:styleId="EndnoteReference">
    <w:name w:val="endnote reference"/>
    <w:basedOn w:val="DefaultParagraphFont"/>
    <w:uiPriority w:val="99"/>
    <w:semiHidden/>
    <w:unhideWhenUsed/>
    <w:rsid w:val="00D94330"/>
    <w:rPr>
      <w:vertAlign w:val="superscript"/>
    </w:rPr>
  </w:style>
  <w:style w:type="character" w:styleId="CommentReference">
    <w:name w:val="annotation reference"/>
    <w:basedOn w:val="DefaultParagraphFont"/>
    <w:uiPriority w:val="99"/>
    <w:semiHidden/>
    <w:unhideWhenUsed/>
    <w:rsid w:val="00AF1356"/>
    <w:rPr>
      <w:sz w:val="16"/>
      <w:szCs w:val="16"/>
    </w:rPr>
  </w:style>
  <w:style w:type="paragraph" w:styleId="CommentText">
    <w:name w:val="annotation text"/>
    <w:basedOn w:val="Normal"/>
    <w:link w:val="CommentTextChar"/>
    <w:uiPriority w:val="99"/>
    <w:semiHidden/>
    <w:unhideWhenUsed/>
    <w:rsid w:val="00AF1356"/>
    <w:pPr>
      <w:spacing w:after="160"/>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semiHidden/>
    <w:rsid w:val="00AF1356"/>
    <w:rPr>
      <w:sz w:val="20"/>
      <w:szCs w:val="20"/>
    </w:rPr>
  </w:style>
  <w:style w:type="paragraph" w:styleId="CommentSubject">
    <w:name w:val="annotation subject"/>
    <w:basedOn w:val="CommentText"/>
    <w:next w:val="CommentText"/>
    <w:link w:val="CommentSubjectChar"/>
    <w:uiPriority w:val="99"/>
    <w:semiHidden/>
    <w:unhideWhenUsed/>
    <w:rsid w:val="00AF1356"/>
    <w:rPr>
      <w:b/>
      <w:bCs/>
    </w:rPr>
  </w:style>
  <w:style w:type="character" w:customStyle="1" w:styleId="CommentSubjectChar">
    <w:name w:val="Comment Subject Char"/>
    <w:basedOn w:val="CommentTextChar"/>
    <w:link w:val="CommentSubject"/>
    <w:uiPriority w:val="99"/>
    <w:semiHidden/>
    <w:rsid w:val="00AF1356"/>
    <w:rPr>
      <w:b/>
      <w:bCs/>
      <w:sz w:val="20"/>
      <w:szCs w:val="20"/>
    </w:rPr>
  </w:style>
  <w:style w:type="character" w:styleId="Hyperlink">
    <w:name w:val="Hyperlink"/>
    <w:basedOn w:val="DefaultParagraphFont"/>
    <w:uiPriority w:val="99"/>
    <w:unhideWhenUsed/>
    <w:rsid w:val="00636199"/>
    <w:rPr>
      <w:color w:val="0563C1" w:themeColor="hyperlink"/>
      <w:u w:val="single"/>
    </w:rPr>
  </w:style>
  <w:style w:type="table" w:styleId="GridTable4-Accent3">
    <w:name w:val="Grid Table 4 Accent 3"/>
    <w:basedOn w:val="TableNormal"/>
    <w:uiPriority w:val="49"/>
    <w:rsid w:val="00F003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3A1D03"/>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306444">
      <w:bodyDiv w:val="1"/>
      <w:marLeft w:val="0"/>
      <w:marRight w:val="0"/>
      <w:marTop w:val="0"/>
      <w:marBottom w:val="0"/>
      <w:divBdr>
        <w:top w:val="none" w:sz="0" w:space="0" w:color="auto"/>
        <w:left w:val="none" w:sz="0" w:space="0" w:color="auto"/>
        <w:bottom w:val="none" w:sz="0" w:space="0" w:color="auto"/>
        <w:right w:val="none" w:sz="0" w:space="0" w:color="auto"/>
      </w:divBdr>
    </w:div>
    <w:div w:id="1491020788">
      <w:bodyDiv w:val="1"/>
      <w:marLeft w:val="0"/>
      <w:marRight w:val="0"/>
      <w:marTop w:val="0"/>
      <w:marBottom w:val="0"/>
      <w:divBdr>
        <w:top w:val="none" w:sz="0" w:space="0" w:color="auto"/>
        <w:left w:val="none" w:sz="0" w:space="0" w:color="auto"/>
        <w:bottom w:val="none" w:sz="0" w:space="0" w:color="auto"/>
        <w:right w:val="none" w:sz="0" w:space="0" w:color="auto"/>
      </w:divBdr>
    </w:div>
    <w:div w:id="15306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6A4175589E241B24C1B4421125627" ma:contentTypeVersion="9" ma:contentTypeDescription="Create a new document." ma:contentTypeScope="" ma:versionID="31e426e26d57942030ea5db4d6e02392">
  <xsd:schema xmlns:xsd="http://www.w3.org/2001/XMLSchema" xmlns:xs="http://www.w3.org/2001/XMLSchema" xmlns:p="http://schemas.microsoft.com/office/2006/metadata/properties" xmlns:ns2="5dc88690-a694-49dc-aea8-4f7a89971498" targetNamespace="http://schemas.microsoft.com/office/2006/metadata/properties" ma:root="true" ma:fieldsID="2ad151b15922a2162a97fb4f906826ee" ns2:_="">
    <xsd:import namespace="5dc88690-a694-49dc-aea8-4f7a899714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8690-a694-49dc-aea8-4f7a899714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2A19F-9C5E-4197-B5AC-CAE1E407C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8690-a694-49dc-aea8-4f7a899714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6CC1C5-9D0A-46DF-9F1E-BE0BF51F1A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C51FC8-9669-4C89-8BC8-F057B928C12E}">
  <ds:schemaRefs>
    <ds:schemaRef ds:uri="http://schemas.microsoft.com/sharepoint/v3/contenttype/forms"/>
  </ds:schemaRefs>
</ds:datastoreItem>
</file>

<file path=customXml/itemProps4.xml><?xml version="1.0" encoding="utf-8"?>
<ds:datastoreItem xmlns:ds="http://schemas.openxmlformats.org/officeDocument/2006/customXml" ds:itemID="{2025F8FE-B9D7-4BAF-9D25-A8A8EA2D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3989</Words>
  <Characters>22742</Characters>
  <Application>Microsoft Office Word</Application>
  <DocSecurity>0</DocSecurity>
  <Lines>189</Lines>
  <Paragraphs>53</Paragraphs>
  <ScaleCrop>false</ScaleCrop>
  <Company/>
  <LinksUpToDate>false</LinksUpToDate>
  <CharactersWithSpaces>26678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Vinther Morant</dc:creator>
  <cp:keywords/>
  <dc:description/>
  <cp:lastModifiedBy>Karthikeyan N.</cp:lastModifiedBy>
  <cp:revision>5</cp:revision>
  <dcterms:created xsi:type="dcterms:W3CDTF">2020-10-30T07:38:00Z</dcterms:created>
  <dcterms:modified xsi:type="dcterms:W3CDTF">2020-11-13T15:02:00Z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0x010100CD76A4175589E241B24C1B4421125627</vt:lpwstr>
  </property>
</Properties>
</file>