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F15810" w14:textId="77777777" w:rsidR="00E35243" w:rsidRDefault="00E35243" w:rsidP="00BA0274">
      <w:pPr>
        <w:pStyle w:val="Heading1"/>
      </w:pPr>
      <w:r>
        <w:t xml:space="preserve"> Using Bayesian Dynamic Borrowing to maximise the use of existing data – a case study: Supplementary Information </w:t>
      </w:r>
    </w:p>
    <w:p w14:paraId="17CC61C4" w14:textId="77777777" w:rsidR="00E35243" w:rsidRDefault="00E35243" w:rsidP="00640C0F">
      <w:pPr>
        <w:spacing w:after="0"/>
      </w:pPr>
      <w:r>
        <w:t>Edwards D</w:t>
      </w:r>
      <w:r>
        <w:rPr>
          <w:vertAlign w:val="superscript"/>
        </w:rPr>
        <w:t>1</w:t>
      </w:r>
      <w:r>
        <w:t>, Best N</w:t>
      </w:r>
      <w:r>
        <w:rPr>
          <w:vertAlign w:val="superscript"/>
        </w:rPr>
        <w:t>1</w:t>
      </w:r>
      <w:r>
        <w:t>, Crawford J</w:t>
      </w:r>
      <w:r>
        <w:rPr>
          <w:vertAlign w:val="superscript"/>
        </w:rPr>
        <w:t>1</w:t>
      </w:r>
      <w:r>
        <w:t>, Zi L</w:t>
      </w:r>
      <w:r>
        <w:rPr>
          <w:vertAlign w:val="superscript"/>
        </w:rPr>
        <w:t>2</w:t>
      </w:r>
      <w:r>
        <w:t>, Shelton C</w:t>
      </w:r>
      <w:r>
        <w:rPr>
          <w:vertAlign w:val="superscript"/>
        </w:rPr>
        <w:t>3</w:t>
      </w:r>
      <w:r w:rsidRPr="006D1F97">
        <w:t xml:space="preserve"> </w:t>
      </w:r>
      <w:r>
        <w:t>Fowler A</w:t>
      </w:r>
      <w:r>
        <w:rPr>
          <w:vertAlign w:val="superscript"/>
        </w:rPr>
        <w:t>1*</w:t>
      </w:r>
    </w:p>
    <w:p w14:paraId="16CF4ABD" w14:textId="77777777" w:rsidR="00E35243" w:rsidRDefault="00E35243" w:rsidP="00B06F64">
      <w:pPr>
        <w:spacing w:after="0"/>
      </w:pPr>
      <w:r>
        <w:rPr>
          <w:vertAlign w:val="superscript"/>
        </w:rPr>
        <w:t>1</w:t>
      </w:r>
      <w:r>
        <w:t xml:space="preserve">GSK, Brentford, Middlesex, UK; </w:t>
      </w:r>
      <w:r>
        <w:rPr>
          <w:vertAlign w:val="superscript"/>
        </w:rPr>
        <w:t>2</w:t>
      </w:r>
      <w:r>
        <w:t xml:space="preserve">GSK, Shanghai, China; </w:t>
      </w:r>
      <w:r>
        <w:rPr>
          <w:vertAlign w:val="superscript"/>
        </w:rPr>
        <w:t>3</w:t>
      </w:r>
      <w:r>
        <w:t>GSK, Upper Providence, PA, USA</w:t>
      </w:r>
    </w:p>
    <w:p w14:paraId="2972E06C" w14:textId="77777777" w:rsidR="00E35243" w:rsidRDefault="00E35243" w:rsidP="00B06F64">
      <w:pPr>
        <w:spacing w:after="0"/>
      </w:pPr>
    </w:p>
    <w:p w14:paraId="371845B5" w14:textId="77777777" w:rsidR="00E35243" w:rsidRDefault="00E35243" w:rsidP="00E61952">
      <w:pPr>
        <w:spacing w:after="0" w:line="480" w:lineRule="auto"/>
      </w:pPr>
      <w:r>
        <w:t>*At</w:t>
      </w:r>
      <w:r w:rsidRPr="00360206">
        <w:t xml:space="preserve"> the time of the study</w:t>
      </w:r>
    </w:p>
    <w:p w14:paraId="0751092F" w14:textId="77777777" w:rsidR="007D6B5B" w:rsidRDefault="007D6B5B" w:rsidP="00E61952">
      <w:pPr>
        <w:spacing w:after="0" w:line="480" w:lineRule="auto"/>
      </w:pPr>
    </w:p>
    <w:p w14:paraId="39370C9E" w14:textId="77777777" w:rsidR="00E35243" w:rsidRDefault="00E35243" w:rsidP="00B06F64">
      <w:pPr>
        <w:spacing w:after="0"/>
      </w:pPr>
    </w:p>
    <w:p w14:paraId="0FEBD767" w14:textId="77777777" w:rsidR="00E35243" w:rsidRPr="00C84EDB" w:rsidRDefault="00E35243" w:rsidP="00BA0274">
      <w:pPr>
        <w:pStyle w:val="Heading1"/>
      </w:pPr>
      <w:r>
        <w:t>A: Specification of the prior distribution</w:t>
      </w:r>
    </w:p>
    <w:p w14:paraId="65B34143" w14:textId="77777777" w:rsidR="00E35243" w:rsidRDefault="00E35243" w:rsidP="008368C4">
      <w:r>
        <w:t xml:space="preserve">A robust mixture prior </w:t>
      </w:r>
      <w:r>
        <w:rPr>
          <w:noProof/>
        </w:rPr>
        <w:t>[1]</w:t>
      </w:r>
      <w:r>
        <w:t xml:space="preserve"> was used for the treatment difference (denoted </w:t>
      </w:r>
      <m:oMath>
        <m:r>
          <m:rPr>
            <m:sty m:val="p"/>
          </m:rPr>
          <w:rPr>
            <w:rFonts w:ascii="Cambria Math" w:hAnsi="Cambria Math" w:cstheme="minorHAnsi"/>
          </w:rPr>
          <m:t>δ</m:t>
        </m:r>
      </m:oMath>
      <w:r>
        <w:t xml:space="preserve">) of interest in the Chinese population, defined as a mixture of two components: </w:t>
      </w:r>
    </w:p>
    <w:p w14:paraId="28DBA60C" w14:textId="77777777" w:rsidR="00E35243" w:rsidRPr="00810B97" w:rsidRDefault="007D6B5B" w:rsidP="008368C4">
      <m:oMathPara>
        <m:oMath>
          <m:eqArr>
            <m:eqArrPr>
              <m:maxDist m:val="1"/>
              <m:ctrlPr>
                <w:rPr>
                  <w:rFonts w:ascii="Cambria Math" w:hAnsi="Cambria Math"/>
                  <w:i/>
                </w:rPr>
              </m:ctrlPr>
            </m:eqArrPr>
            <m:e>
              <m:r>
                <w:rPr>
                  <w:rFonts w:ascii="Cambria Math" w:hAnsi="Cambria Math"/>
                </w:rPr>
                <m:t>p</m:t>
              </m:r>
              <m:d>
                <m:dPr>
                  <m:ctrlPr>
                    <w:rPr>
                      <w:rFonts w:ascii="Cambria Math" w:hAnsi="Cambria Math"/>
                      <w:i/>
                    </w:rPr>
                  </m:ctrlPr>
                </m:dPr>
                <m:e>
                  <m:r>
                    <w:rPr>
                      <w:rFonts w:ascii="Cambria Math" w:hAnsi="Cambria Math"/>
                    </w:rPr>
                    <m:t xml:space="preserve">δ </m:t>
                  </m:r>
                </m:e>
              </m:d>
              <m:r>
                <w:rPr>
                  <w:rFonts w:ascii="Cambria Math" w:hAnsi="Cambria Math"/>
                </w:rPr>
                <m:t>=w⋅</m:t>
              </m:r>
              <m:sSub>
                <m:sSubPr>
                  <m:ctrlPr>
                    <w:rPr>
                      <w:rFonts w:ascii="Cambria Math" w:hAnsi="Cambria Math"/>
                      <w:i/>
                    </w:rPr>
                  </m:ctrlPr>
                </m:sSubPr>
                <m:e>
                  <m:r>
                    <w:rPr>
                      <w:rFonts w:ascii="Cambria Math" w:hAnsi="Cambria Math"/>
                    </w:rPr>
                    <m:t>p</m:t>
                  </m:r>
                </m:e>
                <m:sub>
                  <m:r>
                    <w:rPr>
                      <w:rFonts w:ascii="Cambria Math" w:hAnsi="Cambria Math"/>
                    </w:rPr>
                    <m:t>1</m:t>
                  </m:r>
                </m:sub>
              </m:sSub>
              <m:d>
                <m:dPr>
                  <m:ctrlPr>
                    <w:rPr>
                      <w:rFonts w:ascii="Cambria Math" w:hAnsi="Cambria Math"/>
                      <w:i/>
                    </w:rPr>
                  </m:ctrlPr>
                </m:dPr>
                <m:e>
                  <m:r>
                    <w:rPr>
                      <w:rFonts w:ascii="Cambria Math" w:hAnsi="Cambria Math"/>
                    </w:rPr>
                    <m:t>δ</m:t>
                  </m:r>
                </m:e>
              </m:d>
              <m:r>
                <w:rPr>
                  <w:rFonts w:ascii="Cambria Math" w:hAnsi="Cambria Math"/>
                </w:rPr>
                <m:t>+(1-w)⋅</m:t>
              </m:r>
              <m:sSub>
                <m:sSubPr>
                  <m:ctrlPr>
                    <w:rPr>
                      <w:rFonts w:ascii="Cambria Math" w:hAnsi="Cambria Math"/>
                      <w:i/>
                    </w:rPr>
                  </m:ctrlPr>
                </m:sSubPr>
                <m:e>
                  <m:r>
                    <w:rPr>
                      <w:rFonts w:ascii="Cambria Math" w:hAnsi="Cambria Math"/>
                    </w:rPr>
                    <m:t>p</m:t>
                  </m:r>
                </m:e>
                <m:sub>
                  <m:r>
                    <w:rPr>
                      <w:rFonts w:ascii="Cambria Math" w:hAnsi="Cambria Math"/>
                    </w:rPr>
                    <m:t>2</m:t>
                  </m:r>
                </m:sub>
              </m:sSub>
              <m:d>
                <m:dPr>
                  <m:ctrlPr>
                    <w:rPr>
                      <w:rFonts w:ascii="Cambria Math" w:hAnsi="Cambria Math"/>
                      <w:i/>
                    </w:rPr>
                  </m:ctrlPr>
                </m:dPr>
                <m:e>
                  <m:r>
                    <w:rPr>
                      <w:rFonts w:ascii="Cambria Math" w:hAnsi="Cambria Math"/>
                    </w:rPr>
                    <m:t xml:space="preserve">δ </m:t>
                  </m:r>
                </m:e>
              </m:d>
            </m:e>
          </m:eqArr>
        </m:oMath>
      </m:oMathPara>
    </w:p>
    <w:p w14:paraId="0D7DD3C2" w14:textId="77777777" w:rsidR="00E35243" w:rsidRDefault="00E35243" w:rsidP="008368C4">
      <w:r>
        <w:t>where</w:t>
      </w:r>
    </w:p>
    <w:p w14:paraId="2F317233" w14:textId="77777777" w:rsidR="00E35243" w:rsidRDefault="007D6B5B" w:rsidP="003351E2">
      <w:pPr>
        <w:pStyle w:val="ListParagraph"/>
        <w:numPr>
          <w:ilvl w:val="0"/>
          <w:numId w:val="4"/>
        </w:numPr>
      </w:pPr>
      <m:oMath>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(δ)</m:t>
        </m:r>
      </m:oMath>
      <w:r w:rsidR="00E35243">
        <w:t xml:space="preserve"> is the informative </w:t>
      </w:r>
      <w:r w:rsidR="00E35243" w:rsidRPr="005441C2">
        <w:t>component</w:t>
      </w:r>
      <w:r w:rsidR="00E35243">
        <w:t xml:space="preserve"> based on the global study data, and is defined as </w:t>
      </w:r>
      <m:oMath>
        <m:sSub>
          <m:sSubPr>
            <m:ctrlPr>
              <w:rPr>
                <w:rFonts w:ascii="Cambria Math" w:hAnsi="Cambria Math"/>
                <w:i/>
              </w:rPr>
            </m:ctrlPr>
          </m:sSubPr>
          <m:e>
            <m:r>
              <w:rPr>
                <w:rFonts w:ascii="Cambria Math" w:hAnsi="Cambria Math"/>
              </w:rPr>
              <m:t>p</m:t>
            </m:r>
          </m:e>
          <m:sub>
            <m:r>
              <w:rPr>
                <w:rFonts w:ascii="Cambria Math" w:hAnsi="Cambria Math"/>
              </w:rPr>
              <m:t>1</m:t>
            </m:r>
          </m:sub>
        </m:sSub>
        <m:d>
          <m:dPr>
            <m:ctrlPr>
              <w:rPr>
                <w:rFonts w:ascii="Cambria Math" w:hAnsi="Cambria Math"/>
                <w:i/>
              </w:rPr>
            </m:ctrlPr>
          </m:dPr>
          <m:e>
            <m:r>
              <w:rPr>
                <w:rFonts w:ascii="Cambria Math" w:hAnsi="Cambria Math"/>
              </w:rPr>
              <m:t>δ</m:t>
            </m:r>
          </m:e>
        </m:d>
        <m:r>
          <w:rPr>
            <w:rFonts w:ascii="Cambria Math" w:hAnsi="Cambria Math"/>
          </w:rPr>
          <m:t>=Normal(</m:t>
        </m:r>
        <m:sSub>
          <m:sSubPr>
            <m:ctrlPr>
              <w:rPr>
                <w:rFonts w:ascii="Cambria Math" w:hAnsi="Cambria Math"/>
                <w:i/>
              </w:rPr>
            </m:ctrlPr>
          </m:sSubPr>
          <m:e>
            <m:r>
              <w:rPr>
                <w:rFonts w:ascii="Cambria Math" w:hAnsi="Cambria Math"/>
              </w:rPr>
              <m:t>m</m:t>
            </m:r>
          </m:e>
          <m:sub>
            <m:r>
              <w:rPr>
                <w:rFonts w:ascii="Cambria Math" w:hAnsi="Cambria Math"/>
              </w:rPr>
              <m:t>g</m:t>
            </m:r>
          </m:sub>
        </m:sSub>
        <m:r>
          <w:rPr>
            <w:rFonts w:ascii="Cambria Math" w:hAnsi="Cambria Math"/>
          </w:rPr>
          <m:t xml:space="preserve">, </m:t>
        </m:r>
        <m:sSubSup>
          <m:sSubSupPr>
            <m:ctrlPr>
              <w:rPr>
                <w:rFonts w:ascii="Cambria Math" w:hAnsi="Cambria Math"/>
                <w:i/>
              </w:rPr>
            </m:ctrlPr>
          </m:sSubSupPr>
          <m:e>
            <m:r>
              <w:rPr>
                <w:rFonts w:ascii="Cambria Math" w:hAnsi="Cambria Math"/>
              </w:rPr>
              <m:t>s</m:t>
            </m:r>
          </m:e>
          <m:sub>
            <m:r>
              <w:rPr>
                <w:rFonts w:ascii="Cambria Math" w:hAnsi="Cambria Math"/>
              </w:rPr>
              <m:t>g</m:t>
            </m:r>
          </m:sub>
          <m:sup>
            <m:r>
              <w:rPr>
                <w:rFonts w:ascii="Cambria Math" w:hAnsi="Cambria Math"/>
              </w:rPr>
              <m:t>2</m:t>
            </m:r>
          </m:sup>
        </m:sSubSup>
      </m:oMath>
      <w:r w:rsidR="00E35243">
        <w:t xml:space="preserve">)  where </w:t>
      </w:r>
      <m:oMath>
        <m:sSub>
          <m:sSubPr>
            <m:ctrlPr>
              <w:rPr>
                <w:rFonts w:ascii="Cambria Math" w:hAnsi="Cambria Math"/>
                <w:i/>
              </w:rPr>
            </m:ctrlPr>
          </m:sSubPr>
          <m:e>
            <m:r>
              <w:rPr>
                <w:rFonts w:ascii="Cambria Math" w:hAnsi="Cambria Math"/>
              </w:rPr>
              <m:t>m</m:t>
            </m:r>
          </m:e>
          <m:sub>
            <m:r>
              <w:rPr>
                <w:rFonts w:ascii="Cambria Math" w:hAnsi="Cambria Math"/>
              </w:rPr>
              <m:t>g</m:t>
            </m:r>
          </m:sub>
        </m:sSub>
        <m:r>
          <w:rPr>
            <w:rFonts w:ascii="Cambria Math" w:hAnsi="Cambria Math"/>
          </w:rPr>
          <m:t>=86</m:t>
        </m:r>
      </m:oMath>
      <w:r w:rsidR="00E35243">
        <w:t xml:space="preserve"> and </w:t>
      </w:r>
      <m:oMath>
        <m:sSub>
          <m:sSubPr>
            <m:ctrlPr>
              <w:rPr>
                <w:rFonts w:ascii="Cambria Math" w:hAnsi="Cambria Math"/>
                <w:i/>
              </w:rPr>
            </m:ctrlPr>
          </m:sSubPr>
          <m:e>
            <m:r>
              <w:rPr>
                <w:rFonts w:ascii="Cambria Math" w:hAnsi="Cambria Math"/>
              </w:rPr>
              <m:t>s</m:t>
            </m:r>
          </m:e>
          <m:sub>
            <m:r>
              <w:rPr>
                <w:rFonts w:ascii="Cambria Math" w:hAnsi="Cambria Math"/>
              </w:rPr>
              <m:t>g</m:t>
            </m:r>
          </m:sub>
        </m:sSub>
        <m:r>
          <w:rPr>
            <w:rFonts w:ascii="Cambria Math" w:hAnsi="Cambria Math"/>
          </w:rPr>
          <m:t>=20.1</m:t>
        </m:r>
      </m:oMath>
      <w:r w:rsidR="00E35243">
        <w:t xml:space="preserve"> are the point estimate and associated standard error of the treatment difference in the global study;</w:t>
      </w:r>
    </w:p>
    <w:p w14:paraId="16F6D543" w14:textId="77777777" w:rsidR="00E35243" w:rsidRDefault="007D6B5B" w:rsidP="00A43C57">
      <w:pPr>
        <w:pStyle w:val="ListParagraph"/>
        <w:numPr>
          <w:ilvl w:val="0"/>
          <w:numId w:val="4"/>
        </w:numPr>
      </w:pPr>
      <m:oMath>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(δ)</m:t>
        </m:r>
      </m:oMath>
      <w:r w:rsidR="00E35243">
        <w:t xml:space="preserve"> is the vague component, defined as </w:t>
      </w:r>
      <m:oMath>
        <m:sSub>
          <m:sSubPr>
            <m:ctrlPr>
              <w:rPr>
                <w:rFonts w:ascii="Cambria Math" w:hAnsi="Cambria Math"/>
                <w:i/>
              </w:rPr>
            </m:ctrlPr>
          </m:sSubPr>
          <m:e>
            <m:r>
              <w:rPr>
                <w:rFonts w:ascii="Cambria Math" w:hAnsi="Cambria Math"/>
              </w:rPr>
              <m:t>p</m:t>
            </m:r>
          </m:e>
          <m:sub>
            <m:r>
              <w:rPr>
                <w:rFonts w:ascii="Cambria Math" w:hAnsi="Cambria Math"/>
              </w:rPr>
              <m:t>2</m:t>
            </m:r>
          </m:sub>
        </m:sSub>
        <m:d>
          <m:dPr>
            <m:ctrlPr>
              <w:rPr>
                <w:rFonts w:ascii="Cambria Math" w:hAnsi="Cambria Math"/>
                <w:i/>
              </w:rPr>
            </m:ctrlPr>
          </m:dPr>
          <m:e>
            <m:r>
              <w:rPr>
                <w:rFonts w:ascii="Cambria Math" w:hAnsi="Cambria Math"/>
              </w:rPr>
              <m:t>δ</m:t>
            </m:r>
          </m:e>
        </m:d>
        <m:r>
          <w:rPr>
            <w:rFonts w:ascii="Cambria Math" w:hAnsi="Cambria Math"/>
          </w:rPr>
          <m:t xml:space="preserve">=Normal(0, </m:t>
        </m:r>
        <m:sSubSup>
          <m:sSubSupPr>
            <m:ctrlPr>
              <w:rPr>
                <w:rFonts w:ascii="Cambria Math" w:hAnsi="Cambria Math"/>
                <w:i/>
              </w:rPr>
            </m:ctrlPr>
          </m:sSubSupPr>
          <m:e>
            <m:r>
              <w:rPr>
                <w:rFonts w:ascii="Cambria Math" w:hAnsi="Cambria Math"/>
              </w:rPr>
              <m:t>s</m:t>
            </m:r>
          </m:e>
          <m:sub>
            <m:r>
              <w:rPr>
                <w:rFonts w:ascii="Cambria Math" w:hAnsi="Cambria Math"/>
              </w:rPr>
              <m:t>v</m:t>
            </m:r>
          </m:sub>
          <m:sup>
            <m:r>
              <w:rPr>
                <w:rFonts w:ascii="Cambria Math" w:hAnsi="Cambria Math"/>
              </w:rPr>
              <m:t>2</m:t>
            </m:r>
          </m:sup>
        </m:sSubSup>
      </m:oMath>
      <w:r w:rsidR="00E35243">
        <w:t xml:space="preserve">)  where </w:t>
      </w:r>
      <m:oMath>
        <m:sSub>
          <m:sSubPr>
            <m:ctrlPr>
              <w:rPr>
                <w:rFonts w:ascii="Cambria Math" w:hAnsi="Cambria Math"/>
                <w:i/>
              </w:rPr>
            </m:ctrlPr>
          </m:sSubPr>
          <m:e>
            <m:r>
              <w:rPr>
                <w:rFonts w:ascii="Cambria Math" w:hAnsi="Cambria Math"/>
              </w:rPr>
              <m:t>s</m:t>
            </m:r>
          </m:e>
          <m:sub>
            <m:r>
              <w:rPr>
                <w:rFonts w:ascii="Cambria Math" w:hAnsi="Cambria Math"/>
              </w:rPr>
              <m:t>v</m:t>
            </m:r>
          </m:sub>
        </m:sSub>
        <m:r>
          <w:rPr>
            <w:rFonts w:ascii="Cambria Math" w:hAnsi="Cambria Math"/>
          </w:rPr>
          <m:t>=</m:t>
        </m:r>
        <m:rad>
          <m:radPr>
            <m:degHide m:val="1"/>
            <m:ctrlPr>
              <w:rPr>
                <w:rFonts w:ascii="Cambria Math" w:hAnsi="Cambria Math"/>
                <w:i/>
              </w:rPr>
            </m:ctrlPr>
          </m:radPr>
          <m:deg/>
          <m:e>
            <m:r>
              <w:rPr>
                <w:rFonts w:ascii="Cambria Math" w:hAnsi="Cambria Math"/>
              </w:rPr>
              <m:t>2</m:t>
            </m:r>
          </m:e>
        </m:rad>
        <m:r>
          <w:rPr>
            <w:rFonts w:ascii="Cambria Math" w:hAnsi="Cambria Math"/>
          </w:rPr>
          <m:t>×SSD</m:t>
        </m:r>
      </m:oMath>
      <w:r w:rsidR="00E35243">
        <w:t xml:space="preserve"> and </w:t>
      </w:r>
      <m:oMath>
        <m:r>
          <w:rPr>
            <w:rFonts w:ascii="Cambria Math" w:hAnsi="Cambria Math"/>
          </w:rPr>
          <m:t>SSD=350</m:t>
        </m:r>
      </m:oMath>
      <w:r w:rsidR="00E35243">
        <w:t xml:space="preserve">  is the sample standard deviation of the primary endpoint of interest, i.e. the vague prior has mean equal to the null hypothesis of no effect, and variance chosen so that it contains a minimal amount of information equivalent to the sampling distribution of the mean treatment difference derived from a single observation per arm;</w:t>
      </w:r>
    </w:p>
    <w:p w14:paraId="166030CD" w14:textId="77777777" w:rsidR="00E35243" w:rsidRDefault="00E35243" w:rsidP="003351E2">
      <w:pPr>
        <w:pStyle w:val="ListParagraph"/>
        <w:numPr>
          <w:ilvl w:val="0"/>
          <w:numId w:val="4"/>
        </w:numPr>
      </w:pPr>
      <m:oMath>
        <m:r>
          <w:rPr>
            <w:rFonts w:ascii="Cambria Math" w:hAnsi="Cambria Math"/>
          </w:rPr>
          <m:t>w</m:t>
        </m:r>
      </m:oMath>
      <w:r>
        <w:t xml:space="preserve"> is the initial weight assigned to the global study information, chosen here to be 0.3</w:t>
      </w:r>
    </w:p>
    <w:p w14:paraId="033CEA90" w14:textId="77777777" w:rsidR="00E35243" w:rsidRDefault="00E35243" w:rsidP="008368C4">
      <w:r>
        <w:t>This prior is illustrated in Supplement Figure 1 below.</w:t>
      </w:r>
    </w:p>
    <w:p w14:paraId="52FF51BB" w14:textId="77777777" w:rsidR="00E35243" w:rsidRDefault="00E35243" w:rsidP="00C84EDB">
      <w:pPr>
        <w:pStyle w:val="Title"/>
        <w:spacing w:after="240"/>
        <w:rPr>
          <w:rFonts w:asciiTheme="minorHAnsi" w:hAnsiTheme="minorHAnsi" w:cstheme="minorHAnsi"/>
          <w:b/>
          <w:bCs/>
          <w:sz w:val="22"/>
          <w:szCs w:val="22"/>
        </w:rPr>
      </w:pPr>
    </w:p>
    <w:p w14:paraId="27EF4E5A" w14:textId="77777777" w:rsidR="00E35243" w:rsidRDefault="00E35243" w:rsidP="00C84EDB">
      <w:pPr>
        <w:pStyle w:val="Title"/>
        <w:spacing w:after="240"/>
        <w:rPr>
          <w:rFonts w:asciiTheme="minorHAnsi" w:hAnsiTheme="minorHAnsi" w:cstheme="minorHAnsi"/>
          <w:b/>
          <w:bCs/>
          <w:sz w:val="22"/>
          <w:szCs w:val="22"/>
        </w:rPr>
      </w:pPr>
    </w:p>
    <w:p w14:paraId="229D8DE4" w14:textId="77777777" w:rsidR="00E35243" w:rsidRDefault="00E35243" w:rsidP="00C84EDB">
      <w:pPr>
        <w:pStyle w:val="Title"/>
        <w:spacing w:after="240"/>
        <w:rPr>
          <w:rFonts w:asciiTheme="minorHAnsi" w:hAnsiTheme="minorHAnsi" w:cstheme="minorHAnsi"/>
          <w:b/>
          <w:bCs/>
          <w:sz w:val="22"/>
          <w:szCs w:val="22"/>
        </w:rPr>
      </w:pPr>
    </w:p>
    <w:p w14:paraId="11592A57" w14:textId="77777777" w:rsidR="00E35243" w:rsidRDefault="00E35243" w:rsidP="00C84EDB">
      <w:pPr>
        <w:pStyle w:val="Title"/>
        <w:spacing w:after="240"/>
        <w:rPr>
          <w:rFonts w:asciiTheme="minorHAnsi" w:hAnsiTheme="minorHAnsi" w:cstheme="minorHAnsi"/>
          <w:b/>
          <w:bCs/>
          <w:sz w:val="22"/>
          <w:szCs w:val="22"/>
        </w:rPr>
      </w:pPr>
    </w:p>
    <w:p w14:paraId="24B9FC29" w14:textId="77777777" w:rsidR="00E35243" w:rsidRDefault="00E35243" w:rsidP="00C84EDB">
      <w:pPr>
        <w:pStyle w:val="Title"/>
        <w:spacing w:after="240"/>
        <w:rPr>
          <w:rFonts w:asciiTheme="minorHAnsi" w:hAnsiTheme="minorHAnsi" w:cstheme="minorHAnsi"/>
          <w:b/>
          <w:bCs/>
          <w:sz w:val="22"/>
          <w:szCs w:val="22"/>
        </w:rPr>
      </w:pPr>
    </w:p>
    <w:p w14:paraId="0E0B7F59" w14:textId="77777777" w:rsidR="00E35243" w:rsidRDefault="00E35243" w:rsidP="00C84EDB">
      <w:pPr>
        <w:pStyle w:val="Title"/>
        <w:spacing w:after="240"/>
        <w:rPr>
          <w:rFonts w:asciiTheme="minorHAnsi" w:hAnsiTheme="minorHAnsi" w:cstheme="minorHAnsi"/>
          <w:b/>
          <w:bCs/>
          <w:sz w:val="22"/>
          <w:szCs w:val="22"/>
        </w:rPr>
      </w:pPr>
    </w:p>
    <w:p w14:paraId="6A2133A0" w14:textId="77777777" w:rsidR="00E35243" w:rsidRDefault="00E35243" w:rsidP="00C84EDB">
      <w:pPr>
        <w:pStyle w:val="Title"/>
        <w:spacing w:after="240"/>
        <w:rPr>
          <w:rFonts w:asciiTheme="minorHAnsi" w:hAnsiTheme="minorHAnsi" w:cstheme="minorHAnsi"/>
          <w:b/>
          <w:bCs/>
          <w:sz w:val="22"/>
          <w:szCs w:val="22"/>
        </w:rPr>
      </w:pPr>
    </w:p>
    <w:p w14:paraId="16C6671B" w14:textId="77777777" w:rsidR="00E35243" w:rsidRDefault="00E35243" w:rsidP="00C84EDB">
      <w:pPr>
        <w:pStyle w:val="Title"/>
        <w:spacing w:after="240"/>
        <w:rPr>
          <w:rFonts w:asciiTheme="minorHAnsi" w:hAnsiTheme="minorHAnsi" w:cstheme="minorHAnsi"/>
          <w:b/>
          <w:bCs/>
          <w:sz w:val="22"/>
          <w:szCs w:val="22"/>
        </w:rPr>
      </w:pPr>
    </w:p>
    <w:p w14:paraId="546E3273" w14:textId="77777777" w:rsidR="00E35243" w:rsidRDefault="00E35243" w:rsidP="00C84EDB">
      <w:pPr>
        <w:pStyle w:val="Title"/>
        <w:spacing w:after="240"/>
        <w:rPr>
          <w:rFonts w:asciiTheme="minorHAnsi" w:hAnsiTheme="minorHAnsi" w:cstheme="minorHAnsi"/>
          <w:b/>
          <w:bCs/>
          <w:sz w:val="22"/>
          <w:szCs w:val="22"/>
        </w:rPr>
      </w:pPr>
    </w:p>
    <w:p w14:paraId="22925619" w14:textId="77777777" w:rsidR="00E35243" w:rsidRDefault="00E35243" w:rsidP="00C84EDB">
      <w:pPr>
        <w:pStyle w:val="Title"/>
        <w:spacing w:after="240"/>
        <w:rPr>
          <w:rFonts w:asciiTheme="minorHAnsi" w:hAnsiTheme="minorHAnsi" w:cstheme="minorHAnsi"/>
          <w:b/>
          <w:bCs/>
          <w:sz w:val="22"/>
          <w:szCs w:val="22"/>
        </w:rPr>
      </w:pPr>
    </w:p>
    <w:p w14:paraId="62FDBB45" w14:textId="77777777" w:rsidR="00E35243" w:rsidRDefault="00E35243" w:rsidP="00C84EDB">
      <w:pPr>
        <w:pStyle w:val="Title"/>
        <w:spacing w:after="240"/>
        <w:rPr>
          <w:rFonts w:asciiTheme="minorHAnsi" w:hAnsiTheme="minorHAnsi" w:cstheme="minorHAnsi"/>
          <w:b/>
          <w:bCs/>
          <w:sz w:val="22"/>
          <w:szCs w:val="22"/>
        </w:rPr>
      </w:pPr>
    </w:p>
    <w:p w14:paraId="3B063D21" w14:textId="77777777" w:rsidR="00E35243" w:rsidRDefault="00E35243" w:rsidP="00C84EDB">
      <w:pPr>
        <w:pStyle w:val="Title"/>
        <w:spacing w:after="240"/>
        <w:rPr>
          <w:rFonts w:asciiTheme="minorHAnsi" w:hAnsiTheme="minorHAnsi" w:cstheme="minorHAnsi"/>
          <w:b/>
          <w:bCs/>
          <w:sz w:val="22"/>
          <w:szCs w:val="22"/>
        </w:rPr>
      </w:pPr>
    </w:p>
    <w:p w14:paraId="7963E683" w14:textId="77777777" w:rsidR="00E35243" w:rsidRDefault="00E35243" w:rsidP="00C84EDB">
      <w:pPr>
        <w:pStyle w:val="Title"/>
        <w:spacing w:after="240"/>
        <w:rPr>
          <w:rFonts w:asciiTheme="minorHAnsi" w:hAnsiTheme="minorHAnsi" w:cstheme="minorHAnsi"/>
          <w:b/>
          <w:bCs/>
          <w:sz w:val="22"/>
          <w:szCs w:val="22"/>
        </w:rPr>
      </w:pPr>
    </w:p>
    <w:p w14:paraId="088F3364" w14:textId="77777777" w:rsidR="00E35243" w:rsidRDefault="00E35243" w:rsidP="00C84EDB">
      <w:pPr>
        <w:pStyle w:val="Title"/>
        <w:spacing w:after="240"/>
        <w:rPr>
          <w:rFonts w:asciiTheme="minorHAnsi" w:hAnsiTheme="minorHAnsi" w:cstheme="minorHAnsi"/>
          <w:b/>
          <w:bCs/>
          <w:sz w:val="22"/>
          <w:szCs w:val="22"/>
        </w:rPr>
      </w:pPr>
    </w:p>
    <w:p w14:paraId="4434D408" w14:textId="77777777" w:rsidR="008D366D" w:rsidRDefault="008D366D" w:rsidP="00C84EDB">
      <w:pPr>
        <w:pStyle w:val="Title"/>
        <w:spacing w:after="240"/>
        <w:rPr>
          <w:rFonts w:asciiTheme="minorHAnsi" w:hAnsiTheme="minorHAnsi" w:cstheme="minorHAnsi"/>
          <w:b/>
          <w:bCs/>
          <w:sz w:val="22"/>
          <w:szCs w:val="22"/>
        </w:rPr>
      </w:pPr>
    </w:p>
    <w:p w14:paraId="40E48BB8" w14:textId="77777777" w:rsidR="008D366D" w:rsidRDefault="008D366D" w:rsidP="00C84EDB">
      <w:pPr>
        <w:pStyle w:val="Title"/>
        <w:spacing w:after="240"/>
        <w:rPr>
          <w:rFonts w:asciiTheme="minorHAnsi" w:hAnsiTheme="minorHAnsi" w:cstheme="minorHAnsi"/>
          <w:b/>
          <w:bCs/>
          <w:sz w:val="22"/>
          <w:szCs w:val="22"/>
        </w:rPr>
      </w:pPr>
    </w:p>
    <w:p w14:paraId="5D7278C9" w14:textId="77777777" w:rsidR="008D366D" w:rsidRDefault="008D366D" w:rsidP="00C84EDB">
      <w:pPr>
        <w:pStyle w:val="Title"/>
        <w:spacing w:after="240"/>
        <w:rPr>
          <w:rFonts w:asciiTheme="minorHAnsi" w:hAnsiTheme="minorHAnsi" w:cstheme="minorHAnsi"/>
          <w:b/>
          <w:bCs/>
          <w:sz w:val="22"/>
          <w:szCs w:val="22"/>
        </w:rPr>
      </w:pPr>
    </w:p>
    <w:p w14:paraId="46DDD964" w14:textId="77777777" w:rsidR="008D366D" w:rsidRDefault="008D366D" w:rsidP="00C84EDB">
      <w:pPr>
        <w:pStyle w:val="Title"/>
        <w:spacing w:after="240"/>
        <w:rPr>
          <w:rFonts w:asciiTheme="minorHAnsi" w:hAnsiTheme="minorHAnsi" w:cstheme="minorHAnsi"/>
          <w:b/>
          <w:bCs/>
          <w:sz w:val="22"/>
          <w:szCs w:val="22"/>
        </w:rPr>
      </w:pPr>
    </w:p>
    <w:p w14:paraId="6BB9F262" w14:textId="77777777" w:rsidR="008D366D" w:rsidRDefault="008D366D" w:rsidP="00C84EDB">
      <w:pPr>
        <w:pStyle w:val="Title"/>
        <w:spacing w:after="240"/>
        <w:rPr>
          <w:rFonts w:asciiTheme="minorHAnsi" w:hAnsiTheme="minorHAnsi" w:cstheme="minorHAnsi"/>
          <w:b/>
          <w:bCs/>
          <w:sz w:val="22"/>
          <w:szCs w:val="22"/>
        </w:rPr>
      </w:pPr>
    </w:p>
    <w:p w14:paraId="7992B461" w14:textId="77777777" w:rsidR="008D366D" w:rsidRDefault="008D366D" w:rsidP="00C84EDB">
      <w:pPr>
        <w:pStyle w:val="Title"/>
        <w:spacing w:after="240"/>
        <w:rPr>
          <w:rFonts w:asciiTheme="minorHAnsi" w:hAnsiTheme="minorHAnsi" w:cstheme="minorHAnsi"/>
          <w:b/>
          <w:bCs/>
          <w:sz w:val="22"/>
          <w:szCs w:val="22"/>
        </w:rPr>
      </w:pPr>
    </w:p>
    <w:p w14:paraId="78B34A48" w14:textId="57949130" w:rsidR="00E35243" w:rsidRDefault="00E35243" w:rsidP="00C84EDB">
      <w:pPr>
        <w:pStyle w:val="Title"/>
        <w:spacing w:after="240"/>
        <w:rPr>
          <w:rFonts w:asciiTheme="minorHAnsi" w:hAnsiTheme="minorHAnsi" w:cstheme="minorHAnsi"/>
          <w:b/>
          <w:bCs/>
          <w:sz w:val="22"/>
          <w:szCs w:val="22"/>
        </w:rPr>
      </w:pPr>
      <w:r w:rsidRPr="00C84EDB">
        <w:rPr>
          <w:rFonts w:asciiTheme="minorHAnsi" w:hAnsiTheme="minorHAnsi" w:cstheme="minorHAnsi"/>
          <w:b/>
          <w:bCs/>
          <w:sz w:val="22"/>
          <w:szCs w:val="22"/>
        </w:rPr>
        <w:t>Supplement Figure 1</w:t>
      </w:r>
      <w:r>
        <w:rPr>
          <w:rFonts w:asciiTheme="minorHAnsi" w:hAnsiTheme="minorHAnsi" w:cstheme="minorHAnsi"/>
          <w:b/>
          <w:bCs/>
          <w:sz w:val="22"/>
          <w:szCs w:val="22"/>
        </w:rPr>
        <w:t>:</w:t>
      </w:r>
      <w:r w:rsidRPr="00C84EDB">
        <w:rPr>
          <w:rFonts w:asciiTheme="minorHAnsi" w:hAnsiTheme="minorHAnsi" w:cstheme="minorHAnsi"/>
          <w:b/>
          <w:bCs/>
          <w:sz w:val="22"/>
          <w:szCs w:val="22"/>
        </w:rPr>
        <w:t xml:space="preserve"> </w:t>
      </w:r>
      <w:r>
        <w:rPr>
          <w:rFonts w:asciiTheme="minorHAnsi" w:hAnsiTheme="minorHAnsi" w:cstheme="minorHAnsi"/>
          <w:b/>
          <w:bCs/>
          <w:sz w:val="22"/>
          <w:szCs w:val="22"/>
        </w:rPr>
        <w:t xml:space="preserve">Robust mixture </w:t>
      </w:r>
      <w:r w:rsidRPr="00522674">
        <w:rPr>
          <w:rFonts w:asciiTheme="minorHAnsi" w:hAnsiTheme="minorHAnsi" w:cstheme="minorHAnsi"/>
          <w:b/>
          <w:bCs/>
          <w:sz w:val="22"/>
          <w:szCs w:val="22"/>
        </w:rPr>
        <w:t>prior distribution for the treatment difference in the primary endpoint</w:t>
      </w:r>
    </w:p>
    <w:p w14:paraId="1135ACE3" w14:textId="77777777" w:rsidR="00E35243" w:rsidRPr="00C84EDB" w:rsidRDefault="00E35243" w:rsidP="004512E6">
      <w:pPr>
        <w:rPr>
          <w:rFonts w:cstheme="minorHAnsi"/>
        </w:rPr>
      </w:pPr>
      <w:r>
        <w:t>T</w:t>
      </w:r>
      <w:r w:rsidRPr="00BE1477">
        <w:t>he robust mixture prior</w:t>
      </w:r>
      <w:r w:rsidRPr="00C84EDB">
        <w:rPr>
          <w:rFonts w:cstheme="minorHAnsi"/>
        </w:rPr>
        <w:t xml:space="preserve"> for the China treatment effect in the bridging study combines two components</w:t>
      </w:r>
      <w:r>
        <w:rPr>
          <w:rFonts w:cstheme="minorHAnsi"/>
        </w:rPr>
        <w:t>: the “informative”</w:t>
      </w:r>
      <w:r w:rsidRPr="00C84EDB">
        <w:rPr>
          <w:rFonts w:cstheme="minorHAnsi"/>
        </w:rPr>
        <w:t xml:space="preserve"> component </w:t>
      </w:r>
      <w:r>
        <w:rPr>
          <w:rFonts w:cstheme="minorHAnsi"/>
        </w:rPr>
        <w:t>(</w:t>
      </w:r>
      <w:r w:rsidRPr="00C84EDB">
        <w:rPr>
          <w:rFonts w:cstheme="minorHAnsi"/>
        </w:rPr>
        <w:t>derived from global study data</w:t>
      </w:r>
      <w:r>
        <w:rPr>
          <w:rFonts w:cstheme="minorHAnsi"/>
        </w:rPr>
        <w:t>) and the “</w:t>
      </w:r>
      <w:r w:rsidRPr="00C84EDB">
        <w:rPr>
          <w:rFonts w:cstheme="minorHAnsi"/>
        </w:rPr>
        <w:t>vague</w:t>
      </w:r>
      <w:r>
        <w:rPr>
          <w:rFonts w:cstheme="minorHAnsi"/>
        </w:rPr>
        <w:t>”</w:t>
      </w:r>
      <w:r w:rsidRPr="00C84EDB">
        <w:rPr>
          <w:rFonts w:cstheme="minorHAnsi"/>
        </w:rPr>
        <w:t xml:space="preserve"> component</w:t>
      </w:r>
      <w:r>
        <w:rPr>
          <w:rFonts w:cstheme="minorHAnsi"/>
        </w:rPr>
        <w:t>,</w:t>
      </w:r>
      <w:r w:rsidRPr="00C84EDB">
        <w:rPr>
          <w:rFonts w:cstheme="minorHAnsi"/>
        </w:rPr>
        <w:t xml:space="preserve"> with pre-specified weights</w:t>
      </w:r>
      <w:r>
        <w:rPr>
          <w:rFonts w:cstheme="minorHAnsi"/>
        </w:rPr>
        <w:t xml:space="preserve"> of 0.3 and 0.7 respectively</w:t>
      </w:r>
      <w:r w:rsidRPr="00C84EDB">
        <w:rPr>
          <w:rFonts w:cstheme="minorHAnsi"/>
        </w:rPr>
        <w:t>.</w:t>
      </w:r>
    </w:p>
    <w:p w14:paraId="53363656" w14:textId="77777777" w:rsidR="00E35243" w:rsidRPr="00C84EDB" w:rsidRDefault="00E35243" w:rsidP="00D6730E">
      <w:pPr>
        <w:rPr>
          <w:rFonts w:cstheme="minorHAnsi"/>
        </w:rPr>
      </w:pPr>
      <w:r w:rsidRPr="006E6222">
        <w:rPr>
          <w:rFonts w:cstheme="minorHAnsi"/>
          <w:noProof/>
        </w:rPr>
        <w:drawing>
          <wp:inline distT="0" distB="0" distL="0" distR="0" wp14:anchorId="1086D321" wp14:editId="1F5E493F">
            <wp:extent cx="5486400" cy="2760345"/>
            <wp:effectExtent l="0" t="0" r="0" b="1905"/>
            <wp:docPr id="1" name="Picture 1" descr="A graph of a normal end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a normal endpoint&#10;&#10;Description automatically generated"/>
                    <pic:cNvPicPr/>
                  </pic:nvPicPr>
                  <pic:blipFill>
                    <a:blip r:embed="rId5"/>
                    <a:stretch>
                      <a:fillRect/>
                    </a:stretch>
                  </pic:blipFill>
                  <pic:spPr>
                    <a:xfrm>
                      <a:off x="0" y="0"/>
                      <a:ext cx="5486400" cy="2760345"/>
                    </a:xfrm>
                    <a:prstGeom prst="rect">
                      <a:avLst/>
                    </a:prstGeom>
                  </pic:spPr>
                </pic:pic>
              </a:graphicData>
            </a:graphic>
          </wp:inline>
        </w:drawing>
      </w:r>
    </w:p>
    <w:p w14:paraId="61CF7215" w14:textId="77777777" w:rsidR="00E35243" w:rsidRPr="00C84EDB" w:rsidRDefault="00E35243">
      <w:pPr>
        <w:rPr>
          <w:rFonts w:cstheme="minorHAnsi"/>
        </w:rPr>
      </w:pPr>
      <w:r w:rsidRPr="00C84EDB">
        <w:rPr>
          <w:rFonts w:cstheme="minorHAnsi"/>
        </w:rPr>
        <w:br w:type="page"/>
      </w:r>
    </w:p>
    <w:p w14:paraId="6E587E98" w14:textId="77777777" w:rsidR="00E35243" w:rsidRPr="00C84EDB" w:rsidRDefault="00E35243" w:rsidP="00BA0274">
      <w:pPr>
        <w:pStyle w:val="Heading1"/>
      </w:pPr>
      <w:r>
        <w:t xml:space="preserve">B. </w:t>
      </w:r>
      <w:r w:rsidRPr="00C84EDB">
        <w:t>Operating Characteristics of the Bridging Study Design</w:t>
      </w:r>
    </w:p>
    <w:p w14:paraId="53FD8DCB" w14:textId="77777777" w:rsidR="00E35243" w:rsidRPr="00C84EDB" w:rsidRDefault="00E35243" w:rsidP="0023013A">
      <w:pPr>
        <w:rPr>
          <w:rFonts w:cstheme="minorHAnsi"/>
        </w:rPr>
      </w:pPr>
    </w:p>
    <w:p w14:paraId="41359943" w14:textId="77777777" w:rsidR="00E35243" w:rsidRPr="007828DD" w:rsidRDefault="00E35243" w:rsidP="00C84EDB">
      <w:pPr>
        <w:pStyle w:val="Title"/>
        <w:spacing w:after="240"/>
        <w:rPr>
          <w:rFonts w:asciiTheme="minorHAnsi" w:hAnsiTheme="minorHAnsi" w:cstheme="minorHAnsi"/>
          <w:b/>
          <w:bCs/>
          <w:sz w:val="22"/>
          <w:szCs w:val="22"/>
        </w:rPr>
      </w:pPr>
      <w:r w:rsidRPr="00C84EDB">
        <w:rPr>
          <w:rFonts w:asciiTheme="minorHAnsi" w:hAnsiTheme="minorHAnsi" w:cstheme="minorHAnsi"/>
          <w:b/>
          <w:bCs/>
          <w:sz w:val="22"/>
          <w:szCs w:val="22"/>
        </w:rPr>
        <w:t xml:space="preserve">Supplement </w:t>
      </w:r>
      <w:r>
        <w:rPr>
          <w:rFonts w:asciiTheme="minorHAnsi" w:hAnsiTheme="minorHAnsi" w:cstheme="minorHAnsi"/>
          <w:b/>
          <w:bCs/>
          <w:sz w:val="22"/>
          <w:szCs w:val="22"/>
        </w:rPr>
        <w:t xml:space="preserve">Table 1: </w:t>
      </w:r>
      <w:r w:rsidRPr="007828DD">
        <w:rPr>
          <w:rFonts w:asciiTheme="minorHAnsi" w:hAnsiTheme="minorHAnsi" w:cstheme="minorHAnsi"/>
          <w:b/>
          <w:bCs/>
          <w:sz w:val="22"/>
          <w:szCs w:val="22"/>
        </w:rPr>
        <w:t>The key operating characteristics of the posterior distribution of the treatment difference</w:t>
      </w:r>
    </w:p>
    <w:tbl>
      <w:tblPr>
        <w:tblStyle w:val="TableGrid"/>
        <w:tblW w:w="5000" w:type="pct"/>
        <w:tblLook w:val="04A0" w:firstRow="1" w:lastRow="0" w:firstColumn="1" w:lastColumn="0" w:noHBand="0" w:noVBand="1"/>
      </w:tblPr>
      <w:tblGrid>
        <w:gridCol w:w="2721"/>
        <w:gridCol w:w="6295"/>
      </w:tblGrid>
      <w:tr w:rsidR="00E35243" w:rsidRPr="007828DD" w14:paraId="5ADF6CB7" w14:textId="77777777" w:rsidTr="00C84EDB">
        <w:trPr>
          <w:trHeight w:val="377"/>
        </w:trPr>
        <w:tc>
          <w:tcPr>
            <w:tcW w:w="1509" w:type="pct"/>
          </w:tcPr>
          <w:p w14:paraId="40456420" w14:textId="77777777" w:rsidR="00E35243" w:rsidRPr="00C84EDB" w:rsidRDefault="00E35243" w:rsidP="00C84EDB">
            <w:pPr>
              <w:spacing w:line="360" w:lineRule="auto"/>
              <w:rPr>
                <w:rFonts w:cstheme="minorHAnsi"/>
              </w:rPr>
            </w:pPr>
            <w:r w:rsidRPr="007828DD">
              <w:rPr>
                <w:rFonts w:cstheme="minorHAnsi"/>
                <w:b/>
                <w:bCs/>
              </w:rPr>
              <w:t>Operating Characteristic</w:t>
            </w:r>
          </w:p>
        </w:tc>
        <w:tc>
          <w:tcPr>
            <w:tcW w:w="3491" w:type="pct"/>
          </w:tcPr>
          <w:p w14:paraId="411EEFB9" w14:textId="77777777" w:rsidR="00E35243" w:rsidRPr="00C84EDB" w:rsidRDefault="00E35243" w:rsidP="00C84EDB">
            <w:pPr>
              <w:spacing w:line="360" w:lineRule="auto"/>
              <w:rPr>
                <w:rFonts w:cstheme="minorHAnsi"/>
                <w:b/>
                <w:bCs/>
              </w:rPr>
            </w:pPr>
            <w:r w:rsidRPr="00C84EDB">
              <w:rPr>
                <w:rFonts w:cstheme="minorHAnsi"/>
                <w:b/>
                <w:bCs/>
              </w:rPr>
              <w:t xml:space="preserve">Description </w:t>
            </w:r>
          </w:p>
        </w:tc>
      </w:tr>
      <w:tr w:rsidR="00E35243" w:rsidRPr="00C84EDB" w14:paraId="75AF7BE1" w14:textId="77777777">
        <w:trPr>
          <w:trHeight w:val="530"/>
        </w:trPr>
        <w:tc>
          <w:tcPr>
            <w:tcW w:w="1509" w:type="pct"/>
          </w:tcPr>
          <w:p w14:paraId="485A8085" w14:textId="77777777" w:rsidR="00E35243" w:rsidRPr="00C84EDB" w:rsidRDefault="00E35243">
            <w:pPr>
              <w:spacing w:after="120" w:line="259" w:lineRule="auto"/>
              <w:rPr>
                <w:rFonts w:cstheme="minorHAnsi"/>
                <w:bCs/>
              </w:rPr>
            </w:pPr>
            <w:r>
              <w:rPr>
                <w:rFonts w:cstheme="minorHAnsi"/>
                <w:bCs/>
              </w:rPr>
              <w:t>Prior</w:t>
            </w:r>
            <w:r w:rsidRPr="00C84EDB">
              <w:rPr>
                <w:rFonts w:cstheme="minorHAnsi"/>
                <w:bCs/>
              </w:rPr>
              <w:t xml:space="preserve"> weight</w:t>
            </w:r>
          </w:p>
        </w:tc>
        <w:tc>
          <w:tcPr>
            <w:tcW w:w="3491" w:type="pct"/>
          </w:tcPr>
          <w:p w14:paraId="53015890" w14:textId="77777777" w:rsidR="00E35243" w:rsidRPr="00C84EDB" w:rsidRDefault="00E35243">
            <w:pPr>
              <w:spacing w:after="120" w:line="259" w:lineRule="auto"/>
              <w:rPr>
                <w:rFonts w:cstheme="minorHAnsi"/>
                <w:bCs/>
              </w:rPr>
            </w:pPr>
            <w:r w:rsidRPr="00C84EDB">
              <w:rPr>
                <w:rFonts w:cstheme="minorHAnsi"/>
                <w:bCs/>
              </w:rPr>
              <w:t xml:space="preserve">The </w:t>
            </w:r>
            <w:r>
              <w:rPr>
                <w:rFonts w:cstheme="minorHAnsi"/>
                <w:bCs/>
              </w:rPr>
              <w:t xml:space="preserve">initial </w:t>
            </w:r>
            <w:r w:rsidRPr="00C84EDB">
              <w:rPr>
                <w:rFonts w:cstheme="minorHAnsi"/>
                <w:bCs/>
              </w:rPr>
              <w:t xml:space="preserve">weight of the </w:t>
            </w:r>
            <w:r>
              <w:rPr>
                <w:rFonts w:cstheme="minorHAnsi"/>
                <w:bCs/>
              </w:rPr>
              <w:t>informative</w:t>
            </w:r>
            <w:r w:rsidRPr="00C84EDB">
              <w:rPr>
                <w:rFonts w:cstheme="minorHAnsi"/>
                <w:bCs/>
              </w:rPr>
              <w:t xml:space="preserve"> component in the </w:t>
            </w:r>
            <w:r>
              <w:rPr>
                <w:rFonts w:cstheme="minorHAnsi"/>
                <w:bCs/>
              </w:rPr>
              <w:t>robust mixture prior</w:t>
            </w:r>
            <w:r w:rsidRPr="00C84EDB">
              <w:rPr>
                <w:rFonts w:cstheme="minorHAnsi"/>
                <w:bCs/>
              </w:rPr>
              <w:t xml:space="preserve"> distribution.</w:t>
            </w:r>
          </w:p>
        </w:tc>
      </w:tr>
      <w:tr w:rsidR="00E35243" w:rsidRPr="007828DD" w14:paraId="6D008D29" w14:textId="77777777" w:rsidTr="00C84EDB">
        <w:trPr>
          <w:trHeight w:val="530"/>
        </w:trPr>
        <w:tc>
          <w:tcPr>
            <w:tcW w:w="1509" w:type="pct"/>
          </w:tcPr>
          <w:p w14:paraId="68305255" w14:textId="77777777" w:rsidR="00E35243" w:rsidRPr="00C84EDB" w:rsidRDefault="00E35243">
            <w:pPr>
              <w:spacing w:after="120" w:line="259" w:lineRule="auto"/>
              <w:rPr>
                <w:rFonts w:cstheme="minorHAnsi"/>
                <w:bCs/>
              </w:rPr>
            </w:pPr>
            <w:r>
              <w:rPr>
                <w:rFonts w:cstheme="minorHAnsi"/>
                <w:bCs/>
              </w:rPr>
              <w:t>P</w:t>
            </w:r>
            <w:r w:rsidRPr="00C84EDB">
              <w:rPr>
                <w:rFonts w:cstheme="minorHAnsi"/>
                <w:bCs/>
              </w:rPr>
              <w:t>osterior weight</w:t>
            </w:r>
          </w:p>
        </w:tc>
        <w:tc>
          <w:tcPr>
            <w:tcW w:w="3491" w:type="pct"/>
          </w:tcPr>
          <w:p w14:paraId="20D380CA" w14:textId="77777777" w:rsidR="00E35243" w:rsidRPr="00C84EDB" w:rsidRDefault="00E35243">
            <w:pPr>
              <w:spacing w:after="120" w:line="259" w:lineRule="auto"/>
              <w:rPr>
                <w:rFonts w:cstheme="minorHAnsi"/>
                <w:bCs/>
              </w:rPr>
            </w:pPr>
            <w:r w:rsidRPr="00C84EDB">
              <w:rPr>
                <w:rFonts w:cstheme="minorHAnsi"/>
                <w:bCs/>
              </w:rPr>
              <w:t xml:space="preserve">The </w:t>
            </w:r>
            <w:r>
              <w:rPr>
                <w:rFonts w:cstheme="minorHAnsi"/>
                <w:bCs/>
              </w:rPr>
              <w:t xml:space="preserve">updated </w:t>
            </w:r>
            <w:r w:rsidRPr="00C84EDB">
              <w:rPr>
                <w:rFonts w:cstheme="minorHAnsi"/>
                <w:bCs/>
              </w:rPr>
              <w:t xml:space="preserve">weight of the </w:t>
            </w:r>
            <w:r>
              <w:rPr>
                <w:rFonts w:cstheme="minorHAnsi"/>
                <w:bCs/>
              </w:rPr>
              <w:t>informative</w:t>
            </w:r>
            <w:r w:rsidRPr="00C84EDB">
              <w:rPr>
                <w:rFonts w:cstheme="minorHAnsi"/>
                <w:bCs/>
              </w:rPr>
              <w:t xml:space="preserve"> component in the posterior distribution</w:t>
            </w:r>
            <w:r>
              <w:rPr>
                <w:rFonts w:cstheme="minorHAnsi"/>
                <w:bCs/>
              </w:rPr>
              <w:t xml:space="preserve"> after accounting for the China study data</w:t>
            </w:r>
            <w:r w:rsidRPr="00C84EDB">
              <w:rPr>
                <w:rFonts w:cstheme="minorHAnsi"/>
                <w:bCs/>
              </w:rPr>
              <w:t>.</w:t>
            </w:r>
          </w:p>
        </w:tc>
      </w:tr>
      <w:tr w:rsidR="00E35243" w:rsidRPr="007828DD" w14:paraId="40BB3EB8" w14:textId="77777777" w:rsidTr="00C84EDB">
        <w:tc>
          <w:tcPr>
            <w:tcW w:w="1509" w:type="pct"/>
          </w:tcPr>
          <w:p w14:paraId="49345E8C" w14:textId="77777777" w:rsidR="00E35243" w:rsidRPr="00C84EDB" w:rsidRDefault="00E35243">
            <w:pPr>
              <w:spacing w:after="120" w:line="259" w:lineRule="auto"/>
              <w:rPr>
                <w:rFonts w:cstheme="minorHAnsi"/>
              </w:rPr>
            </w:pPr>
            <w:r w:rsidRPr="00C84EDB">
              <w:rPr>
                <w:rFonts w:cstheme="minorHAnsi"/>
              </w:rPr>
              <w:t>Updated estimate</w:t>
            </w:r>
          </w:p>
        </w:tc>
        <w:tc>
          <w:tcPr>
            <w:tcW w:w="3491" w:type="pct"/>
          </w:tcPr>
          <w:p w14:paraId="791BF60D" w14:textId="77777777" w:rsidR="00E35243" w:rsidRPr="00C84EDB" w:rsidRDefault="00E35243">
            <w:pPr>
              <w:spacing w:after="120" w:line="259" w:lineRule="auto"/>
              <w:rPr>
                <w:rFonts w:cstheme="minorHAnsi"/>
              </w:rPr>
            </w:pPr>
            <w:r w:rsidRPr="00C84EDB">
              <w:rPr>
                <w:rFonts w:cstheme="minorHAnsi"/>
              </w:rPr>
              <w:t>The posterior mean estimate of</w:t>
            </w:r>
            <w:r>
              <w:rPr>
                <w:rFonts w:cstheme="minorHAnsi"/>
              </w:rPr>
              <w:t xml:space="preserve"> the</w:t>
            </w:r>
            <w:r w:rsidRPr="00C84EDB">
              <w:rPr>
                <w:rFonts w:cstheme="minorHAnsi"/>
              </w:rPr>
              <w:t xml:space="preserve"> true treatment difference.</w:t>
            </w:r>
          </w:p>
        </w:tc>
      </w:tr>
      <w:tr w:rsidR="00E35243" w:rsidRPr="007828DD" w14:paraId="1EF5D6F6" w14:textId="77777777" w:rsidTr="00C84EDB">
        <w:tc>
          <w:tcPr>
            <w:tcW w:w="1509" w:type="pct"/>
          </w:tcPr>
          <w:p w14:paraId="6A61E532" w14:textId="77777777" w:rsidR="00E35243" w:rsidRPr="00C84EDB" w:rsidRDefault="00E35243">
            <w:pPr>
              <w:spacing w:after="120" w:line="259" w:lineRule="auto"/>
              <w:rPr>
                <w:rFonts w:cstheme="minorHAnsi"/>
              </w:rPr>
            </w:pPr>
            <w:r w:rsidRPr="00C84EDB">
              <w:rPr>
                <w:rFonts w:cstheme="minorHAnsi"/>
              </w:rPr>
              <w:t>Bias</w:t>
            </w:r>
          </w:p>
        </w:tc>
        <w:tc>
          <w:tcPr>
            <w:tcW w:w="3491" w:type="pct"/>
          </w:tcPr>
          <w:p w14:paraId="48A28C86" w14:textId="77777777" w:rsidR="00E35243" w:rsidRPr="00C84EDB" w:rsidRDefault="00E35243">
            <w:pPr>
              <w:spacing w:after="120" w:line="259" w:lineRule="auto"/>
              <w:rPr>
                <w:rFonts w:cstheme="minorHAnsi"/>
              </w:rPr>
            </w:pPr>
            <w:r w:rsidRPr="00C84EDB">
              <w:rPr>
                <w:rFonts w:cstheme="minorHAnsi"/>
              </w:rPr>
              <w:t>The updated (posterior mean) estimate minus the true value of the treatment difference.</w:t>
            </w:r>
          </w:p>
        </w:tc>
      </w:tr>
      <w:tr w:rsidR="00E35243" w:rsidRPr="007828DD" w14:paraId="424D19DB" w14:textId="77777777" w:rsidTr="00C84EDB">
        <w:tc>
          <w:tcPr>
            <w:tcW w:w="1509" w:type="pct"/>
          </w:tcPr>
          <w:p w14:paraId="58444C85" w14:textId="77777777" w:rsidR="00E35243" w:rsidRPr="00C84EDB" w:rsidRDefault="00E35243">
            <w:pPr>
              <w:spacing w:after="120" w:line="259" w:lineRule="auto"/>
              <w:rPr>
                <w:rFonts w:cstheme="minorHAnsi"/>
              </w:rPr>
            </w:pPr>
            <w:r w:rsidRPr="00C84EDB">
              <w:rPr>
                <w:rFonts w:cstheme="minorHAnsi"/>
              </w:rPr>
              <w:t>Effective Sample Size</w:t>
            </w:r>
            <w:r>
              <w:rPr>
                <w:rFonts w:cstheme="minorHAnsi"/>
              </w:rPr>
              <w:t xml:space="preserve"> (ESS)</w:t>
            </w:r>
          </w:p>
        </w:tc>
        <w:tc>
          <w:tcPr>
            <w:tcW w:w="3491" w:type="pct"/>
          </w:tcPr>
          <w:p w14:paraId="4F386A26" w14:textId="77777777" w:rsidR="00E35243" w:rsidRPr="00C84EDB" w:rsidRDefault="00E35243">
            <w:pPr>
              <w:spacing w:after="120" w:line="259" w:lineRule="auto"/>
              <w:rPr>
                <w:rFonts w:cstheme="minorHAnsi"/>
              </w:rPr>
            </w:pPr>
            <w:r w:rsidRPr="00C84EDB">
              <w:rPr>
                <w:rFonts w:cstheme="minorHAnsi"/>
              </w:rPr>
              <w:t>The effective number of subjects’ worth of information per arm borrowed from global study.</w:t>
            </w:r>
            <w:r>
              <w:rPr>
                <w:rFonts w:cstheme="minorHAnsi"/>
              </w:rPr>
              <w:t xml:space="preserve"> Estimated using method of moments </w:t>
            </w:r>
            <w:r>
              <w:rPr>
                <w:rFonts w:cstheme="minorHAnsi"/>
                <w:noProof/>
              </w:rPr>
              <w:t>[2]</w:t>
            </w:r>
          </w:p>
        </w:tc>
      </w:tr>
      <w:tr w:rsidR="00E35243" w:rsidRPr="007828DD" w14:paraId="68ED78DF" w14:textId="77777777" w:rsidTr="00C84EDB">
        <w:tc>
          <w:tcPr>
            <w:tcW w:w="1509" w:type="pct"/>
          </w:tcPr>
          <w:p w14:paraId="22E5CF89" w14:textId="77777777" w:rsidR="00E35243" w:rsidRPr="00C84EDB" w:rsidRDefault="00E35243">
            <w:pPr>
              <w:spacing w:after="120" w:line="259" w:lineRule="auto"/>
              <w:rPr>
                <w:rFonts w:cstheme="minorHAnsi"/>
              </w:rPr>
            </w:pPr>
            <w:r w:rsidRPr="00C84EDB">
              <w:rPr>
                <w:rFonts w:cstheme="minorHAnsi"/>
              </w:rPr>
              <w:t>Half-width of 90% credible interval</w:t>
            </w:r>
          </w:p>
        </w:tc>
        <w:tc>
          <w:tcPr>
            <w:tcW w:w="3491" w:type="pct"/>
          </w:tcPr>
          <w:p w14:paraId="6557809A" w14:textId="77777777" w:rsidR="00E35243" w:rsidRPr="00C84EDB" w:rsidRDefault="00E35243">
            <w:pPr>
              <w:spacing w:after="120" w:line="259" w:lineRule="auto"/>
              <w:rPr>
                <w:rFonts w:cstheme="minorHAnsi"/>
              </w:rPr>
            </w:pPr>
            <w:r w:rsidRPr="00C84EDB">
              <w:rPr>
                <w:rFonts w:cstheme="minorHAnsi"/>
              </w:rPr>
              <w:t xml:space="preserve">The half-width of </w:t>
            </w:r>
            <w:r>
              <w:rPr>
                <w:rFonts w:cstheme="minorHAnsi"/>
              </w:rPr>
              <w:t xml:space="preserve">the </w:t>
            </w:r>
            <w:r w:rsidRPr="00C84EDB">
              <w:rPr>
                <w:rFonts w:cstheme="minorHAnsi"/>
              </w:rPr>
              <w:t>90% credible interval of the posterior distribution of the treatment difference.</w:t>
            </w:r>
          </w:p>
        </w:tc>
      </w:tr>
      <w:tr w:rsidR="00E35243" w:rsidRPr="007828DD" w14:paraId="315EC69D" w14:textId="77777777" w:rsidTr="00C84EDB">
        <w:tc>
          <w:tcPr>
            <w:tcW w:w="1509" w:type="pct"/>
          </w:tcPr>
          <w:p w14:paraId="7942F68C" w14:textId="77777777" w:rsidR="00E35243" w:rsidRPr="00C84EDB" w:rsidRDefault="00E35243">
            <w:pPr>
              <w:spacing w:after="120" w:line="259" w:lineRule="auto"/>
              <w:rPr>
                <w:rFonts w:cstheme="minorHAnsi"/>
              </w:rPr>
            </w:pPr>
            <w:r w:rsidRPr="00C84EDB">
              <w:rPr>
                <w:rFonts w:cstheme="minorHAnsi"/>
              </w:rPr>
              <w:t>Minimum detectable difference</w:t>
            </w:r>
          </w:p>
        </w:tc>
        <w:tc>
          <w:tcPr>
            <w:tcW w:w="3491" w:type="pct"/>
          </w:tcPr>
          <w:p w14:paraId="18F95C83" w14:textId="77777777" w:rsidR="00E35243" w:rsidRPr="00C84EDB" w:rsidRDefault="00E35243">
            <w:pPr>
              <w:spacing w:after="120" w:line="259" w:lineRule="auto"/>
              <w:rPr>
                <w:rFonts w:cstheme="minorHAnsi"/>
              </w:rPr>
            </w:pPr>
            <w:r>
              <w:rPr>
                <w:rFonts w:cstheme="minorHAnsi"/>
              </w:rPr>
              <w:t>T</w:t>
            </w:r>
            <w:r w:rsidRPr="00C84EDB">
              <w:rPr>
                <w:rFonts w:cstheme="minorHAnsi"/>
              </w:rPr>
              <w:t>he smallest treatment difference that needs to be observed in the China study in order to meet the pre-specified success criteria when combined with the global study results via the Bayesian dynamic borrowing analysis.</w:t>
            </w:r>
          </w:p>
        </w:tc>
      </w:tr>
      <w:tr w:rsidR="00E35243" w:rsidRPr="007828DD" w14:paraId="34EE77F0" w14:textId="77777777" w:rsidTr="00C84EDB">
        <w:tc>
          <w:tcPr>
            <w:tcW w:w="1509" w:type="pct"/>
          </w:tcPr>
          <w:p w14:paraId="1BF63148" w14:textId="77777777" w:rsidR="00E35243" w:rsidRPr="00C84EDB" w:rsidRDefault="00E35243">
            <w:pPr>
              <w:spacing w:after="120" w:line="259" w:lineRule="auto"/>
              <w:rPr>
                <w:rFonts w:cstheme="minorHAnsi"/>
              </w:rPr>
            </w:pPr>
            <w:r w:rsidRPr="00C84EDB">
              <w:rPr>
                <w:rFonts w:cstheme="minorHAnsi"/>
              </w:rPr>
              <w:t xml:space="preserve">Probability of </w:t>
            </w:r>
            <w:r>
              <w:rPr>
                <w:rFonts w:cstheme="minorHAnsi"/>
              </w:rPr>
              <w:t>success</w:t>
            </w:r>
          </w:p>
        </w:tc>
        <w:tc>
          <w:tcPr>
            <w:tcW w:w="3491" w:type="pct"/>
          </w:tcPr>
          <w:p w14:paraId="4ECD4C21" w14:textId="77777777" w:rsidR="00E35243" w:rsidRPr="00C84EDB" w:rsidRDefault="00E35243">
            <w:pPr>
              <w:spacing w:after="120" w:line="259" w:lineRule="auto"/>
              <w:rPr>
                <w:rFonts w:cstheme="minorHAnsi"/>
              </w:rPr>
            </w:pPr>
            <w:r w:rsidRPr="00C84EDB">
              <w:rPr>
                <w:rFonts w:cstheme="minorHAnsi"/>
              </w:rPr>
              <w:t>The probability of meeting the study success rule of at least 95% posterior probability of t</w:t>
            </w:r>
            <w:r>
              <w:rPr>
                <w:rFonts w:cstheme="minorHAnsi"/>
              </w:rPr>
              <w:t>he t</w:t>
            </w:r>
            <w:r w:rsidRPr="00C84EDB">
              <w:rPr>
                <w:rFonts w:cstheme="minorHAnsi"/>
              </w:rPr>
              <w:t>rue treatment difference in China being &gt;0.</w:t>
            </w:r>
          </w:p>
        </w:tc>
      </w:tr>
      <w:tr w:rsidR="00E35243" w:rsidRPr="007828DD" w14:paraId="68C63E55" w14:textId="77777777" w:rsidTr="00C84EDB">
        <w:tc>
          <w:tcPr>
            <w:tcW w:w="1509" w:type="pct"/>
          </w:tcPr>
          <w:p w14:paraId="3B7C05E2" w14:textId="77777777" w:rsidR="00E35243" w:rsidRPr="00C84EDB" w:rsidRDefault="00E35243">
            <w:pPr>
              <w:spacing w:after="120" w:line="259" w:lineRule="auto"/>
              <w:rPr>
                <w:rFonts w:cstheme="minorHAnsi"/>
              </w:rPr>
            </w:pPr>
            <w:r>
              <w:rPr>
                <w:rFonts w:cstheme="minorHAnsi"/>
              </w:rPr>
              <w:t>Type I error (false positive rate)</w:t>
            </w:r>
          </w:p>
        </w:tc>
        <w:tc>
          <w:tcPr>
            <w:tcW w:w="3491" w:type="pct"/>
          </w:tcPr>
          <w:p w14:paraId="1FFA84D2" w14:textId="77777777" w:rsidR="00E35243" w:rsidRPr="00C84EDB" w:rsidRDefault="00E35243">
            <w:pPr>
              <w:spacing w:after="120" w:line="259" w:lineRule="auto"/>
              <w:rPr>
                <w:rFonts w:cstheme="minorHAnsi"/>
              </w:rPr>
            </w:pPr>
            <w:r w:rsidRPr="00C84EDB">
              <w:rPr>
                <w:rFonts w:cstheme="minorHAnsi"/>
              </w:rPr>
              <w:t xml:space="preserve">The probability of success </w:t>
            </w:r>
            <w:r>
              <w:rPr>
                <w:rFonts w:cstheme="minorHAnsi"/>
              </w:rPr>
              <w:t xml:space="preserve">when there is no treatment difference. In the case study the type I error is the </w:t>
            </w:r>
            <w:r w:rsidRPr="00C84EDB">
              <w:rPr>
                <w:rFonts w:cstheme="minorHAnsi"/>
              </w:rPr>
              <w:t>probability of success</w:t>
            </w:r>
            <w:r>
              <w:rPr>
                <w:rFonts w:cstheme="minorHAnsi"/>
              </w:rPr>
              <w:t xml:space="preserve"> </w:t>
            </w:r>
            <w:r w:rsidRPr="00C84EDB">
              <w:rPr>
                <w:rFonts w:cstheme="minorHAnsi"/>
              </w:rPr>
              <w:t xml:space="preserve">under the condition </w:t>
            </w:r>
            <w:r>
              <w:rPr>
                <w:rFonts w:cstheme="minorHAnsi"/>
              </w:rPr>
              <w:t>that</w:t>
            </w:r>
            <w:r w:rsidRPr="00C84EDB">
              <w:rPr>
                <w:rFonts w:cstheme="minorHAnsi"/>
              </w:rPr>
              <w:t xml:space="preserve"> the true treatment difference = 0 unit</w:t>
            </w:r>
            <w:r>
              <w:rPr>
                <w:rFonts w:cstheme="minorHAnsi"/>
              </w:rPr>
              <w:t>s</w:t>
            </w:r>
            <w:r w:rsidRPr="00C84EDB">
              <w:rPr>
                <w:rFonts w:cstheme="minorHAnsi"/>
              </w:rPr>
              <w:t>.</w:t>
            </w:r>
          </w:p>
        </w:tc>
      </w:tr>
      <w:tr w:rsidR="00E35243" w:rsidRPr="007828DD" w14:paraId="4B08CD28" w14:textId="77777777" w:rsidTr="00C84EDB">
        <w:tc>
          <w:tcPr>
            <w:tcW w:w="1509" w:type="pct"/>
          </w:tcPr>
          <w:p w14:paraId="18523F1D" w14:textId="77777777" w:rsidR="00E35243" w:rsidRPr="00C84EDB" w:rsidRDefault="00E35243">
            <w:pPr>
              <w:spacing w:after="120" w:line="259" w:lineRule="auto"/>
              <w:rPr>
                <w:rFonts w:cstheme="minorHAnsi"/>
              </w:rPr>
            </w:pPr>
            <w:r>
              <w:rPr>
                <w:rFonts w:cstheme="minorHAnsi"/>
              </w:rPr>
              <w:t>Power</w:t>
            </w:r>
          </w:p>
        </w:tc>
        <w:tc>
          <w:tcPr>
            <w:tcW w:w="3491" w:type="pct"/>
          </w:tcPr>
          <w:p w14:paraId="264BF528" w14:textId="77777777" w:rsidR="00E35243" w:rsidRPr="00C84EDB" w:rsidRDefault="00E35243">
            <w:pPr>
              <w:spacing w:after="120" w:line="259" w:lineRule="auto"/>
              <w:rPr>
                <w:rFonts w:cstheme="minorHAnsi"/>
              </w:rPr>
            </w:pPr>
            <w:r w:rsidRPr="00C84EDB">
              <w:rPr>
                <w:rFonts w:cstheme="minorHAnsi"/>
              </w:rPr>
              <w:t xml:space="preserve">The probability of success </w:t>
            </w:r>
            <w:r>
              <w:rPr>
                <w:rFonts w:cstheme="minorHAnsi"/>
              </w:rPr>
              <w:t xml:space="preserve">when there is a true treatment difference. In the case study the power is the </w:t>
            </w:r>
            <w:r w:rsidRPr="00C84EDB">
              <w:rPr>
                <w:rFonts w:cstheme="minorHAnsi"/>
              </w:rPr>
              <w:t>probability of success</w:t>
            </w:r>
            <w:r w:rsidRPr="00C84EDB">
              <w:rPr>
                <w:rFonts w:cstheme="minorHAnsi" w:hint="eastAsia"/>
                <w:lang w:eastAsia="zh-CN"/>
              </w:rPr>
              <w:t xml:space="preserve"> under </w:t>
            </w:r>
            <w:r w:rsidRPr="00C84EDB">
              <w:rPr>
                <w:rFonts w:cstheme="minorHAnsi"/>
              </w:rPr>
              <w:t>the condition of the true treatment difference = 100 unit</w:t>
            </w:r>
            <w:r>
              <w:rPr>
                <w:rFonts w:cstheme="minorHAnsi"/>
              </w:rPr>
              <w:t>s</w:t>
            </w:r>
            <w:r w:rsidRPr="00C84EDB">
              <w:rPr>
                <w:rFonts w:cstheme="minorHAnsi"/>
              </w:rPr>
              <w:t>.</w:t>
            </w:r>
          </w:p>
        </w:tc>
      </w:tr>
    </w:tbl>
    <w:p w14:paraId="2BB35844" w14:textId="77777777" w:rsidR="00E35243" w:rsidRDefault="00E35243" w:rsidP="00CE6A50">
      <w:pPr>
        <w:rPr>
          <w:rFonts w:cstheme="minorHAnsi"/>
        </w:rPr>
      </w:pPr>
    </w:p>
    <w:p w14:paraId="1A4DEF4A" w14:textId="77777777" w:rsidR="00E35243" w:rsidRDefault="00E35243">
      <w:pPr>
        <w:rPr>
          <w:rFonts w:cstheme="minorHAnsi"/>
        </w:rPr>
      </w:pPr>
      <w:r>
        <w:rPr>
          <w:rFonts w:cstheme="minorHAnsi"/>
        </w:rPr>
        <w:br w:type="page"/>
      </w:r>
    </w:p>
    <w:p w14:paraId="3AE1A168" w14:textId="77777777" w:rsidR="00E35243" w:rsidRPr="00C84EDB" w:rsidRDefault="00E35243" w:rsidP="00CE6A50">
      <w:pPr>
        <w:rPr>
          <w:rFonts w:cstheme="minorHAnsi"/>
        </w:rPr>
      </w:pPr>
    </w:p>
    <w:p w14:paraId="7CF9DD1B" w14:textId="77777777" w:rsidR="00E35243" w:rsidRPr="007828DD" w:rsidRDefault="00E35243" w:rsidP="00C84EDB">
      <w:pPr>
        <w:pStyle w:val="Title"/>
        <w:spacing w:after="240"/>
        <w:rPr>
          <w:rFonts w:asciiTheme="minorHAnsi" w:hAnsiTheme="minorHAnsi" w:cstheme="minorHAnsi"/>
          <w:b/>
          <w:bCs/>
          <w:sz w:val="22"/>
          <w:szCs w:val="22"/>
        </w:rPr>
      </w:pPr>
      <w:r w:rsidRPr="00C84EDB">
        <w:rPr>
          <w:rFonts w:asciiTheme="minorHAnsi" w:hAnsiTheme="minorHAnsi" w:cstheme="minorHAnsi"/>
          <w:b/>
          <w:bCs/>
          <w:sz w:val="22"/>
          <w:szCs w:val="22"/>
        </w:rPr>
        <w:t xml:space="preserve">Supplement </w:t>
      </w:r>
      <w:r>
        <w:rPr>
          <w:rFonts w:asciiTheme="minorHAnsi" w:hAnsiTheme="minorHAnsi" w:cstheme="minorHAnsi"/>
          <w:b/>
          <w:bCs/>
          <w:sz w:val="22"/>
          <w:szCs w:val="22"/>
        </w:rPr>
        <w:t>Table 2: Posterior</w:t>
      </w:r>
      <w:r w:rsidRPr="007828DD">
        <w:rPr>
          <w:rFonts w:asciiTheme="minorHAnsi" w:hAnsiTheme="minorHAnsi" w:cstheme="minorHAnsi"/>
          <w:b/>
          <w:bCs/>
          <w:sz w:val="22"/>
          <w:szCs w:val="22"/>
        </w:rPr>
        <w:t xml:space="preserve"> weights and effective sample size for possible observed treatment differences </w:t>
      </w:r>
    </w:p>
    <w:tbl>
      <w:tblPr>
        <w:tblStyle w:val="TableGrid"/>
        <w:tblW w:w="5000" w:type="pct"/>
        <w:tblLook w:val="04A0" w:firstRow="1" w:lastRow="0" w:firstColumn="1" w:lastColumn="0" w:noHBand="0" w:noVBand="1"/>
      </w:tblPr>
      <w:tblGrid>
        <w:gridCol w:w="2721"/>
        <w:gridCol w:w="3103"/>
        <w:gridCol w:w="3192"/>
      </w:tblGrid>
      <w:tr w:rsidR="00E35243" w:rsidRPr="007828DD" w14:paraId="142ABA2B" w14:textId="77777777" w:rsidTr="0DD82799">
        <w:trPr>
          <w:trHeight w:val="755"/>
        </w:trPr>
        <w:tc>
          <w:tcPr>
            <w:tcW w:w="1509" w:type="pct"/>
          </w:tcPr>
          <w:p w14:paraId="18A45C35" w14:textId="77777777" w:rsidR="00E35243" w:rsidRPr="00C84EDB" w:rsidRDefault="00E35243" w:rsidP="00827C8E">
            <w:pPr>
              <w:spacing w:line="259" w:lineRule="auto"/>
              <w:rPr>
                <w:rFonts w:cstheme="minorHAnsi"/>
                <w:b/>
                <w:bCs/>
              </w:rPr>
            </w:pPr>
            <w:r>
              <w:rPr>
                <w:rFonts w:cstheme="minorHAnsi"/>
                <w:b/>
                <w:bCs/>
              </w:rPr>
              <w:t>Possible o</w:t>
            </w:r>
            <w:r w:rsidRPr="00C84EDB">
              <w:rPr>
                <w:rFonts w:cstheme="minorHAnsi"/>
                <w:b/>
                <w:bCs/>
              </w:rPr>
              <w:t>bserved treatment difference</w:t>
            </w:r>
            <w:r>
              <w:rPr>
                <w:rFonts w:cstheme="minorHAnsi"/>
                <w:b/>
                <w:bCs/>
              </w:rPr>
              <w:t>s</w:t>
            </w:r>
            <w:r w:rsidRPr="00C84EDB">
              <w:rPr>
                <w:rFonts w:cstheme="minorHAnsi"/>
                <w:b/>
                <w:bCs/>
              </w:rPr>
              <w:t xml:space="preserve"> in China Bridging study</w:t>
            </w:r>
          </w:p>
        </w:tc>
        <w:tc>
          <w:tcPr>
            <w:tcW w:w="1721" w:type="pct"/>
          </w:tcPr>
          <w:p w14:paraId="7472196B" w14:textId="77777777" w:rsidR="00E35243" w:rsidRPr="00C84EDB" w:rsidRDefault="00E35243" w:rsidP="00827C8E">
            <w:pPr>
              <w:spacing w:line="259" w:lineRule="auto"/>
              <w:rPr>
                <w:rFonts w:cstheme="minorHAnsi"/>
                <w:b/>
                <w:bCs/>
              </w:rPr>
            </w:pPr>
            <w:r>
              <w:rPr>
                <w:rFonts w:cstheme="minorHAnsi"/>
                <w:b/>
                <w:bCs/>
              </w:rPr>
              <w:t>Posterior</w:t>
            </w:r>
            <w:r w:rsidRPr="007828DD">
              <w:rPr>
                <w:rFonts w:cstheme="minorHAnsi"/>
                <w:b/>
                <w:bCs/>
              </w:rPr>
              <w:t xml:space="preserve"> </w:t>
            </w:r>
            <w:r w:rsidRPr="00C84EDB">
              <w:rPr>
                <w:rFonts w:cstheme="minorHAnsi"/>
                <w:b/>
                <w:bCs/>
              </w:rPr>
              <w:t xml:space="preserve">weight on the </w:t>
            </w:r>
            <w:r>
              <w:rPr>
                <w:rFonts w:cstheme="minorHAnsi"/>
                <w:b/>
                <w:bCs/>
              </w:rPr>
              <w:t xml:space="preserve">“informative” </w:t>
            </w:r>
            <w:r w:rsidRPr="00C84EDB">
              <w:rPr>
                <w:rFonts w:cstheme="minorHAnsi"/>
                <w:b/>
                <w:bCs/>
              </w:rPr>
              <w:t xml:space="preserve">component in the posterior distribution </w:t>
            </w:r>
          </w:p>
        </w:tc>
        <w:tc>
          <w:tcPr>
            <w:tcW w:w="1770" w:type="pct"/>
          </w:tcPr>
          <w:p w14:paraId="5846189A" w14:textId="77777777" w:rsidR="00E35243" w:rsidRPr="00C84EDB" w:rsidRDefault="00E35243" w:rsidP="00827C8E">
            <w:pPr>
              <w:spacing w:line="259" w:lineRule="auto"/>
              <w:rPr>
                <w:rFonts w:cstheme="minorHAnsi"/>
                <w:b/>
                <w:bCs/>
              </w:rPr>
            </w:pPr>
            <w:r w:rsidRPr="00C84EDB">
              <w:rPr>
                <w:rFonts w:cstheme="minorHAnsi"/>
                <w:b/>
                <w:bCs/>
              </w:rPr>
              <w:t>Effective number of subjects’ worth of information per arm borrowed from global study</w:t>
            </w:r>
          </w:p>
        </w:tc>
      </w:tr>
      <w:tr w:rsidR="00E35243" w:rsidRPr="007828DD" w14:paraId="405E5B2A" w14:textId="77777777" w:rsidTr="0DD82799">
        <w:tc>
          <w:tcPr>
            <w:tcW w:w="1509" w:type="pct"/>
          </w:tcPr>
          <w:p w14:paraId="4634BE84" w14:textId="77777777" w:rsidR="00E35243" w:rsidRPr="00C84EDB" w:rsidRDefault="00E35243">
            <w:pPr>
              <w:spacing w:after="120" w:line="259" w:lineRule="auto"/>
              <w:rPr>
                <w:rFonts w:cstheme="minorHAnsi"/>
                <w:bCs/>
              </w:rPr>
            </w:pPr>
            <w:r w:rsidRPr="00C84EDB">
              <w:rPr>
                <w:rFonts w:cstheme="minorHAnsi"/>
                <w:bCs/>
              </w:rPr>
              <w:t>0 unit</w:t>
            </w:r>
            <w:r>
              <w:rPr>
                <w:rFonts w:cstheme="minorHAnsi"/>
                <w:bCs/>
              </w:rPr>
              <w:t>s</w:t>
            </w:r>
          </w:p>
        </w:tc>
        <w:tc>
          <w:tcPr>
            <w:tcW w:w="1721" w:type="pct"/>
          </w:tcPr>
          <w:p w14:paraId="707D9EF3" w14:textId="77777777" w:rsidR="00E35243" w:rsidRPr="00C84EDB" w:rsidRDefault="00E35243">
            <w:pPr>
              <w:spacing w:after="120" w:line="259" w:lineRule="auto"/>
              <w:rPr>
                <w:rFonts w:cstheme="minorHAnsi"/>
                <w:bCs/>
              </w:rPr>
            </w:pPr>
            <w:r w:rsidRPr="00C84EDB">
              <w:rPr>
                <w:rFonts w:cstheme="minorHAnsi"/>
                <w:bCs/>
              </w:rPr>
              <w:t>0.56</w:t>
            </w:r>
          </w:p>
        </w:tc>
        <w:tc>
          <w:tcPr>
            <w:tcW w:w="1770" w:type="pct"/>
          </w:tcPr>
          <w:p w14:paraId="1E47B7AE" w14:textId="77777777" w:rsidR="00E35243" w:rsidRPr="00C84EDB" w:rsidRDefault="00E35243">
            <w:pPr>
              <w:spacing w:after="120" w:line="259" w:lineRule="auto"/>
              <w:rPr>
                <w:rFonts w:cstheme="minorHAnsi"/>
                <w:bCs/>
              </w:rPr>
            </w:pPr>
            <w:r w:rsidRPr="00C84EDB">
              <w:rPr>
                <w:rFonts w:cstheme="minorHAnsi"/>
                <w:bCs/>
              </w:rPr>
              <w:t>5</w:t>
            </w:r>
          </w:p>
        </w:tc>
      </w:tr>
      <w:tr w:rsidR="00E35243" w:rsidRPr="007828DD" w14:paraId="7556A8B6" w14:textId="77777777" w:rsidTr="0DD82799">
        <w:tc>
          <w:tcPr>
            <w:tcW w:w="1509" w:type="pct"/>
          </w:tcPr>
          <w:p w14:paraId="7EDC22A3" w14:textId="77777777" w:rsidR="00E35243" w:rsidRPr="00C84EDB" w:rsidRDefault="00E35243" w:rsidP="0DD82799">
            <w:pPr>
              <w:spacing w:after="120" w:line="259" w:lineRule="auto"/>
            </w:pPr>
            <w:r w:rsidRPr="0DD82799">
              <w:t>49 unit</w:t>
            </w:r>
            <w:r>
              <w:t>s</w:t>
            </w:r>
            <w:r w:rsidRPr="0DD82799">
              <w:t xml:space="preserve"> (MDD)</w:t>
            </w:r>
          </w:p>
        </w:tc>
        <w:tc>
          <w:tcPr>
            <w:tcW w:w="1721" w:type="pct"/>
          </w:tcPr>
          <w:p w14:paraId="5E29B2E3" w14:textId="77777777" w:rsidR="00E35243" w:rsidRPr="00C84EDB" w:rsidRDefault="00E35243">
            <w:pPr>
              <w:spacing w:after="120" w:line="259" w:lineRule="auto"/>
              <w:rPr>
                <w:rFonts w:cstheme="minorHAnsi"/>
              </w:rPr>
            </w:pPr>
            <w:r w:rsidRPr="00C84EDB">
              <w:rPr>
                <w:rFonts w:cstheme="minorHAnsi"/>
              </w:rPr>
              <w:t>0.75</w:t>
            </w:r>
          </w:p>
        </w:tc>
        <w:tc>
          <w:tcPr>
            <w:tcW w:w="1770" w:type="pct"/>
          </w:tcPr>
          <w:p w14:paraId="00C0890F" w14:textId="77777777" w:rsidR="00E35243" w:rsidRPr="00C84EDB" w:rsidRDefault="00E35243">
            <w:pPr>
              <w:spacing w:after="120" w:line="259" w:lineRule="auto"/>
              <w:rPr>
                <w:rFonts w:cstheme="minorHAnsi"/>
              </w:rPr>
            </w:pPr>
            <w:r w:rsidRPr="00C84EDB">
              <w:rPr>
                <w:rFonts w:cstheme="minorHAnsi"/>
              </w:rPr>
              <w:t>114</w:t>
            </w:r>
          </w:p>
        </w:tc>
      </w:tr>
      <w:tr w:rsidR="00E35243" w:rsidRPr="007828DD" w14:paraId="7F582754" w14:textId="77777777" w:rsidTr="0DD82799">
        <w:tc>
          <w:tcPr>
            <w:tcW w:w="1509" w:type="pct"/>
          </w:tcPr>
          <w:p w14:paraId="18934B07" w14:textId="77777777" w:rsidR="00E35243" w:rsidRPr="00C84EDB" w:rsidRDefault="00E35243">
            <w:pPr>
              <w:spacing w:after="120" w:line="259" w:lineRule="auto"/>
              <w:rPr>
                <w:rFonts w:cstheme="minorHAnsi"/>
              </w:rPr>
            </w:pPr>
            <w:r w:rsidRPr="00C84EDB">
              <w:rPr>
                <w:rFonts w:cstheme="minorHAnsi"/>
              </w:rPr>
              <w:t>60 unit</w:t>
            </w:r>
            <w:r>
              <w:rPr>
                <w:rFonts w:cstheme="minorHAnsi"/>
              </w:rPr>
              <w:t>s</w:t>
            </w:r>
          </w:p>
        </w:tc>
        <w:tc>
          <w:tcPr>
            <w:tcW w:w="1721" w:type="pct"/>
          </w:tcPr>
          <w:p w14:paraId="65B202C3" w14:textId="77777777" w:rsidR="00E35243" w:rsidRPr="00C84EDB" w:rsidRDefault="00E35243">
            <w:pPr>
              <w:spacing w:after="120" w:line="259" w:lineRule="auto"/>
              <w:rPr>
                <w:rFonts w:cstheme="minorHAnsi"/>
              </w:rPr>
            </w:pPr>
            <w:r w:rsidRPr="00C84EDB">
              <w:rPr>
                <w:rFonts w:cstheme="minorHAnsi"/>
              </w:rPr>
              <w:t>0.76</w:t>
            </w:r>
          </w:p>
        </w:tc>
        <w:tc>
          <w:tcPr>
            <w:tcW w:w="1770" w:type="pct"/>
          </w:tcPr>
          <w:p w14:paraId="7920EE05" w14:textId="77777777" w:rsidR="00E35243" w:rsidRPr="00C84EDB" w:rsidRDefault="00E35243">
            <w:pPr>
              <w:spacing w:after="120" w:line="259" w:lineRule="auto"/>
              <w:rPr>
                <w:rFonts w:cstheme="minorHAnsi"/>
              </w:rPr>
            </w:pPr>
            <w:r w:rsidRPr="00C84EDB">
              <w:rPr>
                <w:rFonts w:cstheme="minorHAnsi"/>
              </w:rPr>
              <w:t>140</w:t>
            </w:r>
          </w:p>
        </w:tc>
      </w:tr>
      <w:tr w:rsidR="00E35243" w:rsidRPr="007828DD" w14:paraId="2EA5217F" w14:textId="77777777" w:rsidTr="0DD82799">
        <w:tc>
          <w:tcPr>
            <w:tcW w:w="1509" w:type="pct"/>
          </w:tcPr>
          <w:p w14:paraId="73E9C8E9" w14:textId="77777777" w:rsidR="00E35243" w:rsidRPr="00C84EDB" w:rsidRDefault="00E35243">
            <w:pPr>
              <w:spacing w:after="120" w:line="259" w:lineRule="auto"/>
              <w:rPr>
                <w:rFonts w:cstheme="minorHAnsi"/>
              </w:rPr>
            </w:pPr>
            <w:r w:rsidRPr="00C84EDB">
              <w:rPr>
                <w:rFonts w:cstheme="minorHAnsi"/>
              </w:rPr>
              <w:t>86 unit</w:t>
            </w:r>
            <w:r>
              <w:rPr>
                <w:rFonts w:cstheme="minorHAnsi"/>
              </w:rPr>
              <w:t>s</w:t>
            </w:r>
          </w:p>
        </w:tc>
        <w:tc>
          <w:tcPr>
            <w:tcW w:w="1721" w:type="pct"/>
          </w:tcPr>
          <w:p w14:paraId="6ACD752C" w14:textId="77777777" w:rsidR="00E35243" w:rsidRPr="00C84EDB" w:rsidRDefault="00E35243">
            <w:pPr>
              <w:spacing w:after="120" w:line="259" w:lineRule="auto"/>
              <w:rPr>
                <w:rFonts w:cstheme="minorHAnsi"/>
              </w:rPr>
            </w:pPr>
            <w:r w:rsidRPr="00C84EDB">
              <w:rPr>
                <w:rFonts w:cstheme="minorHAnsi"/>
              </w:rPr>
              <w:t>0.78</w:t>
            </w:r>
          </w:p>
        </w:tc>
        <w:tc>
          <w:tcPr>
            <w:tcW w:w="1770" w:type="pct"/>
          </w:tcPr>
          <w:p w14:paraId="671513CA" w14:textId="77777777" w:rsidR="00E35243" w:rsidRPr="00C84EDB" w:rsidRDefault="00E35243">
            <w:pPr>
              <w:spacing w:after="120" w:line="259" w:lineRule="auto"/>
              <w:rPr>
                <w:rFonts w:cstheme="minorHAnsi"/>
              </w:rPr>
            </w:pPr>
            <w:r w:rsidRPr="00C84EDB">
              <w:rPr>
                <w:rFonts w:cstheme="minorHAnsi"/>
              </w:rPr>
              <w:t>174</w:t>
            </w:r>
          </w:p>
        </w:tc>
      </w:tr>
      <w:tr w:rsidR="00E35243" w:rsidRPr="007828DD" w14:paraId="42E18C8C" w14:textId="77777777" w:rsidTr="0DD82799">
        <w:tc>
          <w:tcPr>
            <w:tcW w:w="1509" w:type="pct"/>
          </w:tcPr>
          <w:p w14:paraId="1002DB4F" w14:textId="77777777" w:rsidR="00E35243" w:rsidRPr="00C84EDB" w:rsidRDefault="00E35243">
            <w:pPr>
              <w:spacing w:after="120" w:line="259" w:lineRule="auto"/>
              <w:rPr>
                <w:rFonts w:cstheme="minorHAnsi"/>
              </w:rPr>
            </w:pPr>
            <w:r w:rsidRPr="00C84EDB">
              <w:rPr>
                <w:rFonts w:cstheme="minorHAnsi"/>
              </w:rPr>
              <w:t>100 unit</w:t>
            </w:r>
            <w:r>
              <w:rPr>
                <w:rFonts w:cstheme="minorHAnsi"/>
              </w:rPr>
              <w:t>s</w:t>
            </w:r>
          </w:p>
        </w:tc>
        <w:tc>
          <w:tcPr>
            <w:tcW w:w="1721" w:type="pct"/>
          </w:tcPr>
          <w:p w14:paraId="58A414D4" w14:textId="77777777" w:rsidR="00E35243" w:rsidRPr="00C84EDB" w:rsidRDefault="00E35243">
            <w:pPr>
              <w:spacing w:after="120" w:line="259" w:lineRule="auto"/>
              <w:rPr>
                <w:rFonts w:cstheme="minorHAnsi"/>
              </w:rPr>
            </w:pPr>
            <w:r w:rsidRPr="00C84EDB">
              <w:rPr>
                <w:rFonts w:cstheme="minorHAnsi"/>
              </w:rPr>
              <w:t>0.78</w:t>
            </w:r>
          </w:p>
        </w:tc>
        <w:tc>
          <w:tcPr>
            <w:tcW w:w="1770" w:type="pct"/>
          </w:tcPr>
          <w:p w14:paraId="29BFEC86" w14:textId="77777777" w:rsidR="00E35243" w:rsidRPr="00C84EDB" w:rsidRDefault="00E35243">
            <w:pPr>
              <w:spacing w:after="120" w:line="259" w:lineRule="auto"/>
              <w:rPr>
                <w:rFonts w:cstheme="minorHAnsi"/>
              </w:rPr>
            </w:pPr>
            <w:r w:rsidRPr="00C84EDB">
              <w:rPr>
                <w:rFonts w:cstheme="minorHAnsi"/>
              </w:rPr>
              <w:t>166</w:t>
            </w:r>
          </w:p>
        </w:tc>
      </w:tr>
    </w:tbl>
    <w:p w14:paraId="61D9B5B8" w14:textId="77777777" w:rsidR="00E35243" w:rsidRPr="00F97F67" w:rsidRDefault="00E35243" w:rsidP="00F97F67">
      <w:pPr>
        <w:spacing w:after="20" w:line="240" w:lineRule="auto"/>
        <w:rPr>
          <w:rFonts w:cstheme="minorHAnsi"/>
          <w:sz w:val="18"/>
          <w:szCs w:val="18"/>
        </w:rPr>
      </w:pPr>
      <w:r w:rsidRPr="007F30D5">
        <w:rPr>
          <w:sz w:val="18"/>
          <w:szCs w:val="18"/>
        </w:rPr>
        <w:t>Note</w:t>
      </w:r>
      <w:r>
        <w:rPr>
          <w:sz w:val="18"/>
          <w:szCs w:val="18"/>
        </w:rPr>
        <w:t xml:space="preserve"> 1</w:t>
      </w:r>
      <w:r w:rsidRPr="007F30D5">
        <w:rPr>
          <w:sz w:val="18"/>
          <w:szCs w:val="18"/>
        </w:rPr>
        <w:t xml:space="preserve">: </w:t>
      </w:r>
      <w:r w:rsidRPr="001A3A6C">
        <w:rPr>
          <w:sz w:val="18"/>
          <w:szCs w:val="18"/>
        </w:rPr>
        <w:t xml:space="preserve">Results based on using robust mixture prior with initial weight 0.3 on the global data which had an estimated </w:t>
      </w:r>
      <w:r w:rsidRPr="009506DC">
        <w:rPr>
          <w:rFonts w:cstheme="minorHAnsi"/>
          <w:sz w:val="18"/>
          <w:szCs w:val="18"/>
        </w:rPr>
        <w:t>treatment effect of 86 units.</w:t>
      </w:r>
    </w:p>
    <w:p w14:paraId="781D2C08" w14:textId="77777777" w:rsidR="00E35243" w:rsidRPr="00F97F67" w:rsidRDefault="00E35243" w:rsidP="00F97F67">
      <w:pPr>
        <w:spacing w:after="20" w:line="240" w:lineRule="auto"/>
        <w:rPr>
          <w:rFonts w:cstheme="minorHAnsi"/>
          <w:sz w:val="18"/>
          <w:szCs w:val="18"/>
        </w:rPr>
      </w:pPr>
      <w:r>
        <w:rPr>
          <w:rFonts w:cstheme="minorHAnsi"/>
          <w:sz w:val="18"/>
          <w:szCs w:val="18"/>
        </w:rPr>
        <w:t xml:space="preserve">Note 2: </w:t>
      </w:r>
      <w:r w:rsidRPr="00F97F67">
        <w:rPr>
          <w:rFonts w:cstheme="minorHAnsi"/>
          <w:sz w:val="18"/>
          <w:szCs w:val="18"/>
        </w:rPr>
        <w:t>MDD, minimum detectable difference</w:t>
      </w:r>
    </w:p>
    <w:p w14:paraId="122F2718" w14:textId="77777777" w:rsidR="00E35243" w:rsidRPr="00F97F67" w:rsidRDefault="00E35243" w:rsidP="00F97F67">
      <w:pPr>
        <w:spacing w:after="20"/>
        <w:rPr>
          <w:rFonts w:cstheme="minorHAnsi"/>
          <w:sz w:val="18"/>
          <w:szCs w:val="18"/>
        </w:rPr>
      </w:pPr>
      <w:r w:rsidRPr="00F97F67">
        <w:rPr>
          <w:rFonts w:cstheme="minorHAnsi"/>
          <w:sz w:val="18"/>
          <w:szCs w:val="18"/>
        </w:rPr>
        <w:t xml:space="preserve">Note </w:t>
      </w:r>
      <w:r>
        <w:rPr>
          <w:rFonts w:cstheme="minorHAnsi"/>
          <w:sz w:val="18"/>
          <w:szCs w:val="18"/>
        </w:rPr>
        <w:t>3</w:t>
      </w:r>
      <w:r w:rsidRPr="00F97F67">
        <w:rPr>
          <w:rFonts w:cstheme="minorHAnsi"/>
          <w:sz w:val="18"/>
          <w:szCs w:val="18"/>
        </w:rPr>
        <w:t>: A posterior weight of 0.5 does not mean that we borrow 50% of the information / effective sample size</w:t>
      </w:r>
      <w:r>
        <w:rPr>
          <w:rFonts w:cstheme="minorHAnsi"/>
          <w:sz w:val="18"/>
          <w:szCs w:val="18"/>
        </w:rPr>
        <w:t xml:space="preserve"> (ESS)</w:t>
      </w:r>
      <w:r w:rsidRPr="00F97F67">
        <w:rPr>
          <w:rFonts w:cstheme="minorHAnsi"/>
          <w:sz w:val="18"/>
          <w:szCs w:val="18"/>
        </w:rPr>
        <w:t xml:space="preserve"> from the global study. The ESS and posterior weight are correlated but there is not a 1-to-1 mapping of the weight to the fraction of the global sample size that is borrowed</w:t>
      </w:r>
    </w:p>
    <w:p w14:paraId="35FB84AF" w14:textId="77777777" w:rsidR="00E35243" w:rsidRDefault="00E35243" w:rsidP="002F5FE3">
      <w:pPr>
        <w:spacing w:after="120"/>
        <w:ind w:left="60"/>
      </w:pPr>
    </w:p>
    <w:p w14:paraId="0D1DF390" w14:textId="77777777" w:rsidR="00E35243" w:rsidRDefault="00E35243" w:rsidP="002F5FE3">
      <w:pPr>
        <w:spacing w:after="120"/>
        <w:ind w:left="60"/>
      </w:pPr>
      <w:r>
        <w:t xml:space="preserve">Supplement Table 2 shows that the updated weight and effective sample size (ESS) borrowed from the global study increase as the possible value for the observed China treatment difference gets more similar to the global study result, with maximal borrowing (corresponding to an updated weight of 0.78 and 174 patients’ worth of information per arm being borrowed from the global study) occurring if the observed China treatment difference coincides with the global treatment difference (i.e. 86 units). Note that the weight on the global study data does not increase to 1.0 in the latter scenario, since even though the </w:t>
      </w:r>
      <w:r w:rsidRPr="00F97F67">
        <w:rPr>
          <w:i/>
          <w:iCs/>
        </w:rPr>
        <w:t>observed</w:t>
      </w:r>
      <w:r>
        <w:t xml:space="preserve"> result for China is identical to the global result, it is plausible that the true treatment differences are not identical because of chance variation in the observed data. So, this possibility is reflected by the posterior weight and ESS not borrowing the totality of data from the global study. </w:t>
      </w:r>
    </w:p>
    <w:p w14:paraId="51158173" w14:textId="77777777" w:rsidR="00E35243" w:rsidRDefault="00E35243" w:rsidP="002E48A6">
      <w:pPr>
        <w:spacing w:after="120"/>
        <w:ind w:left="60"/>
      </w:pPr>
      <w:r>
        <w:t>I</w:t>
      </w:r>
      <w:r w:rsidRPr="004B75A3">
        <w:t xml:space="preserve">f no </w:t>
      </w:r>
      <w:r>
        <w:t xml:space="preserve">treatment </w:t>
      </w:r>
      <w:r w:rsidRPr="004B75A3">
        <w:t xml:space="preserve">difference (0 </w:t>
      </w:r>
      <w:r>
        <w:t>units</w:t>
      </w:r>
      <w:r w:rsidRPr="004B75A3">
        <w:t>) was observed</w:t>
      </w:r>
      <w:r>
        <w:t xml:space="preserve"> </w:t>
      </w:r>
      <w:r w:rsidRPr="004B75A3">
        <w:t>in the China study</w:t>
      </w:r>
      <w:r>
        <w:t>, t</w:t>
      </w:r>
      <w:r w:rsidRPr="004B75A3">
        <w:t xml:space="preserve">he weight on the global study would still increase in this scenario </w:t>
      </w:r>
      <w:r>
        <w:t>(</w:t>
      </w:r>
      <w:r w:rsidRPr="004B75A3">
        <w:t xml:space="preserve">because it is still plausible that the true China </w:t>
      </w:r>
      <w:r>
        <w:t xml:space="preserve">treatment difference </w:t>
      </w:r>
      <w:r w:rsidRPr="004B75A3">
        <w:t>is consistent with</w:t>
      </w:r>
      <w:r>
        <w:t xml:space="preserve"> the global result and that the observed treatment difference of 0 unit was obtained just due to chance variation)</w:t>
      </w:r>
      <w:r w:rsidRPr="007F6F95">
        <w:t xml:space="preserve"> </w:t>
      </w:r>
      <w:r>
        <w:t xml:space="preserve">but only to a </w:t>
      </w:r>
      <w:r w:rsidRPr="004B75A3">
        <w:t>weight of 0.56. This equates to only borrowing 5 effective subjects’ worth of information per arm from the global</w:t>
      </w:r>
      <w:r>
        <w:t xml:space="preserve"> </w:t>
      </w:r>
      <w:r w:rsidRPr="004B75A3">
        <w:t xml:space="preserve">study. </w:t>
      </w:r>
    </w:p>
    <w:p w14:paraId="41140413" w14:textId="77777777" w:rsidR="00E35243" w:rsidRPr="004B75A3" w:rsidRDefault="00E35243" w:rsidP="002E48A6">
      <w:pPr>
        <w:spacing w:after="120"/>
        <w:ind w:left="60"/>
      </w:pPr>
    </w:p>
    <w:p w14:paraId="37ED2AF0" w14:textId="77777777" w:rsidR="00E35243" w:rsidRDefault="00E35243" w:rsidP="0DD82799"/>
    <w:p w14:paraId="15BF2575" w14:textId="77777777" w:rsidR="008D366D" w:rsidRDefault="008D366D" w:rsidP="0DD82799"/>
    <w:p w14:paraId="41826642" w14:textId="77777777" w:rsidR="008D366D" w:rsidRDefault="008D366D" w:rsidP="0DD82799"/>
    <w:p w14:paraId="1ECE5DE3" w14:textId="77777777" w:rsidR="008D366D" w:rsidRDefault="008D366D" w:rsidP="0DD82799"/>
    <w:p w14:paraId="20951175" w14:textId="77777777" w:rsidR="00E35243" w:rsidRDefault="00E35243" w:rsidP="0DD82799"/>
    <w:p w14:paraId="11CB67EF" w14:textId="77777777" w:rsidR="00E35243" w:rsidRPr="00C84EDB" w:rsidRDefault="00E35243">
      <w:pPr>
        <w:rPr>
          <w:rFonts w:cstheme="minorHAnsi"/>
        </w:rPr>
      </w:pPr>
    </w:p>
    <w:p w14:paraId="435EF8AB" w14:textId="77777777" w:rsidR="00E35243" w:rsidRPr="007828DD" w:rsidRDefault="00E35243" w:rsidP="00C84EDB">
      <w:pPr>
        <w:pStyle w:val="Title"/>
        <w:spacing w:after="240"/>
        <w:rPr>
          <w:rFonts w:asciiTheme="minorHAnsi" w:hAnsiTheme="minorHAnsi" w:cstheme="minorHAnsi"/>
          <w:b/>
          <w:bCs/>
          <w:sz w:val="22"/>
          <w:szCs w:val="22"/>
        </w:rPr>
      </w:pPr>
      <w:r w:rsidRPr="00C84EDB">
        <w:rPr>
          <w:rFonts w:asciiTheme="minorHAnsi" w:hAnsiTheme="minorHAnsi" w:cstheme="minorHAnsi"/>
          <w:b/>
          <w:bCs/>
          <w:sz w:val="22"/>
          <w:szCs w:val="22"/>
        </w:rPr>
        <w:t xml:space="preserve">Supplement </w:t>
      </w:r>
      <w:r>
        <w:rPr>
          <w:rFonts w:asciiTheme="minorHAnsi" w:hAnsiTheme="minorHAnsi" w:cstheme="minorHAnsi"/>
          <w:b/>
          <w:bCs/>
          <w:sz w:val="22"/>
          <w:szCs w:val="22"/>
        </w:rPr>
        <w:t xml:space="preserve">Table 3: </w:t>
      </w:r>
      <w:r w:rsidRPr="007828DD">
        <w:rPr>
          <w:rFonts w:asciiTheme="minorHAnsi" w:hAnsiTheme="minorHAnsi" w:cstheme="minorHAnsi"/>
          <w:b/>
          <w:bCs/>
          <w:sz w:val="22"/>
          <w:szCs w:val="22"/>
        </w:rPr>
        <w:t xml:space="preserve">Long-run frequentist operating characteristics of </w:t>
      </w:r>
      <w:r>
        <w:rPr>
          <w:rFonts w:asciiTheme="minorHAnsi" w:hAnsiTheme="minorHAnsi" w:cstheme="minorHAnsi"/>
          <w:b/>
          <w:bCs/>
          <w:sz w:val="22"/>
          <w:szCs w:val="22"/>
        </w:rPr>
        <w:t xml:space="preserve">Bayesian Dynamic Borrowing (BDB) </w:t>
      </w:r>
      <w:r w:rsidRPr="007828DD">
        <w:rPr>
          <w:rFonts w:asciiTheme="minorHAnsi" w:hAnsiTheme="minorHAnsi" w:cstheme="minorHAnsi"/>
          <w:b/>
          <w:bCs/>
          <w:sz w:val="22"/>
          <w:szCs w:val="22"/>
        </w:rPr>
        <w:t>study design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1747"/>
        <w:gridCol w:w="1758"/>
        <w:gridCol w:w="912"/>
        <w:gridCol w:w="1854"/>
        <w:gridCol w:w="1545"/>
      </w:tblGrid>
      <w:tr w:rsidR="00E35243" w:rsidRPr="007828DD" w14:paraId="50C97C14" w14:textId="77777777" w:rsidTr="001D05CB">
        <w:trPr>
          <w:trHeight w:val="20"/>
        </w:trPr>
        <w:tc>
          <w:tcPr>
            <w:tcW w:w="665" w:type="pct"/>
            <w:shd w:val="clear" w:color="auto" w:fill="auto"/>
          </w:tcPr>
          <w:p w14:paraId="2D767E7B" w14:textId="77777777" w:rsidR="00E35243" w:rsidRPr="00C84EDB" w:rsidRDefault="00E35243" w:rsidP="00C13F0A">
            <w:pPr>
              <w:pStyle w:val="tabletext"/>
              <w:spacing w:before="40" w:after="40"/>
              <w:rPr>
                <w:rFonts w:asciiTheme="minorHAnsi" w:hAnsiTheme="minorHAnsi" w:cstheme="minorHAnsi"/>
                <w:b/>
                <w:bCs/>
                <w:sz w:val="22"/>
                <w:szCs w:val="22"/>
              </w:rPr>
            </w:pPr>
            <w:r w:rsidRPr="00C84EDB">
              <w:rPr>
                <w:rFonts w:asciiTheme="minorHAnsi" w:hAnsiTheme="minorHAnsi" w:cstheme="minorHAnsi"/>
                <w:b/>
                <w:bCs/>
                <w:sz w:val="22"/>
                <w:szCs w:val="22"/>
              </w:rPr>
              <w:t>True mean difference (unit</w:t>
            </w:r>
            <w:r>
              <w:rPr>
                <w:rFonts w:asciiTheme="minorHAnsi" w:hAnsiTheme="minorHAnsi" w:cstheme="minorHAnsi"/>
                <w:b/>
                <w:bCs/>
                <w:sz w:val="22"/>
                <w:szCs w:val="22"/>
              </w:rPr>
              <w:t>s</w:t>
            </w:r>
            <w:r w:rsidRPr="00C84EDB">
              <w:rPr>
                <w:rFonts w:asciiTheme="minorHAnsi" w:hAnsiTheme="minorHAnsi" w:cstheme="minorHAnsi"/>
                <w:b/>
                <w:bCs/>
                <w:sz w:val="22"/>
                <w:szCs w:val="22"/>
              </w:rPr>
              <w:t>)</w:t>
            </w:r>
          </w:p>
        </w:tc>
        <w:tc>
          <w:tcPr>
            <w:tcW w:w="969" w:type="pct"/>
            <w:shd w:val="clear" w:color="auto" w:fill="auto"/>
          </w:tcPr>
          <w:p w14:paraId="35DEFDAA" w14:textId="77777777" w:rsidR="00E35243" w:rsidRPr="00C84EDB" w:rsidRDefault="00E35243">
            <w:pPr>
              <w:pStyle w:val="tabletext"/>
              <w:spacing w:before="40" w:after="40"/>
              <w:jc w:val="center"/>
              <w:rPr>
                <w:rFonts w:asciiTheme="minorHAnsi" w:hAnsiTheme="minorHAnsi" w:cstheme="minorHAnsi"/>
                <w:b/>
                <w:bCs/>
                <w:sz w:val="22"/>
                <w:szCs w:val="22"/>
              </w:rPr>
            </w:pPr>
            <w:r w:rsidRPr="00C84EDB">
              <w:rPr>
                <w:rFonts w:asciiTheme="minorHAnsi" w:hAnsiTheme="minorHAnsi" w:cstheme="minorHAnsi"/>
                <w:b/>
                <w:bCs/>
                <w:sz w:val="22"/>
                <w:szCs w:val="22"/>
              </w:rPr>
              <w:t>Probability of success</w:t>
            </w:r>
          </w:p>
          <w:p w14:paraId="46B63973" w14:textId="77777777" w:rsidR="00E35243" w:rsidRPr="00C84EDB" w:rsidRDefault="00E35243">
            <w:pPr>
              <w:pStyle w:val="tabletext"/>
              <w:spacing w:before="40" w:after="40"/>
              <w:jc w:val="center"/>
              <w:rPr>
                <w:rFonts w:asciiTheme="minorHAnsi" w:hAnsiTheme="minorHAnsi" w:cstheme="minorHAnsi"/>
                <w:b/>
                <w:bCs/>
                <w:sz w:val="22"/>
                <w:szCs w:val="22"/>
              </w:rPr>
            </w:pPr>
          </w:p>
        </w:tc>
        <w:tc>
          <w:tcPr>
            <w:tcW w:w="975" w:type="pct"/>
            <w:shd w:val="clear" w:color="auto" w:fill="auto"/>
          </w:tcPr>
          <w:p w14:paraId="57C6D0AF" w14:textId="77777777" w:rsidR="00E35243" w:rsidRPr="00C84EDB" w:rsidRDefault="00E35243">
            <w:pPr>
              <w:pStyle w:val="tabletext"/>
              <w:spacing w:before="40" w:after="40"/>
              <w:jc w:val="center"/>
              <w:rPr>
                <w:rFonts w:asciiTheme="minorHAnsi" w:hAnsiTheme="minorHAnsi" w:cstheme="minorHAnsi"/>
                <w:b/>
                <w:bCs/>
                <w:sz w:val="22"/>
                <w:szCs w:val="22"/>
              </w:rPr>
            </w:pPr>
            <w:r w:rsidRPr="00C84EDB">
              <w:rPr>
                <w:rFonts w:asciiTheme="minorHAnsi" w:hAnsiTheme="minorHAnsi" w:cstheme="minorHAnsi"/>
                <w:b/>
                <w:bCs/>
                <w:sz w:val="22"/>
                <w:szCs w:val="22"/>
              </w:rPr>
              <w:t>Average half-width of 90% credible interval (unit</w:t>
            </w:r>
            <w:r>
              <w:rPr>
                <w:rFonts w:asciiTheme="minorHAnsi" w:hAnsiTheme="minorHAnsi" w:cstheme="minorHAnsi"/>
                <w:b/>
                <w:bCs/>
                <w:sz w:val="22"/>
                <w:szCs w:val="22"/>
              </w:rPr>
              <w:t>s</w:t>
            </w:r>
            <w:r w:rsidRPr="00C84EDB">
              <w:rPr>
                <w:rFonts w:asciiTheme="minorHAnsi" w:hAnsiTheme="minorHAnsi" w:cstheme="minorHAnsi"/>
                <w:b/>
                <w:bCs/>
                <w:sz w:val="22"/>
                <w:szCs w:val="22"/>
              </w:rPr>
              <w:t>)</w:t>
            </w:r>
          </w:p>
        </w:tc>
        <w:tc>
          <w:tcPr>
            <w:tcW w:w="506" w:type="pct"/>
            <w:shd w:val="clear" w:color="auto" w:fill="auto"/>
          </w:tcPr>
          <w:p w14:paraId="0140B699" w14:textId="77777777" w:rsidR="00E35243" w:rsidRPr="00C84EDB" w:rsidRDefault="00E35243">
            <w:pPr>
              <w:pStyle w:val="tabletext"/>
              <w:spacing w:before="40" w:after="40"/>
              <w:jc w:val="center"/>
              <w:rPr>
                <w:rFonts w:asciiTheme="minorHAnsi" w:hAnsiTheme="minorHAnsi" w:cstheme="minorHAnsi"/>
                <w:b/>
                <w:bCs/>
                <w:sz w:val="22"/>
                <w:szCs w:val="22"/>
              </w:rPr>
            </w:pPr>
            <w:r w:rsidRPr="00C84EDB">
              <w:rPr>
                <w:rFonts w:asciiTheme="minorHAnsi" w:hAnsiTheme="minorHAnsi" w:cstheme="minorHAnsi"/>
                <w:b/>
                <w:bCs/>
                <w:sz w:val="22"/>
                <w:szCs w:val="22"/>
              </w:rPr>
              <w:t>Bias (unit</w:t>
            </w:r>
            <w:r>
              <w:rPr>
                <w:rFonts w:asciiTheme="minorHAnsi" w:hAnsiTheme="minorHAnsi" w:cstheme="minorHAnsi"/>
                <w:b/>
                <w:bCs/>
                <w:sz w:val="22"/>
                <w:szCs w:val="22"/>
              </w:rPr>
              <w:t>s</w:t>
            </w:r>
            <w:r w:rsidRPr="00C84EDB">
              <w:rPr>
                <w:rFonts w:asciiTheme="minorHAnsi" w:hAnsiTheme="minorHAnsi" w:cstheme="minorHAnsi"/>
                <w:b/>
                <w:bCs/>
                <w:sz w:val="22"/>
                <w:szCs w:val="22"/>
              </w:rPr>
              <w:t>)</w:t>
            </w:r>
          </w:p>
        </w:tc>
        <w:tc>
          <w:tcPr>
            <w:tcW w:w="1028" w:type="pct"/>
            <w:shd w:val="clear" w:color="auto" w:fill="auto"/>
          </w:tcPr>
          <w:p w14:paraId="2AA9CA13" w14:textId="77777777" w:rsidR="00E35243" w:rsidRPr="00C84EDB" w:rsidRDefault="00E35243">
            <w:pPr>
              <w:pStyle w:val="tabletext"/>
              <w:spacing w:before="40" w:after="40"/>
              <w:jc w:val="center"/>
              <w:rPr>
                <w:rFonts w:asciiTheme="minorHAnsi" w:hAnsiTheme="minorHAnsi" w:cstheme="minorHAnsi"/>
                <w:b/>
                <w:bCs/>
                <w:sz w:val="22"/>
                <w:szCs w:val="22"/>
              </w:rPr>
            </w:pPr>
            <w:r w:rsidRPr="00C84EDB">
              <w:rPr>
                <w:rFonts w:asciiTheme="minorHAnsi" w:hAnsiTheme="minorHAnsi" w:cstheme="minorHAnsi"/>
                <w:b/>
                <w:bCs/>
                <w:sz w:val="22"/>
                <w:szCs w:val="22"/>
              </w:rPr>
              <w:t>Average effective sample size borrowed from global study (per arm)</w:t>
            </w:r>
          </w:p>
        </w:tc>
        <w:tc>
          <w:tcPr>
            <w:tcW w:w="857" w:type="pct"/>
          </w:tcPr>
          <w:p w14:paraId="4EBA011C" w14:textId="77777777" w:rsidR="00E35243" w:rsidRPr="00C84EDB" w:rsidRDefault="00E35243">
            <w:pPr>
              <w:pStyle w:val="tabletext"/>
              <w:spacing w:before="40" w:after="40"/>
              <w:jc w:val="center"/>
              <w:rPr>
                <w:rFonts w:asciiTheme="minorHAnsi" w:hAnsiTheme="minorHAnsi" w:cstheme="minorHAnsi"/>
                <w:b/>
                <w:bCs/>
                <w:sz w:val="22"/>
                <w:szCs w:val="22"/>
              </w:rPr>
            </w:pPr>
            <w:r w:rsidRPr="00C84EDB">
              <w:rPr>
                <w:rFonts w:asciiTheme="minorHAnsi" w:hAnsiTheme="minorHAnsi" w:cstheme="minorHAnsi"/>
                <w:b/>
                <w:bCs/>
                <w:sz w:val="22"/>
                <w:szCs w:val="22"/>
              </w:rPr>
              <w:t xml:space="preserve">Average posterior weight on </w:t>
            </w:r>
            <w:r>
              <w:rPr>
                <w:rFonts w:asciiTheme="minorHAnsi" w:hAnsiTheme="minorHAnsi" w:cstheme="minorHAnsi"/>
                <w:b/>
                <w:bCs/>
                <w:sz w:val="22"/>
                <w:szCs w:val="22"/>
              </w:rPr>
              <w:t>the “informative” component</w:t>
            </w:r>
          </w:p>
        </w:tc>
      </w:tr>
      <w:tr w:rsidR="00E35243" w:rsidRPr="007828DD" w14:paraId="3FE8C081" w14:textId="77777777" w:rsidTr="001D05CB">
        <w:trPr>
          <w:trHeight w:val="20"/>
        </w:trPr>
        <w:tc>
          <w:tcPr>
            <w:tcW w:w="665" w:type="pct"/>
            <w:shd w:val="clear" w:color="auto" w:fill="auto"/>
            <w:vAlign w:val="center"/>
          </w:tcPr>
          <w:p w14:paraId="5CA9F8CF" w14:textId="77777777" w:rsidR="00E35243" w:rsidRPr="00C84EDB" w:rsidRDefault="00E35243">
            <w:pPr>
              <w:pStyle w:val="tabletext"/>
              <w:spacing w:before="40" w:after="40"/>
              <w:jc w:val="center"/>
              <w:rPr>
                <w:rFonts w:asciiTheme="minorHAnsi" w:hAnsiTheme="minorHAnsi" w:cstheme="minorHAnsi"/>
                <w:sz w:val="22"/>
                <w:szCs w:val="22"/>
              </w:rPr>
            </w:pPr>
            <w:r w:rsidRPr="00C84EDB">
              <w:rPr>
                <w:rFonts w:asciiTheme="minorHAnsi" w:hAnsiTheme="minorHAnsi" w:cstheme="minorHAnsi"/>
                <w:sz w:val="22"/>
                <w:szCs w:val="22"/>
              </w:rPr>
              <w:t>0</w:t>
            </w:r>
          </w:p>
        </w:tc>
        <w:tc>
          <w:tcPr>
            <w:tcW w:w="969" w:type="pct"/>
            <w:shd w:val="clear" w:color="auto" w:fill="auto"/>
            <w:vAlign w:val="center"/>
          </w:tcPr>
          <w:p w14:paraId="7FBB0C77" w14:textId="77777777" w:rsidR="00E35243" w:rsidRPr="00C84EDB" w:rsidRDefault="00E35243">
            <w:pPr>
              <w:pStyle w:val="tabletext"/>
              <w:spacing w:before="40" w:after="40"/>
              <w:jc w:val="center"/>
              <w:rPr>
                <w:rFonts w:asciiTheme="minorHAnsi" w:hAnsiTheme="minorHAnsi" w:cstheme="minorHAnsi"/>
                <w:sz w:val="22"/>
                <w:szCs w:val="22"/>
              </w:rPr>
            </w:pPr>
            <w:r w:rsidRPr="00C84EDB">
              <w:rPr>
                <w:rFonts w:asciiTheme="minorHAnsi" w:hAnsiTheme="minorHAnsi" w:cstheme="minorHAnsi"/>
                <w:sz w:val="22"/>
                <w:szCs w:val="22"/>
              </w:rPr>
              <w:t>20%</w:t>
            </w:r>
          </w:p>
        </w:tc>
        <w:tc>
          <w:tcPr>
            <w:tcW w:w="975" w:type="pct"/>
            <w:shd w:val="clear" w:color="auto" w:fill="auto"/>
            <w:vAlign w:val="center"/>
          </w:tcPr>
          <w:p w14:paraId="45DA2751" w14:textId="77777777" w:rsidR="00E35243" w:rsidRPr="00C84EDB" w:rsidRDefault="00E35243">
            <w:pPr>
              <w:pStyle w:val="tabletext"/>
              <w:spacing w:before="40" w:after="40"/>
              <w:jc w:val="center"/>
              <w:rPr>
                <w:rFonts w:asciiTheme="minorHAnsi" w:hAnsiTheme="minorHAnsi" w:cstheme="minorHAnsi"/>
                <w:sz w:val="22"/>
                <w:szCs w:val="22"/>
              </w:rPr>
            </w:pPr>
            <w:r w:rsidRPr="00C84EDB">
              <w:rPr>
                <w:rFonts w:asciiTheme="minorHAnsi" w:hAnsiTheme="minorHAnsi" w:cstheme="minorHAnsi"/>
                <w:sz w:val="22"/>
                <w:szCs w:val="22"/>
              </w:rPr>
              <w:t>84</w:t>
            </w:r>
          </w:p>
        </w:tc>
        <w:tc>
          <w:tcPr>
            <w:tcW w:w="506" w:type="pct"/>
            <w:shd w:val="clear" w:color="auto" w:fill="auto"/>
            <w:vAlign w:val="center"/>
          </w:tcPr>
          <w:p w14:paraId="5D233274" w14:textId="77777777" w:rsidR="00E35243" w:rsidRPr="00C84EDB" w:rsidRDefault="00E35243">
            <w:pPr>
              <w:pStyle w:val="tabletext"/>
              <w:spacing w:before="40" w:after="40"/>
              <w:jc w:val="center"/>
              <w:rPr>
                <w:rFonts w:asciiTheme="minorHAnsi" w:hAnsiTheme="minorHAnsi" w:cstheme="minorHAnsi"/>
                <w:sz w:val="22"/>
                <w:szCs w:val="22"/>
              </w:rPr>
            </w:pPr>
            <w:r w:rsidRPr="00C84EDB">
              <w:rPr>
                <w:rFonts w:asciiTheme="minorHAnsi" w:hAnsiTheme="minorHAnsi" w:cstheme="minorHAnsi"/>
                <w:sz w:val="22"/>
                <w:szCs w:val="22"/>
              </w:rPr>
              <w:t>27.2</w:t>
            </w:r>
          </w:p>
        </w:tc>
        <w:tc>
          <w:tcPr>
            <w:tcW w:w="1028" w:type="pct"/>
            <w:shd w:val="clear" w:color="auto" w:fill="auto"/>
            <w:vAlign w:val="center"/>
          </w:tcPr>
          <w:p w14:paraId="2A5378CA" w14:textId="77777777" w:rsidR="00E35243" w:rsidRPr="00C84EDB" w:rsidRDefault="00E35243">
            <w:pPr>
              <w:pStyle w:val="tabletext"/>
              <w:spacing w:before="40" w:after="40"/>
              <w:jc w:val="center"/>
              <w:rPr>
                <w:rFonts w:asciiTheme="minorHAnsi" w:hAnsiTheme="minorHAnsi" w:cstheme="minorHAnsi"/>
                <w:sz w:val="22"/>
                <w:szCs w:val="22"/>
              </w:rPr>
            </w:pPr>
            <w:r w:rsidRPr="00C84EDB">
              <w:rPr>
                <w:rFonts w:asciiTheme="minorHAnsi" w:hAnsiTheme="minorHAnsi" w:cstheme="minorHAnsi"/>
                <w:sz w:val="22"/>
                <w:szCs w:val="22"/>
              </w:rPr>
              <w:t>36</w:t>
            </w:r>
          </w:p>
        </w:tc>
        <w:tc>
          <w:tcPr>
            <w:tcW w:w="857" w:type="pct"/>
          </w:tcPr>
          <w:p w14:paraId="5F4D9F65" w14:textId="77777777" w:rsidR="00E35243" w:rsidRPr="00C84EDB" w:rsidRDefault="00E35243">
            <w:pPr>
              <w:pStyle w:val="tabletext"/>
              <w:spacing w:before="40" w:after="40"/>
              <w:jc w:val="center"/>
              <w:rPr>
                <w:rFonts w:asciiTheme="minorHAnsi" w:hAnsiTheme="minorHAnsi" w:cstheme="minorHAnsi"/>
                <w:sz w:val="22"/>
                <w:szCs w:val="22"/>
              </w:rPr>
            </w:pPr>
            <w:r w:rsidRPr="00C84EDB">
              <w:rPr>
                <w:rFonts w:asciiTheme="minorHAnsi" w:hAnsiTheme="minorHAnsi" w:cstheme="minorHAnsi"/>
                <w:sz w:val="22"/>
                <w:szCs w:val="22"/>
              </w:rPr>
              <w:t>0.50</w:t>
            </w:r>
          </w:p>
        </w:tc>
      </w:tr>
      <w:tr w:rsidR="00E35243" w:rsidRPr="007828DD" w14:paraId="2F03ECD6" w14:textId="77777777" w:rsidTr="001D05CB">
        <w:trPr>
          <w:trHeight w:val="20"/>
        </w:trPr>
        <w:tc>
          <w:tcPr>
            <w:tcW w:w="665" w:type="pct"/>
            <w:shd w:val="clear" w:color="auto" w:fill="auto"/>
            <w:vAlign w:val="center"/>
          </w:tcPr>
          <w:p w14:paraId="5F2DF465" w14:textId="77777777" w:rsidR="00E35243" w:rsidRPr="00C84EDB" w:rsidRDefault="00E35243">
            <w:pPr>
              <w:pStyle w:val="tabletext"/>
              <w:spacing w:before="40" w:after="40"/>
              <w:jc w:val="center"/>
              <w:rPr>
                <w:rFonts w:asciiTheme="minorHAnsi" w:hAnsiTheme="minorHAnsi" w:cstheme="minorHAnsi"/>
                <w:sz w:val="22"/>
                <w:szCs w:val="22"/>
              </w:rPr>
            </w:pPr>
            <w:r w:rsidRPr="00C84EDB">
              <w:rPr>
                <w:rFonts w:asciiTheme="minorHAnsi" w:hAnsiTheme="minorHAnsi" w:cstheme="minorHAnsi"/>
                <w:sz w:val="22"/>
                <w:szCs w:val="22"/>
              </w:rPr>
              <w:t>60</w:t>
            </w:r>
          </w:p>
        </w:tc>
        <w:tc>
          <w:tcPr>
            <w:tcW w:w="969" w:type="pct"/>
            <w:shd w:val="clear" w:color="auto" w:fill="auto"/>
            <w:vAlign w:val="center"/>
          </w:tcPr>
          <w:p w14:paraId="0105B73D" w14:textId="77777777" w:rsidR="00E35243" w:rsidRPr="00C84EDB" w:rsidRDefault="00E35243">
            <w:pPr>
              <w:pStyle w:val="tabletext"/>
              <w:spacing w:before="40" w:after="40"/>
              <w:jc w:val="center"/>
              <w:rPr>
                <w:rFonts w:asciiTheme="minorHAnsi" w:hAnsiTheme="minorHAnsi" w:cstheme="minorHAnsi"/>
                <w:sz w:val="22"/>
                <w:szCs w:val="22"/>
              </w:rPr>
            </w:pPr>
            <w:r w:rsidRPr="00C84EDB">
              <w:rPr>
                <w:rFonts w:asciiTheme="minorHAnsi" w:hAnsiTheme="minorHAnsi" w:cstheme="minorHAnsi"/>
                <w:sz w:val="22"/>
                <w:szCs w:val="22"/>
              </w:rPr>
              <w:t>58%</w:t>
            </w:r>
          </w:p>
        </w:tc>
        <w:tc>
          <w:tcPr>
            <w:tcW w:w="975" w:type="pct"/>
            <w:shd w:val="clear" w:color="auto" w:fill="auto"/>
            <w:vAlign w:val="center"/>
          </w:tcPr>
          <w:p w14:paraId="53534BE4" w14:textId="77777777" w:rsidR="00E35243" w:rsidRPr="00C84EDB" w:rsidRDefault="00E35243">
            <w:pPr>
              <w:pStyle w:val="tabletext"/>
              <w:spacing w:before="40" w:after="40"/>
              <w:jc w:val="center"/>
              <w:rPr>
                <w:rFonts w:asciiTheme="minorHAnsi" w:hAnsiTheme="minorHAnsi" w:cstheme="minorHAnsi"/>
                <w:sz w:val="22"/>
                <w:szCs w:val="22"/>
              </w:rPr>
            </w:pPr>
            <w:r w:rsidRPr="00C84EDB">
              <w:rPr>
                <w:rFonts w:asciiTheme="minorHAnsi" w:hAnsiTheme="minorHAnsi" w:cstheme="minorHAnsi"/>
                <w:sz w:val="22"/>
                <w:szCs w:val="22"/>
              </w:rPr>
              <w:t>67</w:t>
            </w:r>
          </w:p>
        </w:tc>
        <w:tc>
          <w:tcPr>
            <w:tcW w:w="506" w:type="pct"/>
            <w:shd w:val="clear" w:color="auto" w:fill="auto"/>
            <w:vAlign w:val="center"/>
          </w:tcPr>
          <w:p w14:paraId="3D935487" w14:textId="77777777" w:rsidR="00E35243" w:rsidRPr="00C84EDB" w:rsidRDefault="00E35243">
            <w:pPr>
              <w:pStyle w:val="tabletext"/>
              <w:spacing w:before="40" w:after="40"/>
              <w:jc w:val="center"/>
              <w:rPr>
                <w:rFonts w:asciiTheme="minorHAnsi" w:hAnsiTheme="minorHAnsi" w:cstheme="minorHAnsi"/>
                <w:sz w:val="22"/>
                <w:szCs w:val="22"/>
              </w:rPr>
            </w:pPr>
            <w:r w:rsidRPr="00C84EDB">
              <w:rPr>
                <w:rFonts w:asciiTheme="minorHAnsi" w:hAnsiTheme="minorHAnsi" w:cstheme="minorHAnsi"/>
                <w:sz w:val="22"/>
                <w:szCs w:val="22"/>
              </w:rPr>
              <w:t>11.1</w:t>
            </w:r>
          </w:p>
        </w:tc>
        <w:tc>
          <w:tcPr>
            <w:tcW w:w="1028" w:type="pct"/>
            <w:shd w:val="clear" w:color="auto" w:fill="auto"/>
            <w:vAlign w:val="center"/>
          </w:tcPr>
          <w:p w14:paraId="581E9728" w14:textId="77777777" w:rsidR="00E35243" w:rsidRPr="00C84EDB" w:rsidRDefault="00E35243">
            <w:pPr>
              <w:pStyle w:val="tabletext"/>
              <w:spacing w:before="40" w:after="40"/>
              <w:jc w:val="center"/>
              <w:rPr>
                <w:rFonts w:asciiTheme="minorHAnsi" w:hAnsiTheme="minorHAnsi" w:cstheme="minorHAnsi"/>
                <w:sz w:val="22"/>
                <w:szCs w:val="22"/>
              </w:rPr>
            </w:pPr>
            <w:r w:rsidRPr="00C84EDB">
              <w:rPr>
                <w:rFonts w:asciiTheme="minorHAnsi" w:hAnsiTheme="minorHAnsi" w:cstheme="minorHAnsi"/>
                <w:sz w:val="22"/>
                <w:szCs w:val="22"/>
              </w:rPr>
              <w:t>91</w:t>
            </w:r>
          </w:p>
        </w:tc>
        <w:tc>
          <w:tcPr>
            <w:tcW w:w="857" w:type="pct"/>
          </w:tcPr>
          <w:p w14:paraId="2899CAC0" w14:textId="77777777" w:rsidR="00E35243" w:rsidRPr="00C84EDB" w:rsidRDefault="00E35243">
            <w:pPr>
              <w:pStyle w:val="tabletext"/>
              <w:spacing w:before="40" w:after="40"/>
              <w:jc w:val="center"/>
              <w:rPr>
                <w:rFonts w:asciiTheme="minorHAnsi" w:hAnsiTheme="minorHAnsi" w:cstheme="minorHAnsi"/>
                <w:sz w:val="22"/>
                <w:szCs w:val="22"/>
              </w:rPr>
            </w:pPr>
            <w:r w:rsidRPr="00C84EDB">
              <w:rPr>
                <w:rFonts w:asciiTheme="minorHAnsi" w:hAnsiTheme="minorHAnsi" w:cstheme="minorHAnsi"/>
                <w:sz w:val="22"/>
                <w:szCs w:val="22"/>
              </w:rPr>
              <w:t>0.67</w:t>
            </w:r>
          </w:p>
        </w:tc>
      </w:tr>
      <w:tr w:rsidR="00E35243" w:rsidRPr="007828DD" w14:paraId="344BCC18" w14:textId="77777777" w:rsidTr="001D05CB">
        <w:trPr>
          <w:trHeight w:val="20"/>
        </w:trPr>
        <w:tc>
          <w:tcPr>
            <w:tcW w:w="665" w:type="pct"/>
            <w:shd w:val="clear" w:color="auto" w:fill="auto"/>
            <w:vAlign w:val="center"/>
          </w:tcPr>
          <w:p w14:paraId="44A1935A" w14:textId="77777777" w:rsidR="00E35243" w:rsidRPr="00C84EDB" w:rsidRDefault="00E35243">
            <w:pPr>
              <w:pStyle w:val="tabletext"/>
              <w:spacing w:before="40" w:after="40"/>
              <w:jc w:val="center"/>
              <w:rPr>
                <w:rFonts w:asciiTheme="minorHAnsi" w:hAnsiTheme="minorHAnsi" w:cstheme="minorHAnsi"/>
                <w:sz w:val="22"/>
                <w:szCs w:val="22"/>
              </w:rPr>
            </w:pPr>
            <w:r w:rsidRPr="00C84EDB">
              <w:rPr>
                <w:rFonts w:asciiTheme="minorHAnsi" w:hAnsiTheme="minorHAnsi" w:cstheme="minorHAnsi"/>
                <w:sz w:val="22"/>
                <w:szCs w:val="22"/>
              </w:rPr>
              <w:t>86</w:t>
            </w:r>
          </w:p>
        </w:tc>
        <w:tc>
          <w:tcPr>
            <w:tcW w:w="969" w:type="pct"/>
            <w:shd w:val="clear" w:color="auto" w:fill="auto"/>
            <w:vAlign w:val="center"/>
          </w:tcPr>
          <w:p w14:paraId="059EB3B9" w14:textId="77777777" w:rsidR="00E35243" w:rsidRPr="00C84EDB" w:rsidRDefault="00E35243">
            <w:pPr>
              <w:pStyle w:val="tabletext"/>
              <w:spacing w:before="40" w:after="40"/>
              <w:jc w:val="center"/>
              <w:rPr>
                <w:rFonts w:asciiTheme="minorHAnsi" w:hAnsiTheme="minorHAnsi" w:cstheme="minorHAnsi"/>
                <w:sz w:val="22"/>
                <w:szCs w:val="22"/>
              </w:rPr>
            </w:pPr>
            <w:r w:rsidRPr="00C84EDB">
              <w:rPr>
                <w:rFonts w:asciiTheme="minorHAnsi" w:hAnsiTheme="minorHAnsi" w:cstheme="minorHAnsi"/>
                <w:sz w:val="22"/>
                <w:szCs w:val="22"/>
              </w:rPr>
              <w:t>74%</w:t>
            </w:r>
          </w:p>
        </w:tc>
        <w:tc>
          <w:tcPr>
            <w:tcW w:w="975" w:type="pct"/>
            <w:shd w:val="clear" w:color="auto" w:fill="auto"/>
            <w:vAlign w:val="center"/>
          </w:tcPr>
          <w:p w14:paraId="34617362" w14:textId="77777777" w:rsidR="00E35243" w:rsidRPr="00C84EDB" w:rsidRDefault="00E35243">
            <w:pPr>
              <w:pStyle w:val="tabletext"/>
              <w:spacing w:before="40" w:after="40"/>
              <w:jc w:val="center"/>
              <w:rPr>
                <w:rFonts w:asciiTheme="minorHAnsi" w:hAnsiTheme="minorHAnsi" w:cstheme="minorHAnsi"/>
                <w:sz w:val="22"/>
                <w:szCs w:val="22"/>
              </w:rPr>
            </w:pPr>
            <w:r w:rsidRPr="00C84EDB">
              <w:rPr>
                <w:rFonts w:asciiTheme="minorHAnsi" w:hAnsiTheme="minorHAnsi" w:cstheme="minorHAnsi"/>
                <w:sz w:val="22"/>
                <w:szCs w:val="22"/>
              </w:rPr>
              <w:t>65</w:t>
            </w:r>
          </w:p>
        </w:tc>
        <w:tc>
          <w:tcPr>
            <w:tcW w:w="506" w:type="pct"/>
            <w:shd w:val="clear" w:color="auto" w:fill="auto"/>
            <w:vAlign w:val="center"/>
          </w:tcPr>
          <w:p w14:paraId="199452C4" w14:textId="77777777" w:rsidR="00E35243" w:rsidRPr="00C84EDB" w:rsidRDefault="00E35243">
            <w:pPr>
              <w:pStyle w:val="tabletext"/>
              <w:spacing w:before="40" w:after="40"/>
              <w:jc w:val="center"/>
              <w:rPr>
                <w:rFonts w:asciiTheme="minorHAnsi" w:hAnsiTheme="minorHAnsi" w:cstheme="minorHAnsi"/>
                <w:sz w:val="22"/>
                <w:szCs w:val="22"/>
              </w:rPr>
            </w:pPr>
            <w:r w:rsidRPr="00C84EDB">
              <w:rPr>
                <w:rFonts w:asciiTheme="minorHAnsi" w:hAnsiTheme="minorHAnsi" w:cstheme="minorHAnsi"/>
                <w:sz w:val="22"/>
                <w:szCs w:val="22"/>
              </w:rPr>
              <w:t>-0.6</w:t>
            </w:r>
          </w:p>
        </w:tc>
        <w:tc>
          <w:tcPr>
            <w:tcW w:w="1028" w:type="pct"/>
            <w:shd w:val="clear" w:color="auto" w:fill="auto"/>
            <w:vAlign w:val="center"/>
          </w:tcPr>
          <w:p w14:paraId="6A37ECB6" w14:textId="77777777" w:rsidR="00E35243" w:rsidRPr="00C84EDB" w:rsidRDefault="00E35243">
            <w:pPr>
              <w:pStyle w:val="tabletext"/>
              <w:spacing w:before="40" w:after="40"/>
              <w:jc w:val="center"/>
              <w:rPr>
                <w:rFonts w:asciiTheme="minorHAnsi" w:hAnsiTheme="minorHAnsi" w:cstheme="minorHAnsi"/>
                <w:sz w:val="22"/>
                <w:szCs w:val="22"/>
              </w:rPr>
            </w:pPr>
            <w:r w:rsidRPr="00C84EDB">
              <w:rPr>
                <w:rFonts w:asciiTheme="minorHAnsi" w:hAnsiTheme="minorHAnsi" w:cstheme="minorHAnsi"/>
                <w:sz w:val="22"/>
                <w:szCs w:val="22"/>
              </w:rPr>
              <w:t>97</w:t>
            </w:r>
          </w:p>
        </w:tc>
        <w:tc>
          <w:tcPr>
            <w:tcW w:w="857" w:type="pct"/>
          </w:tcPr>
          <w:p w14:paraId="7E80F534" w14:textId="77777777" w:rsidR="00E35243" w:rsidRPr="00C84EDB" w:rsidRDefault="00E35243">
            <w:pPr>
              <w:pStyle w:val="tabletext"/>
              <w:spacing w:before="40" w:after="40"/>
              <w:jc w:val="center"/>
              <w:rPr>
                <w:rFonts w:asciiTheme="minorHAnsi" w:hAnsiTheme="minorHAnsi" w:cstheme="minorHAnsi"/>
                <w:sz w:val="22"/>
                <w:szCs w:val="22"/>
              </w:rPr>
            </w:pPr>
            <w:r w:rsidRPr="00C84EDB">
              <w:rPr>
                <w:rFonts w:asciiTheme="minorHAnsi" w:hAnsiTheme="minorHAnsi" w:cstheme="minorHAnsi"/>
                <w:sz w:val="22"/>
                <w:szCs w:val="22"/>
              </w:rPr>
              <w:t>0.69</w:t>
            </w:r>
          </w:p>
        </w:tc>
      </w:tr>
      <w:tr w:rsidR="00E35243" w:rsidRPr="007828DD" w14:paraId="67381387" w14:textId="77777777" w:rsidTr="001D05CB">
        <w:trPr>
          <w:trHeight w:val="20"/>
        </w:trPr>
        <w:tc>
          <w:tcPr>
            <w:tcW w:w="665" w:type="pct"/>
            <w:shd w:val="clear" w:color="auto" w:fill="auto"/>
            <w:vAlign w:val="center"/>
          </w:tcPr>
          <w:p w14:paraId="5AE18677" w14:textId="77777777" w:rsidR="00E35243" w:rsidRPr="00C84EDB" w:rsidRDefault="00E35243">
            <w:pPr>
              <w:pStyle w:val="tabletext"/>
              <w:spacing w:before="40" w:after="40"/>
              <w:jc w:val="center"/>
              <w:rPr>
                <w:rFonts w:asciiTheme="minorHAnsi" w:hAnsiTheme="minorHAnsi" w:cstheme="minorHAnsi"/>
                <w:sz w:val="22"/>
                <w:szCs w:val="22"/>
              </w:rPr>
            </w:pPr>
            <w:r w:rsidRPr="00C84EDB">
              <w:rPr>
                <w:rFonts w:asciiTheme="minorHAnsi" w:hAnsiTheme="minorHAnsi" w:cstheme="minorHAnsi"/>
                <w:sz w:val="22"/>
                <w:szCs w:val="22"/>
              </w:rPr>
              <w:t>100</w:t>
            </w:r>
          </w:p>
        </w:tc>
        <w:tc>
          <w:tcPr>
            <w:tcW w:w="969" w:type="pct"/>
            <w:shd w:val="clear" w:color="auto" w:fill="auto"/>
            <w:vAlign w:val="center"/>
          </w:tcPr>
          <w:p w14:paraId="18F06397" w14:textId="77777777" w:rsidR="00E35243" w:rsidRPr="00C84EDB" w:rsidRDefault="00E35243">
            <w:pPr>
              <w:pStyle w:val="tabletext"/>
              <w:spacing w:before="40" w:after="40"/>
              <w:jc w:val="center"/>
              <w:rPr>
                <w:rFonts w:asciiTheme="minorHAnsi" w:hAnsiTheme="minorHAnsi" w:cstheme="minorHAnsi"/>
                <w:sz w:val="22"/>
                <w:szCs w:val="22"/>
              </w:rPr>
            </w:pPr>
            <w:r w:rsidRPr="00C84EDB">
              <w:rPr>
                <w:rFonts w:asciiTheme="minorHAnsi" w:hAnsiTheme="minorHAnsi" w:cstheme="minorHAnsi"/>
                <w:sz w:val="22"/>
                <w:szCs w:val="22"/>
              </w:rPr>
              <w:t>81%</w:t>
            </w:r>
          </w:p>
        </w:tc>
        <w:tc>
          <w:tcPr>
            <w:tcW w:w="975" w:type="pct"/>
            <w:shd w:val="clear" w:color="auto" w:fill="auto"/>
            <w:vAlign w:val="center"/>
          </w:tcPr>
          <w:p w14:paraId="592961F5" w14:textId="77777777" w:rsidR="00E35243" w:rsidRPr="00C84EDB" w:rsidRDefault="00E35243">
            <w:pPr>
              <w:pStyle w:val="tabletext"/>
              <w:spacing w:before="40" w:after="40"/>
              <w:jc w:val="center"/>
              <w:rPr>
                <w:rFonts w:asciiTheme="minorHAnsi" w:hAnsiTheme="minorHAnsi" w:cstheme="minorHAnsi"/>
                <w:sz w:val="22"/>
                <w:szCs w:val="22"/>
              </w:rPr>
            </w:pPr>
            <w:r w:rsidRPr="00C84EDB">
              <w:rPr>
                <w:rFonts w:asciiTheme="minorHAnsi" w:hAnsiTheme="minorHAnsi" w:cstheme="minorHAnsi"/>
                <w:sz w:val="22"/>
                <w:szCs w:val="22"/>
              </w:rPr>
              <w:t>65</w:t>
            </w:r>
          </w:p>
        </w:tc>
        <w:tc>
          <w:tcPr>
            <w:tcW w:w="506" w:type="pct"/>
            <w:shd w:val="clear" w:color="auto" w:fill="auto"/>
            <w:vAlign w:val="center"/>
          </w:tcPr>
          <w:p w14:paraId="239FE67F" w14:textId="77777777" w:rsidR="00E35243" w:rsidRPr="00C84EDB" w:rsidRDefault="00E35243">
            <w:pPr>
              <w:pStyle w:val="tabletext"/>
              <w:spacing w:before="40" w:after="40"/>
              <w:jc w:val="center"/>
              <w:rPr>
                <w:rFonts w:asciiTheme="minorHAnsi" w:hAnsiTheme="minorHAnsi" w:cstheme="minorHAnsi"/>
                <w:sz w:val="22"/>
                <w:szCs w:val="22"/>
              </w:rPr>
            </w:pPr>
            <w:r w:rsidRPr="00C84EDB">
              <w:rPr>
                <w:rFonts w:asciiTheme="minorHAnsi" w:hAnsiTheme="minorHAnsi" w:cstheme="minorHAnsi"/>
                <w:sz w:val="22"/>
                <w:szCs w:val="22"/>
              </w:rPr>
              <w:t>-6.2</w:t>
            </w:r>
          </w:p>
        </w:tc>
        <w:tc>
          <w:tcPr>
            <w:tcW w:w="1028" w:type="pct"/>
            <w:shd w:val="clear" w:color="auto" w:fill="auto"/>
            <w:vAlign w:val="center"/>
          </w:tcPr>
          <w:p w14:paraId="485A5E98" w14:textId="77777777" w:rsidR="00E35243" w:rsidRPr="00C84EDB" w:rsidRDefault="00E35243">
            <w:pPr>
              <w:pStyle w:val="tabletext"/>
              <w:spacing w:before="40" w:after="40"/>
              <w:jc w:val="center"/>
              <w:rPr>
                <w:rFonts w:asciiTheme="minorHAnsi" w:hAnsiTheme="minorHAnsi" w:cstheme="minorHAnsi"/>
                <w:sz w:val="22"/>
                <w:szCs w:val="22"/>
              </w:rPr>
            </w:pPr>
            <w:r w:rsidRPr="00C84EDB">
              <w:rPr>
                <w:rFonts w:asciiTheme="minorHAnsi" w:hAnsiTheme="minorHAnsi" w:cstheme="minorHAnsi"/>
                <w:sz w:val="22"/>
                <w:szCs w:val="22"/>
              </w:rPr>
              <w:t>95</w:t>
            </w:r>
          </w:p>
        </w:tc>
        <w:tc>
          <w:tcPr>
            <w:tcW w:w="857" w:type="pct"/>
          </w:tcPr>
          <w:p w14:paraId="4DEBB97F" w14:textId="77777777" w:rsidR="00E35243" w:rsidRPr="00C84EDB" w:rsidRDefault="00E35243">
            <w:pPr>
              <w:pStyle w:val="tabletext"/>
              <w:spacing w:before="40" w:after="40"/>
              <w:jc w:val="center"/>
              <w:rPr>
                <w:rFonts w:asciiTheme="minorHAnsi" w:hAnsiTheme="minorHAnsi" w:cstheme="minorHAnsi"/>
                <w:sz w:val="22"/>
                <w:szCs w:val="22"/>
              </w:rPr>
            </w:pPr>
            <w:r w:rsidRPr="00C84EDB">
              <w:rPr>
                <w:rFonts w:asciiTheme="minorHAnsi" w:hAnsiTheme="minorHAnsi" w:cstheme="minorHAnsi"/>
                <w:sz w:val="22"/>
                <w:szCs w:val="22"/>
              </w:rPr>
              <w:t>0.68</w:t>
            </w:r>
          </w:p>
        </w:tc>
      </w:tr>
    </w:tbl>
    <w:p w14:paraId="6D520C70" w14:textId="77777777" w:rsidR="00E35243" w:rsidRDefault="00E35243" w:rsidP="00F97F67">
      <w:pPr>
        <w:spacing w:after="20" w:line="240" w:lineRule="auto"/>
        <w:rPr>
          <w:sz w:val="18"/>
          <w:szCs w:val="18"/>
        </w:rPr>
      </w:pPr>
      <w:r w:rsidRPr="007F30D5">
        <w:rPr>
          <w:sz w:val="18"/>
          <w:szCs w:val="18"/>
        </w:rPr>
        <w:t>Note</w:t>
      </w:r>
      <w:r>
        <w:rPr>
          <w:sz w:val="18"/>
          <w:szCs w:val="18"/>
        </w:rPr>
        <w:t xml:space="preserve"> 1</w:t>
      </w:r>
      <w:r w:rsidRPr="007F30D5">
        <w:rPr>
          <w:sz w:val="18"/>
          <w:szCs w:val="18"/>
        </w:rPr>
        <w:t xml:space="preserve">: </w:t>
      </w:r>
      <w:r w:rsidRPr="001A3A6C">
        <w:rPr>
          <w:sz w:val="18"/>
          <w:szCs w:val="18"/>
        </w:rPr>
        <w:t>Results based on using robust mixture prior with initial weight 0.3 on the global data which had an estimated treatment effect of 86 units</w:t>
      </w:r>
      <w:r>
        <w:rPr>
          <w:sz w:val="18"/>
          <w:szCs w:val="18"/>
        </w:rPr>
        <w:t>.</w:t>
      </w:r>
    </w:p>
    <w:p w14:paraId="7FB42230" w14:textId="77777777" w:rsidR="00E35243" w:rsidRPr="00F97F67" w:rsidRDefault="00E35243" w:rsidP="00F97F67">
      <w:pPr>
        <w:spacing w:after="20" w:line="240" w:lineRule="auto"/>
        <w:rPr>
          <w:rFonts w:cstheme="minorHAnsi"/>
          <w:sz w:val="18"/>
          <w:szCs w:val="18"/>
        </w:rPr>
      </w:pPr>
      <w:r w:rsidRPr="00111481">
        <w:rPr>
          <w:rFonts w:cstheme="minorHAnsi"/>
          <w:sz w:val="18"/>
          <w:szCs w:val="18"/>
        </w:rPr>
        <w:t xml:space="preserve">Note </w:t>
      </w:r>
      <w:r>
        <w:rPr>
          <w:rFonts w:cstheme="minorHAnsi"/>
          <w:sz w:val="18"/>
          <w:szCs w:val="18"/>
        </w:rPr>
        <w:t>2</w:t>
      </w:r>
      <w:r w:rsidRPr="00111481">
        <w:rPr>
          <w:rFonts w:cstheme="minorHAnsi"/>
          <w:sz w:val="18"/>
          <w:szCs w:val="18"/>
        </w:rPr>
        <w:t>: A posterior weight of 0.5 does not mean that we borrow 50% of the information / effective sample size</w:t>
      </w:r>
      <w:r>
        <w:rPr>
          <w:rFonts w:cstheme="minorHAnsi"/>
          <w:sz w:val="18"/>
          <w:szCs w:val="18"/>
        </w:rPr>
        <w:t xml:space="preserve"> (ESS)</w:t>
      </w:r>
      <w:r w:rsidRPr="00111481">
        <w:rPr>
          <w:rFonts w:cstheme="minorHAnsi"/>
          <w:sz w:val="18"/>
          <w:szCs w:val="18"/>
        </w:rPr>
        <w:t xml:space="preserve"> from the global study. The ESS and posterior weight are correlated but there is not a 1-to-1 mapping of the weight to the fraction of the global sample size that is borrowed</w:t>
      </w:r>
    </w:p>
    <w:p w14:paraId="3C90953B" w14:textId="77777777" w:rsidR="00E35243" w:rsidRPr="007828DD" w:rsidRDefault="00E35243" w:rsidP="00827C8E">
      <w:pPr>
        <w:pStyle w:val="Title"/>
        <w:ind w:left="360"/>
        <w:rPr>
          <w:rFonts w:asciiTheme="minorHAnsi" w:hAnsiTheme="minorHAnsi" w:cstheme="minorHAnsi"/>
          <w:b/>
          <w:bCs/>
          <w:sz w:val="22"/>
          <w:szCs w:val="22"/>
        </w:rPr>
      </w:pPr>
    </w:p>
    <w:p w14:paraId="11B9D3C6" w14:textId="77777777" w:rsidR="00E35243" w:rsidRDefault="00E35243" w:rsidP="00D06262">
      <w:r>
        <w:t xml:space="preserve">Supplement Table 3 shows that the BDB design has 81% power to detect a true treatment benefit in the Chinese population if the true treatment effect is 100 units, and a 20% probability of a false positive result if the true treatment effect in Chinese population is null (0 units) – the latter probability reflects that fact that a small amount of information (equivalent, on average, to an effective sample size of 36 patients) is still borrowed from the global study in the null scenario. This compares with 55% power based on a stand-alone analysis (no borrowing of global study information) of the China study data with one-sided type 1 error rate of 5% (see Figure 4 main paper). </w:t>
      </w:r>
      <w:r w:rsidRPr="004B75A3">
        <w:t>The higher type 1 error</w:t>
      </w:r>
      <w:r>
        <w:t xml:space="preserve"> of the BDB design </w:t>
      </w:r>
      <w:r w:rsidRPr="004B75A3">
        <w:t>is consistent with the expected impact of the Bayesian framework</w:t>
      </w:r>
      <w:r>
        <w:t xml:space="preserve"> (see e.g. Pennello and Thompson, 2008) and </w:t>
      </w:r>
      <w:r w:rsidRPr="004B75A3">
        <w:t>should</w:t>
      </w:r>
      <w:r>
        <w:t xml:space="preserve"> be considered within the context of the bridging approach, which is proposed because of the expected similarity of the treatment difference in Chinese patients and the global population supported by similarities in clinical management of patients and consistency of treatment differences across key demographic factors including ethnicity. Calculation of operating characteristics such as those reported in here provides a transparent evaluation of the degree to which inclusion of the prior data could be beneficial or disadvantageous, to help stakeholders determine the utility of a Bayesian design in a given setting.  </w:t>
      </w:r>
    </w:p>
    <w:p w14:paraId="20FE1684" w14:textId="77777777" w:rsidR="00E35243" w:rsidRDefault="00E35243" w:rsidP="00D06262">
      <w:pPr>
        <w:rPr>
          <w:rFonts w:cstheme="minorHAnsi"/>
        </w:rPr>
      </w:pPr>
      <w:r>
        <w:t xml:space="preserve"> </w:t>
      </w:r>
    </w:p>
    <w:p w14:paraId="4EB299A6" w14:textId="77777777" w:rsidR="00E35243" w:rsidRPr="00C84EDB" w:rsidRDefault="00E35243" w:rsidP="00E7532A">
      <w:pPr>
        <w:rPr>
          <w:rFonts w:cstheme="minorHAnsi"/>
        </w:rPr>
      </w:pPr>
    </w:p>
    <w:p w14:paraId="34BD4B06" w14:textId="77777777" w:rsidR="00E35243" w:rsidRDefault="00E35243" w:rsidP="00C84EDB">
      <w:pPr>
        <w:pStyle w:val="Title"/>
        <w:spacing w:after="240"/>
        <w:rPr>
          <w:rFonts w:asciiTheme="minorHAnsi" w:hAnsiTheme="minorHAnsi" w:cstheme="minorHAnsi"/>
          <w:b/>
          <w:bCs/>
          <w:sz w:val="22"/>
          <w:szCs w:val="22"/>
        </w:rPr>
      </w:pPr>
      <w:bookmarkStart w:id="0" w:name="_Ref44522364"/>
    </w:p>
    <w:p w14:paraId="5CF3F73A" w14:textId="77777777" w:rsidR="00E35243" w:rsidRDefault="00E35243" w:rsidP="00C84EDB">
      <w:pPr>
        <w:pStyle w:val="Title"/>
        <w:spacing w:after="240"/>
        <w:rPr>
          <w:rFonts w:asciiTheme="minorHAnsi" w:hAnsiTheme="minorHAnsi" w:cstheme="minorHAnsi"/>
          <w:b/>
          <w:bCs/>
          <w:sz w:val="22"/>
          <w:szCs w:val="22"/>
        </w:rPr>
      </w:pPr>
    </w:p>
    <w:p w14:paraId="166041F1" w14:textId="77777777" w:rsidR="00E35243" w:rsidRDefault="00E35243" w:rsidP="00C84EDB">
      <w:pPr>
        <w:pStyle w:val="Title"/>
        <w:spacing w:after="240"/>
        <w:rPr>
          <w:rFonts w:asciiTheme="minorHAnsi" w:hAnsiTheme="minorHAnsi" w:cstheme="minorHAnsi"/>
          <w:b/>
          <w:bCs/>
          <w:sz w:val="22"/>
          <w:szCs w:val="22"/>
        </w:rPr>
      </w:pPr>
    </w:p>
    <w:p w14:paraId="05CE742D" w14:textId="77777777" w:rsidR="00E35243" w:rsidRDefault="00E35243" w:rsidP="00C84EDB">
      <w:pPr>
        <w:pStyle w:val="Title"/>
        <w:spacing w:after="240"/>
        <w:rPr>
          <w:rFonts w:asciiTheme="minorHAnsi" w:hAnsiTheme="minorHAnsi" w:cstheme="minorHAnsi"/>
          <w:b/>
          <w:bCs/>
          <w:sz w:val="22"/>
          <w:szCs w:val="22"/>
        </w:rPr>
      </w:pPr>
    </w:p>
    <w:p w14:paraId="5C4B899C" w14:textId="77777777" w:rsidR="00E35243" w:rsidRDefault="00E35243" w:rsidP="00C84EDB">
      <w:pPr>
        <w:pStyle w:val="Title"/>
        <w:spacing w:after="240"/>
        <w:rPr>
          <w:rFonts w:asciiTheme="minorHAnsi" w:hAnsiTheme="minorHAnsi" w:cstheme="minorHAnsi"/>
          <w:b/>
          <w:bCs/>
          <w:sz w:val="22"/>
          <w:szCs w:val="22"/>
        </w:rPr>
      </w:pPr>
    </w:p>
    <w:p w14:paraId="58EB0667" w14:textId="77777777" w:rsidR="00E35243" w:rsidRDefault="00E35243" w:rsidP="00C84EDB">
      <w:pPr>
        <w:pStyle w:val="Title"/>
        <w:spacing w:after="240"/>
        <w:rPr>
          <w:rFonts w:asciiTheme="minorHAnsi" w:hAnsiTheme="minorHAnsi" w:cstheme="minorHAnsi"/>
          <w:b/>
          <w:bCs/>
          <w:sz w:val="22"/>
          <w:szCs w:val="22"/>
        </w:rPr>
      </w:pPr>
    </w:p>
    <w:p w14:paraId="5BC663E6" w14:textId="77777777" w:rsidR="008D366D" w:rsidRDefault="008D366D" w:rsidP="008D366D"/>
    <w:p w14:paraId="6432DC1A" w14:textId="77777777" w:rsidR="008D366D" w:rsidRPr="008D366D" w:rsidRDefault="008D366D" w:rsidP="008D366D"/>
    <w:p w14:paraId="4B618A5D" w14:textId="77777777" w:rsidR="00E35243" w:rsidRDefault="00E35243" w:rsidP="00C84EDB">
      <w:pPr>
        <w:pStyle w:val="Title"/>
        <w:spacing w:after="240"/>
        <w:rPr>
          <w:rFonts w:asciiTheme="minorHAnsi" w:hAnsiTheme="minorHAnsi" w:cstheme="minorHAnsi"/>
          <w:b/>
          <w:bCs/>
          <w:sz w:val="22"/>
          <w:szCs w:val="22"/>
        </w:rPr>
      </w:pPr>
    </w:p>
    <w:p w14:paraId="7805EFAB" w14:textId="77777777" w:rsidR="00E35243" w:rsidRPr="007828DD" w:rsidRDefault="00E35243" w:rsidP="00C84EDB">
      <w:pPr>
        <w:pStyle w:val="Title"/>
        <w:spacing w:after="240"/>
        <w:rPr>
          <w:rFonts w:asciiTheme="minorHAnsi" w:hAnsiTheme="minorHAnsi" w:cstheme="minorHAnsi"/>
          <w:b/>
          <w:bCs/>
          <w:sz w:val="22"/>
          <w:szCs w:val="22"/>
        </w:rPr>
      </w:pPr>
      <w:r w:rsidRPr="00C84EDB">
        <w:rPr>
          <w:rFonts w:asciiTheme="minorHAnsi" w:hAnsiTheme="minorHAnsi" w:cstheme="minorHAnsi"/>
          <w:b/>
          <w:bCs/>
          <w:sz w:val="22"/>
          <w:szCs w:val="22"/>
        </w:rPr>
        <w:t xml:space="preserve">Supplement Figure </w:t>
      </w:r>
      <w:r>
        <w:rPr>
          <w:rFonts w:asciiTheme="minorHAnsi" w:hAnsiTheme="minorHAnsi" w:cstheme="minorHAnsi"/>
          <w:b/>
          <w:bCs/>
          <w:sz w:val="22"/>
          <w:szCs w:val="22"/>
        </w:rPr>
        <w:t>2: Posterior</w:t>
      </w:r>
      <w:r w:rsidRPr="007828DD">
        <w:rPr>
          <w:rFonts w:asciiTheme="minorHAnsi" w:hAnsiTheme="minorHAnsi" w:cstheme="minorHAnsi"/>
          <w:b/>
          <w:bCs/>
          <w:sz w:val="22"/>
          <w:szCs w:val="22"/>
        </w:rPr>
        <w:t xml:space="preserve"> weights of the </w:t>
      </w:r>
      <w:r>
        <w:rPr>
          <w:rFonts w:asciiTheme="minorHAnsi" w:hAnsiTheme="minorHAnsi" w:cstheme="minorHAnsi"/>
          <w:b/>
          <w:bCs/>
          <w:sz w:val="22"/>
          <w:szCs w:val="22"/>
        </w:rPr>
        <w:t>“informative”</w:t>
      </w:r>
      <w:r w:rsidRPr="007828DD">
        <w:rPr>
          <w:rFonts w:asciiTheme="minorHAnsi" w:hAnsiTheme="minorHAnsi" w:cstheme="minorHAnsi"/>
          <w:b/>
          <w:bCs/>
          <w:sz w:val="22"/>
          <w:szCs w:val="22"/>
        </w:rPr>
        <w:t xml:space="preserve"> component in the posterior distribution </w:t>
      </w:r>
    </w:p>
    <w:bookmarkEnd w:id="0"/>
    <w:p w14:paraId="16C863D1" w14:textId="77777777" w:rsidR="00E35243" w:rsidRDefault="00E35243" w:rsidP="006775CB">
      <w:pPr>
        <w:spacing w:after="0"/>
        <w:rPr>
          <w:rFonts w:cstheme="minorHAnsi"/>
        </w:rPr>
      </w:pPr>
      <w:r w:rsidRPr="00C84EDB">
        <w:rPr>
          <w:rFonts w:cstheme="minorHAnsi"/>
        </w:rPr>
        <w:t xml:space="preserve">The </w:t>
      </w:r>
      <w:r>
        <w:rPr>
          <w:rFonts w:cstheme="minorHAnsi"/>
        </w:rPr>
        <w:t>posterior</w:t>
      </w:r>
      <w:r w:rsidRPr="00C84EDB">
        <w:rPr>
          <w:rFonts w:cstheme="minorHAnsi"/>
        </w:rPr>
        <w:t xml:space="preserve"> weight </w:t>
      </w:r>
      <w:r>
        <w:rPr>
          <w:rFonts w:cstheme="minorHAnsi"/>
        </w:rPr>
        <w:t xml:space="preserve">on the “informative” component of the mixture prior </w:t>
      </w:r>
      <w:r w:rsidRPr="00C84EDB">
        <w:rPr>
          <w:rFonts w:cstheme="minorHAnsi"/>
        </w:rPr>
        <w:t xml:space="preserve">was assessed for each value of </w:t>
      </w:r>
      <w:r>
        <w:rPr>
          <w:rFonts w:cstheme="minorHAnsi"/>
        </w:rPr>
        <w:t xml:space="preserve">the initial </w:t>
      </w:r>
      <w:r w:rsidRPr="00C84EDB">
        <w:rPr>
          <w:rFonts w:cstheme="minorHAnsi"/>
        </w:rPr>
        <w:t xml:space="preserve">prior weight (w) specified for the </w:t>
      </w:r>
      <w:r>
        <w:rPr>
          <w:rFonts w:cstheme="minorHAnsi"/>
        </w:rPr>
        <w:t xml:space="preserve">“informative” </w:t>
      </w:r>
      <w:r w:rsidRPr="00C84EDB">
        <w:rPr>
          <w:rFonts w:cstheme="minorHAnsi"/>
        </w:rPr>
        <w:t>prior component</w:t>
      </w:r>
      <w:r>
        <w:rPr>
          <w:rFonts w:cstheme="minorHAnsi"/>
        </w:rPr>
        <w:t xml:space="preserve">, ranging from </w:t>
      </w:r>
      <w:r w:rsidRPr="00C84EDB">
        <w:rPr>
          <w:rFonts w:cstheme="minorHAnsi"/>
        </w:rPr>
        <w:t>0</w:t>
      </w:r>
      <w:r>
        <w:rPr>
          <w:rFonts w:cstheme="minorHAnsi"/>
        </w:rPr>
        <w:t xml:space="preserve"> to</w:t>
      </w:r>
      <w:r w:rsidRPr="00C84EDB">
        <w:rPr>
          <w:rFonts w:cstheme="minorHAnsi"/>
        </w:rPr>
        <w:t xml:space="preserve"> 1</w:t>
      </w:r>
      <w:r>
        <w:rPr>
          <w:rFonts w:cstheme="minorHAnsi"/>
        </w:rPr>
        <w:t>, for varying</w:t>
      </w:r>
      <w:r w:rsidRPr="00C84EDB">
        <w:rPr>
          <w:rFonts w:cstheme="minorHAnsi"/>
        </w:rPr>
        <w:t xml:space="preserve"> true treatment differences. </w:t>
      </w:r>
      <w:r>
        <w:rPr>
          <w:rFonts w:cstheme="minorHAnsi"/>
        </w:rPr>
        <w:t>Posterior</w:t>
      </w:r>
      <w:r w:rsidRPr="00C84EDB">
        <w:rPr>
          <w:rFonts w:cstheme="minorHAnsi"/>
        </w:rPr>
        <w:t xml:space="preserve"> weights are higher than the prior weights across the entire range of prior weights, indicating that, on average, the observed data in each scenario provide evidence supporting the relevance of the global study results for the China treatment difference.</w:t>
      </w:r>
      <w:r>
        <w:rPr>
          <w:rFonts w:cstheme="minorHAnsi"/>
        </w:rPr>
        <w:t xml:space="preserve"> However, the increase in posterior weight is much less in the scenario where the true treatment difference in China is 0 than in the other scenarios, since the evidence of relevance is much weaker for this scenario. </w:t>
      </w:r>
      <w:r>
        <w:t xml:space="preserve">It may seem surprising at first that even data generated under the null scenario would provide some support, on average, for borrowing from the global study. However, this is because the sampling variability of the observed data means that the BDB model cannot completely rule out that the differences between the </w:t>
      </w:r>
      <w:r w:rsidRPr="000E6479">
        <w:t>observed</w:t>
      </w:r>
      <w:r w:rsidRPr="004B75A3">
        <w:t xml:space="preserve"> China data and the global prior information are by chance, and hence that the global prior information is relevant.</w:t>
      </w:r>
    </w:p>
    <w:p w14:paraId="20AA0399" w14:textId="77777777" w:rsidR="00E35243" w:rsidRPr="00C84EDB" w:rsidRDefault="00E35243" w:rsidP="006775CB">
      <w:pPr>
        <w:spacing w:after="0"/>
        <w:rPr>
          <w:rFonts w:cstheme="minorHAnsi"/>
        </w:rPr>
      </w:pPr>
    </w:p>
    <w:p w14:paraId="3558C0AD" w14:textId="77777777" w:rsidR="00E35243" w:rsidRPr="00C84EDB" w:rsidRDefault="00E35243" w:rsidP="00C13F0A">
      <w:pPr>
        <w:rPr>
          <w:rFonts w:cstheme="minorHAnsi"/>
        </w:rPr>
      </w:pPr>
      <w:r>
        <w:rPr>
          <w:noProof/>
        </w:rPr>
        <w:drawing>
          <wp:inline distT="0" distB="0" distL="0" distR="0" wp14:anchorId="7F2CA876" wp14:editId="6F47A802">
            <wp:extent cx="5486400" cy="4118610"/>
            <wp:effectExtent l="0" t="0" r="0" b="0"/>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a:blip r:embed="rId6"/>
                    <a:stretch>
                      <a:fillRect/>
                    </a:stretch>
                  </pic:blipFill>
                  <pic:spPr>
                    <a:xfrm>
                      <a:off x="0" y="0"/>
                      <a:ext cx="5486400" cy="4118610"/>
                    </a:xfrm>
                    <a:prstGeom prst="rect">
                      <a:avLst/>
                    </a:prstGeom>
                  </pic:spPr>
                </pic:pic>
              </a:graphicData>
            </a:graphic>
          </wp:inline>
        </w:drawing>
      </w:r>
    </w:p>
    <w:p w14:paraId="28E47A40" w14:textId="77777777" w:rsidR="00E35243" w:rsidRPr="007828DD" w:rsidRDefault="00E35243">
      <w:pPr>
        <w:rPr>
          <w:rFonts w:eastAsiaTheme="majorEastAsia" w:cstheme="minorHAnsi"/>
          <w:b/>
          <w:bCs/>
          <w:spacing w:val="-10"/>
          <w:kern w:val="28"/>
        </w:rPr>
      </w:pPr>
      <w:r w:rsidRPr="007828DD">
        <w:rPr>
          <w:rFonts w:cstheme="minorHAnsi"/>
          <w:b/>
          <w:bCs/>
        </w:rPr>
        <w:br w:type="page"/>
      </w:r>
    </w:p>
    <w:p w14:paraId="6032B513" w14:textId="77777777" w:rsidR="00E35243" w:rsidRPr="007828DD" w:rsidRDefault="00E35243" w:rsidP="00C84EDB">
      <w:pPr>
        <w:pStyle w:val="Title"/>
        <w:spacing w:after="240"/>
        <w:rPr>
          <w:rFonts w:asciiTheme="minorHAnsi" w:hAnsiTheme="minorHAnsi" w:cstheme="minorHAnsi"/>
          <w:b/>
          <w:bCs/>
          <w:sz w:val="22"/>
          <w:szCs w:val="22"/>
        </w:rPr>
      </w:pPr>
      <w:r w:rsidRPr="00C84EDB">
        <w:rPr>
          <w:rFonts w:asciiTheme="minorHAnsi" w:hAnsiTheme="minorHAnsi" w:cstheme="minorHAnsi"/>
          <w:b/>
          <w:bCs/>
          <w:sz w:val="22"/>
          <w:szCs w:val="22"/>
        </w:rPr>
        <w:t xml:space="preserve">Supplement Figure </w:t>
      </w:r>
      <w:r>
        <w:rPr>
          <w:rFonts w:asciiTheme="minorHAnsi" w:hAnsiTheme="minorHAnsi" w:cstheme="minorHAnsi"/>
          <w:b/>
          <w:bCs/>
          <w:sz w:val="22"/>
          <w:szCs w:val="22"/>
        </w:rPr>
        <w:t xml:space="preserve">3: </w:t>
      </w:r>
      <w:r w:rsidRPr="007828DD">
        <w:rPr>
          <w:rFonts w:asciiTheme="minorHAnsi" w:hAnsiTheme="minorHAnsi" w:cstheme="minorHAnsi"/>
          <w:b/>
          <w:bCs/>
          <w:sz w:val="22"/>
          <w:szCs w:val="22"/>
        </w:rPr>
        <w:t xml:space="preserve">Average effective sample size of the </w:t>
      </w:r>
      <w:r>
        <w:rPr>
          <w:rFonts w:asciiTheme="minorHAnsi" w:hAnsiTheme="minorHAnsi" w:cstheme="minorHAnsi"/>
          <w:b/>
          <w:bCs/>
          <w:sz w:val="22"/>
          <w:szCs w:val="22"/>
        </w:rPr>
        <w:t xml:space="preserve">robust </w:t>
      </w:r>
      <w:r w:rsidRPr="007828DD">
        <w:rPr>
          <w:rFonts w:asciiTheme="minorHAnsi" w:hAnsiTheme="minorHAnsi" w:cstheme="minorHAnsi"/>
          <w:b/>
          <w:bCs/>
          <w:sz w:val="22"/>
          <w:szCs w:val="22"/>
        </w:rPr>
        <w:t>mixture prior</w:t>
      </w:r>
    </w:p>
    <w:p w14:paraId="14599337" w14:textId="77777777" w:rsidR="00E35243" w:rsidRPr="00C84EDB" w:rsidRDefault="00E35243" w:rsidP="007C0C48">
      <w:pPr>
        <w:rPr>
          <w:rFonts w:cstheme="minorHAnsi"/>
        </w:rPr>
      </w:pPr>
      <w:r>
        <w:rPr>
          <w:rFonts w:cstheme="minorHAnsi"/>
        </w:rPr>
        <w:t>T</w:t>
      </w:r>
      <w:r w:rsidRPr="00C84EDB">
        <w:rPr>
          <w:rFonts w:cstheme="minorHAnsi"/>
        </w:rPr>
        <w:t>he pattern of average effective sample size (ESS)</w:t>
      </w:r>
      <w:r>
        <w:rPr>
          <w:rFonts w:cstheme="minorHAnsi"/>
        </w:rPr>
        <w:t xml:space="preserve"> was assessed for each value of the </w:t>
      </w:r>
      <w:r w:rsidRPr="00C84EDB">
        <w:rPr>
          <w:rFonts w:cstheme="minorHAnsi"/>
        </w:rPr>
        <w:t>initial</w:t>
      </w:r>
      <w:r>
        <w:rPr>
          <w:rFonts w:cstheme="minorHAnsi"/>
        </w:rPr>
        <w:t xml:space="preserve"> prior</w:t>
      </w:r>
      <w:r w:rsidRPr="00C84EDB">
        <w:rPr>
          <w:rFonts w:cstheme="minorHAnsi"/>
        </w:rPr>
        <w:t xml:space="preserve"> weight (w) specified for the </w:t>
      </w:r>
      <w:r>
        <w:rPr>
          <w:rFonts w:cstheme="minorHAnsi"/>
        </w:rPr>
        <w:t>“informative”</w:t>
      </w:r>
      <w:r w:rsidRPr="00C84EDB">
        <w:rPr>
          <w:rFonts w:cstheme="minorHAnsi"/>
        </w:rPr>
        <w:t xml:space="preserve"> component</w:t>
      </w:r>
      <w:r>
        <w:rPr>
          <w:rFonts w:cstheme="minorHAnsi"/>
        </w:rPr>
        <w:t xml:space="preserve"> of the mixture prior,</w:t>
      </w:r>
      <w:r w:rsidRPr="00C84EDB">
        <w:rPr>
          <w:rFonts w:cstheme="minorHAnsi"/>
        </w:rPr>
        <w:t xml:space="preserve"> ranging from 0 to 1</w:t>
      </w:r>
      <w:r>
        <w:rPr>
          <w:rFonts w:cstheme="minorHAnsi"/>
        </w:rPr>
        <w:t>, for varying</w:t>
      </w:r>
      <w:r w:rsidRPr="00C84EDB">
        <w:rPr>
          <w:rFonts w:cstheme="minorHAnsi"/>
        </w:rPr>
        <w:t xml:space="preserve"> true treatment differences. The pattern of average ESS values across prior initial weights mirrors that seen with the posterior weights, since higher posterior weights results in more of the global study information being borrowed and hence a higher ESS.</w:t>
      </w:r>
    </w:p>
    <w:p w14:paraId="4B715B61" w14:textId="77777777" w:rsidR="00E35243" w:rsidRPr="00C84EDB" w:rsidRDefault="00E35243" w:rsidP="00C13F0A">
      <w:pPr>
        <w:rPr>
          <w:rFonts w:cstheme="minorHAnsi"/>
        </w:rPr>
      </w:pPr>
      <w:r>
        <w:rPr>
          <w:noProof/>
        </w:rPr>
        <w:drawing>
          <wp:inline distT="0" distB="0" distL="0" distR="0" wp14:anchorId="2B05395B" wp14:editId="02762FCE">
            <wp:extent cx="5486400" cy="4114800"/>
            <wp:effectExtent l="0" t="0" r="0" b="0"/>
            <wp:docPr id="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7"/>
                    <a:stretch>
                      <a:fillRect/>
                    </a:stretch>
                  </pic:blipFill>
                  <pic:spPr>
                    <a:xfrm>
                      <a:off x="0" y="0"/>
                      <a:ext cx="5486400" cy="4114800"/>
                    </a:xfrm>
                    <a:prstGeom prst="rect">
                      <a:avLst/>
                    </a:prstGeom>
                  </pic:spPr>
                </pic:pic>
              </a:graphicData>
            </a:graphic>
          </wp:inline>
        </w:drawing>
      </w:r>
    </w:p>
    <w:p w14:paraId="56CB6D22" w14:textId="77777777" w:rsidR="00E35243" w:rsidRPr="00C84EDB" w:rsidRDefault="00E35243">
      <w:pPr>
        <w:rPr>
          <w:rFonts w:cstheme="minorHAnsi"/>
        </w:rPr>
      </w:pPr>
      <w:r w:rsidRPr="00C84EDB">
        <w:rPr>
          <w:rFonts w:cstheme="minorHAnsi"/>
        </w:rPr>
        <w:br w:type="page"/>
      </w:r>
    </w:p>
    <w:p w14:paraId="55268379" w14:textId="77777777" w:rsidR="00E35243" w:rsidRDefault="00E35243" w:rsidP="00C84EDB">
      <w:pPr>
        <w:pStyle w:val="Title"/>
        <w:spacing w:after="240"/>
        <w:rPr>
          <w:rFonts w:asciiTheme="minorHAnsi" w:hAnsiTheme="minorHAnsi" w:cstheme="minorHAnsi"/>
          <w:b/>
          <w:bCs/>
          <w:sz w:val="22"/>
          <w:szCs w:val="22"/>
        </w:rPr>
      </w:pPr>
      <w:r w:rsidRPr="00C84EDB">
        <w:rPr>
          <w:rFonts w:asciiTheme="minorHAnsi" w:hAnsiTheme="minorHAnsi" w:cstheme="minorHAnsi"/>
          <w:b/>
          <w:bCs/>
          <w:sz w:val="22"/>
          <w:szCs w:val="22"/>
        </w:rPr>
        <w:t xml:space="preserve">Supplement Figure </w:t>
      </w:r>
      <w:r>
        <w:rPr>
          <w:rFonts w:asciiTheme="minorHAnsi" w:hAnsiTheme="minorHAnsi" w:cstheme="minorHAnsi"/>
          <w:b/>
          <w:bCs/>
          <w:sz w:val="22"/>
          <w:szCs w:val="22"/>
        </w:rPr>
        <w:t xml:space="preserve">4: </w:t>
      </w:r>
      <w:r w:rsidRPr="007828DD">
        <w:rPr>
          <w:rFonts w:asciiTheme="minorHAnsi" w:hAnsiTheme="minorHAnsi" w:cstheme="minorHAnsi"/>
          <w:b/>
          <w:bCs/>
          <w:sz w:val="22"/>
          <w:szCs w:val="22"/>
        </w:rPr>
        <w:t xml:space="preserve">Average half width of 90% credible interval </w:t>
      </w:r>
    </w:p>
    <w:p w14:paraId="418E95CB" w14:textId="77777777" w:rsidR="00E35243" w:rsidRDefault="00E35243" w:rsidP="00FD758D">
      <w:pPr>
        <w:rPr>
          <w:rFonts w:cstheme="minorHAnsi"/>
        </w:rPr>
      </w:pPr>
      <w:r>
        <w:rPr>
          <w:rFonts w:cstheme="minorHAnsi"/>
        </w:rPr>
        <w:t xml:space="preserve">The average half width of the 90% credible interval for the posterior estimate of the treatment difference in China was assessed for each value of the initial prior weight (w) specified for the “informative” component of the mixture prior, ranging from 0 to 1, for varying true mean treatment difference. Larger values of the initial weight </w:t>
      </w:r>
      <m:oMath>
        <m:r>
          <w:rPr>
            <w:rFonts w:ascii="Cambria Math" w:hAnsi="Cambria Math" w:cstheme="minorHAnsi"/>
          </w:rPr>
          <m:t xml:space="preserve">w </m:t>
        </m:r>
      </m:oMath>
      <w:r>
        <w:rPr>
          <w:rFonts w:cstheme="minorHAnsi"/>
        </w:rPr>
        <w:t xml:space="preserve">result in narrower credible intervals for a given value of the true mean treatment effect, reflecting the added precision gained by a more informative prior. The precision gained also depends on the true treatment effect and mirrors the pattern seen for the posterior weight and ESS – greater borrowing and hence more precision for scenarios where there is stronger evidence of relevance of the global study results for the China treatment difference. </w:t>
      </w:r>
    </w:p>
    <w:p w14:paraId="1615689C" w14:textId="77777777" w:rsidR="00E35243" w:rsidRPr="00C84EDB" w:rsidRDefault="00E35243" w:rsidP="00C13F0A">
      <w:pPr>
        <w:rPr>
          <w:rFonts w:cstheme="minorHAnsi"/>
        </w:rPr>
      </w:pPr>
      <w:r>
        <w:rPr>
          <w:noProof/>
        </w:rPr>
        <w:drawing>
          <wp:inline distT="0" distB="0" distL="0" distR="0" wp14:anchorId="0B1499DA" wp14:editId="305EF386">
            <wp:extent cx="5486400" cy="4099560"/>
            <wp:effectExtent l="0" t="0" r="0" b="0"/>
            <wp:docPr id="11" name="Picture 1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10;&#10;Description automatically generated"/>
                    <pic:cNvPicPr/>
                  </pic:nvPicPr>
                  <pic:blipFill>
                    <a:blip r:embed="rId8"/>
                    <a:stretch>
                      <a:fillRect/>
                    </a:stretch>
                  </pic:blipFill>
                  <pic:spPr>
                    <a:xfrm>
                      <a:off x="0" y="0"/>
                      <a:ext cx="5486400" cy="4099560"/>
                    </a:xfrm>
                    <a:prstGeom prst="rect">
                      <a:avLst/>
                    </a:prstGeom>
                  </pic:spPr>
                </pic:pic>
              </a:graphicData>
            </a:graphic>
          </wp:inline>
        </w:drawing>
      </w:r>
    </w:p>
    <w:p w14:paraId="4E5AF6AC" w14:textId="77777777" w:rsidR="00E35243" w:rsidRPr="00C84EDB" w:rsidRDefault="00E35243">
      <w:pPr>
        <w:rPr>
          <w:rFonts w:cstheme="minorHAnsi"/>
        </w:rPr>
      </w:pPr>
      <w:r>
        <w:rPr>
          <w:rFonts w:cstheme="minorHAnsi"/>
        </w:rPr>
        <w:t xml:space="preserve">Crl, credible interval  </w:t>
      </w:r>
      <w:r w:rsidRPr="00C84EDB">
        <w:rPr>
          <w:rFonts w:cstheme="minorHAnsi"/>
        </w:rPr>
        <w:br w:type="page"/>
      </w:r>
    </w:p>
    <w:p w14:paraId="12B601B3" w14:textId="77777777" w:rsidR="00E35243" w:rsidRPr="00C84EDB" w:rsidRDefault="00E35243" w:rsidP="00FC557F">
      <w:pPr>
        <w:jc w:val="center"/>
        <w:rPr>
          <w:rFonts w:cstheme="minorHAnsi"/>
        </w:rPr>
      </w:pPr>
    </w:p>
    <w:p w14:paraId="6B6BE201" w14:textId="77777777" w:rsidR="00E35243" w:rsidRPr="007828DD" w:rsidRDefault="00E35243" w:rsidP="00C84EDB">
      <w:pPr>
        <w:pStyle w:val="Title"/>
        <w:spacing w:after="240"/>
        <w:rPr>
          <w:rFonts w:asciiTheme="minorHAnsi" w:hAnsiTheme="minorHAnsi" w:cstheme="minorHAnsi"/>
          <w:b/>
          <w:bCs/>
          <w:sz w:val="22"/>
          <w:szCs w:val="22"/>
        </w:rPr>
      </w:pPr>
      <w:r w:rsidRPr="00C84EDB">
        <w:rPr>
          <w:rFonts w:asciiTheme="minorHAnsi" w:hAnsiTheme="minorHAnsi" w:cstheme="minorHAnsi"/>
          <w:b/>
          <w:bCs/>
          <w:sz w:val="22"/>
          <w:szCs w:val="22"/>
        </w:rPr>
        <w:t xml:space="preserve">Supplement Figure </w:t>
      </w:r>
      <w:r>
        <w:rPr>
          <w:rFonts w:asciiTheme="minorHAnsi" w:hAnsiTheme="minorHAnsi" w:cstheme="minorHAnsi"/>
          <w:b/>
          <w:bCs/>
          <w:sz w:val="22"/>
          <w:szCs w:val="22"/>
        </w:rPr>
        <w:t xml:space="preserve">5: </w:t>
      </w:r>
      <w:r w:rsidRPr="007828DD">
        <w:rPr>
          <w:rFonts w:asciiTheme="minorHAnsi" w:hAnsiTheme="minorHAnsi" w:cstheme="minorHAnsi"/>
          <w:b/>
          <w:bCs/>
          <w:sz w:val="22"/>
          <w:szCs w:val="22"/>
        </w:rPr>
        <w:t xml:space="preserve">Bias across prior initial weights and true treatment differences </w:t>
      </w:r>
    </w:p>
    <w:p w14:paraId="24CA2020" w14:textId="77777777" w:rsidR="00E35243" w:rsidRPr="00C84EDB" w:rsidRDefault="00E35243" w:rsidP="00CE6A50">
      <w:pPr>
        <w:rPr>
          <w:rFonts w:cstheme="minorHAnsi"/>
        </w:rPr>
      </w:pPr>
      <w:r w:rsidRPr="00C84EDB">
        <w:rPr>
          <w:rFonts w:cstheme="minorHAnsi"/>
        </w:rPr>
        <w:t xml:space="preserve">The </w:t>
      </w:r>
      <w:r>
        <w:rPr>
          <w:rFonts w:cstheme="minorHAnsi"/>
        </w:rPr>
        <w:t>bias</w:t>
      </w:r>
      <w:r w:rsidRPr="00C84EDB">
        <w:rPr>
          <w:rFonts w:cstheme="minorHAnsi"/>
        </w:rPr>
        <w:t xml:space="preserve"> was assessed for each value of </w:t>
      </w:r>
      <w:r>
        <w:rPr>
          <w:rFonts w:cstheme="minorHAnsi"/>
        </w:rPr>
        <w:t xml:space="preserve">the initial </w:t>
      </w:r>
      <w:r w:rsidRPr="00C84EDB">
        <w:rPr>
          <w:rFonts w:cstheme="minorHAnsi"/>
        </w:rPr>
        <w:t xml:space="preserve">prior weight (w) specified for the </w:t>
      </w:r>
      <w:r>
        <w:rPr>
          <w:rFonts w:cstheme="minorHAnsi"/>
        </w:rPr>
        <w:t>“informative”</w:t>
      </w:r>
      <w:r w:rsidRPr="00C84EDB">
        <w:rPr>
          <w:rFonts w:cstheme="minorHAnsi"/>
        </w:rPr>
        <w:t xml:space="preserve"> component</w:t>
      </w:r>
      <w:r>
        <w:rPr>
          <w:rFonts w:cstheme="minorHAnsi"/>
        </w:rPr>
        <w:t xml:space="preserve"> of the mixture prior, ranging from </w:t>
      </w:r>
      <w:r w:rsidRPr="00C84EDB">
        <w:rPr>
          <w:rFonts w:cstheme="minorHAnsi"/>
        </w:rPr>
        <w:t>0</w:t>
      </w:r>
      <w:r>
        <w:rPr>
          <w:rFonts w:cstheme="minorHAnsi"/>
        </w:rPr>
        <w:t xml:space="preserve"> to</w:t>
      </w:r>
      <w:r w:rsidRPr="00C84EDB">
        <w:rPr>
          <w:rFonts w:cstheme="minorHAnsi"/>
        </w:rPr>
        <w:t xml:space="preserve"> 1</w:t>
      </w:r>
      <w:r>
        <w:rPr>
          <w:rFonts w:cstheme="minorHAnsi"/>
        </w:rPr>
        <w:t>, for varying</w:t>
      </w:r>
      <w:r w:rsidRPr="00C84EDB">
        <w:rPr>
          <w:rFonts w:cstheme="minorHAnsi"/>
        </w:rPr>
        <w:t xml:space="preserve"> true treatment difference. If the true treatment difference in China is equal to the global study result, the bias is negligible across the range of prior weights and is </w:t>
      </w:r>
      <w:r>
        <w:rPr>
          <w:rFonts w:cstheme="minorHAnsi"/>
        </w:rPr>
        <w:t xml:space="preserve">also </w:t>
      </w:r>
      <w:r w:rsidRPr="00C84EDB">
        <w:rPr>
          <w:rFonts w:cstheme="minorHAnsi"/>
        </w:rPr>
        <w:t>small for initial weights below 0.5 for the other non-null scenarios. For the null scenario</w:t>
      </w:r>
      <w:r>
        <w:rPr>
          <w:rFonts w:cstheme="minorHAnsi"/>
        </w:rPr>
        <w:t xml:space="preserve"> (treatment difference =0)</w:t>
      </w:r>
      <w:r w:rsidRPr="00C84EDB">
        <w:rPr>
          <w:rFonts w:cstheme="minorHAnsi"/>
        </w:rPr>
        <w:t xml:space="preserve">, </w:t>
      </w:r>
      <w:r>
        <w:rPr>
          <w:rFonts w:cstheme="minorHAnsi"/>
        </w:rPr>
        <w:t xml:space="preserve">the </w:t>
      </w:r>
      <w:r w:rsidRPr="00C84EDB">
        <w:rPr>
          <w:rFonts w:cstheme="minorHAnsi"/>
        </w:rPr>
        <w:t>bias increases more sharply as the initial prior weight increases,</w:t>
      </w:r>
      <w:r>
        <w:rPr>
          <w:rFonts w:cstheme="minorHAnsi"/>
        </w:rPr>
        <w:t xml:space="preserve"> </w:t>
      </w:r>
      <w:r w:rsidRPr="00C84EDB">
        <w:rPr>
          <w:rFonts w:cstheme="minorHAnsi"/>
        </w:rPr>
        <w:t xml:space="preserve">but remains below clinically important treatment differences in magnitude </w:t>
      </w:r>
      <w:r>
        <w:rPr>
          <w:rFonts w:cstheme="minorHAnsi"/>
        </w:rPr>
        <w:t xml:space="preserve">(~40 units) </w:t>
      </w:r>
      <w:r w:rsidRPr="00C84EDB">
        <w:rPr>
          <w:rFonts w:cstheme="minorHAnsi"/>
        </w:rPr>
        <w:t>for initial weights less than about 0.6.</w:t>
      </w:r>
    </w:p>
    <w:p w14:paraId="793F247E" w14:textId="77777777" w:rsidR="00E35243" w:rsidRPr="00C84EDB" w:rsidRDefault="00E35243" w:rsidP="00C13F0A">
      <w:pPr>
        <w:rPr>
          <w:rFonts w:cstheme="minorHAnsi"/>
        </w:rPr>
      </w:pPr>
      <w:r>
        <w:rPr>
          <w:noProof/>
        </w:rPr>
        <w:drawing>
          <wp:inline distT="0" distB="0" distL="0" distR="0" wp14:anchorId="45B13669" wp14:editId="3A812376">
            <wp:extent cx="5486400" cy="4117975"/>
            <wp:effectExtent l="0" t="0" r="0" b="0"/>
            <wp:docPr id="9" name="Picture 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line chart&#10;&#10;Description automatically generated"/>
                    <pic:cNvPicPr/>
                  </pic:nvPicPr>
                  <pic:blipFill>
                    <a:blip r:embed="rId9"/>
                    <a:stretch>
                      <a:fillRect/>
                    </a:stretch>
                  </pic:blipFill>
                  <pic:spPr>
                    <a:xfrm>
                      <a:off x="0" y="0"/>
                      <a:ext cx="5486400" cy="4117975"/>
                    </a:xfrm>
                    <a:prstGeom prst="rect">
                      <a:avLst/>
                    </a:prstGeom>
                  </pic:spPr>
                </pic:pic>
              </a:graphicData>
            </a:graphic>
          </wp:inline>
        </w:drawing>
      </w:r>
    </w:p>
    <w:p w14:paraId="0667F0CF" w14:textId="77777777" w:rsidR="00E35243" w:rsidRPr="00C84EDB" w:rsidRDefault="00E35243">
      <w:pPr>
        <w:rPr>
          <w:rFonts w:cstheme="minorHAnsi"/>
        </w:rPr>
      </w:pPr>
      <w:r w:rsidRPr="00C84EDB">
        <w:rPr>
          <w:rFonts w:cstheme="minorHAnsi"/>
        </w:rPr>
        <w:br w:type="page"/>
      </w:r>
    </w:p>
    <w:p w14:paraId="5C8DF290" w14:textId="77777777" w:rsidR="00E35243" w:rsidRPr="00C84EDB" w:rsidRDefault="00E35243" w:rsidP="00FC557F">
      <w:pPr>
        <w:jc w:val="center"/>
        <w:rPr>
          <w:rFonts w:cstheme="minorHAnsi"/>
        </w:rPr>
      </w:pPr>
    </w:p>
    <w:p w14:paraId="4C9F7573" w14:textId="77777777" w:rsidR="00E35243" w:rsidRPr="007828DD" w:rsidRDefault="00E35243" w:rsidP="00C84EDB">
      <w:pPr>
        <w:pStyle w:val="Title"/>
        <w:spacing w:after="240"/>
        <w:rPr>
          <w:rFonts w:asciiTheme="minorHAnsi" w:hAnsiTheme="minorHAnsi" w:cstheme="minorHAnsi"/>
          <w:b/>
          <w:bCs/>
          <w:sz w:val="22"/>
          <w:szCs w:val="22"/>
        </w:rPr>
      </w:pPr>
      <w:r w:rsidRPr="00C84EDB">
        <w:rPr>
          <w:rFonts w:asciiTheme="minorHAnsi" w:hAnsiTheme="minorHAnsi" w:cstheme="minorHAnsi"/>
          <w:b/>
          <w:bCs/>
          <w:sz w:val="22"/>
          <w:szCs w:val="22"/>
        </w:rPr>
        <w:t xml:space="preserve">Supplement Figure </w:t>
      </w:r>
      <w:r>
        <w:rPr>
          <w:rFonts w:asciiTheme="minorHAnsi" w:hAnsiTheme="minorHAnsi" w:cstheme="minorHAnsi"/>
          <w:b/>
          <w:bCs/>
          <w:sz w:val="22"/>
          <w:szCs w:val="22"/>
        </w:rPr>
        <w:t xml:space="preserve">6: </w:t>
      </w:r>
      <w:r w:rsidRPr="007828DD">
        <w:rPr>
          <w:rFonts w:asciiTheme="minorHAnsi" w:hAnsiTheme="minorHAnsi" w:cstheme="minorHAnsi"/>
          <w:b/>
          <w:bCs/>
          <w:sz w:val="22"/>
          <w:szCs w:val="22"/>
        </w:rPr>
        <w:t>Minimum detectable difference that meets the study success criteria</w:t>
      </w:r>
    </w:p>
    <w:p w14:paraId="1C698F47" w14:textId="77777777" w:rsidR="00E35243" w:rsidRPr="00C84EDB" w:rsidRDefault="00E35243" w:rsidP="00CE6A50">
      <w:pPr>
        <w:rPr>
          <w:rFonts w:cstheme="minorHAnsi"/>
        </w:rPr>
      </w:pPr>
      <w:r>
        <w:rPr>
          <w:rFonts w:cstheme="minorHAnsi"/>
        </w:rPr>
        <w:t>Th</w:t>
      </w:r>
      <w:r w:rsidRPr="00C84EDB">
        <w:rPr>
          <w:rFonts w:cstheme="minorHAnsi"/>
        </w:rPr>
        <w:t xml:space="preserve">e minimum detectable difference for </w:t>
      </w:r>
      <w:r>
        <w:rPr>
          <w:rFonts w:cstheme="minorHAnsi"/>
        </w:rPr>
        <w:t xml:space="preserve">the </w:t>
      </w:r>
      <w:r w:rsidRPr="00C84EDB">
        <w:rPr>
          <w:rFonts w:cstheme="minorHAnsi"/>
        </w:rPr>
        <w:t xml:space="preserve">treatment difference in the China bridging study </w:t>
      </w:r>
      <w:r>
        <w:rPr>
          <w:rFonts w:cstheme="minorHAnsi"/>
        </w:rPr>
        <w:t xml:space="preserve">was assessed </w:t>
      </w:r>
      <w:r w:rsidRPr="00C84EDB">
        <w:rPr>
          <w:rFonts w:cstheme="minorHAnsi"/>
        </w:rPr>
        <w:t>as a function of the value chosen for the initial prior weight</w:t>
      </w:r>
      <w:r>
        <w:rPr>
          <w:rFonts w:cstheme="minorHAnsi"/>
        </w:rPr>
        <w:t xml:space="preserve"> (w) specified for </w:t>
      </w:r>
      <w:r w:rsidRPr="00C84EDB">
        <w:rPr>
          <w:rFonts w:cstheme="minorHAnsi"/>
        </w:rPr>
        <w:t xml:space="preserve">the </w:t>
      </w:r>
      <w:r>
        <w:rPr>
          <w:rFonts w:cstheme="minorHAnsi"/>
        </w:rPr>
        <w:t>“informative”</w:t>
      </w:r>
      <w:r w:rsidRPr="00C84EDB">
        <w:rPr>
          <w:rFonts w:cstheme="minorHAnsi"/>
        </w:rPr>
        <w:t xml:space="preserve"> component</w:t>
      </w:r>
      <w:r>
        <w:rPr>
          <w:rFonts w:cstheme="minorHAnsi"/>
        </w:rPr>
        <w:t xml:space="preserve"> of the mixture prior, ranging from </w:t>
      </w:r>
      <w:r w:rsidRPr="00C84EDB">
        <w:rPr>
          <w:rFonts w:cstheme="minorHAnsi"/>
        </w:rPr>
        <w:t>0</w:t>
      </w:r>
      <w:r>
        <w:rPr>
          <w:rFonts w:cstheme="minorHAnsi"/>
        </w:rPr>
        <w:t xml:space="preserve"> to</w:t>
      </w:r>
      <w:r w:rsidRPr="00C84EDB">
        <w:rPr>
          <w:rFonts w:cstheme="minorHAnsi"/>
        </w:rPr>
        <w:t xml:space="preserve"> 1. The proposed initial prior weight of 0.3 corresponds to observing more than 50% of corresponding treatment difference seen in the global study.</w:t>
      </w:r>
    </w:p>
    <w:p w14:paraId="18AA49BF" w14:textId="77777777" w:rsidR="00E35243" w:rsidRPr="00C84EDB" w:rsidRDefault="00E35243" w:rsidP="00C13F0A">
      <w:pPr>
        <w:rPr>
          <w:rFonts w:cstheme="minorHAnsi"/>
        </w:rPr>
      </w:pPr>
      <w:r>
        <w:rPr>
          <w:noProof/>
        </w:rPr>
        <w:drawing>
          <wp:inline distT="0" distB="0" distL="0" distR="0" wp14:anchorId="073A48C7" wp14:editId="6206A4C7">
            <wp:extent cx="5486400" cy="3867150"/>
            <wp:effectExtent l="0" t="0" r="0" b="0"/>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pic:nvPicPr>
                  <pic:blipFill>
                    <a:blip r:embed="rId10"/>
                    <a:stretch>
                      <a:fillRect/>
                    </a:stretch>
                  </pic:blipFill>
                  <pic:spPr>
                    <a:xfrm>
                      <a:off x="0" y="0"/>
                      <a:ext cx="5486400" cy="3867150"/>
                    </a:xfrm>
                    <a:prstGeom prst="rect">
                      <a:avLst/>
                    </a:prstGeom>
                  </pic:spPr>
                </pic:pic>
              </a:graphicData>
            </a:graphic>
          </wp:inline>
        </w:drawing>
      </w:r>
    </w:p>
    <w:p w14:paraId="57DBEBA4" w14:textId="77777777" w:rsidR="00E35243" w:rsidRDefault="00E35243" w:rsidP="00D6730E">
      <w:pPr>
        <w:jc w:val="center"/>
        <w:rPr>
          <w:rFonts w:cstheme="minorHAnsi"/>
        </w:rPr>
        <w:sectPr w:rsidR="00E35243" w:rsidSect="007D6B5B">
          <w:type w:val="continuous"/>
          <w:pgSz w:w="11906" w:h="16838"/>
          <w:pgMar w:top="1440" w:right="1440" w:bottom="1440" w:left="1440" w:header="709" w:footer="709" w:gutter="0"/>
          <w:cols w:space="708"/>
          <w:docGrid w:linePitch="360"/>
        </w:sectPr>
      </w:pPr>
    </w:p>
    <w:p w14:paraId="374F6587" w14:textId="4AD9FC35" w:rsidR="00E35243" w:rsidRDefault="00E35243" w:rsidP="00BA0274">
      <w:pPr>
        <w:pStyle w:val="Heading1"/>
      </w:pPr>
      <w:r w:rsidRPr="002A1BDB">
        <w:t>Reference</w:t>
      </w:r>
      <w:r>
        <w:t>s</w:t>
      </w:r>
    </w:p>
    <w:p w14:paraId="7BF6D072" w14:textId="77777777" w:rsidR="00E35243" w:rsidRPr="00C62890" w:rsidRDefault="00E35243" w:rsidP="00C62890">
      <w:pPr>
        <w:pStyle w:val="EndNoteBibliography"/>
        <w:spacing w:after="0"/>
      </w:pPr>
      <w:r w:rsidRPr="00C62890">
        <w:t>1.</w:t>
      </w:r>
      <w:r w:rsidRPr="00C62890">
        <w:tab/>
        <w:t>Schmidli H, Gsteiger S, Roychoudhury S, et al. Robust meta-analytic-predictive priors in clinical trials with historical control information. Biometrics. 2014;70:1023–32.</w:t>
      </w:r>
    </w:p>
    <w:p w14:paraId="46A78E8A" w14:textId="77777777" w:rsidR="00E35243" w:rsidRPr="00C62890" w:rsidRDefault="00E35243" w:rsidP="00C62890">
      <w:pPr>
        <w:pStyle w:val="EndNoteBibliography"/>
      </w:pPr>
      <w:r w:rsidRPr="00C62890">
        <w:t>2.</w:t>
      </w:r>
      <w:r w:rsidRPr="00C62890">
        <w:tab/>
        <w:t>Weber S, Li Y, Seaman III JW, et al. Applying meta-analytic-predictive priors with the R Bayesian evidence synthesis tools. J Stat Softw. 2021;100:1–32.</w:t>
      </w:r>
    </w:p>
    <w:p w14:paraId="251417FB" w14:textId="77777777" w:rsidR="00E35243" w:rsidRPr="00C84EDB" w:rsidRDefault="00E35243" w:rsidP="00D6730E">
      <w:pPr>
        <w:jc w:val="center"/>
        <w:rPr>
          <w:rFonts w:cstheme="minorHAnsi"/>
        </w:rPr>
      </w:pPr>
    </w:p>
    <w:p w14:paraId="0EE8B57A" w14:textId="77777777" w:rsidR="00690FB2" w:rsidRDefault="00690FB2"/>
    <w:p w14:paraId="27AD5692" w14:textId="77777777" w:rsidR="007D6B5B" w:rsidRDefault="007D6B5B">
      <w:bookmarkStart w:id="1" w:name="_GoBack"/>
      <w:bookmarkEnd w:id="1"/>
    </w:p>
    <w:sectPr w:rsidR="007D6B5B" w:rsidSect="007D6B5B">
      <w:type w:val="continuous"/>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52318"/>
    <w:multiLevelType w:val="hybridMultilevel"/>
    <w:tmpl w:val="F78EB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A56A45"/>
    <w:multiLevelType w:val="hybridMultilevel"/>
    <w:tmpl w:val="3B2EB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AA3621"/>
    <w:multiLevelType w:val="hybridMultilevel"/>
    <w:tmpl w:val="9D8A6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DF56DA"/>
    <w:multiLevelType w:val="hybridMultilevel"/>
    <w:tmpl w:val="8480C4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E35243"/>
    <w:rsid w:val="000067DF"/>
    <w:rsid w:val="0004512D"/>
    <w:rsid w:val="00073A3D"/>
    <w:rsid w:val="00075A14"/>
    <w:rsid w:val="00081373"/>
    <w:rsid w:val="000E14BA"/>
    <w:rsid w:val="00115218"/>
    <w:rsid w:val="00142B4A"/>
    <w:rsid w:val="00196FFF"/>
    <w:rsid w:val="001B6261"/>
    <w:rsid w:val="001B6B5D"/>
    <w:rsid w:val="001C4541"/>
    <w:rsid w:val="001D673B"/>
    <w:rsid w:val="002067AF"/>
    <w:rsid w:val="00272F04"/>
    <w:rsid w:val="00274859"/>
    <w:rsid w:val="00277220"/>
    <w:rsid w:val="00291536"/>
    <w:rsid w:val="002B6D0C"/>
    <w:rsid w:val="00310647"/>
    <w:rsid w:val="003C06D7"/>
    <w:rsid w:val="003F4987"/>
    <w:rsid w:val="004939F4"/>
    <w:rsid w:val="004E7B6A"/>
    <w:rsid w:val="00523E62"/>
    <w:rsid w:val="00530309"/>
    <w:rsid w:val="005404D0"/>
    <w:rsid w:val="005540D0"/>
    <w:rsid w:val="00565302"/>
    <w:rsid w:val="0056575C"/>
    <w:rsid w:val="00584A13"/>
    <w:rsid w:val="005A780F"/>
    <w:rsid w:val="005B1596"/>
    <w:rsid w:val="005B292D"/>
    <w:rsid w:val="00637714"/>
    <w:rsid w:val="00690FB2"/>
    <w:rsid w:val="006B56FF"/>
    <w:rsid w:val="0070100C"/>
    <w:rsid w:val="007D6B5B"/>
    <w:rsid w:val="00884E51"/>
    <w:rsid w:val="008C5A46"/>
    <w:rsid w:val="008D1BF8"/>
    <w:rsid w:val="008D366D"/>
    <w:rsid w:val="008E5FBC"/>
    <w:rsid w:val="009320E6"/>
    <w:rsid w:val="00962BDE"/>
    <w:rsid w:val="009A3DB1"/>
    <w:rsid w:val="00A07AE1"/>
    <w:rsid w:val="00A2014A"/>
    <w:rsid w:val="00A2130E"/>
    <w:rsid w:val="00AC01E6"/>
    <w:rsid w:val="00AC5B69"/>
    <w:rsid w:val="00B244CD"/>
    <w:rsid w:val="00BE2D6C"/>
    <w:rsid w:val="00BF3B83"/>
    <w:rsid w:val="00C11F23"/>
    <w:rsid w:val="00C4430C"/>
    <w:rsid w:val="00C77DAC"/>
    <w:rsid w:val="00D06E4E"/>
    <w:rsid w:val="00D1505A"/>
    <w:rsid w:val="00D5078D"/>
    <w:rsid w:val="00E078EC"/>
    <w:rsid w:val="00E35243"/>
    <w:rsid w:val="00EB25A0"/>
    <w:rsid w:val="00EF2918"/>
    <w:rsid w:val="00EF7720"/>
    <w:rsid w:val="00F1716F"/>
    <w:rsid w:val="00F905B6"/>
    <w:rsid w:val="00F95B4C"/>
    <w:rsid w:val="00FB1A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D8D95"/>
  <w15:chartTrackingRefBased/>
  <w15:docId w15:val="{25E4E89C-9863-40D4-B975-E4F36973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243"/>
    <w:rPr>
      <w:rFonts w:eastAsia="SimSun"/>
      <w:kern w:val="0"/>
      <w:lang w:val="en-US"/>
      <w14:ligatures w14:val="none"/>
    </w:rPr>
  </w:style>
  <w:style w:type="paragraph" w:styleId="Heading1">
    <w:name w:val="heading 1"/>
    <w:basedOn w:val="Normal"/>
    <w:next w:val="BodyText"/>
    <w:link w:val="Heading1Char"/>
    <w:autoRedefine/>
    <w:qFormat/>
    <w:rsid w:val="00E35243"/>
    <w:pPr>
      <w:keepNext/>
      <w:spacing w:after="0" w:line="360" w:lineRule="auto"/>
      <w:outlineLvl w:val="0"/>
    </w:pPr>
    <w:rPr>
      <w:rFonts w:ascii="Calibri" w:eastAsia="Times New Roman" w:hAnsi="Calibri" w:cs="Calibri"/>
      <w:b/>
      <w:bCs/>
      <w:sz w:val="32"/>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5243"/>
    <w:rPr>
      <w:rFonts w:ascii="Calibri" w:eastAsia="Times New Roman" w:hAnsi="Calibri" w:cs="Calibri"/>
      <w:b/>
      <w:bCs/>
      <w:kern w:val="0"/>
      <w:sz w:val="32"/>
      <w:szCs w:val="24"/>
      <w:lang w:eastAsia="en-GB"/>
      <w14:ligatures w14:val="none"/>
    </w:rPr>
  </w:style>
  <w:style w:type="table" w:styleId="TableGrid">
    <w:name w:val="Table Grid"/>
    <w:basedOn w:val="TableNormal"/>
    <w:uiPriority w:val="59"/>
    <w:rsid w:val="00E35243"/>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table">
    <w:name w:val="caption:table"/>
    <w:basedOn w:val="Normal"/>
    <w:next w:val="Normal"/>
    <w:link w:val="captiontableChar"/>
    <w:qFormat/>
    <w:rsid w:val="00E35243"/>
    <w:pPr>
      <w:keepNext/>
      <w:spacing w:after="240" w:line="240" w:lineRule="auto"/>
      <w:ind w:left="1440" w:hanging="1440"/>
    </w:pPr>
    <w:rPr>
      <w:rFonts w:ascii="Arial" w:eastAsia="Times New Roman" w:hAnsi="Arial" w:cs="Arial"/>
      <w:b/>
      <w:bCs/>
      <w:lang w:val="en-GB" w:eastAsia="en-GB"/>
    </w:rPr>
  </w:style>
  <w:style w:type="character" w:customStyle="1" w:styleId="captiontableChar">
    <w:name w:val="caption:table Char"/>
    <w:link w:val="captiontable"/>
    <w:rsid w:val="00E35243"/>
    <w:rPr>
      <w:rFonts w:ascii="Arial" w:eastAsia="Times New Roman" w:hAnsi="Arial" w:cs="Arial"/>
      <w:b/>
      <w:bCs/>
      <w:kern w:val="0"/>
      <w:lang w:eastAsia="en-GB"/>
      <w14:ligatures w14:val="none"/>
    </w:rPr>
  </w:style>
  <w:style w:type="paragraph" w:customStyle="1" w:styleId="tabletext">
    <w:name w:val="table:text"/>
    <w:basedOn w:val="Normal"/>
    <w:link w:val="tabletextChar"/>
    <w:rsid w:val="00E35243"/>
    <w:pPr>
      <w:spacing w:before="120" w:after="120" w:line="240" w:lineRule="auto"/>
    </w:pPr>
    <w:rPr>
      <w:rFonts w:ascii="Arial Narrow" w:eastAsia="Times New Roman" w:hAnsi="Arial Narrow" w:cs="Arial Narrow"/>
      <w:sz w:val="24"/>
      <w:szCs w:val="24"/>
      <w:lang w:val="en-GB" w:eastAsia="en-GB"/>
    </w:rPr>
  </w:style>
  <w:style w:type="character" w:customStyle="1" w:styleId="tabletextChar">
    <w:name w:val="table:text Char"/>
    <w:link w:val="tabletext"/>
    <w:rsid w:val="00E35243"/>
    <w:rPr>
      <w:rFonts w:ascii="Arial Narrow" w:eastAsia="Times New Roman" w:hAnsi="Arial Narrow" w:cs="Arial Narrow"/>
      <w:kern w:val="0"/>
      <w:sz w:val="24"/>
      <w:szCs w:val="24"/>
      <w:lang w:eastAsia="en-GB"/>
      <w14:ligatures w14:val="none"/>
    </w:rPr>
  </w:style>
  <w:style w:type="paragraph" w:customStyle="1" w:styleId="captionfigure">
    <w:name w:val="caption:figure"/>
    <w:basedOn w:val="Normal"/>
    <w:next w:val="Normal"/>
    <w:link w:val="captionfigureChar"/>
    <w:qFormat/>
    <w:rsid w:val="00E35243"/>
    <w:pPr>
      <w:keepNext/>
      <w:spacing w:after="240" w:line="240" w:lineRule="auto"/>
      <w:ind w:left="1440" w:hanging="1440"/>
    </w:pPr>
    <w:rPr>
      <w:rFonts w:ascii="Arial" w:eastAsia="Times New Roman" w:hAnsi="Arial" w:cs="Arial"/>
      <w:b/>
      <w:bCs/>
      <w:lang w:val="en-GB" w:eastAsia="en-GB"/>
    </w:rPr>
  </w:style>
  <w:style w:type="character" w:customStyle="1" w:styleId="captionfigureChar">
    <w:name w:val="caption:figure Char"/>
    <w:link w:val="captionfigure"/>
    <w:rsid w:val="00E35243"/>
    <w:rPr>
      <w:rFonts w:ascii="Arial" w:eastAsia="Times New Roman" w:hAnsi="Arial" w:cs="Arial"/>
      <w:b/>
      <w:bCs/>
      <w:kern w:val="0"/>
      <w:lang w:eastAsia="en-GB"/>
      <w14:ligatures w14:val="none"/>
    </w:rPr>
  </w:style>
  <w:style w:type="paragraph" w:styleId="Title">
    <w:name w:val="Title"/>
    <w:basedOn w:val="Normal"/>
    <w:next w:val="Normal"/>
    <w:link w:val="TitleChar"/>
    <w:uiPriority w:val="10"/>
    <w:qFormat/>
    <w:rsid w:val="00E352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5243"/>
    <w:rPr>
      <w:rFonts w:asciiTheme="majorHAnsi" w:eastAsiaTheme="majorEastAsia" w:hAnsiTheme="majorHAnsi" w:cstheme="majorBidi"/>
      <w:spacing w:val="-10"/>
      <w:kern w:val="28"/>
      <w:sz w:val="56"/>
      <w:szCs w:val="56"/>
      <w:lang w:val="en-US"/>
      <w14:ligatures w14:val="none"/>
    </w:rPr>
  </w:style>
  <w:style w:type="paragraph" w:styleId="Subtitle">
    <w:name w:val="Subtitle"/>
    <w:basedOn w:val="Normal"/>
    <w:next w:val="Normal"/>
    <w:link w:val="SubtitleChar"/>
    <w:uiPriority w:val="11"/>
    <w:qFormat/>
    <w:rsid w:val="00E3524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35243"/>
    <w:rPr>
      <w:rFonts w:eastAsiaTheme="minorEastAsia"/>
      <w:color w:val="5A5A5A" w:themeColor="text1" w:themeTint="A5"/>
      <w:spacing w:val="15"/>
      <w:kern w:val="0"/>
      <w:lang w:val="en-US"/>
      <w14:ligatures w14:val="none"/>
    </w:rPr>
  </w:style>
  <w:style w:type="character" w:styleId="SubtleEmphasis">
    <w:name w:val="Subtle Emphasis"/>
    <w:basedOn w:val="DefaultParagraphFont"/>
    <w:uiPriority w:val="19"/>
    <w:qFormat/>
    <w:rsid w:val="00E35243"/>
    <w:rPr>
      <w:i/>
      <w:iCs/>
      <w:color w:val="404040" w:themeColor="text1" w:themeTint="BF"/>
    </w:rPr>
  </w:style>
  <w:style w:type="character" w:styleId="Emphasis">
    <w:name w:val="Emphasis"/>
    <w:basedOn w:val="DefaultParagraphFont"/>
    <w:uiPriority w:val="20"/>
    <w:qFormat/>
    <w:rsid w:val="00E35243"/>
    <w:rPr>
      <w:i/>
      <w:iCs/>
    </w:rPr>
  </w:style>
  <w:style w:type="paragraph" w:styleId="Revision">
    <w:name w:val="Revision"/>
    <w:hidden/>
    <w:uiPriority w:val="99"/>
    <w:semiHidden/>
    <w:rsid w:val="00E35243"/>
    <w:pPr>
      <w:spacing w:after="0" w:line="240" w:lineRule="auto"/>
    </w:pPr>
    <w:rPr>
      <w:rFonts w:eastAsia="SimSun"/>
      <w:kern w:val="0"/>
      <w:lang w:val="en-US"/>
      <w14:ligatures w14:val="none"/>
    </w:rPr>
  </w:style>
  <w:style w:type="paragraph" w:styleId="Header">
    <w:name w:val="header"/>
    <w:basedOn w:val="Normal"/>
    <w:link w:val="HeaderChar"/>
    <w:uiPriority w:val="99"/>
    <w:unhideWhenUsed/>
    <w:rsid w:val="00E35243"/>
    <w:pPr>
      <w:tabs>
        <w:tab w:val="center" w:pos="4320"/>
        <w:tab w:val="right" w:pos="8640"/>
      </w:tabs>
      <w:spacing w:after="0" w:line="240" w:lineRule="auto"/>
    </w:pPr>
  </w:style>
  <w:style w:type="character" w:customStyle="1" w:styleId="HeaderChar">
    <w:name w:val="Header Char"/>
    <w:basedOn w:val="DefaultParagraphFont"/>
    <w:link w:val="Header"/>
    <w:uiPriority w:val="99"/>
    <w:rsid w:val="00E35243"/>
    <w:rPr>
      <w:rFonts w:eastAsia="SimSun"/>
      <w:kern w:val="0"/>
      <w:lang w:val="en-US"/>
      <w14:ligatures w14:val="none"/>
    </w:rPr>
  </w:style>
  <w:style w:type="paragraph" w:styleId="Footer">
    <w:name w:val="footer"/>
    <w:basedOn w:val="Normal"/>
    <w:link w:val="FooterChar"/>
    <w:uiPriority w:val="99"/>
    <w:unhideWhenUsed/>
    <w:rsid w:val="00E35243"/>
    <w:pPr>
      <w:tabs>
        <w:tab w:val="center" w:pos="4320"/>
        <w:tab w:val="right" w:pos="8640"/>
      </w:tabs>
      <w:spacing w:after="0" w:line="240" w:lineRule="auto"/>
    </w:pPr>
  </w:style>
  <w:style w:type="character" w:customStyle="1" w:styleId="FooterChar">
    <w:name w:val="Footer Char"/>
    <w:basedOn w:val="DefaultParagraphFont"/>
    <w:link w:val="Footer"/>
    <w:uiPriority w:val="99"/>
    <w:rsid w:val="00E35243"/>
    <w:rPr>
      <w:rFonts w:eastAsia="SimSun"/>
      <w:kern w:val="0"/>
      <w:lang w:val="en-US"/>
      <w14:ligatures w14:val="none"/>
    </w:rPr>
  </w:style>
  <w:style w:type="character" w:styleId="CommentReference">
    <w:name w:val="annotation reference"/>
    <w:aliases w:val="-H18"/>
    <w:basedOn w:val="DefaultParagraphFont"/>
    <w:uiPriority w:val="99"/>
    <w:unhideWhenUsed/>
    <w:rsid w:val="00E35243"/>
    <w:rPr>
      <w:sz w:val="16"/>
      <w:szCs w:val="16"/>
    </w:rPr>
  </w:style>
  <w:style w:type="paragraph" w:styleId="CommentText">
    <w:name w:val="annotation text"/>
    <w:aliases w:val="Annotationtext"/>
    <w:basedOn w:val="Normal"/>
    <w:link w:val="CommentTextChar"/>
    <w:uiPriority w:val="99"/>
    <w:unhideWhenUsed/>
    <w:qFormat/>
    <w:rsid w:val="00E35243"/>
    <w:pPr>
      <w:spacing w:line="240" w:lineRule="auto"/>
    </w:pPr>
    <w:rPr>
      <w:sz w:val="20"/>
      <w:szCs w:val="20"/>
    </w:rPr>
  </w:style>
  <w:style w:type="character" w:customStyle="1" w:styleId="CommentTextChar">
    <w:name w:val="Comment Text Char"/>
    <w:aliases w:val="Annotationtext Char"/>
    <w:basedOn w:val="DefaultParagraphFont"/>
    <w:link w:val="CommentText"/>
    <w:uiPriority w:val="99"/>
    <w:rsid w:val="00E35243"/>
    <w:rPr>
      <w:rFonts w:eastAsia="SimSu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E35243"/>
    <w:rPr>
      <w:b/>
      <w:bCs/>
    </w:rPr>
  </w:style>
  <w:style w:type="character" w:customStyle="1" w:styleId="CommentSubjectChar">
    <w:name w:val="Comment Subject Char"/>
    <w:basedOn w:val="CommentTextChar"/>
    <w:link w:val="CommentSubject"/>
    <w:uiPriority w:val="99"/>
    <w:semiHidden/>
    <w:rsid w:val="00E35243"/>
    <w:rPr>
      <w:rFonts w:eastAsia="SimSun"/>
      <w:b/>
      <w:bCs/>
      <w:kern w:val="0"/>
      <w:sz w:val="20"/>
      <w:szCs w:val="20"/>
      <w:lang w:val="en-US"/>
      <w14:ligatures w14:val="none"/>
    </w:rPr>
  </w:style>
  <w:style w:type="paragraph" w:styleId="ListParagraph">
    <w:name w:val="List Paragraph"/>
    <w:basedOn w:val="Normal"/>
    <w:link w:val="ListParagraphChar"/>
    <w:uiPriority w:val="34"/>
    <w:qFormat/>
    <w:rsid w:val="00E35243"/>
    <w:pPr>
      <w:ind w:left="720"/>
      <w:contextualSpacing/>
    </w:pPr>
  </w:style>
  <w:style w:type="paragraph" w:styleId="BodyText">
    <w:name w:val="Body Text"/>
    <w:basedOn w:val="Normal"/>
    <w:link w:val="BodyTextChar"/>
    <w:uiPriority w:val="99"/>
    <w:semiHidden/>
    <w:unhideWhenUsed/>
    <w:rsid w:val="00E35243"/>
    <w:pPr>
      <w:spacing w:after="120"/>
    </w:pPr>
  </w:style>
  <w:style w:type="character" w:customStyle="1" w:styleId="BodyTextChar">
    <w:name w:val="Body Text Char"/>
    <w:basedOn w:val="DefaultParagraphFont"/>
    <w:link w:val="BodyText"/>
    <w:uiPriority w:val="99"/>
    <w:semiHidden/>
    <w:rsid w:val="00E35243"/>
    <w:rPr>
      <w:rFonts w:eastAsia="SimSun"/>
      <w:kern w:val="0"/>
      <w:lang w:val="en-US"/>
      <w14:ligatures w14:val="none"/>
    </w:rPr>
  </w:style>
  <w:style w:type="character" w:customStyle="1" w:styleId="ListParagraphChar">
    <w:name w:val="List Paragraph Char"/>
    <w:link w:val="ListParagraph"/>
    <w:uiPriority w:val="34"/>
    <w:locked/>
    <w:rsid w:val="00E35243"/>
    <w:rPr>
      <w:rFonts w:eastAsia="SimSun"/>
      <w:kern w:val="0"/>
      <w:lang w:val="en-US"/>
      <w14:ligatures w14:val="none"/>
    </w:rPr>
  </w:style>
  <w:style w:type="character" w:styleId="PlaceholderText">
    <w:name w:val="Placeholder Text"/>
    <w:basedOn w:val="DefaultParagraphFont"/>
    <w:uiPriority w:val="99"/>
    <w:semiHidden/>
    <w:rsid w:val="00E35243"/>
    <w:rPr>
      <w:color w:val="808080"/>
    </w:rPr>
  </w:style>
  <w:style w:type="character" w:customStyle="1" w:styleId="UnresolvedMention">
    <w:name w:val="Unresolved Mention"/>
    <w:basedOn w:val="DefaultParagraphFont"/>
    <w:uiPriority w:val="99"/>
    <w:unhideWhenUsed/>
    <w:rsid w:val="00E35243"/>
    <w:rPr>
      <w:color w:val="605E5C"/>
      <w:shd w:val="clear" w:color="auto" w:fill="E1DFDD"/>
    </w:rPr>
  </w:style>
  <w:style w:type="character" w:customStyle="1" w:styleId="Mention">
    <w:name w:val="Mention"/>
    <w:basedOn w:val="DefaultParagraphFont"/>
    <w:uiPriority w:val="99"/>
    <w:unhideWhenUsed/>
    <w:rsid w:val="00E35243"/>
    <w:rPr>
      <w:color w:val="2B579A"/>
      <w:shd w:val="clear" w:color="auto" w:fill="E1DFDD"/>
    </w:rPr>
  </w:style>
  <w:style w:type="paragraph" w:customStyle="1" w:styleId="EndNoteBibliographyTitle">
    <w:name w:val="EndNote Bibliography Title"/>
    <w:basedOn w:val="Normal"/>
    <w:link w:val="EndNoteBibliographyTitleChar"/>
    <w:rsid w:val="00E3524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35243"/>
    <w:rPr>
      <w:rFonts w:ascii="Calibri" w:eastAsia="SimSun" w:hAnsi="Calibri" w:cs="Calibri"/>
      <w:noProof/>
      <w:kern w:val="0"/>
      <w:lang w:val="en-US"/>
      <w14:ligatures w14:val="none"/>
    </w:rPr>
  </w:style>
  <w:style w:type="paragraph" w:customStyle="1" w:styleId="EndNoteBibliography">
    <w:name w:val="EndNote Bibliography"/>
    <w:basedOn w:val="Normal"/>
    <w:link w:val="EndNoteBibliographyChar"/>
    <w:rsid w:val="00E35243"/>
    <w:pPr>
      <w:spacing w:line="240" w:lineRule="auto"/>
      <w:jc w:val="center"/>
    </w:pPr>
    <w:rPr>
      <w:rFonts w:ascii="Calibri" w:hAnsi="Calibri" w:cs="Calibri"/>
      <w:noProof/>
    </w:rPr>
  </w:style>
  <w:style w:type="character" w:customStyle="1" w:styleId="EndNoteBibliographyChar">
    <w:name w:val="EndNote Bibliography Char"/>
    <w:basedOn w:val="DefaultParagraphFont"/>
    <w:link w:val="EndNoteBibliography"/>
    <w:rsid w:val="00E35243"/>
    <w:rPr>
      <w:rFonts w:ascii="Calibri" w:eastAsia="SimSun" w:hAnsi="Calibri" w:cs="Calibri"/>
      <w:noProof/>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1875</Words>
  <Characters>10692</Characters>
  <Application>Microsoft Office Word</Application>
  <DocSecurity>0</DocSecurity>
  <Lines>89</Lines>
  <Paragraphs>25</Paragraphs>
  <ScaleCrop>false</ScaleCrop>
  <Company/>
  <LinksUpToDate>false</LinksUpToDate>
  <CharactersWithSpaces>12542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Amina Ahmed</dc:creator>
  <cp:keywords/>
  <dc:description/>
  <cp:lastModifiedBy>Paul Alexander D.</cp:lastModifiedBy>
  <cp:revision>3</cp:revision>
  <dcterms:created xsi:type="dcterms:W3CDTF">2023-08-07T14:22:00Z</dcterms:created>
  <dcterms:modified xsi:type="dcterms:W3CDTF">2023-10-15T02:01:00Z</dcterms:modified>
</cp:coreProperties>
</file>