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543DA" w14:textId="77777777" w:rsidR="006113E3" w:rsidRPr="00CB3C8B" w:rsidRDefault="006113E3" w:rsidP="006113E3">
      <w:pPr>
        <w:jc w:val="center"/>
        <w:rPr>
          <w:rFonts w:cstheme="minorHAnsi"/>
          <w:b/>
          <w:bCs/>
        </w:rPr>
      </w:pPr>
      <w:bookmarkStart w:id="0" w:name="_GoBack"/>
      <w:bookmarkEnd w:id="0"/>
      <w:r w:rsidRPr="00CB3C8B">
        <w:rPr>
          <w:rFonts w:cstheme="minorHAnsi"/>
          <w:b/>
          <w:bCs/>
        </w:rPr>
        <w:t>Appendix B</w:t>
      </w:r>
      <w:r>
        <w:rPr>
          <w:rFonts w:cstheme="minorHAnsi"/>
          <w:b/>
          <w:bCs/>
        </w:rPr>
        <w:t xml:space="preserve"> (Online Resource 2)</w:t>
      </w:r>
    </w:p>
    <w:p w14:paraId="0148D166" w14:textId="77777777" w:rsidR="006113E3" w:rsidRPr="00CB3C8B" w:rsidRDefault="006113E3" w:rsidP="006113E3">
      <w:pPr>
        <w:jc w:val="center"/>
        <w:rPr>
          <w:rFonts w:cstheme="minorHAnsi"/>
        </w:rPr>
      </w:pPr>
      <w:r w:rsidRPr="00CB3C8B">
        <w:rPr>
          <w:rFonts w:cstheme="minorHAnsi"/>
          <w:b/>
          <w:bCs/>
        </w:rPr>
        <w:t>Round Two Competencies</w:t>
      </w:r>
      <w:r w:rsidRPr="00CB3C8B">
        <w:rPr>
          <w:rFonts w:cstheme="minorHAnsi"/>
        </w:rPr>
        <w:t xml:space="preserve"> </w:t>
      </w:r>
    </w:p>
    <w:p w14:paraId="6195E94E" w14:textId="77777777" w:rsidR="006113E3" w:rsidRPr="00CB3C8B" w:rsidRDefault="006113E3" w:rsidP="006113E3">
      <w:pPr>
        <w:rPr>
          <w:rFonts w:cstheme="minorHAnsi"/>
          <w:b/>
          <w:bCs/>
          <w:u w:val="single"/>
        </w:rPr>
      </w:pPr>
      <w:r w:rsidRPr="00CB3C8B">
        <w:rPr>
          <w:rFonts w:cstheme="minorHAnsi"/>
          <w:b/>
          <w:bCs/>
          <w:i/>
          <w:iCs/>
        </w:rPr>
        <w:t>Round 2 Ranked Clinical Pharmacology Competencies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113E3" w:rsidRPr="00CB3C8B" w14:paraId="3B971E73" w14:textId="77777777" w:rsidTr="000B5C72">
        <w:tc>
          <w:tcPr>
            <w:tcW w:w="9350" w:type="dxa"/>
            <w:tcBorders>
              <w:left w:val="nil"/>
              <w:bottom w:val="nil"/>
              <w:right w:val="nil"/>
            </w:tcBorders>
          </w:tcPr>
          <w:p w14:paraId="4F243877" w14:textId="77777777" w:rsidR="006113E3" w:rsidRPr="00CB3C8B" w:rsidRDefault="006113E3" w:rsidP="000B5C72">
            <w:pPr>
              <w:rPr>
                <w:rFonts w:cstheme="minorHAnsi"/>
                <w:b/>
                <w:bCs/>
                <w:i/>
                <w:iCs/>
              </w:rPr>
            </w:pPr>
          </w:p>
        </w:tc>
      </w:tr>
    </w:tbl>
    <w:p w14:paraId="2F77E6DD" w14:textId="77777777" w:rsidR="006113E3" w:rsidRPr="00CB3C8B" w:rsidRDefault="006113E3" w:rsidP="006113E3">
      <w:pPr>
        <w:spacing w:after="0" w:line="240" w:lineRule="auto"/>
        <w:rPr>
          <w:rFonts w:cstheme="minorHAnsi"/>
        </w:rPr>
      </w:pPr>
      <w:r w:rsidRPr="00CB3C8B">
        <w:rPr>
          <w:rFonts w:cstheme="minorHAnsi"/>
        </w:rPr>
        <w:t>Core Competencies</w:t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  <w:t>% Consensus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113E3" w:rsidRPr="00CB3C8B" w14:paraId="2E7E2E37" w14:textId="77777777" w:rsidTr="000B5C72">
        <w:tc>
          <w:tcPr>
            <w:tcW w:w="9350" w:type="dxa"/>
            <w:tcBorders>
              <w:left w:val="nil"/>
              <w:bottom w:val="nil"/>
              <w:right w:val="nil"/>
            </w:tcBorders>
          </w:tcPr>
          <w:p w14:paraId="25E071E5" w14:textId="77777777" w:rsidR="006113E3" w:rsidRPr="00CB3C8B" w:rsidRDefault="006113E3" w:rsidP="000B5C72">
            <w:pPr>
              <w:rPr>
                <w:rFonts w:cstheme="minorHAnsi"/>
              </w:rPr>
            </w:pPr>
          </w:p>
        </w:tc>
      </w:tr>
    </w:tbl>
    <w:p w14:paraId="39BFCD85" w14:textId="77777777" w:rsidR="006113E3" w:rsidRPr="00CB3C8B" w:rsidRDefault="006113E3" w:rsidP="006113E3">
      <w:pPr>
        <w:rPr>
          <w:rFonts w:cstheme="minorHAnsi"/>
        </w:rPr>
      </w:pPr>
      <w:r w:rsidRPr="00CB3C8B">
        <w:rPr>
          <w:rFonts w:cstheme="minorHAnsi"/>
        </w:rPr>
        <w:t xml:space="preserve">Domain: Communication </w:t>
      </w:r>
    </w:p>
    <w:p w14:paraId="0E3C437B" w14:textId="77777777" w:rsidR="006113E3" w:rsidRPr="00CB3C8B" w:rsidRDefault="006113E3" w:rsidP="006113E3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CB3C8B">
        <w:rPr>
          <w:rFonts w:cstheme="minorHAnsi"/>
        </w:rPr>
        <w:t>Demonstrates effective writing and oral presentation/communication skills</w:t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  <w:t>100%</w:t>
      </w:r>
    </w:p>
    <w:p w14:paraId="38F58932" w14:textId="77777777" w:rsidR="006113E3" w:rsidRPr="00CB3C8B" w:rsidRDefault="006113E3" w:rsidP="006113E3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CB3C8B">
        <w:rPr>
          <w:rFonts w:cstheme="minorHAnsi"/>
        </w:rPr>
        <w:t>Appropriately adjusts communication material to optimize understanding and</w:t>
      </w:r>
    </w:p>
    <w:p w14:paraId="3E9D0FE4" w14:textId="4BAEDBA7" w:rsidR="006113E3" w:rsidRPr="00CB3C8B" w:rsidRDefault="006113E3" w:rsidP="006113E3">
      <w:pPr>
        <w:widowControl w:val="0"/>
        <w:spacing w:after="0"/>
        <w:ind w:left="360"/>
        <w:rPr>
          <w:rFonts w:cstheme="minorHAnsi"/>
        </w:rPr>
      </w:pPr>
      <w:r w:rsidRPr="00CB3C8B">
        <w:rPr>
          <w:rFonts w:cstheme="minorHAnsi"/>
        </w:rPr>
        <w:t xml:space="preserve"> </w:t>
      </w:r>
      <w:r w:rsidRPr="00CB3C8B">
        <w:rPr>
          <w:rFonts w:cstheme="minorHAnsi"/>
        </w:rPr>
        <w:tab/>
      </w:r>
      <w:proofErr w:type="gramStart"/>
      <w:r w:rsidRPr="00CB3C8B">
        <w:rPr>
          <w:rFonts w:cstheme="minorHAnsi"/>
        </w:rPr>
        <w:t>utility</w:t>
      </w:r>
      <w:proofErr w:type="gramEnd"/>
      <w:r w:rsidRPr="00CB3C8B">
        <w:rPr>
          <w:rFonts w:cstheme="minorHAnsi"/>
        </w:rPr>
        <w:t xml:space="preserve"> by specific audiences (e.g., Industry, healthcare practitioner, public</w:t>
      </w:r>
      <w:r w:rsidR="00653323">
        <w:rPr>
          <w:rFonts w:cstheme="minorHAnsi"/>
        </w:rPr>
        <w:t>)</w:t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  <w:t>100%</w:t>
      </w:r>
    </w:p>
    <w:p w14:paraId="2A7777AB" w14:textId="77777777" w:rsidR="006113E3" w:rsidRPr="00CB3C8B" w:rsidRDefault="006113E3" w:rsidP="006113E3">
      <w:pPr>
        <w:rPr>
          <w:rFonts w:cstheme="minorHAnsi"/>
        </w:rPr>
      </w:pPr>
    </w:p>
    <w:p w14:paraId="4436ACCB" w14:textId="77777777" w:rsidR="006113E3" w:rsidRPr="00CB3C8B" w:rsidRDefault="006113E3" w:rsidP="006113E3">
      <w:pPr>
        <w:rPr>
          <w:rFonts w:cstheme="minorHAnsi"/>
        </w:rPr>
      </w:pPr>
      <w:r w:rsidRPr="00CB3C8B">
        <w:rPr>
          <w:rFonts w:cstheme="minorHAnsi"/>
        </w:rPr>
        <w:t>Domain: Time Management</w:t>
      </w:r>
    </w:p>
    <w:p w14:paraId="008FC124" w14:textId="77777777" w:rsidR="006113E3" w:rsidRPr="00CB3C8B" w:rsidRDefault="006113E3" w:rsidP="006113E3">
      <w:pPr>
        <w:pStyle w:val="ListParagraph"/>
        <w:widowControl w:val="0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CB3C8B">
        <w:rPr>
          <w:rFonts w:cstheme="minorHAnsi"/>
        </w:rPr>
        <w:t>Uses time effectively and efficiently</w:t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  <w:t>96.6%</w:t>
      </w:r>
    </w:p>
    <w:p w14:paraId="25F129F1" w14:textId="77777777" w:rsidR="006113E3" w:rsidRPr="00CB3C8B" w:rsidRDefault="006113E3" w:rsidP="006113E3">
      <w:pPr>
        <w:pStyle w:val="ListParagraph"/>
        <w:widowControl w:val="0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CB3C8B">
        <w:rPr>
          <w:rFonts w:cstheme="minorHAnsi"/>
        </w:rPr>
        <w:t>Prioritizes a wide range of tasks and projects in a timely manner</w:t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  <w:t>96.6%</w:t>
      </w:r>
    </w:p>
    <w:p w14:paraId="2FE2CE4E" w14:textId="77777777" w:rsidR="006113E3" w:rsidRPr="00CB3C8B" w:rsidRDefault="006113E3" w:rsidP="006113E3">
      <w:pPr>
        <w:pStyle w:val="ListParagraph"/>
        <w:widowControl w:val="0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CB3C8B">
        <w:rPr>
          <w:rFonts w:cstheme="minorHAnsi"/>
        </w:rPr>
        <w:t>Demonstrates the ability to plan the workload for successful completion of</w:t>
      </w:r>
    </w:p>
    <w:p w14:paraId="2B115DD1" w14:textId="77777777" w:rsidR="006113E3" w:rsidRPr="00CB3C8B" w:rsidRDefault="006113E3" w:rsidP="006113E3">
      <w:pPr>
        <w:widowControl w:val="0"/>
        <w:spacing w:after="0"/>
        <w:ind w:firstLine="720"/>
        <w:rPr>
          <w:rFonts w:cstheme="minorHAnsi"/>
        </w:rPr>
      </w:pPr>
      <w:proofErr w:type="gramStart"/>
      <w:r w:rsidRPr="00CB3C8B">
        <w:rPr>
          <w:rFonts w:cstheme="minorHAnsi"/>
        </w:rPr>
        <w:t>projects</w:t>
      </w:r>
      <w:proofErr w:type="gramEnd"/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  <w:t>100%</w:t>
      </w:r>
    </w:p>
    <w:p w14:paraId="5448E418" w14:textId="77777777" w:rsidR="006113E3" w:rsidRPr="00CB3C8B" w:rsidRDefault="006113E3" w:rsidP="006113E3">
      <w:pPr>
        <w:pStyle w:val="ListParagraph"/>
        <w:widowControl w:val="0"/>
        <w:spacing w:after="0"/>
        <w:rPr>
          <w:rFonts w:cstheme="minorHAnsi"/>
        </w:rPr>
      </w:pPr>
    </w:p>
    <w:p w14:paraId="0B6341A7" w14:textId="77777777" w:rsidR="006113E3" w:rsidRPr="00CB3C8B" w:rsidRDefault="006113E3" w:rsidP="006113E3">
      <w:pPr>
        <w:rPr>
          <w:rFonts w:cstheme="minorHAnsi"/>
        </w:rPr>
      </w:pPr>
    </w:p>
    <w:p w14:paraId="79DA660D" w14:textId="77777777" w:rsidR="006113E3" w:rsidRPr="00CB3C8B" w:rsidRDefault="006113E3" w:rsidP="006113E3">
      <w:pPr>
        <w:rPr>
          <w:rFonts w:cstheme="minorHAnsi"/>
        </w:rPr>
      </w:pPr>
      <w:r w:rsidRPr="00CB3C8B">
        <w:rPr>
          <w:rFonts w:cstheme="minorHAnsi"/>
        </w:rPr>
        <w:t>Domain: Negotiation Skills</w:t>
      </w:r>
    </w:p>
    <w:p w14:paraId="4A89FE61" w14:textId="77777777" w:rsidR="006113E3" w:rsidRPr="00CB3C8B" w:rsidRDefault="006113E3" w:rsidP="006113E3">
      <w:pPr>
        <w:pStyle w:val="ListParagraph"/>
        <w:widowControl w:val="0"/>
        <w:numPr>
          <w:ilvl w:val="0"/>
          <w:numId w:val="3"/>
        </w:numPr>
        <w:spacing w:after="0" w:line="240" w:lineRule="auto"/>
        <w:rPr>
          <w:rFonts w:cstheme="minorHAnsi"/>
          <w:color w:val="000000"/>
        </w:rPr>
      </w:pPr>
      <w:r w:rsidRPr="00CB3C8B">
        <w:rPr>
          <w:rFonts w:cstheme="minorHAnsi"/>
        </w:rPr>
        <w:t xml:space="preserve">Demonstrates the ability to </w:t>
      </w:r>
      <w:r w:rsidRPr="00CB3C8B">
        <w:rPr>
          <w:rFonts w:cstheme="minorHAnsi"/>
          <w:color w:val="000000"/>
        </w:rPr>
        <w:t xml:space="preserve">negotiate skillfully in tough situations with both internal </w:t>
      </w:r>
    </w:p>
    <w:p w14:paraId="2AF09A3E" w14:textId="77777777" w:rsidR="006113E3" w:rsidRPr="00CB3C8B" w:rsidRDefault="006113E3" w:rsidP="006113E3">
      <w:pPr>
        <w:widowControl w:val="0"/>
        <w:spacing w:after="0"/>
        <w:ind w:firstLine="720"/>
        <w:rPr>
          <w:rFonts w:cstheme="minorHAnsi"/>
          <w:color w:val="000000"/>
        </w:rPr>
      </w:pPr>
      <w:proofErr w:type="gramStart"/>
      <w:r w:rsidRPr="00CB3C8B">
        <w:rPr>
          <w:rFonts w:cstheme="minorHAnsi"/>
          <w:color w:val="000000"/>
        </w:rPr>
        <w:t>and</w:t>
      </w:r>
      <w:proofErr w:type="gramEnd"/>
      <w:r w:rsidRPr="00CB3C8B">
        <w:rPr>
          <w:rFonts w:cstheme="minorHAnsi"/>
          <w:color w:val="000000"/>
        </w:rPr>
        <w:t xml:space="preserve"> external groups </w:t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  <w:t>93.1%</w:t>
      </w:r>
    </w:p>
    <w:p w14:paraId="6B5A0F8B" w14:textId="77777777" w:rsidR="006113E3" w:rsidRPr="00CB3C8B" w:rsidRDefault="006113E3" w:rsidP="006113E3">
      <w:pPr>
        <w:pStyle w:val="ListParagraph"/>
        <w:widowControl w:val="0"/>
        <w:numPr>
          <w:ilvl w:val="0"/>
          <w:numId w:val="3"/>
        </w:numPr>
        <w:spacing w:after="0" w:line="240" w:lineRule="auto"/>
        <w:rPr>
          <w:rFonts w:cstheme="minorHAnsi"/>
          <w:color w:val="000000"/>
        </w:rPr>
      </w:pPr>
      <w:r w:rsidRPr="00CB3C8B">
        <w:rPr>
          <w:rFonts w:cstheme="minorHAnsi"/>
          <w:color w:val="000000"/>
        </w:rPr>
        <w:t xml:space="preserve">Seeks win-win solutions to settle differences  </w:t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  <w:t>89.9%</w:t>
      </w:r>
    </w:p>
    <w:p w14:paraId="79132B39" w14:textId="77777777" w:rsidR="006113E3" w:rsidRPr="00CB3C8B" w:rsidRDefault="006113E3" w:rsidP="006113E3">
      <w:pPr>
        <w:pStyle w:val="ListParagraph"/>
        <w:widowControl w:val="0"/>
        <w:numPr>
          <w:ilvl w:val="0"/>
          <w:numId w:val="3"/>
        </w:numPr>
        <w:spacing w:after="0" w:line="240" w:lineRule="auto"/>
        <w:rPr>
          <w:rFonts w:cstheme="minorHAnsi"/>
          <w:color w:val="000000"/>
        </w:rPr>
      </w:pPr>
      <w:r w:rsidRPr="00CB3C8B">
        <w:rPr>
          <w:rFonts w:cstheme="minorHAnsi"/>
          <w:color w:val="000000"/>
        </w:rPr>
        <w:t xml:space="preserve">Demonstrates skill in being direct and forceful as well as diplomatic </w:t>
      </w:r>
    </w:p>
    <w:p w14:paraId="6F6E20EA" w14:textId="77777777" w:rsidR="006113E3" w:rsidRPr="00CB3C8B" w:rsidRDefault="006113E3" w:rsidP="006113E3">
      <w:pPr>
        <w:widowControl w:val="0"/>
        <w:spacing w:after="0"/>
        <w:ind w:firstLine="720"/>
        <w:rPr>
          <w:rFonts w:cstheme="minorHAnsi"/>
          <w:color w:val="000000"/>
        </w:rPr>
      </w:pPr>
      <w:proofErr w:type="gramStart"/>
      <w:r w:rsidRPr="00CB3C8B">
        <w:rPr>
          <w:rFonts w:cstheme="minorHAnsi"/>
          <w:color w:val="000000"/>
        </w:rPr>
        <w:t>when</w:t>
      </w:r>
      <w:proofErr w:type="gramEnd"/>
      <w:r w:rsidRPr="00CB3C8B">
        <w:rPr>
          <w:rFonts w:cstheme="minorHAnsi"/>
          <w:color w:val="000000"/>
        </w:rPr>
        <w:t xml:space="preserve"> required </w:t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  <w:t>96.6%</w:t>
      </w:r>
    </w:p>
    <w:p w14:paraId="6EF1B0E8" w14:textId="77777777" w:rsidR="006113E3" w:rsidRPr="00CB3C8B" w:rsidRDefault="006113E3" w:rsidP="006113E3">
      <w:pPr>
        <w:pStyle w:val="ListParagraph"/>
        <w:widowControl w:val="0"/>
        <w:numPr>
          <w:ilvl w:val="0"/>
          <w:numId w:val="3"/>
        </w:numPr>
        <w:spacing w:after="0" w:line="240" w:lineRule="auto"/>
        <w:rPr>
          <w:rFonts w:cstheme="minorHAnsi"/>
          <w:color w:val="000000"/>
        </w:rPr>
      </w:pPr>
      <w:r w:rsidRPr="00CB3C8B">
        <w:rPr>
          <w:rFonts w:cstheme="minorHAnsi"/>
          <w:color w:val="000000"/>
        </w:rPr>
        <w:t xml:space="preserve">Builds trust between parties in negotiation </w:t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  <w:t>89.7%</w:t>
      </w:r>
    </w:p>
    <w:p w14:paraId="491CB6E2" w14:textId="77777777" w:rsidR="006113E3" w:rsidRPr="00CB3C8B" w:rsidRDefault="006113E3" w:rsidP="006113E3">
      <w:pPr>
        <w:pStyle w:val="ListParagraph"/>
        <w:widowControl w:val="0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B3C8B">
        <w:rPr>
          <w:rFonts w:cstheme="minorHAnsi"/>
        </w:rPr>
        <w:t xml:space="preserve">Uses listening skills when negotiating* </w:t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  <w:t>96.4%</w:t>
      </w:r>
    </w:p>
    <w:p w14:paraId="6DA0C6A7" w14:textId="77777777" w:rsidR="006113E3" w:rsidRPr="00CB3C8B" w:rsidRDefault="006113E3" w:rsidP="006113E3">
      <w:pPr>
        <w:rPr>
          <w:rFonts w:cstheme="minorHAnsi"/>
        </w:rPr>
      </w:pPr>
    </w:p>
    <w:p w14:paraId="4BF1EA9B" w14:textId="77777777" w:rsidR="006113E3" w:rsidRPr="00CB3C8B" w:rsidRDefault="006113E3" w:rsidP="006113E3">
      <w:pPr>
        <w:rPr>
          <w:rFonts w:cstheme="minorHAnsi"/>
        </w:rPr>
      </w:pPr>
      <w:r w:rsidRPr="00CB3C8B">
        <w:rPr>
          <w:rFonts w:cstheme="minorHAnsi"/>
        </w:rPr>
        <w:t>Domain: Problem Solving</w:t>
      </w:r>
    </w:p>
    <w:p w14:paraId="1AC2128E" w14:textId="77777777" w:rsidR="006113E3" w:rsidRPr="00CB3C8B" w:rsidRDefault="006113E3" w:rsidP="006113E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cstheme="minorHAnsi"/>
          <w:color w:val="000000"/>
        </w:rPr>
      </w:pPr>
      <w:r w:rsidRPr="00CB3C8B">
        <w:rPr>
          <w:rFonts w:cstheme="minorHAnsi"/>
        </w:rPr>
        <w:t xml:space="preserve">Applies </w:t>
      </w:r>
      <w:r w:rsidRPr="00CB3C8B">
        <w:rPr>
          <w:rFonts w:cstheme="minorHAnsi"/>
          <w:color w:val="000000"/>
        </w:rPr>
        <w:t xml:space="preserve">critical thinking to solve difficult problems with effective solutions </w:t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  <w:t>100%</w:t>
      </w:r>
    </w:p>
    <w:p w14:paraId="224E87B0" w14:textId="0E2D69E4" w:rsidR="006113E3" w:rsidRPr="00CB3C8B" w:rsidRDefault="006113E3" w:rsidP="006113E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cstheme="minorHAnsi"/>
          <w:color w:val="000000"/>
        </w:rPr>
      </w:pPr>
      <w:r w:rsidRPr="00CB3C8B">
        <w:rPr>
          <w:rFonts w:cstheme="minorHAnsi"/>
          <w:color w:val="000000"/>
        </w:rPr>
        <w:t xml:space="preserve">Researches broadly to solve a problem and with an open mind  </w:t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  <w:t>100%</w:t>
      </w:r>
    </w:p>
    <w:p w14:paraId="39B823F5" w14:textId="77777777" w:rsidR="006113E3" w:rsidRPr="00CB3C8B" w:rsidRDefault="006113E3" w:rsidP="006113E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cstheme="minorHAnsi"/>
          <w:color w:val="000000"/>
        </w:rPr>
      </w:pPr>
      <w:r w:rsidRPr="00CB3C8B">
        <w:rPr>
          <w:rFonts w:cstheme="minorHAnsi"/>
          <w:color w:val="000000"/>
        </w:rPr>
        <w:t xml:space="preserve">Demonstrates sensitivity to potential unseen risks/threats during problem solving </w:t>
      </w:r>
      <w:r w:rsidRPr="00CB3C8B">
        <w:rPr>
          <w:rFonts w:cstheme="minorHAnsi"/>
          <w:color w:val="000000"/>
        </w:rPr>
        <w:tab/>
        <w:t>96.6%</w:t>
      </w:r>
    </w:p>
    <w:p w14:paraId="6848509B" w14:textId="77777777" w:rsidR="006113E3" w:rsidRPr="00CB3C8B" w:rsidRDefault="006113E3" w:rsidP="006113E3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CB3C8B">
        <w:rPr>
          <w:rFonts w:cstheme="minorHAnsi"/>
          <w:color w:val="000000"/>
        </w:rPr>
        <w:t xml:space="preserve">Provides an objective analysis </w:t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  <w:t>100%</w:t>
      </w:r>
    </w:p>
    <w:p w14:paraId="39494C03" w14:textId="77777777" w:rsidR="006113E3" w:rsidRPr="00CB3C8B" w:rsidRDefault="006113E3" w:rsidP="006113E3">
      <w:pPr>
        <w:rPr>
          <w:rFonts w:cstheme="minorHAnsi"/>
        </w:rPr>
      </w:pPr>
    </w:p>
    <w:p w14:paraId="4BF5D2AD" w14:textId="77777777" w:rsidR="006113E3" w:rsidRPr="00CB3C8B" w:rsidRDefault="006113E3" w:rsidP="006113E3">
      <w:pPr>
        <w:rPr>
          <w:rFonts w:cstheme="minorHAnsi"/>
        </w:rPr>
      </w:pPr>
      <w:r w:rsidRPr="00CB3C8B">
        <w:rPr>
          <w:rFonts w:cstheme="minorHAnsi"/>
        </w:rPr>
        <w:t>Domain: Customer Service (Focus)</w:t>
      </w:r>
    </w:p>
    <w:p w14:paraId="30A00A8B" w14:textId="77777777" w:rsidR="006113E3" w:rsidRPr="00CB3C8B" w:rsidRDefault="006113E3" w:rsidP="006113E3">
      <w:pPr>
        <w:pStyle w:val="ListParagraph"/>
        <w:widowControl w:val="0"/>
        <w:numPr>
          <w:ilvl w:val="0"/>
          <w:numId w:val="5"/>
        </w:numPr>
        <w:spacing w:after="0" w:line="240" w:lineRule="auto"/>
        <w:rPr>
          <w:rFonts w:cstheme="minorHAnsi"/>
          <w:color w:val="000000"/>
        </w:rPr>
      </w:pPr>
      <w:r w:rsidRPr="00CB3C8B">
        <w:rPr>
          <w:rFonts w:cstheme="minorHAnsi"/>
          <w:color w:val="000000"/>
        </w:rPr>
        <w:t xml:space="preserve">Applies knowledge of direct internal and external feedback for improvement in the drug development and regulatory review process, policy development and this information if communicated  </w:t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  <w:t>96.6%</w:t>
      </w:r>
    </w:p>
    <w:p w14:paraId="06C14C38" w14:textId="7F440998" w:rsidR="006113E3" w:rsidRPr="00CB3C8B" w:rsidRDefault="006113E3" w:rsidP="006113E3">
      <w:pPr>
        <w:pStyle w:val="ListParagraph"/>
        <w:widowControl w:val="0"/>
        <w:numPr>
          <w:ilvl w:val="0"/>
          <w:numId w:val="5"/>
        </w:numPr>
        <w:spacing w:after="0" w:line="240" w:lineRule="auto"/>
        <w:rPr>
          <w:rFonts w:cstheme="minorHAnsi"/>
          <w:color w:val="000000"/>
        </w:rPr>
      </w:pPr>
      <w:r w:rsidRPr="00CB3C8B">
        <w:rPr>
          <w:rFonts w:cstheme="minorHAnsi"/>
        </w:rPr>
        <w:t xml:space="preserve">Strives to meet </w:t>
      </w:r>
      <w:r w:rsidRPr="00CB3C8B">
        <w:rPr>
          <w:rFonts w:cstheme="minorHAnsi"/>
          <w:color w:val="000000"/>
        </w:rPr>
        <w:t xml:space="preserve">the needs, expectations and requirements of internal coworkers and external stakeholders (e.g., industry, healthcare providers, press, congress, public )  in a positive manner </w:t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lastRenderedPageBreak/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  <w:t>89.6%</w:t>
      </w:r>
    </w:p>
    <w:p w14:paraId="4095AC07" w14:textId="77777777" w:rsidR="006113E3" w:rsidRPr="00CB3C8B" w:rsidRDefault="006113E3" w:rsidP="006113E3">
      <w:pPr>
        <w:pStyle w:val="ListParagraph"/>
        <w:widowControl w:val="0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CB3C8B">
        <w:rPr>
          <w:rFonts w:cstheme="minorHAnsi"/>
          <w:color w:val="000000"/>
        </w:rPr>
        <w:t xml:space="preserve">Establishes and maintains effective relationships with coworkers and stakeholders and gains their trust and respect </w:t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  <w:t>100%</w:t>
      </w:r>
    </w:p>
    <w:p w14:paraId="48F55E69" w14:textId="77777777" w:rsidR="006113E3" w:rsidRPr="00CB3C8B" w:rsidRDefault="006113E3" w:rsidP="006113E3">
      <w:pPr>
        <w:pStyle w:val="ListParagraph"/>
        <w:widowControl w:val="0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CB3C8B">
        <w:rPr>
          <w:rFonts w:cstheme="minorHAnsi"/>
          <w:color w:val="000000"/>
        </w:rPr>
        <w:t xml:space="preserve">Demonstrates dedication to stakeholder satisfaction </w:t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  <w:t>92.9%</w:t>
      </w:r>
    </w:p>
    <w:p w14:paraId="0833C222" w14:textId="77777777" w:rsidR="006113E3" w:rsidRPr="00CB3C8B" w:rsidRDefault="006113E3" w:rsidP="006113E3">
      <w:pPr>
        <w:pStyle w:val="ListParagraph"/>
        <w:widowControl w:val="0"/>
        <w:spacing w:after="0"/>
        <w:ind w:left="0"/>
        <w:rPr>
          <w:rFonts w:cstheme="minorHAnsi"/>
        </w:rPr>
      </w:pPr>
    </w:p>
    <w:p w14:paraId="44AB399D" w14:textId="77777777" w:rsidR="006113E3" w:rsidRPr="00CB3C8B" w:rsidRDefault="006113E3" w:rsidP="006113E3">
      <w:pPr>
        <w:rPr>
          <w:rFonts w:cstheme="minorHAnsi"/>
        </w:rPr>
      </w:pPr>
      <w:r w:rsidRPr="00CB3C8B">
        <w:rPr>
          <w:rFonts w:cstheme="minorHAnsi"/>
        </w:rPr>
        <w:t>Domain: Functional/Skills</w:t>
      </w:r>
    </w:p>
    <w:p w14:paraId="77CE1CC4" w14:textId="674A4D9F" w:rsidR="006113E3" w:rsidRPr="00CB3C8B" w:rsidRDefault="006113E3" w:rsidP="006113E3">
      <w:pPr>
        <w:pStyle w:val="ListParagraph"/>
        <w:widowControl w:val="0"/>
        <w:numPr>
          <w:ilvl w:val="0"/>
          <w:numId w:val="6"/>
        </w:numPr>
        <w:spacing w:after="0" w:line="240" w:lineRule="auto"/>
        <w:rPr>
          <w:rFonts w:cstheme="minorHAnsi"/>
          <w:color w:val="000000"/>
        </w:rPr>
      </w:pPr>
      <w:r w:rsidRPr="00CB3C8B">
        <w:rPr>
          <w:rFonts w:cstheme="minorHAnsi"/>
          <w:color w:val="000000"/>
        </w:rPr>
        <w:t>Performs in depth Clinical Pharmacology and sub-specialty reviews, e.g.</w:t>
      </w:r>
      <w:r w:rsidR="00211A94">
        <w:rPr>
          <w:rFonts w:cstheme="minorHAnsi"/>
          <w:color w:val="000000"/>
        </w:rPr>
        <w:t>,</w:t>
      </w:r>
      <w:r w:rsidRPr="00CB3C8B">
        <w:rPr>
          <w:rFonts w:cstheme="minorHAnsi"/>
          <w:color w:val="000000"/>
        </w:rPr>
        <w:t xml:space="preserve"> quantitative pharmacology (pharmacokinetics and genomics) submissions in IND, NDA, BLAs, Supplements and Amendments  </w:t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  <w:t>96.6%</w:t>
      </w:r>
    </w:p>
    <w:p w14:paraId="39327826" w14:textId="77777777" w:rsidR="006113E3" w:rsidRPr="00CB3C8B" w:rsidRDefault="006113E3" w:rsidP="006113E3">
      <w:pPr>
        <w:pStyle w:val="ListParagraph"/>
        <w:widowControl w:val="0"/>
        <w:numPr>
          <w:ilvl w:val="0"/>
          <w:numId w:val="6"/>
        </w:numPr>
        <w:spacing w:after="0" w:line="240" w:lineRule="auto"/>
        <w:rPr>
          <w:rFonts w:cstheme="minorHAnsi"/>
          <w:color w:val="000000"/>
        </w:rPr>
      </w:pPr>
      <w:r w:rsidRPr="00CB3C8B">
        <w:rPr>
          <w:rFonts w:cstheme="minorHAnsi"/>
          <w:color w:val="000000"/>
        </w:rPr>
        <w:t xml:space="preserve">Provides independent recommendations to review team regarding information related to the approvability of a clinical pharmacology package  </w:t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  <w:t>96.6%</w:t>
      </w:r>
    </w:p>
    <w:p w14:paraId="603827D7" w14:textId="77777777" w:rsidR="006113E3" w:rsidRPr="00CB3C8B" w:rsidRDefault="006113E3" w:rsidP="006113E3">
      <w:pPr>
        <w:pStyle w:val="ListParagraph"/>
        <w:widowControl w:val="0"/>
        <w:numPr>
          <w:ilvl w:val="0"/>
          <w:numId w:val="6"/>
        </w:numPr>
        <w:spacing w:after="0" w:line="240" w:lineRule="auto"/>
        <w:rPr>
          <w:rFonts w:cstheme="minorHAnsi"/>
          <w:color w:val="000000"/>
        </w:rPr>
      </w:pPr>
      <w:r w:rsidRPr="00CB3C8B">
        <w:rPr>
          <w:rFonts w:cstheme="minorHAnsi"/>
          <w:color w:val="000000"/>
        </w:rPr>
        <w:t>Remains abreast/current in Clinical Pharmacology and new innovations in Clinical Pharmacology related to drug development</w:t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  <w:t>96.6%</w:t>
      </w:r>
    </w:p>
    <w:p w14:paraId="655D3B5E" w14:textId="77777777" w:rsidR="006113E3" w:rsidRPr="00CB3C8B" w:rsidRDefault="006113E3" w:rsidP="006113E3">
      <w:pPr>
        <w:pStyle w:val="ListParagraph"/>
        <w:widowControl w:val="0"/>
        <w:numPr>
          <w:ilvl w:val="0"/>
          <w:numId w:val="6"/>
        </w:numPr>
        <w:spacing w:after="0" w:line="240" w:lineRule="auto"/>
        <w:rPr>
          <w:rFonts w:cstheme="minorHAnsi"/>
          <w:color w:val="000000"/>
        </w:rPr>
      </w:pPr>
      <w:r w:rsidRPr="00CB3C8B">
        <w:rPr>
          <w:rFonts w:cstheme="minorHAnsi"/>
          <w:color w:val="000000"/>
        </w:rPr>
        <w:t xml:space="preserve">Maintains basic knowledge of other disciplines as appropriate  </w:t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  <w:t>93.1%</w:t>
      </w:r>
    </w:p>
    <w:p w14:paraId="44BB844D" w14:textId="77777777" w:rsidR="006113E3" w:rsidRPr="00CB3C8B" w:rsidRDefault="006113E3" w:rsidP="006113E3">
      <w:pPr>
        <w:pStyle w:val="ListParagraph"/>
        <w:widowControl w:val="0"/>
        <w:numPr>
          <w:ilvl w:val="0"/>
          <w:numId w:val="6"/>
        </w:numPr>
        <w:spacing w:after="0" w:line="240" w:lineRule="auto"/>
        <w:rPr>
          <w:rFonts w:cstheme="minorHAnsi"/>
          <w:color w:val="000000"/>
        </w:rPr>
      </w:pPr>
      <w:r w:rsidRPr="00CB3C8B">
        <w:rPr>
          <w:rFonts w:cstheme="minorHAnsi"/>
          <w:color w:val="000000"/>
        </w:rPr>
        <w:t xml:space="preserve">Applies up-to-date knowledge of Federal laws, FDA regulations, and related guidelines for industry applicable to the review process  </w:t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</w:r>
      <w:r w:rsidRPr="00CB3C8B">
        <w:rPr>
          <w:rFonts w:cstheme="minorHAnsi"/>
          <w:color w:val="000000"/>
        </w:rPr>
        <w:tab/>
        <w:t>100%</w:t>
      </w:r>
    </w:p>
    <w:p w14:paraId="68CF612D" w14:textId="77777777" w:rsidR="006113E3" w:rsidRPr="00CB3C8B" w:rsidRDefault="006113E3" w:rsidP="006113E3">
      <w:pPr>
        <w:pStyle w:val="ListParagraph"/>
        <w:widowControl w:val="0"/>
        <w:numPr>
          <w:ilvl w:val="0"/>
          <w:numId w:val="6"/>
        </w:numPr>
        <w:spacing w:after="0" w:line="240" w:lineRule="auto"/>
        <w:rPr>
          <w:rFonts w:eastAsia="Times New Roman" w:cstheme="minorHAnsi"/>
          <w:snapToGrid w:val="0"/>
        </w:rPr>
      </w:pPr>
      <w:r w:rsidRPr="00CB3C8B">
        <w:rPr>
          <w:rFonts w:cstheme="minorHAnsi"/>
          <w:color w:val="000000"/>
        </w:rPr>
        <w:t xml:space="preserve">Maintains relevant knowledge of CDER </w:t>
      </w:r>
      <w:proofErr w:type="spellStart"/>
      <w:r w:rsidRPr="00CB3C8B">
        <w:rPr>
          <w:rFonts w:cstheme="minorHAnsi"/>
          <w:color w:val="000000"/>
        </w:rPr>
        <w:t>guidances</w:t>
      </w:r>
      <w:proofErr w:type="spellEnd"/>
      <w:r w:rsidRPr="00CB3C8B">
        <w:rPr>
          <w:rFonts w:cstheme="minorHAnsi"/>
          <w:color w:val="000000"/>
        </w:rPr>
        <w:t xml:space="preserve">, </w:t>
      </w:r>
      <w:proofErr w:type="spellStart"/>
      <w:r w:rsidRPr="00CB3C8B">
        <w:rPr>
          <w:rFonts w:cstheme="minorHAnsi"/>
          <w:color w:val="000000"/>
        </w:rPr>
        <w:t>MaPPs</w:t>
      </w:r>
      <w:proofErr w:type="spellEnd"/>
      <w:r w:rsidRPr="00CB3C8B">
        <w:rPr>
          <w:rFonts w:cstheme="minorHAnsi"/>
          <w:color w:val="000000"/>
        </w:rPr>
        <w:t xml:space="preserve"> and review division processes and </w:t>
      </w:r>
      <w:r w:rsidRPr="00CB3C8B">
        <w:rPr>
          <w:rFonts w:cstheme="minorHAnsi"/>
        </w:rPr>
        <w:t>procedures and OCP best practice documents</w:t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</w:r>
      <w:r w:rsidRPr="00CB3C8B">
        <w:rPr>
          <w:rFonts w:cstheme="minorHAnsi"/>
        </w:rPr>
        <w:tab/>
        <w:t>100%</w:t>
      </w:r>
    </w:p>
    <w:p w14:paraId="76CFE811" w14:textId="77777777" w:rsidR="006113E3" w:rsidRPr="00CB3C8B" w:rsidRDefault="006113E3" w:rsidP="006113E3">
      <w:pPr>
        <w:widowControl w:val="0"/>
        <w:spacing w:after="0" w:line="480" w:lineRule="auto"/>
        <w:rPr>
          <w:rFonts w:eastAsia="Times New Roman" w:cstheme="minorHAnsi"/>
          <w:snapToGrid w:val="0"/>
        </w:rPr>
      </w:pPr>
    </w:p>
    <w:p w14:paraId="2106C385" w14:textId="77777777" w:rsidR="006113E3" w:rsidRPr="00CB3C8B" w:rsidRDefault="006113E3" w:rsidP="006113E3">
      <w:pPr>
        <w:widowControl w:val="0"/>
        <w:spacing w:after="0" w:line="480" w:lineRule="auto"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>Technical Competencies</w:t>
      </w:r>
    </w:p>
    <w:p w14:paraId="1B879C29" w14:textId="77777777" w:rsidR="006113E3" w:rsidRPr="00CB3C8B" w:rsidRDefault="006113E3" w:rsidP="006113E3">
      <w:pPr>
        <w:widowControl w:val="0"/>
        <w:spacing w:after="0"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>Domain: Drug Disposition</w:t>
      </w:r>
    </w:p>
    <w:p w14:paraId="3C7E9860" w14:textId="77777777" w:rsidR="006113E3" w:rsidRPr="00CB3C8B" w:rsidRDefault="006113E3" w:rsidP="006113E3">
      <w:pPr>
        <w:widowControl w:val="0"/>
        <w:spacing w:after="0"/>
        <w:rPr>
          <w:rFonts w:eastAsia="Times New Roman" w:cstheme="minorHAnsi"/>
          <w:snapToGrid w:val="0"/>
        </w:rPr>
      </w:pPr>
    </w:p>
    <w:p w14:paraId="5FA87FA7" w14:textId="77777777" w:rsidR="006113E3" w:rsidRPr="00CB3C8B" w:rsidRDefault="006113E3" w:rsidP="006113E3">
      <w:pPr>
        <w:widowControl w:val="0"/>
        <w:numPr>
          <w:ilvl w:val="0"/>
          <w:numId w:val="7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Assesses the clinical relevance of drug substance and formulation attributes to guide approvability, dosing/administration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 xml:space="preserve"> 86.2%</w:t>
      </w:r>
    </w:p>
    <w:p w14:paraId="5E360F45" w14:textId="77777777" w:rsidR="006113E3" w:rsidRPr="00CB3C8B" w:rsidRDefault="006113E3" w:rsidP="006113E3">
      <w:pPr>
        <w:widowControl w:val="0"/>
        <w:numPr>
          <w:ilvl w:val="0"/>
          <w:numId w:val="7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Demonstrates knowledge of enzyme(s)/transporter(s) involved in drug disposition, including sources of variability 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96.6%</w:t>
      </w:r>
    </w:p>
    <w:p w14:paraId="5AF4AF98" w14:textId="77777777" w:rsidR="006113E3" w:rsidRPr="00CB3C8B" w:rsidRDefault="006113E3" w:rsidP="006113E3">
      <w:pPr>
        <w:widowControl w:val="0"/>
        <w:numPr>
          <w:ilvl w:val="0"/>
          <w:numId w:val="7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Applies knowledge of preclinical ADME properties to guide early clinical development (INDs) or aid in regulatory interpretation of NDAs/BLAs 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 xml:space="preserve">          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79.31%</w:t>
      </w:r>
    </w:p>
    <w:p w14:paraId="780138C6" w14:textId="70310E24" w:rsidR="006113E3" w:rsidRPr="00CB3C8B" w:rsidRDefault="006113E3" w:rsidP="006113E3">
      <w:pPr>
        <w:widowControl w:val="0"/>
        <w:numPr>
          <w:ilvl w:val="0"/>
          <w:numId w:val="7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Translates knowledge of vitro, in vivo, and in </w:t>
      </w:r>
      <w:proofErr w:type="spellStart"/>
      <w:r w:rsidRPr="00CB3C8B">
        <w:rPr>
          <w:rFonts w:eastAsia="Times New Roman" w:cstheme="minorHAnsi"/>
          <w:snapToGrid w:val="0"/>
        </w:rPr>
        <w:t>silico</w:t>
      </w:r>
      <w:proofErr w:type="spellEnd"/>
      <w:r w:rsidRPr="00CB3C8B">
        <w:rPr>
          <w:rFonts w:eastAsia="Times New Roman" w:cstheme="minorHAnsi"/>
          <w:snapToGrid w:val="0"/>
        </w:rPr>
        <w:t xml:space="preserve"> methods to predict human metabolism to guide decision-making (labeling, post-marketing requests, etc.)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89.3%</w:t>
      </w:r>
    </w:p>
    <w:p w14:paraId="61EC0CF9" w14:textId="24F87A15" w:rsidR="006113E3" w:rsidRPr="00CB3C8B" w:rsidRDefault="006113E3" w:rsidP="006113E3">
      <w:pPr>
        <w:widowControl w:val="0"/>
        <w:numPr>
          <w:ilvl w:val="0"/>
          <w:numId w:val="7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Evaluates and interprets effects of intrinsic and extrinsic factors on clinical PK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100%</w:t>
      </w:r>
    </w:p>
    <w:p w14:paraId="37BA8ED7" w14:textId="77777777" w:rsidR="006113E3" w:rsidRPr="00CB3C8B" w:rsidRDefault="006113E3" w:rsidP="006113E3">
      <w:pPr>
        <w:widowControl w:val="0"/>
        <w:numPr>
          <w:ilvl w:val="0"/>
          <w:numId w:val="7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bookmarkStart w:id="1" w:name="_Hlk98678899"/>
      <w:r w:rsidRPr="00CB3C8B">
        <w:rPr>
          <w:rFonts w:eastAsia="Times New Roman" w:cstheme="minorHAnsi"/>
          <w:snapToGrid w:val="0"/>
        </w:rPr>
        <w:t xml:space="preserve">Recognize that drug-drug interactions being translated to labeling through the understanding of the drug development program in certain therapeutic areas is essential to public health mission* 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93.1%</w:t>
      </w:r>
    </w:p>
    <w:bookmarkEnd w:id="1"/>
    <w:p w14:paraId="0B06948B" w14:textId="77777777" w:rsidR="006113E3" w:rsidRPr="00CB3C8B" w:rsidRDefault="006113E3" w:rsidP="006113E3">
      <w:pPr>
        <w:widowControl w:val="0"/>
        <w:spacing w:after="0"/>
        <w:rPr>
          <w:rFonts w:eastAsia="Times New Roman" w:cstheme="minorHAnsi"/>
          <w:snapToGrid w:val="0"/>
        </w:rPr>
      </w:pPr>
    </w:p>
    <w:p w14:paraId="167D4216" w14:textId="77777777" w:rsidR="006113E3" w:rsidRPr="00CB3C8B" w:rsidRDefault="006113E3" w:rsidP="006113E3">
      <w:pPr>
        <w:widowControl w:val="0"/>
        <w:spacing w:after="0"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>Domain: Pharmacology and Biomarkers</w:t>
      </w:r>
    </w:p>
    <w:p w14:paraId="5E5CF233" w14:textId="6B704CF8" w:rsidR="006113E3" w:rsidRPr="00CB3C8B" w:rsidRDefault="006113E3" w:rsidP="006113E3">
      <w:pPr>
        <w:widowControl w:val="0"/>
        <w:numPr>
          <w:ilvl w:val="0"/>
          <w:numId w:val="8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Demonstrates knowledge of various measures (and methods) for assessment of drug action (e.g., pharmacologic, PD) and effect in humans (including off-target)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93.1%</w:t>
      </w:r>
    </w:p>
    <w:p w14:paraId="2EC46ED0" w14:textId="4E45C206" w:rsidR="006113E3" w:rsidRPr="00CB3C8B" w:rsidRDefault="006113E3" w:rsidP="006113E3">
      <w:pPr>
        <w:widowControl w:val="0"/>
        <w:numPr>
          <w:ilvl w:val="0"/>
          <w:numId w:val="8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Identifies drug- and disease-related biomarkers: molecular, cellular, genetic, histological, functional disease markers, and the spectrum of their application: diagnostic, prognostic, predictive, marker for response/toxicity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79.3%</w:t>
      </w:r>
    </w:p>
    <w:p w14:paraId="40DBE4B3" w14:textId="65314ACD" w:rsidR="006113E3" w:rsidRPr="00CB3C8B" w:rsidRDefault="006113E3" w:rsidP="006113E3">
      <w:pPr>
        <w:widowControl w:val="0"/>
        <w:numPr>
          <w:ilvl w:val="0"/>
          <w:numId w:val="8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Applies best-practices in the evaluation of biomarkers in all phases of drug development and evaluation (e.g., discovery, optimization, implementation)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79.3%</w:t>
      </w:r>
    </w:p>
    <w:p w14:paraId="4EE17746" w14:textId="2F0F8685" w:rsidR="006113E3" w:rsidRPr="00CB3C8B" w:rsidRDefault="006113E3" w:rsidP="006113E3">
      <w:pPr>
        <w:widowControl w:val="0"/>
        <w:numPr>
          <w:ilvl w:val="0"/>
          <w:numId w:val="8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Recognizes the pharmacological, biological, and statistical aspects of “fit-for purpose” biomarkers in drug development and regulatory evaluation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82.8%</w:t>
      </w:r>
    </w:p>
    <w:p w14:paraId="3AA9A6E0" w14:textId="77777777" w:rsidR="006113E3" w:rsidRPr="00CB3C8B" w:rsidRDefault="006113E3" w:rsidP="006113E3">
      <w:pPr>
        <w:widowControl w:val="0"/>
        <w:numPr>
          <w:ilvl w:val="0"/>
          <w:numId w:val="8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bookmarkStart w:id="2" w:name="_Hlk96170138"/>
      <w:r w:rsidRPr="00CB3C8B">
        <w:rPr>
          <w:rFonts w:eastAsia="Times New Roman" w:cstheme="minorHAnsi"/>
          <w:snapToGrid w:val="0"/>
        </w:rPr>
        <w:lastRenderedPageBreak/>
        <w:t xml:space="preserve">Identifies when to consider targeted biomarker variability, pediatric development variability or diversity of (ethnic/racial) population frequency of biomarker during negotiation of final communication in labeling with stakeholders*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79.3%</w:t>
      </w:r>
    </w:p>
    <w:bookmarkEnd w:id="2"/>
    <w:p w14:paraId="1973AF2D" w14:textId="77777777" w:rsidR="006113E3" w:rsidRPr="00CB3C8B" w:rsidRDefault="006113E3" w:rsidP="006113E3">
      <w:pPr>
        <w:widowControl w:val="0"/>
        <w:spacing w:after="0"/>
        <w:rPr>
          <w:rFonts w:eastAsia="Times New Roman" w:cstheme="minorHAnsi"/>
          <w:snapToGrid w:val="0"/>
        </w:rPr>
      </w:pPr>
    </w:p>
    <w:p w14:paraId="061415FC" w14:textId="77777777" w:rsidR="006113E3" w:rsidRPr="00CB3C8B" w:rsidRDefault="006113E3" w:rsidP="006113E3">
      <w:pPr>
        <w:widowControl w:val="0"/>
        <w:spacing w:after="0"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>Domain: Quantitative Methods</w:t>
      </w:r>
    </w:p>
    <w:p w14:paraId="4B9C26B5" w14:textId="01A87350" w:rsidR="006113E3" w:rsidRPr="00CB3C8B" w:rsidRDefault="006113E3" w:rsidP="006113E3">
      <w:pPr>
        <w:widowControl w:val="0"/>
        <w:numPr>
          <w:ilvl w:val="0"/>
          <w:numId w:val="9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Applies knowledge of E/R analyses to support development and review decisions </w:t>
      </w:r>
      <w:r w:rsidRPr="00CB3C8B">
        <w:rPr>
          <w:rFonts w:eastAsia="Times New Roman" w:cstheme="minorHAnsi"/>
          <w:snapToGrid w:val="0"/>
        </w:rPr>
        <w:tab/>
        <w:t>93.1%</w:t>
      </w:r>
    </w:p>
    <w:p w14:paraId="4085D681" w14:textId="77777777" w:rsidR="006113E3" w:rsidRPr="00CB3C8B" w:rsidRDefault="006113E3" w:rsidP="006113E3">
      <w:pPr>
        <w:widowControl w:val="0"/>
        <w:numPr>
          <w:ilvl w:val="0"/>
          <w:numId w:val="9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Recognizes limitations/potential pitfalls of various M&amp;S approaches; includes ability to assess probability of acceptance of a given approach by members  </w:t>
      </w:r>
    </w:p>
    <w:p w14:paraId="6982EA27" w14:textId="365C731E" w:rsidR="006113E3" w:rsidRPr="00CB3C8B" w:rsidRDefault="006113E3" w:rsidP="006113E3">
      <w:pPr>
        <w:widowControl w:val="0"/>
        <w:spacing w:after="0"/>
        <w:ind w:firstLine="720"/>
        <w:rPr>
          <w:rFonts w:eastAsia="Times New Roman" w:cstheme="minorHAnsi"/>
          <w:snapToGrid w:val="0"/>
        </w:rPr>
      </w:pPr>
      <w:proofErr w:type="gramStart"/>
      <w:r w:rsidRPr="00CB3C8B">
        <w:rPr>
          <w:rFonts w:eastAsia="Times New Roman" w:cstheme="minorHAnsi"/>
          <w:snapToGrid w:val="0"/>
        </w:rPr>
        <w:t>of</w:t>
      </w:r>
      <w:proofErr w:type="gramEnd"/>
      <w:r w:rsidRPr="00CB3C8B">
        <w:rPr>
          <w:rFonts w:eastAsia="Times New Roman" w:cstheme="minorHAnsi"/>
          <w:snapToGrid w:val="0"/>
        </w:rPr>
        <w:t xml:space="preserve"> the review team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89.7%</w:t>
      </w:r>
    </w:p>
    <w:p w14:paraId="5E5DCB75" w14:textId="13B92270" w:rsidR="006113E3" w:rsidRPr="00CB3C8B" w:rsidRDefault="006113E3" w:rsidP="006113E3">
      <w:pPr>
        <w:widowControl w:val="0"/>
        <w:numPr>
          <w:ilvl w:val="0"/>
          <w:numId w:val="9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Identifies, critically evaluates, and concisely describes methodological issues in </w:t>
      </w:r>
      <w:proofErr w:type="spellStart"/>
      <w:r w:rsidRPr="00CB3C8B">
        <w:rPr>
          <w:rFonts w:eastAsia="Times New Roman" w:cstheme="minorHAnsi"/>
          <w:snapToGrid w:val="0"/>
        </w:rPr>
        <w:t>pharmacometric</w:t>
      </w:r>
      <w:proofErr w:type="spellEnd"/>
      <w:r w:rsidRPr="00CB3C8B">
        <w:rPr>
          <w:rFonts w:eastAsia="Times New Roman" w:cstheme="minorHAnsi"/>
          <w:snapToGrid w:val="0"/>
        </w:rPr>
        <w:t xml:space="preserve">, PBPK, and other analyses to facilitate quantitative analysis by Modeling and Simulation where appropriate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79.3%</w:t>
      </w:r>
    </w:p>
    <w:p w14:paraId="4F5339EB" w14:textId="77777777" w:rsidR="006113E3" w:rsidRPr="00CB3C8B" w:rsidRDefault="006113E3" w:rsidP="006113E3">
      <w:pPr>
        <w:widowControl w:val="0"/>
        <w:numPr>
          <w:ilvl w:val="0"/>
          <w:numId w:val="9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Demonstrates the ability to detect patterns and correlations and identification of sub-populations, etc.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93.1%</w:t>
      </w:r>
    </w:p>
    <w:p w14:paraId="46E1D439" w14:textId="77777777" w:rsidR="006113E3" w:rsidRPr="00CB3C8B" w:rsidRDefault="006113E3" w:rsidP="006113E3">
      <w:pPr>
        <w:widowControl w:val="0"/>
        <w:numPr>
          <w:ilvl w:val="0"/>
          <w:numId w:val="9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Demonstrates working knowledge of various individual and population-based </w:t>
      </w:r>
    </w:p>
    <w:p w14:paraId="60975F1A" w14:textId="77777777" w:rsidR="006113E3" w:rsidRPr="00CB3C8B" w:rsidRDefault="006113E3" w:rsidP="006113E3">
      <w:pPr>
        <w:widowControl w:val="0"/>
        <w:spacing w:after="0"/>
        <w:ind w:firstLine="720"/>
        <w:rPr>
          <w:rFonts w:eastAsia="Times New Roman" w:cstheme="minorHAnsi"/>
          <w:snapToGrid w:val="0"/>
        </w:rPr>
      </w:pPr>
      <w:proofErr w:type="gramStart"/>
      <w:r w:rsidRPr="00CB3C8B">
        <w:rPr>
          <w:rFonts w:eastAsia="Times New Roman" w:cstheme="minorHAnsi"/>
          <w:snapToGrid w:val="0"/>
        </w:rPr>
        <w:t>data</w:t>
      </w:r>
      <w:proofErr w:type="gramEnd"/>
      <w:r w:rsidRPr="00CB3C8B">
        <w:rPr>
          <w:rFonts w:eastAsia="Times New Roman" w:cstheme="minorHAnsi"/>
          <w:snapToGrid w:val="0"/>
        </w:rPr>
        <w:t xml:space="preserve"> analysis 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 xml:space="preserve">            </w:t>
      </w:r>
      <w:r w:rsidRPr="00CB3C8B">
        <w:rPr>
          <w:rFonts w:eastAsia="Times New Roman" w:cstheme="minorHAnsi"/>
          <w:snapToGrid w:val="0"/>
        </w:rPr>
        <w:tab/>
        <w:t>82.8%</w:t>
      </w:r>
    </w:p>
    <w:p w14:paraId="2A2864D4" w14:textId="77777777" w:rsidR="006113E3" w:rsidRPr="00CB3C8B" w:rsidRDefault="006113E3" w:rsidP="006113E3">
      <w:pPr>
        <w:widowControl w:val="0"/>
        <w:numPr>
          <w:ilvl w:val="0"/>
          <w:numId w:val="9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bookmarkStart w:id="3" w:name="_Hlk98678939"/>
      <w:r w:rsidRPr="00CB3C8B">
        <w:rPr>
          <w:rFonts w:eastAsia="Times New Roman" w:cstheme="minorHAnsi"/>
          <w:snapToGrid w:val="0"/>
        </w:rPr>
        <w:t xml:space="preserve">Applies knowledge of disease frequency and prevalence to understand the full spectrum of safety/efficacy evaluations for decision making and communication*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79.3%</w:t>
      </w:r>
    </w:p>
    <w:bookmarkEnd w:id="3"/>
    <w:p w14:paraId="6AB0E092" w14:textId="77777777" w:rsidR="006113E3" w:rsidRPr="00CB3C8B" w:rsidRDefault="006113E3" w:rsidP="006113E3">
      <w:pPr>
        <w:widowControl w:val="0"/>
        <w:spacing w:after="0"/>
        <w:rPr>
          <w:rFonts w:eastAsia="Times New Roman" w:cstheme="minorHAnsi"/>
          <w:snapToGrid w:val="0"/>
        </w:rPr>
      </w:pPr>
    </w:p>
    <w:p w14:paraId="1EA42CCA" w14:textId="77777777" w:rsidR="006113E3" w:rsidRPr="00CB3C8B" w:rsidRDefault="006113E3" w:rsidP="006113E3">
      <w:pPr>
        <w:widowControl w:val="0"/>
        <w:spacing w:after="0"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>Domain: Drug Safety</w:t>
      </w:r>
    </w:p>
    <w:p w14:paraId="1B56FC81" w14:textId="406AEE24" w:rsidR="006113E3" w:rsidRPr="00CB3C8B" w:rsidRDefault="006113E3" w:rsidP="006113E3">
      <w:pPr>
        <w:widowControl w:val="0"/>
        <w:numPr>
          <w:ilvl w:val="0"/>
          <w:numId w:val="10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Applies knowledge of preclinical toxicology and safety pharmacology (in vitro and in vivo) in human dose selection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86.2%</w:t>
      </w:r>
    </w:p>
    <w:p w14:paraId="7321A066" w14:textId="613EB18B" w:rsidR="006113E3" w:rsidRPr="00CB3C8B" w:rsidRDefault="006113E3" w:rsidP="006113E3">
      <w:pPr>
        <w:widowControl w:val="0"/>
        <w:numPr>
          <w:ilvl w:val="0"/>
          <w:numId w:val="10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Interprets relevance of results of preclinical toxicology and safety pharmacology (in vivo and in vitro) for use of an NME in humans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75.9%</w:t>
      </w:r>
    </w:p>
    <w:p w14:paraId="6C136A74" w14:textId="3D2E12DD" w:rsidR="006113E3" w:rsidRPr="00CB3C8B" w:rsidRDefault="006113E3" w:rsidP="006113E3">
      <w:pPr>
        <w:widowControl w:val="0"/>
        <w:numPr>
          <w:ilvl w:val="0"/>
          <w:numId w:val="10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Recognizes the safety margin and therapeutic index relative to the starting human dose/exposure, the target efficacious human dose/exposure and the potential effects at the expected human doses/exposures above the NOAEL or MABEL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82.8%</w:t>
      </w:r>
    </w:p>
    <w:p w14:paraId="3FE7D8A8" w14:textId="2B967B4F" w:rsidR="006113E3" w:rsidRPr="00CB3C8B" w:rsidRDefault="006113E3" w:rsidP="006113E3">
      <w:pPr>
        <w:widowControl w:val="0"/>
        <w:numPr>
          <w:ilvl w:val="0"/>
          <w:numId w:val="10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Differentiates between on-target and off-target effects; interprets likely mechanism of toxicity, its causality, and </w:t>
      </w:r>
      <w:proofErr w:type="spellStart"/>
      <w:r w:rsidRPr="00CB3C8B">
        <w:rPr>
          <w:rFonts w:eastAsia="Times New Roman" w:cstheme="minorHAnsi"/>
          <w:snapToGrid w:val="0"/>
        </w:rPr>
        <w:t>predictivity</w:t>
      </w:r>
      <w:proofErr w:type="spellEnd"/>
      <w:r w:rsidRPr="00CB3C8B">
        <w:rPr>
          <w:rFonts w:eastAsia="Times New Roman" w:cstheme="minorHAnsi"/>
          <w:snapToGrid w:val="0"/>
        </w:rPr>
        <w:t xml:space="preserve"> for occurrence in humans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69%</w:t>
      </w:r>
    </w:p>
    <w:p w14:paraId="3C6F69E4" w14:textId="47054311" w:rsidR="006113E3" w:rsidRPr="00CB3C8B" w:rsidRDefault="006113E3" w:rsidP="006113E3">
      <w:pPr>
        <w:widowControl w:val="0"/>
        <w:numPr>
          <w:ilvl w:val="0"/>
          <w:numId w:val="10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Assesses safety in clinical studies; interprets results and their relevance for the risk-benefit balance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82.1%</w:t>
      </w:r>
    </w:p>
    <w:p w14:paraId="193E26E6" w14:textId="77777777" w:rsidR="006113E3" w:rsidRPr="00CB3C8B" w:rsidRDefault="006113E3" w:rsidP="006113E3">
      <w:pPr>
        <w:widowControl w:val="0"/>
        <w:numPr>
          <w:ilvl w:val="0"/>
          <w:numId w:val="10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bookmarkStart w:id="4" w:name="_Hlk98678976"/>
      <w:r w:rsidRPr="00CB3C8B">
        <w:rPr>
          <w:rFonts w:eastAsia="Times New Roman" w:cstheme="minorHAnsi"/>
          <w:snapToGrid w:val="0"/>
        </w:rPr>
        <w:t xml:space="preserve">Utilizes the most appropriate metrics and outcomes in analyses by working closely with drug safety and clinical teams*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89.7%</w:t>
      </w:r>
    </w:p>
    <w:p w14:paraId="0066FB95" w14:textId="77777777" w:rsidR="006113E3" w:rsidRPr="00CB3C8B" w:rsidRDefault="006113E3" w:rsidP="006113E3">
      <w:pPr>
        <w:widowControl w:val="0"/>
        <w:numPr>
          <w:ilvl w:val="0"/>
          <w:numId w:val="10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bookmarkStart w:id="5" w:name="_Hlk96170183"/>
      <w:bookmarkEnd w:id="4"/>
      <w:r w:rsidRPr="00CB3C8B">
        <w:rPr>
          <w:rFonts w:eastAsia="Times New Roman" w:cstheme="minorHAnsi"/>
          <w:snapToGrid w:val="0"/>
        </w:rPr>
        <w:t xml:space="preserve">Apply relevant drug safety competences in labeling*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75.9%</w:t>
      </w:r>
      <w:bookmarkEnd w:id="5"/>
    </w:p>
    <w:p w14:paraId="09CE352F" w14:textId="77777777" w:rsidR="006113E3" w:rsidRPr="00CB3C8B" w:rsidRDefault="006113E3" w:rsidP="006113E3">
      <w:pPr>
        <w:widowControl w:val="0"/>
        <w:spacing w:after="0"/>
        <w:rPr>
          <w:rFonts w:eastAsia="Times New Roman" w:cstheme="minorHAnsi"/>
          <w:snapToGrid w:val="0"/>
        </w:rPr>
      </w:pPr>
    </w:p>
    <w:p w14:paraId="46DB0C70" w14:textId="77777777" w:rsidR="006113E3" w:rsidRPr="00CB3C8B" w:rsidRDefault="006113E3" w:rsidP="006113E3">
      <w:pPr>
        <w:widowControl w:val="0"/>
        <w:spacing w:after="0"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>Domain: Pharmacotherapy</w:t>
      </w:r>
    </w:p>
    <w:p w14:paraId="5C790E07" w14:textId="2FEAB3F3" w:rsidR="006113E3" w:rsidRPr="00CB3C8B" w:rsidRDefault="006113E3" w:rsidP="006113E3">
      <w:pPr>
        <w:widowControl w:val="0"/>
        <w:numPr>
          <w:ilvl w:val="0"/>
          <w:numId w:val="11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Exhibits knowledge of disease definition, etiology, pathophysiology, genetic variants (if any) and the spectrum of clinical phenotypes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 xml:space="preserve">          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85.2%</w:t>
      </w:r>
    </w:p>
    <w:p w14:paraId="2B1BFBEF" w14:textId="5A0643C6" w:rsidR="006113E3" w:rsidRPr="00CB3C8B" w:rsidRDefault="006113E3" w:rsidP="006113E3">
      <w:pPr>
        <w:widowControl w:val="0"/>
        <w:numPr>
          <w:ilvl w:val="0"/>
          <w:numId w:val="11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Shows awareness of key parameters for diagnosis and monitoring of temporal changes (e.g., disease progression)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77.8%</w:t>
      </w:r>
    </w:p>
    <w:p w14:paraId="6B9CCE0C" w14:textId="3D62DC3F" w:rsidR="006113E3" w:rsidRPr="00CB3C8B" w:rsidRDefault="006113E3" w:rsidP="006113E3">
      <w:pPr>
        <w:widowControl w:val="0"/>
        <w:numPr>
          <w:ilvl w:val="0"/>
          <w:numId w:val="11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Identifies main tools and techniques used for measurement of disease status, classification, sub-classification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81.5%</w:t>
      </w:r>
    </w:p>
    <w:p w14:paraId="79999479" w14:textId="77777777" w:rsidR="006113E3" w:rsidRPr="00CB3C8B" w:rsidRDefault="006113E3" w:rsidP="006113E3">
      <w:pPr>
        <w:widowControl w:val="0"/>
        <w:numPr>
          <w:ilvl w:val="0"/>
          <w:numId w:val="11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Demonstrates familiarity with markers of disease activity or response to pharmacological intervention used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88.9%</w:t>
      </w:r>
    </w:p>
    <w:p w14:paraId="13E1D860" w14:textId="14A82426" w:rsidR="006113E3" w:rsidRPr="00CB3C8B" w:rsidRDefault="006113E3" w:rsidP="006113E3">
      <w:pPr>
        <w:widowControl w:val="0"/>
        <w:numPr>
          <w:ilvl w:val="0"/>
          <w:numId w:val="11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Recognizes main treatment options/guidelines, indications, contra-indications, mechanism of action, side effects, limitations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 xml:space="preserve">          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81.48%</w:t>
      </w:r>
    </w:p>
    <w:p w14:paraId="5A369C70" w14:textId="117F6F51" w:rsidR="006113E3" w:rsidRPr="00CB3C8B" w:rsidRDefault="006113E3" w:rsidP="006113E3">
      <w:pPr>
        <w:widowControl w:val="0"/>
        <w:numPr>
          <w:ilvl w:val="0"/>
          <w:numId w:val="11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Recognizes primary research areas for new treatment modalities, and justification (newly </w:t>
      </w:r>
      <w:r w:rsidRPr="00CB3C8B">
        <w:rPr>
          <w:rFonts w:eastAsia="Times New Roman" w:cstheme="minorHAnsi"/>
          <w:snapToGrid w:val="0"/>
        </w:rPr>
        <w:lastRenderedPageBreak/>
        <w:t xml:space="preserve">discovered disease pathways, new technologies, etc.) 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70.4%</w:t>
      </w:r>
    </w:p>
    <w:p w14:paraId="7C1C4C0D" w14:textId="77777777" w:rsidR="006113E3" w:rsidRPr="00CB3C8B" w:rsidRDefault="006113E3" w:rsidP="006113E3">
      <w:pPr>
        <w:widowControl w:val="0"/>
        <w:numPr>
          <w:ilvl w:val="0"/>
          <w:numId w:val="11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Identifies the impact of disease variability on drug action and of drug variability on disease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85.2%</w:t>
      </w:r>
    </w:p>
    <w:p w14:paraId="649E86FB" w14:textId="77777777" w:rsidR="006113E3" w:rsidRPr="00CB3C8B" w:rsidRDefault="006113E3" w:rsidP="006113E3">
      <w:pPr>
        <w:widowControl w:val="0"/>
        <w:spacing w:after="0"/>
        <w:rPr>
          <w:rFonts w:eastAsia="Times New Roman" w:cstheme="minorHAnsi"/>
          <w:snapToGrid w:val="0"/>
        </w:rPr>
      </w:pPr>
    </w:p>
    <w:p w14:paraId="30AD398E" w14:textId="77777777" w:rsidR="006113E3" w:rsidRPr="00CB3C8B" w:rsidRDefault="006113E3" w:rsidP="006113E3">
      <w:pPr>
        <w:widowControl w:val="0"/>
        <w:spacing w:after="0"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>Domain: Clinical Trial Methods</w:t>
      </w:r>
    </w:p>
    <w:p w14:paraId="0085C56C" w14:textId="60DE4207" w:rsidR="006113E3" w:rsidRPr="00CB3C8B" w:rsidRDefault="006113E3" w:rsidP="006113E3">
      <w:pPr>
        <w:widowControl w:val="0"/>
        <w:numPr>
          <w:ilvl w:val="0"/>
          <w:numId w:val="12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Applies the specific considerations for drug dosing, adverse effects, and measurement of efficacy in specific patient populations (e.g., neonates, infants, children, adolescents, elderly, </w:t>
      </w:r>
      <w:proofErr w:type="spellStart"/>
      <w:r w:rsidRPr="00CB3C8B">
        <w:rPr>
          <w:rFonts w:eastAsia="Times New Roman" w:cstheme="minorHAnsi"/>
          <w:snapToGrid w:val="0"/>
        </w:rPr>
        <w:t>renally</w:t>
      </w:r>
      <w:proofErr w:type="spellEnd"/>
      <w:r w:rsidRPr="00CB3C8B">
        <w:rPr>
          <w:rFonts w:eastAsia="Times New Roman" w:cstheme="minorHAnsi"/>
          <w:snapToGrid w:val="0"/>
        </w:rPr>
        <w:t>/</w:t>
      </w:r>
      <w:proofErr w:type="spellStart"/>
      <w:r w:rsidRPr="00CB3C8B">
        <w:rPr>
          <w:rFonts w:eastAsia="Times New Roman" w:cstheme="minorHAnsi"/>
          <w:snapToGrid w:val="0"/>
        </w:rPr>
        <w:t>hepatically</w:t>
      </w:r>
      <w:proofErr w:type="spellEnd"/>
      <w:r w:rsidRPr="00CB3C8B">
        <w:rPr>
          <w:rFonts w:eastAsia="Times New Roman" w:cstheme="minorHAnsi"/>
          <w:snapToGrid w:val="0"/>
        </w:rPr>
        <w:t xml:space="preserve"> impaired, pregnant women)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88.9%</w:t>
      </w:r>
    </w:p>
    <w:p w14:paraId="26F362A1" w14:textId="77777777" w:rsidR="006113E3" w:rsidRPr="00CB3C8B" w:rsidRDefault="006113E3" w:rsidP="006113E3">
      <w:pPr>
        <w:widowControl w:val="0"/>
        <w:numPr>
          <w:ilvl w:val="0"/>
          <w:numId w:val="12"/>
        </w:numPr>
        <w:spacing w:after="0" w:line="240" w:lineRule="auto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Utilizes statistical/data analysis concepts related to the design and interpretation of clinical pharmacology and other studies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77.8%</w:t>
      </w:r>
    </w:p>
    <w:p w14:paraId="621B7C46" w14:textId="77777777" w:rsidR="006113E3" w:rsidRPr="00CB3C8B" w:rsidRDefault="006113E3" w:rsidP="006113E3">
      <w:pPr>
        <w:widowControl w:val="0"/>
        <w:spacing w:after="0" w:line="240" w:lineRule="auto"/>
        <w:ind w:left="720"/>
        <w:contextualSpacing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Identifies all possible design options (trial designs, endpoint selection, patient selection, analysis approaches)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70.4%</w:t>
      </w:r>
    </w:p>
    <w:p w14:paraId="537B8134" w14:textId="77777777" w:rsidR="006113E3" w:rsidRPr="00CB3C8B" w:rsidRDefault="006113E3" w:rsidP="006113E3">
      <w:pPr>
        <w:rPr>
          <w:rFonts w:cstheme="minorHAnsi"/>
        </w:rPr>
      </w:pPr>
    </w:p>
    <w:p w14:paraId="44187C1C" w14:textId="77777777" w:rsidR="006113E3" w:rsidRPr="00CB3C8B" w:rsidRDefault="006113E3" w:rsidP="006113E3">
      <w:pPr>
        <w:widowControl w:val="0"/>
        <w:spacing w:after="0"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>Domain: Guidance and Policy</w:t>
      </w:r>
    </w:p>
    <w:p w14:paraId="7A5E1E4D" w14:textId="4997EAF2" w:rsidR="006113E3" w:rsidRPr="00CB3C8B" w:rsidRDefault="006113E3" w:rsidP="006113E3">
      <w:pPr>
        <w:pStyle w:val="ListParagraph"/>
        <w:widowControl w:val="0"/>
        <w:numPr>
          <w:ilvl w:val="0"/>
          <w:numId w:val="13"/>
        </w:numPr>
        <w:spacing w:after="0" w:line="240" w:lineRule="auto"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Demonstrates knowledge of the regulations and policies (e.g., </w:t>
      </w:r>
      <w:proofErr w:type="spellStart"/>
      <w:r w:rsidRPr="00CB3C8B">
        <w:rPr>
          <w:rFonts w:eastAsia="Times New Roman" w:cstheme="minorHAnsi"/>
          <w:snapToGrid w:val="0"/>
        </w:rPr>
        <w:t>MaPPs</w:t>
      </w:r>
      <w:proofErr w:type="spellEnd"/>
      <w:r w:rsidRPr="00CB3C8B">
        <w:rPr>
          <w:rFonts w:eastAsia="Times New Roman" w:cstheme="minorHAnsi"/>
          <w:snapToGrid w:val="0"/>
        </w:rPr>
        <w:t xml:space="preserve">, IQPs) that apply to the review process (e.g., NDA/BLA, IND, Citizen Petitions)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92.9%</w:t>
      </w:r>
    </w:p>
    <w:p w14:paraId="07BD71E7" w14:textId="77777777" w:rsidR="006113E3" w:rsidRPr="00CB3C8B" w:rsidRDefault="006113E3" w:rsidP="006113E3">
      <w:pPr>
        <w:pStyle w:val="ListParagraph"/>
        <w:widowControl w:val="0"/>
        <w:numPr>
          <w:ilvl w:val="0"/>
          <w:numId w:val="13"/>
        </w:numPr>
        <w:spacing w:after="0" w:line="240" w:lineRule="auto"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Demonstrates knowledge and awareness of ICH and GCP requirements and applies where relevant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82.2%</w:t>
      </w:r>
    </w:p>
    <w:p w14:paraId="09C75D33" w14:textId="641D2F09" w:rsidR="006113E3" w:rsidRPr="00CB3C8B" w:rsidRDefault="006113E3" w:rsidP="006113E3">
      <w:pPr>
        <w:pStyle w:val="ListParagraph"/>
        <w:widowControl w:val="0"/>
        <w:numPr>
          <w:ilvl w:val="0"/>
          <w:numId w:val="13"/>
        </w:numPr>
        <w:spacing w:after="0" w:line="240" w:lineRule="auto"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Applies Agency (U.S. and non-U.S.) </w:t>
      </w:r>
      <w:proofErr w:type="spellStart"/>
      <w:r w:rsidRPr="00CB3C8B">
        <w:rPr>
          <w:rFonts w:eastAsia="Times New Roman" w:cstheme="minorHAnsi"/>
          <w:snapToGrid w:val="0"/>
        </w:rPr>
        <w:t>guidances</w:t>
      </w:r>
      <w:proofErr w:type="spellEnd"/>
      <w:r w:rsidRPr="00CB3C8B">
        <w:rPr>
          <w:rFonts w:eastAsia="Times New Roman" w:cstheme="minorHAnsi"/>
          <w:snapToGrid w:val="0"/>
        </w:rPr>
        <w:t xml:space="preserve">- relevant to clinical pharmacology and therapeutic product development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92.9%</w:t>
      </w:r>
    </w:p>
    <w:p w14:paraId="404F1C6F" w14:textId="4EA26667" w:rsidR="006113E3" w:rsidRPr="00CB3C8B" w:rsidRDefault="006113E3" w:rsidP="006113E3">
      <w:pPr>
        <w:pStyle w:val="ListParagraph"/>
        <w:widowControl w:val="0"/>
        <w:numPr>
          <w:ilvl w:val="0"/>
          <w:numId w:val="13"/>
        </w:numPr>
        <w:spacing w:after="0" w:line="240" w:lineRule="auto"/>
        <w:rPr>
          <w:rFonts w:eastAsia="Times New Roman" w:cstheme="minorHAnsi"/>
          <w:snapToGrid w:val="0"/>
        </w:rPr>
      </w:pPr>
      <w:r w:rsidRPr="00CB3C8B">
        <w:rPr>
          <w:rFonts w:eastAsia="Times New Roman" w:cstheme="minorHAnsi"/>
          <w:snapToGrid w:val="0"/>
        </w:rPr>
        <w:t xml:space="preserve">Identifies opportunities for new policy development to advance science-based, pragmatic drug development </w:t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</w:r>
      <w:r w:rsidRPr="00CB3C8B">
        <w:rPr>
          <w:rFonts w:eastAsia="Times New Roman" w:cstheme="minorHAnsi"/>
          <w:snapToGrid w:val="0"/>
        </w:rPr>
        <w:tab/>
        <w:t>96.4%</w:t>
      </w:r>
      <w:r w:rsidRPr="00CB3C8B">
        <w:rPr>
          <w:rFonts w:eastAsia="Times New Roman" w:cstheme="minorHAnsi"/>
          <w:snapToGrid w:val="0"/>
        </w:rPr>
        <w:tab/>
        <w:t xml:space="preserve"> </w:t>
      </w:r>
    </w:p>
    <w:p w14:paraId="36029CED" w14:textId="77777777" w:rsidR="006113E3" w:rsidRPr="00CB3C8B" w:rsidRDefault="006113E3" w:rsidP="006113E3">
      <w:pPr>
        <w:widowControl w:val="0"/>
        <w:spacing w:after="0"/>
        <w:ind w:left="360"/>
        <w:contextualSpacing/>
        <w:rPr>
          <w:rFonts w:cstheme="minorHAnsi"/>
          <w:iCs/>
        </w:rPr>
      </w:pPr>
    </w:p>
    <w:p w14:paraId="1D4AF855" w14:textId="77777777" w:rsidR="006113E3" w:rsidRPr="00CB3C8B" w:rsidRDefault="006113E3" w:rsidP="006113E3">
      <w:pPr>
        <w:widowControl w:val="0"/>
        <w:spacing w:after="0"/>
        <w:contextualSpacing/>
        <w:rPr>
          <w:rFonts w:cstheme="minorHAnsi"/>
          <w:iCs/>
        </w:rPr>
      </w:pPr>
      <w:r w:rsidRPr="00CB3C8B">
        <w:rPr>
          <w:rFonts w:cstheme="minorHAnsi"/>
          <w:i/>
        </w:rPr>
        <w:t>Note.</w:t>
      </w:r>
      <w:r w:rsidRPr="00CB3C8B">
        <w:rPr>
          <w:rFonts w:cstheme="minorHAnsi"/>
          <w:iCs/>
        </w:rPr>
        <w:t xml:space="preserve"> * </w:t>
      </w:r>
      <w:proofErr w:type="gramStart"/>
      <w:r w:rsidRPr="00CB3C8B">
        <w:rPr>
          <w:rFonts w:cstheme="minorHAnsi"/>
          <w:iCs/>
        </w:rPr>
        <w:t>new</w:t>
      </w:r>
      <w:proofErr w:type="gramEnd"/>
      <w:r w:rsidRPr="00CB3C8B">
        <w:rPr>
          <w:rFonts w:cstheme="minorHAnsi"/>
          <w:iCs/>
        </w:rPr>
        <w:t xml:space="preserve"> competency gained from Round 1</w:t>
      </w:r>
    </w:p>
    <w:p w14:paraId="0A6159B4" w14:textId="77777777" w:rsidR="00FE742A" w:rsidRDefault="00FE742A"/>
    <w:sectPr w:rsidR="00FE74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3A5"/>
    <w:multiLevelType w:val="hybridMultilevel"/>
    <w:tmpl w:val="8CC62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11C6F"/>
    <w:multiLevelType w:val="hybridMultilevel"/>
    <w:tmpl w:val="F8B02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B4CE3"/>
    <w:multiLevelType w:val="hybridMultilevel"/>
    <w:tmpl w:val="527AA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20933"/>
    <w:multiLevelType w:val="hybridMultilevel"/>
    <w:tmpl w:val="210C1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5391D"/>
    <w:multiLevelType w:val="hybridMultilevel"/>
    <w:tmpl w:val="BE927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11F52"/>
    <w:multiLevelType w:val="hybridMultilevel"/>
    <w:tmpl w:val="6516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5307A"/>
    <w:multiLevelType w:val="hybridMultilevel"/>
    <w:tmpl w:val="D1703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C2684"/>
    <w:multiLevelType w:val="hybridMultilevel"/>
    <w:tmpl w:val="A580C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30988"/>
    <w:multiLevelType w:val="hybridMultilevel"/>
    <w:tmpl w:val="BB3A4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40DF5"/>
    <w:multiLevelType w:val="hybridMultilevel"/>
    <w:tmpl w:val="27DC8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C1AD4"/>
    <w:multiLevelType w:val="hybridMultilevel"/>
    <w:tmpl w:val="DEF88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F0CD8"/>
    <w:multiLevelType w:val="hybridMultilevel"/>
    <w:tmpl w:val="BF5C9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4736C"/>
    <w:multiLevelType w:val="hybridMultilevel"/>
    <w:tmpl w:val="9BD0F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11"/>
  </w:num>
  <w:num w:numId="5">
    <w:abstractNumId w:val="4"/>
  </w:num>
  <w:num w:numId="6">
    <w:abstractNumId w:val="6"/>
  </w:num>
  <w:num w:numId="7">
    <w:abstractNumId w:val="12"/>
  </w:num>
  <w:num w:numId="8">
    <w:abstractNumId w:val="8"/>
  </w:num>
  <w:num w:numId="9">
    <w:abstractNumId w:val="5"/>
  </w:num>
  <w:num w:numId="10">
    <w:abstractNumId w:val="2"/>
  </w:num>
  <w:num w:numId="11">
    <w:abstractNumId w:val="0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3E3"/>
    <w:rsid w:val="00013CC0"/>
    <w:rsid w:val="00111BFC"/>
    <w:rsid w:val="00211A94"/>
    <w:rsid w:val="006113E3"/>
    <w:rsid w:val="00653323"/>
    <w:rsid w:val="00FE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983EE"/>
  <w15:chartTrackingRefBased/>
  <w15:docId w15:val="{66AC6BD0-4494-4CBB-A203-C10EA245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3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1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13E3"/>
    <w:pPr>
      <w:ind w:left="720"/>
      <w:contextualSpacing/>
    </w:pPr>
  </w:style>
  <w:style w:type="paragraph" w:styleId="Revision">
    <w:name w:val="Revision"/>
    <w:hidden/>
    <w:uiPriority w:val="99"/>
    <w:semiHidden/>
    <w:rsid w:val="00211A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Johnson-Williams, Bernadette E.</dc:creator>
  <cp:keywords/>
  <dc:description/>
  <cp:lastModifiedBy>Dilli Kumar R.</cp:lastModifiedBy>
  <cp:revision>4</cp:revision>
  <dcterms:created xsi:type="dcterms:W3CDTF">2024-01-23T23:06:00Z</dcterms:created>
  <dcterms:modified xsi:type="dcterms:W3CDTF">2024-01-29T13:41:00Z</dcterms:modified>
</cp:coreProperties>
</file>