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DAB11" w14:textId="77777777" w:rsidR="000C2B5F" w:rsidRPr="000C2B5F" w:rsidRDefault="000C2B5F" w:rsidP="000C2B5F">
      <w:pPr>
        <w:rPr>
          <w:b/>
          <w:bCs/>
        </w:rPr>
      </w:pPr>
      <w:r w:rsidRPr="000C2B5F">
        <w:rPr>
          <w:b/>
          <w:bCs/>
        </w:rPr>
        <w:t>Appendix Table A1. Selection Criteria for Submissions.</w:t>
      </w:r>
    </w:p>
    <w:tbl>
      <w:tblPr>
        <w:tblStyle w:val="TableGrid"/>
        <w:tblpPr w:leftFromText="180" w:rightFromText="180" w:vertAnchor="text" w:horzAnchor="margin" w:tblpY="172"/>
        <w:tblOverlap w:val="never"/>
        <w:tblW w:w="10154" w:type="dxa"/>
        <w:tblLook w:val="04A0" w:firstRow="1" w:lastRow="0" w:firstColumn="1" w:lastColumn="0" w:noHBand="0" w:noVBand="1"/>
      </w:tblPr>
      <w:tblGrid>
        <w:gridCol w:w="2577"/>
        <w:gridCol w:w="3860"/>
        <w:gridCol w:w="3717"/>
      </w:tblGrid>
      <w:tr w:rsidR="000C2B5F" w:rsidRPr="00E8768C" w14:paraId="2F72A87A" w14:textId="77777777" w:rsidTr="00D3584D">
        <w:trPr>
          <w:tblHeader/>
        </w:trPr>
        <w:tc>
          <w:tcPr>
            <w:tcW w:w="2577" w:type="dxa"/>
            <w:shd w:val="clear" w:color="auto" w:fill="F2F2F2" w:themeFill="background1" w:themeFillShade="F2"/>
          </w:tcPr>
          <w:p w14:paraId="3C6874AE" w14:textId="77777777" w:rsidR="000C2B5F" w:rsidRPr="00E8768C" w:rsidRDefault="000C2B5F" w:rsidP="00D3584D">
            <w:pPr>
              <w:rPr>
                <w:rFonts w:ascii="Arial" w:eastAsiaTheme="minorHAnsi" w:hAnsi="Arial" w:cs="Arial"/>
                <w:b/>
                <w:iCs/>
                <w:sz w:val="22"/>
                <w:szCs w:val="24"/>
                <w:lang w:val="en-GB"/>
              </w:rPr>
            </w:pPr>
            <w:r w:rsidRPr="00E8768C">
              <w:rPr>
                <w:rFonts w:ascii="Arial" w:eastAsiaTheme="minorHAnsi" w:hAnsi="Arial" w:cs="Arial"/>
                <w:b/>
                <w:iCs/>
                <w:sz w:val="22"/>
                <w:szCs w:val="24"/>
                <w:lang w:val="en-GB"/>
              </w:rPr>
              <w:t xml:space="preserve">PICOS </w:t>
            </w:r>
            <w:r w:rsidRPr="00E8768C">
              <w:rPr>
                <w:rFonts w:ascii="Arial" w:eastAsiaTheme="minorHAnsi" w:hAnsi="Arial" w:cs="Arial"/>
                <w:b/>
                <w:sz w:val="22"/>
                <w:szCs w:val="24"/>
                <w:lang w:val="en-GB"/>
              </w:rPr>
              <w:t>criteria</w:t>
            </w:r>
          </w:p>
        </w:tc>
        <w:tc>
          <w:tcPr>
            <w:tcW w:w="3860" w:type="dxa"/>
            <w:shd w:val="clear" w:color="auto" w:fill="F2F2F2" w:themeFill="background1" w:themeFillShade="F2"/>
          </w:tcPr>
          <w:p w14:paraId="0E511852" w14:textId="77777777" w:rsidR="000C2B5F" w:rsidRPr="00E8768C" w:rsidRDefault="000C2B5F" w:rsidP="00D3584D">
            <w:pPr>
              <w:rPr>
                <w:rFonts w:ascii="Arial" w:eastAsiaTheme="minorHAnsi" w:hAnsi="Arial" w:cs="Arial"/>
                <w:b/>
                <w:iCs/>
                <w:sz w:val="22"/>
                <w:szCs w:val="24"/>
                <w:lang w:val="en-GB"/>
              </w:rPr>
            </w:pPr>
            <w:r w:rsidRPr="00E8768C">
              <w:rPr>
                <w:rFonts w:ascii="Arial" w:eastAsiaTheme="minorHAnsi" w:hAnsi="Arial" w:cs="Arial"/>
                <w:b/>
                <w:iCs/>
                <w:sz w:val="22"/>
                <w:szCs w:val="24"/>
                <w:lang w:val="en-GB"/>
              </w:rPr>
              <w:t>Inclusion</w:t>
            </w:r>
          </w:p>
        </w:tc>
        <w:tc>
          <w:tcPr>
            <w:tcW w:w="3717" w:type="dxa"/>
            <w:shd w:val="clear" w:color="auto" w:fill="F2F2F2" w:themeFill="background1" w:themeFillShade="F2"/>
          </w:tcPr>
          <w:p w14:paraId="581EC4D9" w14:textId="77777777" w:rsidR="000C2B5F" w:rsidRPr="00E8768C" w:rsidRDefault="000C2B5F" w:rsidP="00D3584D">
            <w:pPr>
              <w:rPr>
                <w:rFonts w:ascii="Arial" w:eastAsiaTheme="minorHAnsi" w:hAnsi="Arial" w:cs="Arial"/>
                <w:b/>
                <w:iCs/>
                <w:sz w:val="22"/>
                <w:szCs w:val="24"/>
                <w:lang w:val="en-GB"/>
              </w:rPr>
            </w:pPr>
            <w:r w:rsidRPr="00E8768C">
              <w:rPr>
                <w:rFonts w:ascii="Arial" w:eastAsiaTheme="minorHAnsi" w:hAnsi="Arial" w:cs="Arial"/>
                <w:b/>
                <w:iCs/>
                <w:sz w:val="22"/>
                <w:szCs w:val="24"/>
                <w:lang w:val="en-GB"/>
              </w:rPr>
              <w:t>Exclusion</w:t>
            </w:r>
          </w:p>
        </w:tc>
      </w:tr>
      <w:tr w:rsidR="000C2B5F" w:rsidRPr="00E8768C" w14:paraId="4A36117F" w14:textId="77777777" w:rsidTr="00D3584D">
        <w:trPr>
          <w:tblHeader/>
        </w:trPr>
        <w:tc>
          <w:tcPr>
            <w:tcW w:w="2577" w:type="dxa"/>
          </w:tcPr>
          <w:p w14:paraId="5CB61C85"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
                <w:iCs/>
                <w:sz w:val="22"/>
                <w:szCs w:val="24"/>
                <w:lang w:val="en-GB"/>
              </w:rPr>
              <w:t>P</w:t>
            </w:r>
            <w:r w:rsidRPr="00E8768C">
              <w:rPr>
                <w:rFonts w:ascii="Arial" w:eastAsiaTheme="minorHAnsi" w:hAnsi="Arial" w:cs="Arial"/>
                <w:bCs/>
                <w:iCs/>
                <w:sz w:val="22"/>
                <w:szCs w:val="24"/>
                <w:lang w:val="en-GB"/>
              </w:rPr>
              <w:t>opulation</w:t>
            </w:r>
          </w:p>
        </w:tc>
        <w:tc>
          <w:tcPr>
            <w:tcW w:w="3860" w:type="dxa"/>
          </w:tcPr>
          <w:p w14:paraId="5171101A" w14:textId="77777777" w:rsidR="000C2B5F" w:rsidRPr="00E8768C"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Indicated for a n</w:t>
            </w:r>
            <w:r w:rsidRPr="00E8768C">
              <w:rPr>
                <w:rFonts w:ascii="Arial" w:eastAsiaTheme="minorHAnsi" w:hAnsi="Arial" w:cs="Arial"/>
                <w:bCs/>
                <w:iCs/>
                <w:sz w:val="22"/>
                <w:szCs w:val="24"/>
                <w:lang w:val="en-GB"/>
              </w:rPr>
              <w:t xml:space="preserve">on-oncology </w:t>
            </w:r>
            <w:r>
              <w:rPr>
                <w:rFonts w:ascii="Arial" w:eastAsiaTheme="minorHAnsi" w:hAnsi="Arial" w:cs="Arial"/>
                <w:bCs/>
                <w:iCs/>
                <w:sz w:val="22"/>
                <w:szCs w:val="24"/>
                <w:lang w:val="en-GB"/>
              </w:rPr>
              <w:t>population</w:t>
            </w:r>
          </w:p>
        </w:tc>
        <w:tc>
          <w:tcPr>
            <w:tcW w:w="3717" w:type="dxa"/>
          </w:tcPr>
          <w:p w14:paraId="7983A3F6" w14:textId="77777777" w:rsidR="000C2B5F" w:rsidRPr="0040652E" w:rsidRDefault="000C2B5F" w:rsidP="00D3584D">
            <w:pPr>
              <w:rPr>
                <w:rFonts w:ascii="Arial" w:eastAsiaTheme="minorHAnsi" w:hAnsi="Arial" w:cs="Arial"/>
                <w:bCs/>
                <w:iCs/>
                <w:sz w:val="22"/>
                <w:szCs w:val="24"/>
                <w:lang w:val="en-GB"/>
              </w:rPr>
            </w:pPr>
            <w:r w:rsidRPr="00E8768C">
              <w:rPr>
                <w:rFonts w:ascii="Arial" w:eastAsiaTheme="minorHAnsi" w:hAnsi="Arial" w:cs="Arial"/>
                <w:bCs/>
                <w:iCs/>
                <w:sz w:val="22"/>
                <w:szCs w:val="24"/>
                <w:lang w:val="en-GB"/>
              </w:rPr>
              <w:t>Oncolog</w:t>
            </w:r>
            <w:r>
              <w:rPr>
                <w:rFonts w:ascii="Arial" w:eastAsiaTheme="minorHAnsi" w:hAnsi="Arial" w:cs="Arial"/>
                <w:bCs/>
                <w:iCs/>
                <w:sz w:val="22"/>
                <w:szCs w:val="24"/>
                <w:lang w:val="en-GB"/>
              </w:rPr>
              <w:t xml:space="preserve">y, radiologic, or imaging indications, vaccines, and </w:t>
            </w:r>
            <w:proofErr w:type="spellStart"/>
            <w:proofErr w:type="gramStart"/>
            <w:r>
              <w:rPr>
                <w:rFonts w:ascii="Arial" w:eastAsiaTheme="minorHAnsi" w:hAnsi="Arial" w:cs="Arial"/>
                <w:bCs/>
                <w:iCs/>
                <w:sz w:val="22"/>
                <w:szCs w:val="24"/>
                <w:lang w:val="en-GB"/>
              </w:rPr>
              <w:t>non therapeutic</w:t>
            </w:r>
            <w:proofErr w:type="spellEnd"/>
            <w:proofErr w:type="gramEnd"/>
            <w:r>
              <w:rPr>
                <w:rFonts w:ascii="Arial" w:eastAsiaTheme="minorHAnsi" w:hAnsi="Arial" w:cs="Arial"/>
                <w:bCs/>
                <w:iCs/>
                <w:sz w:val="22"/>
                <w:szCs w:val="24"/>
                <w:lang w:val="en-GB"/>
              </w:rPr>
              <w:t xml:space="preserve"> blood products (e.g. blood typing agents)</w:t>
            </w:r>
          </w:p>
        </w:tc>
      </w:tr>
      <w:tr w:rsidR="000C2B5F" w:rsidRPr="00E8768C" w14:paraId="1790806D" w14:textId="77777777" w:rsidTr="00D3584D">
        <w:trPr>
          <w:tblHeader/>
        </w:trPr>
        <w:tc>
          <w:tcPr>
            <w:tcW w:w="2577" w:type="dxa"/>
          </w:tcPr>
          <w:p w14:paraId="174A1C04"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
                <w:iCs/>
                <w:sz w:val="22"/>
                <w:szCs w:val="24"/>
                <w:lang w:val="en-GB"/>
              </w:rPr>
              <w:t>I</w:t>
            </w:r>
            <w:r w:rsidRPr="00E8768C">
              <w:rPr>
                <w:rFonts w:ascii="Arial" w:eastAsiaTheme="minorHAnsi" w:hAnsi="Arial" w:cs="Arial"/>
                <w:bCs/>
                <w:iCs/>
                <w:sz w:val="22"/>
                <w:szCs w:val="24"/>
                <w:lang w:val="en-GB"/>
              </w:rPr>
              <w:t>nterventions/Exposures</w:t>
            </w:r>
          </w:p>
        </w:tc>
        <w:tc>
          <w:tcPr>
            <w:tcW w:w="3860" w:type="dxa"/>
          </w:tcPr>
          <w:p w14:paraId="112187FE" w14:textId="77777777" w:rsidR="000C2B5F" w:rsidRDefault="000C2B5F" w:rsidP="00D3584D">
            <w:pPr>
              <w:rPr>
                <w:rFonts w:ascii="Arial" w:eastAsiaTheme="minorHAnsi" w:hAnsi="Arial" w:cs="Arial"/>
                <w:bCs/>
                <w:iCs/>
                <w:sz w:val="22"/>
                <w:szCs w:val="24"/>
                <w:lang w:val="en-GB"/>
              </w:rPr>
            </w:pPr>
            <w:r w:rsidRPr="00E8768C">
              <w:rPr>
                <w:rFonts w:ascii="Arial" w:eastAsiaTheme="minorHAnsi" w:hAnsi="Arial" w:cs="Arial"/>
                <w:bCs/>
                <w:iCs/>
                <w:sz w:val="22"/>
                <w:szCs w:val="24"/>
                <w:lang w:val="en-GB"/>
              </w:rPr>
              <w:t>First approval for a new indication Drugs and Biologics (NDAs and BLAs)</w:t>
            </w:r>
          </w:p>
          <w:p w14:paraId="4E6ADA23" w14:textId="77777777" w:rsidR="000C2B5F" w:rsidRDefault="000C2B5F" w:rsidP="00D3584D">
            <w:pPr>
              <w:rPr>
                <w:rFonts w:ascii="Arial" w:eastAsiaTheme="minorHAnsi" w:hAnsi="Arial" w:cs="Arial"/>
                <w:bCs/>
                <w:iCs/>
                <w:sz w:val="22"/>
                <w:szCs w:val="24"/>
                <w:lang w:val="en-GB"/>
              </w:rPr>
            </w:pPr>
          </w:p>
          <w:p w14:paraId="743F59C3" w14:textId="77777777" w:rsidR="000C2B5F" w:rsidRPr="00E8768C"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 xml:space="preserve">Any approval for which at least one </w:t>
            </w:r>
            <w:proofErr w:type="gramStart"/>
            <w:r>
              <w:rPr>
                <w:rFonts w:ascii="Arial" w:eastAsiaTheme="minorHAnsi" w:hAnsi="Arial" w:cs="Arial"/>
                <w:bCs/>
                <w:iCs/>
                <w:sz w:val="22"/>
                <w:szCs w:val="24"/>
                <w:lang w:val="en-GB"/>
              </w:rPr>
              <w:t>single-arm</w:t>
            </w:r>
            <w:proofErr w:type="gramEnd"/>
            <w:r>
              <w:rPr>
                <w:rFonts w:ascii="Arial" w:eastAsiaTheme="minorHAnsi" w:hAnsi="Arial" w:cs="Arial"/>
                <w:bCs/>
                <w:iCs/>
                <w:sz w:val="22"/>
                <w:szCs w:val="24"/>
                <w:lang w:val="en-GB"/>
              </w:rPr>
              <w:t xml:space="preserve"> Phase II or III study was submitted as pivotal evidence</w:t>
            </w:r>
          </w:p>
        </w:tc>
        <w:tc>
          <w:tcPr>
            <w:tcW w:w="3717" w:type="dxa"/>
          </w:tcPr>
          <w:p w14:paraId="3D638101" w14:textId="77777777" w:rsidR="000C2B5F"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Approvals of d</w:t>
            </w:r>
            <w:r w:rsidRPr="00E8768C">
              <w:rPr>
                <w:rFonts w:ascii="Arial" w:eastAsiaTheme="minorHAnsi" w:hAnsi="Arial" w:cs="Arial"/>
                <w:bCs/>
                <w:iCs/>
                <w:sz w:val="22"/>
                <w:szCs w:val="24"/>
                <w:lang w:val="en-GB"/>
              </w:rPr>
              <w:t>evices</w:t>
            </w:r>
            <w:r>
              <w:rPr>
                <w:rFonts w:ascii="Arial" w:eastAsiaTheme="minorHAnsi" w:hAnsi="Arial" w:cs="Arial"/>
                <w:bCs/>
                <w:iCs/>
                <w:sz w:val="22"/>
                <w:szCs w:val="24"/>
                <w:lang w:val="en-GB"/>
              </w:rPr>
              <w:t xml:space="preserve">, </w:t>
            </w:r>
            <w:r w:rsidRPr="00E8768C">
              <w:rPr>
                <w:rFonts w:ascii="Arial" w:eastAsiaTheme="minorHAnsi" w:hAnsi="Arial" w:cs="Arial"/>
                <w:bCs/>
                <w:iCs/>
                <w:sz w:val="22"/>
                <w:szCs w:val="24"/>
                <w:lang w:val="en-GB"/>
              </w:rPr>
              <w:t>generics</w:t>
            </w:r>
            <w:r>
              <w:rPr>
                <w:rFonts w:ascii="Arial" w:eastAsiaTheme="minorHAnsi" w:hAnsi="Arial" w:cs="Arial"/>
                <w:bCs/>
                <w:iCs/>
                <w:sz w:val="22"/>
                <w:szCs w:val="24"/>
                <w:lang w:val="en-GB"/>
              </w:rPr>
              <w:t xml:space="preserve">, </w:t>
            </w:r>
            <w:r w:rsidRPr="00E8768C">
              <w:rPr>
                <w:rFonts w:ascii="Arial" w:eastAsiaTheme="minorHAnsi" w:hAnsi="Arial" w:cs="Arial"/>
                <w:bCs/>
                <w:iCs/>
                <w:sz w:val="22"/>
                <w:szCs w:val="24"/>
                <w:lang w:val="en-GB"/>
              </w:rPr>
              <w:t xml:space="preserve">biosimilars, </w:t>
            </w:r>
            <w:r>
              <w:rPr>
                <w:rFonts w:ascii="Arial" w:eastAsiaTheme="minorHAnsi" w:hAnsi="Arial" w:cs="Arial"/>
                <w:bCs/>
                <w:iCs/>
                <w:sz w:val="22"/>
                <w:szCs w:val="24"/>
                <w:lang w:val="en-GB"/>
              </w:rPr>
              <w:t>or supplements for additional indications</w:t>
            </w:r>
          </w:p>
          <w:p w14:paraId="2D58E43F" w14:textId="77777777" w:rsidR="000C2B5F" w:rsidRDefault="000C2B5F" w:rsidP="00D3584D">
            <w:pPr>
              <w:rPr>
                <w:rFonts w:ascii="Arial" w:eastAsiaTheme="minorHAnsi" w:hAnsi="Arial" w:cs="Arial"/>
                <w:bCs/>
                <w:iCs/>
                <w:sz w:val="22"/>
                <w:szCs w:val="24"/>
                <w:lang w:val="en-GB"/>
              </w:rPr>
            </w:pPr>
          </w:p>
          <w:p w14:paraId="46391968" w14:textId="77777777" w:rsidR="000C2B5F" w:rsidRPr="00E8768C"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Approvals which did not include any Phase II or III single-arm study as pivotal evidence</w:t>
            </w:r>
          </w:p>
        </w:tc>
      </w:tr>
      <w:tr w:rsidR="000C2B5F" w:rsidRPr="00E8768C" w14:paraId="5ADD70D7" w14:textId="77777777" w:rsidTr="00D3584D">
        <w:trPr>
          <w:tblHeader/>
        </w:trPr>
        <w:tc>
          <w:tcPr>
            <w:tcW w:w="2577" w:type="dxa"/>
          </w:tcPr>
          <w:p w14:paraId="1D9BA0AE"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
                <w:iCs/>
                <w:sz w:val="22"/>
                <w:szCs w:val="24"/>
                <w:lang w:val="en-GB"/>
              </w:rPr>
              <w:t>C</w:t>
            </w:r>
            <w:r w:rsidRPr="00E8768C">
              <w:rPr>
                <w:rFonts w:ascii="Arial" w:eastAsiaTheme="minorHAnsi" w:hAnsi="Arial" w:cs="Arial"/>
                <w:bCs/>
                <w:iCs/>
                <w:sz w:val="22"/>
                <w:szCs w:val="24"/>
                <w:lang w:val="en-GB"/>
              </w:rPr>
              <w:t>omparisons</w:t>
            </w:r>
          </w:p>
        </w:tc>
        <w:tc>
          <w:tcPr>
            <w:tcW w:w="3860" w:type="dxa"/>
          </w:tcPr>
          <w:p w14:paraId="766FE6D5"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Cs/>
                <w:iCs/>
                <w:sz w:val="22"/>
                <w:szCs w:val="24"/>
                <w:lang w:val="en-GB"/>
              </w:rPr>
              <w:t xml:space="preserve">None </w:t>
            </w:r>
          </w:p>
        </w:tc>
        <w:tc>
          <w:tcPr>
            <w:tcW w:w="3717" w:type="dxa"/>
          </w:tcPr>
          <w:p w14:paraId="3DF77F5A"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Cs/>
                <w:iCs/>
                <w:sz w:val="22"/>
                <w:szCs w:val="24"/>
                <w:lang w:val="en-GB"/>
              </w:rPr>
              <w:t>None</w:t>
            </w:r>
          </w:p>
        </w:tc>
      </w:tr>
      <w:tr w:rsidR="000C2B5F" w:rsidRPr="00E8768C" w14:paraId="37CBEF9D" w14:textId="77777777" w:rsidTr="00D3584D">
        <w:trPr>
          <w:tblHeader/>
        </w:trPr>
        <w:tc>
          <w:tcPr>
            <w:tcW w:w="2577" w:type="dxa"/>
          </w:tcPr>
          <w:p w14:paraId="7C3EDD71"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
                <w:iCs/>
                <w:sz w:val="22"/>
                <w:szCs w:val="24"/>
                <w:lang w:val="en-GB"/>
              </w:rPr>
              <w:t>O</w:t>
            </w:r>
            <w:r w:rsidRPr="00E8768C">
              <w:rPr>
                <w:rFonts w:ascii="Arial" w:eastAsiaTheme="minorHAnsi" w:hAnsi="Arial" w:cs="Arial"/>
                <w:bCs/>
                <w:iCs/>
                <w:sz w:val="22"/>
                <w:szCs w:val="24"/>
                <w:lang w:val="en-GB"/>
              </w:rPr>
              <w:t>utcome(s)</w:t>
            </w:r>
          </w:p>
        </w:tc>
        <w:tc>
          <w:tcPr>
            <w:tcW w:w="3860" w:type="dxa"/>
          </w:tcPr>
          <w:p w14:paraId="12C22320" w14:textId="77777777" w:rsidR="000C2B5F" w:rsidRPr="00E8768C"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Concerns or strengths discussed in regulatory review about single-arm design and/or external control arm</w:t>
            </w:r>
          </w:p>
        </w:tc>
        <w:tc>
          <w:tcPr>
            <w:tcW w:w="3717" w:type="dxa"/>
          </w:tcPr>
          <w:p w14:paraId="3CCA4BD5" w14:textId="77777777" w:rsidR="000C2B5F" w:rsidRPr="00E8768C"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Any regulatory review of aspects of supporting study unrelated to single-arm design</w:t>
            </w:r>
          </w:p>
        </w:tc>
      </w:tr>
      <w:tr w:rsidR="000C2B5F" w:rsidRPr="00E8768C" w14:paraId="07CEEDF2" w14:textId="77777777" w:rsidTr="00D3584D">
        <w:trPr>
          <w:tblHeader/>
        </w:trPr>
        <w:tc>
          <w:tcPr>
            <w:tcW w:w="2577" w:type="dxa"/>
          </w:tcPr>
          <w:p w14:paraId="25B42D95"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
                <w:iCs/>
                <w:sz w:val="22"/>
                <w:szCs w:val="24"/>
                <w:lang w:val="en-GB"/>
              </w:rPr>
              <w:t>S</w:t>
            </w:r>
            <w:r w:rsidRPr="00E8768C">
              <w:rPr>
                <w:rFonts w:ascii="Arial" w:eastAsiaTheme="minorHAnsi" w:hAnsi="Arial" w:cs="Arial"/>
                <w:bCs/>
                <w:iCs/>
                <w:sz w:val="22"/>
                <w:szCs w:val="24"/>
                <w:lang w:val="en-GB"/>
              </w:rPr>
              <w:t>ource type</w:t>
            </w:r>
          </w:p>
        </w:tc>
        <w:tc>
          <w:tcPr>
            <w:tcW w:w="3860" w:type="dxa"/>
          </w:tcPr>
          <w:p w14:paraId="0C4574EA" w14:textId="77777777" w:rsidR="000C2B5F" w:rsidRPr="00E8768C" w:rsidRDefault="000C2B5F" w:rsidP="00D3584D">
            <w:pPr>
              <w:rPr>
                <w:rFonts w:ascii="Arial" w:eastAsiaTheme="minorHAnsi" w:hAnsi="Arial" w:cs="Arial"/>
                <w:bCs/>
                <w:iCs/>
                <w:sz w:val="22"/>
                <w:szCs w:val="24"/>
                <w:lang w:val="en-GB"/>
              </w:rPr>
            </w:pPr>
            <w:r w:rsidRPr="00E8768C">
              <w:rPr>
                <w:rFonts w:ascii="Arial" w:eastAsiaTheme="minorHAnsi" w:hAnsi="Arial" w:cs="Arial"/>
                <w:bCs/>
                <w:iCs/>
                <w:sz w:val="22"/>
                <w:szCs w:val="24"/>
                <w:lang w:val="en-GB"/>
              </w:rPr>
              <w:t>FDA and EMA review documentation</w:t>
            </w:r>
          </w:p>
        </w:tc>
        <w:tc>
          <w:tcPr>
            <w:tcW w:w="3717" w:type="dxa"/>
          </w:tcPr>
          <w:p w14:paraId="5FA2E8EE" w14:textId="77777777" w:rsidR="000C2B5F" w:rsidRPr="00E8768C" w:rsidRDefault="000C2B5F" w:rsidP="00D3584D">
            <w:pPr>
              <w:rPr>
                <w:rFonts w:ascii="Arial" w:eastAsiaTheme="minorHAnsi" w:hAnsi="Arial" w:cs="Arial"/>
                <w:sz w:val="22"/>
                <w:szCs w:val="24"/>
                <w:lang w:val="en-GB"/>
              </w:rPr>
            </w:pPr>
            <w:r>
              <w:rPr>
                <w:rFonts w:ascii="Arial" w:eastAsiaTheme="minorHAnsi" w:hAnsi="Arial" w:cs="Arial"/>
                <w:sz w:val="22"/>
                <w:szCs w:val="24"/>
                <w:lang w:val="en-GB"/>
              </w:rPr>
              <w:t>Other regulatory bodies</w:t>
            </w:r>
          </w:p>
        </w:tc>
      </w:tr>
      <w:tr w:rsidR="000C2B5F" w:rsidRPr="00E8768C" w14:paraId="3C95D151" w14:textId="77777777" w:rsidTr="00D3584D">
        <w:trPr>
          <w:tblHeader/>
        </w:trPr>
        <w:tc>
          <w:tcPr>
            <w:tcW w:w="2577" w:type="dxa"/>
          </w:tcPr>
          <w:p w14:paraId="288B1D94" w14:textId="77777777" w:rsidR="000C2B5F" w:rsidRPr="00E8768C" w:rsidRDefault="000C2B5F" w:rsidP="00D3584D">
            <w:pPr>
              <w:rPr>
                <w:rFonts w:ascii="Arial" w:eastAsiaTheme="minorHAnsi" w:hAnsi="Arial" w:cs="Arial"/>
                <w:b/>
                <w:iCs/>
                <w:sz w:val="22"/>
                <w:szCs w:val="24"/>
                <w:lang w:val="en-GB"/>
              </w:rPr>
            </w:pPr>
            <w:r w:rsidRPr="00E8768C">
              <w:rPr>
                <w:rFonts w:ascii="Arial" w:eastAsiaTheme="minorHAnsi" w:hAnsi="Arial" w:cs="Arial"/>
                <w:b/>
                <w:iCs/>
                <w:sz w:val="22"/>
                <w:szCs w:val="24"/>
                <w:lang w:val="en-GB"/>
              </w:rPr>
              <w:t>T</w:t>
            </w:r>
            <w:r>
              <w:rPr>
                <w:rFonts w:ascii="Arial" w:eastAsiaTheme="minorHAnsi" w:hAnsi="Arial" w:cs="Arial"/>
                <w:b/>
                <w:iCs/>
                <w:sz w:val="22"/>
                <w:szCs w:val="24"/>
                <w:lang w:val="en-GB"/>
              </w:rPr>
              <w:t>i</w:t>
            </w:r>
            <w:r w:rsidRPr="00B04CA9">
              <w:rPr>
                <w:rFonts w:ascii="Arial" w:eastAsiaTheme="minorHAnsi" w:hAnsi="Arial" w:cs="Arial"/>
                <w:bCs/>
                <w:iCs/>
                <w:sz w:val="22"/>
                <w:szCs w:val="24"/>
                <w:lang w:val="en-GB"/>
              </w:rPr>
              <w:t>ming</w:t>
            </w:r>
          </w:p>
        </w:tc>
        <w:tc>
          <w:tcPr>
            <w:tcW w:w="3860" w:type="dxa"/>
          </w:tcPr>
          <w:p w14:paraId="7BFA873C" w14:textId="77777777" w:rsidR="000C2B5F" w:rsidRPr="00E8768C"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 xml:space="preserve">All approvals between January 1, </w:t>
            </w:r>
            <w:proofErr w:type="gramStart"/>
            <w:r>
              <w:rPr>
                <w:rFonts w:ascii="Arial" w:eastAsiaTheme="minorHAnsi" w:hAnsi="Arial" w:cs="Arial"/>
                <w:bCs/>
                <w:iCs/>
                <w:sz w:val="22"/>
                <w:szCs w:val="24"/>
                <w:lang w:val="en-GB"/>
              </w:rPr>
              <w:t>2019</w:t>
            </w:r>
            <w:proofErr w:type="gramEnd"/>
            <w:r>
              <w:rPr>
                <w:rFonts w:ascii="Arial" w:eastAsiaTheme="minorHAnsi" w:hAnsi="Arial" w:cs="Arial"/>
                <w:bCs/>
                <w:iCs/>
                <w:sz w:val="22"/>
                <w:szCs w:val="24"/>
                <w:lang w:val="en-GB"/>
              </w:rPr>
              <w:t xml:space="preserve"> and December 31, 2022</w:t>
            </w:r>
          </w:p>
        </w:tc>
        <w:tc>
          <w:tcPr>
            <w:tcW w:w="3717" w:type="dxa"/>
          </w:tcPr>
          <w:p w14:paraId="55230C25" w14:textId="77777777" w:rsidR="000C2B5F" w:rsidRPr="00E8768C" w:rsidRDefault="000C2B5F" w:rsidP="00D3584D">
            <w:pPr>
              <w:rPr>
                <w:rFonts w:ascii="Arial" w:eastAsiaTheme="minorHAnsi" w:hAnsi="Arial" w:cs="Arial"/>
                <w:bCs/>
                <w:iCs/>
                <w:sz w:val="22"/>
                <w:szCs w:val="24"/>
                <w:lang w:val="en-GB"/>
              </w:rPr>
            </w:pPr>
            <w:r>
              <w:rPr>
                <w:rFonts w:ascii="Arial" w:eastAsiaTheme="minorHAnsi" w:hAnsi="Arial" w:cs="Arial"/>
                <w:bCs/>
                <w:iCs/>
                <w:sz w:val="22"/>
                <w:szCs w:val="24"/>
                <w:lang w:val="en-GB"/>
              </w:rPr>
              <w:t>Any approvals outside of this timeframe</w:t>
            </w:r>
          </w:p>
        </w:tc>
      </w:tr>
    </w:tbl>
    <w:p w14:paraId="5A8BDD27" w14:textId="77777777" w:rsidR="000C2B5F" w:rsidRDefault="000C2B5F" w:rsidP="000C2B5F"/>
    <w:p w14:paraId="42AFFB02" w14:textId="77777777" w:rsidR="000C2B5F" w:rsidRDefault="000C2B5F" w:rsidP="000C2B5F"/>
    <w:p w14:paraId="743D4D65" w14:textId="77777777" w:rsidR="000C2B5F" w:rsidRPr="00CD5657" w:rsidRDefault="000C2B5F" w:rsidP="000C2B5F">
      <w:pPr>
        <w:rPr>
          <w:b/>
          <w:bCs/>
        </w:rPr>
      </w:pPr>
    </w:p>
    <w:p w14:paraId="6ECF1B71" w14:textId="77777777" w:rsidR="000C2B5F" w:rsidRDefault="000C2B5F" w:rsidP="000C2B5F"/>
    <w:p w14:paraId="2B3A6AF6" w14:textId="77777777" w:rsidR="000C2B5F" w:rsidRDefault="000C2B5F">
      <w:pPr>
        <w:rPr>
          <w:b/>
          <w:bCs/>
        </w:rPr>
      </w:pPr>
      <w:r>
        <w:rPr>
          <w:b/>
          <w:bCs/>
        </w:rPr>
        <w:br w:type="page"/>
      </w:r>
    </w:p>
    <w:p w14:paraId="108752BE" w14:textId="7DC28A23" w:rsidR="001B08EE" w:rsidRPr="000C2B5F" w:rsidRDefault="00B76F43">
      <w:pPr>
        <w:rPr>
          <w:b/>
          <w:bCs/>
        </w:rPr>
      </w:pPr>
      <w:r w:rsidRPr="000C2B5F">
        <w:rPr>
          <w:b/>
          <w:bCs/>
        </w:rPr>
        <w:lastRenderedPageBreak/>
        <w:t xml:space="preserve">Appendix Table A2. Full list of fields abstracted for each product from FDA and EMA Review Documentation. </w:t>
      </w:r>
    </w:p>
    <w:p w14:paraId="35FCC539" w14:textId="77777777" w:rsidR="00B76F43" w:rsidRDefault="00B76F43"/>
    <w:tbl>
      <w:tblPr>
        <w:tblW w:w="12680" w:type="dxa"/>
        <w:tblLook w:val="04A0" w:firstRow="1" w:lastRow="0" w:firstColumn="1" w:lastColumn="0" w:noHBand="0" w:noVBand="1"/>
      </w:tblPr>
      <w:tblGrid>
        <w:gridCol w:w="780"/>
        <w:gridCol w:w="2920"/>
        <w:gridCol w:w="2600"/>
        <w:gridCol w:w="6380"/>
      </w:tblGrid>
      <w:tr w:rsidR="00B76F43" w:rsidRPr="00B76F43" w14:paraId="347DEA62" w14:textId="77777777" w:rsidTr="00B76F43">
        <w:trPr>
          <w:trHeight w:val="240"/>
        </w:trPr>
        <w:tc>
          <w:tcPr>
            <w:tcW w:w="780" w:type="dxa"/>
            <w:tcBorders>
              <w:top w:val="single" w:sz="4" w:space="0" w:color="auto"/>
              <w:left w:val="single" w:sz="4" w:space="0" w:color="auto"/>
              <w:bottom w:val="single" w:sz="4" w:space="0" w:color="auto"/>
              <w:right w:val="single" w:sz="4" w:space="0" w:color="auto"/>
            </w:tcBorders>
            <w:shd w:val="clear" w:color="000000" w:fill="404040"/>
            <w:vAlign w:val="bottom"/>
            <w:hideMark/>
          </w:tcPr>
          <w:p w14:paraId="30AF847B" w14:textId="77777777" w:rsidR="00B76F43" w:rsidRPr="00B76F43" w:rsidRDefault="00B76F43" w:rsidP="00B76F43">
            <w:pPr>
              <w:jc w:val="center"/>
              <w:rPr>
                <w:rFonts w:ascii="Aptos Narrow" w:eastAsia="Times New Roman" w:hAnsi="Aptos Narrow" w:cs="Times New Roman"/>
                <w:b/>
                <w:bCs/>
                <w:color w:val="FFFFFF"/>
                <w:kern w:val="0"/>
                <w:sz w:val="16"/>
                <w:szCs w:val="16"/>
                <w14:ligatures w14:val="none"/>
              </w:rPr>
            </w:pPr>
            <w:r w:rsidRPr="00B76F43">
              <w:rPr>
                <w:rFonts w:ascii="Aptos Narrow" w:eastAsia="Times New Roman" w:hAnsi="Aptos Narrow" w:cs="Times New Roman"/>
                <w:b/>
                <w:bCs/>
                <w:color w:val="FFFFFF"/>
                <w:kern w:val="0"/>
                <w:sz w:val="16"/>
                <w:szCs w:val="16"/>
                <w14:ligatures w14:val="none"/>
              </w:rPr>
              <w:t> </w:t>
            </w:r>
          </w:p>
        </w:tc>
        <w:tc>
          <w:tcPr>
            <w:tcW w:w="2920" w:type="dxa"/>
            <w:tcBorders>
              <w:top w:val="single" w:sz="4" w:space="0" w:color="auto"/>
              <w:left w:val="nil"/>
              <w:bottom w:val="single" w:sz="4" w:space="0" w:color="auto"/>
              <w:right w:val="single" w:sz="4" w:space="0" w:color="auto"/>
            </w:tcBorders>
            <w:shd w:val="clear" w:color="000000" w:fill="404040"/>
            <w:vAlign w:val="bottom"/>
            <w:hideMark/>
          </w:tcPr>
          <w:p w14:paraId="587A30C2" w14:textId="77777777" w:rsidR="00B76F43" w:rsidRPr="00B76F43" w:rsidRDefault="00B76F43" w:rsidP="00B76F43">
            <w:pPr>
              <w:rPr>
                <w:rFonts w:ascii="Aptos Narrow" w:eastAsia="Times New Roman" w:hAnsi="Aptos Narrow" w:cs="Times New Roman"/>
                <w:b/>
                <w:bCs/>
                <w:color w:val="FFFFFF"/>
                <w:kern w:val="0"/>
                <w:sz w:val="16"/>
                <w:szCs w:val="16"/>
                <w14:ligatures w14:val="none"/>
              </w:rPr>
            </w:pPr>
            <w:r w:rsidRPr="00B76F43">
              <w:rPr>
                <w:rFonts w:ascii="Aptos Narrow" w:eastAsia="Times New Roman" w:hAnsi="Aptos Narrow" w:cs="Times New Roman"/>
                <w:b/>
                <w:bCs/>
                <w:color w:val="FFFFFF"/>
                <w:kern w:val="0"/>
                <w:sz w:val="16"/>
                <w:szCs w:val="16"/>
                <w14:ligatures w14:val="none"/>
              </w:rPr>
              <w:t>Field</w:t>
            </w:r>
          </w:p>
        </w:tc>
        <w:tc>
          <w:tcPr>
            <w:tcW w:w="2600" w:type="dxa"/>
            <w:tcBorders>
              <w:top w:val="single" w:sz="4" w:space="0" w:color="auto"/>
              <w:left w:val="nil"/>
              <w:bottom w:val="single" w:sz="4" w:space="0" w:color="auto"/>
              <w:right w:val="single" w:sz="4" w:space="0" w:color="auto"/>
            </w:tcBorders>
            <w:shd w:val="clear" w:color="000000" w:fill="404040"/>
            <w:vAlign w:val="bottom"/>
            <w:hideMark/>
          </w:tcPr>
          <w:p w14:paraId="62AD66A7" w14:textId="77777777" w:rsidR="00B76F43" w:rsidRPr="00B76F43" w:rsidRDefault="00B76F43" w:rsidP="00B76F43">
            <w:pPr>
              <w:rPr>
                <w:rFonts w:ascii="Aptos Narrow" w:eastAsia="Times New Roman" w:hAnsi="Aptos Narrow" w:cs="Times New Roman"/>
                <w:b/>
                <w:bCs/>
                <w:color w:val="FFFFFF"/>
                <w:kern w:val="0"/>
                <w:sz w:val="16"/>
                <w:szCs w:val="16"/>
                <w14:ligatures w14:val="none"/>
              </w:rPr>
            </w:pPr>
            <w:r w:rsidRPr="00B76F43">
              <w:rPr>
                <w:rFonts w:ascii="Aptos Narrow" w:eastAsia="Times New Roman" w:hAnsi="Aptos Narrow" w:cs="Times New Roman"/>
                <w:b/>
                <w:bCs/>
                <w:color w:val="FFFFFF"/>
                <w:kern w:val="0"/>
                <w:sz w:val="16"/>
                <w:szCs w:val="16"/>
                <w14:ligatures w14:val="none"/>
              </w:rPr>
              <w:t>Data Type</w:t>
            </w:r>
          </w:p>
        </w:tc>
        <w:tc>
          <w:tcPr>
            <w:tcW w:w="6380" w:type="dxa"/>
            <w:tcBorders>
              <w:top w:val="single" w:sz="4" w:space="0" w:color="auto"/>
              <w:left w:val="nil"/>
              <w:bottom w:val="single" w:sz="4" w:space="0" w:color="auto"/>
              <w:right w:val="single" w:sz="4" w:space="0" w:color="auto"/>
            </w:tcBorders>
            <w:shd w:val="clear" w:color="000000" w:fill="404040"/>
            <w:vAlign w:val="bottom"/>
            <w:hideMark/>
          </w:tcPr>
          <w:p w14:paraId="31480F40" w14:textId="77777777" w:rsidR="00B76F43" w:rsidRPr="00B76F43" w:rsidRDefault="00B76F43" w:rsidP="00B76F43">
            <w:pPr>
              <w:rPr>
                <w:rFonts w:ascii="Aptos Narrow" w:eastAsia="Times New Roman" w:hAnsi="Aptos Narrow" w:cs="Times New Roman"/>
                <w:b/>
                <w:bCs/>
                <w:color w:val="FFFFFF"/>
                <w:kern w:val="0"/>
                <w:sz w:val="16"/>
                <w:szCs w:val="16"/>
                <w14:ligatures w14:val="none"/>
              </w:rPr>
            </w:pPr>
            <w:r w:rsidRPr="00B76F43">
              <w:rPr>
                <w:rFonts w:ascii="Aptos Narrow" w:eastAsia="Times New Roman" w:hAnsi="Aptos Narrow" w:cs="Times New Roman"/>
                <w:b/>
                <w:bCs/>
                <w:color w:val="FFFFFF"/>
                <w:kern w:val="0"/>
                <w:sz w:val="16"/>
                <w:szCs w:val="16"/>
                <w14:ligatures w14:val="none"/>
              </w:rPr>
              <w:t>Notes on data definition and abstraction process (where applicable)</w:t>
            </w:r>
          </w:p>
        </w:tc>
      </w:tr>
      <w:tr w:rsidR="00B76F43" w:rsidRPr="00B76F43" w14:paraId="0998F671" w14:textId="77777777" w:rsidTr="00B76F43">
        <w:trPr>
          <w:trHeight w:val="320"/>
        </w:trPr>
        <w:tc>
          <w:tcPr>
            <w:tcW w:w="780" w:type="dxa"/>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5D958D2A" w14:textId="77777777" w:rsidR="00B76F43" w:rsidRPr="00B76F43" w:rsidRDefault="00B76F43" w:rsidP="00B76F43">
            <w:pPr>
              <w:jc w:val="center"/>
              <w:rPr>
                <w:rFonts w:eastAsia="Times New Roman"/>
                <w:b/>
                <w:bCs/>
                <w:color w:val="000000"/>
                <w:kern w:val="0"/>
                <w:sz w:val="16"/>
                <w:szCs w:val="16"/>
                <w14:ligatures w14:val="none"/>
              </w:rPr>
            </w:pPr>
            <w:r w:rsidRPr="00B76F43">
              <w:rPr>
                <w:rFonts w:eastAsia="Times New Roman"/>
                <w:b/>
                <w:bCs/>
                <w:color w:val="000000"/>
                <w:kern w:val="0"/>
                <w:sz w:val="16"/>
                <w:szCs w:val="16"/>
                <w14:ligatures w14:val="none"/>
              </w:rPr>
              <w:t>General submission and approval information</w:t>
            </w:r>
          </w:p>
        </w:tc>
        <w:tc>
          <w:tcPr>
            <w:tcW w:w="2920" w:type="dxa"/>
            <w:tcBorders>
              <w:top w:val="nil"/>
              <w:left w:val="nil"/>
              <w:bottom w:val="single" w:sz="4" w:space="0" w:color="auto"/>
              <w:right w:val="single" w:sz="4" w:space="0" w:color="auto"/>
            </w:tcBorders>
            <w:shd w:val="clear" w:color="DBDBDB" w:fill="DBDBDB"/>
            <w:vAlign w:val="center"/>
            <w:hideMark/>
          </w:tcPr>
          <w:p w14:paraId="4D555CBF"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Approval ID (unique to this review)</w:t>
            </w:r>
          </w:p>
        </w:tc>
        <w:tc>
          <w:tcPr>
            <w:tcW w:w="2600" w:type="dxa"/>
            <w:tcBorders>
              <w:top w:val="nil"/>
              <w:left w:val="nil"/>
              <w:bottom w:val="single" w:sz="4" w:space="0" w:color="auto"/>
              <w:right w:val="single" w:sz="4" w:space="0" w:color="auto"/>
            </w:tcBorders>
            <w:shd w:val="clear" w:color="DBDBDB" w:fill="DBDBDB"/>
            <w:vAlign w:val="center"/>
            <w:hideMark/>
          </w:tcPr>
          <w:p w14:paraId="5ED3F915"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Numeric</w:t>
            </w:r>
          </w:p>
        </w:tc>
        <w:tc>
          <w:tcPr>
            <w:tcW w:w="6380" w:type="dxa"/>
            <w:tcBorders>
              <w:top w:val="nil"/>
              <w:left w:val="nil"/>
              <w:bottom w:val="single" w:sz="4" w:space="0" w:color="auto"/>
              <w:right w:val="single" w:sz="4" w:space="0" w:color="auto"/>
            </w:tcBorders>
            <w:shd w:val="clear" w:color="DBDBDB" w:fill="DBDBDB"/>
            <w:vAlign w:val="center"/>
            <w:hideMark/>
          </w:tcPr>
          <w:p w14:paraId="0507717A"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F48E1CA"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4C330B77"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5D4BB9D5"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Product Name (Brand)</w:t>
            </w:r>
          </w:p>
        </w:tc>
        <w:tc>
          <w:tcPr>
            <w:tcW w:w="2600" w:type="dxa"/>
            <w:tcBorders>
              <w:top w:val="nil"/>
              <w:left w:val="nil"/>
              <w:bottom w:val="single" w:sz="4" w:space="0" w:color="auto"/>
              <w:right w:val="single" w:sz="4" w:space="0" w:color="auto"/>
            </w:tcBorders>
            <w:shd w:val="clear" w:color="DBDBDB" w:fill="DBDBDB"/>
            <w:vAlign w:val="center"/>
            <w:hideMark/>
          </w:tcPr>
          <w:p w14:paraId="3D2505E8"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BDBDB" w:fill="DBDBDB"/>
            <w:vAlign w:val="center"/>
            <w:hideMark/>
          </w:tcPr>
          <w:p w14:paraId="506073D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8BD5C02"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4A0ABE53"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19345BFC"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Molecule or Proper Name</w:t>
            </w:r>
          </w:p>
        </w:tc>
        <w:tc>
          <w:tcPr>
            <w:tcW w:w="2600" w:type="dxa"/>
            <w:tcBorders>
              <w:top w:val="nil"/>
              <w:left w:val="nil"/>
              <w:bottom w:val="single" w:sz="4" w:space="0" w:color="auto"/>
              <w:right w:val="single" w:sz="4" w:space="0" w:color="auto"/>
            </w:tcBorders>
            <w:shd w:val="clear" w:color="DBDBDB" w:fill="DBDBDB"/>
            <w:vAlign w:val="center"/>
            <w:hideMark/>
          </w:tcPr>
          <w:p w14:paraId="08B98042"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BDBDB" w:fill="DBDBDB"/>
            <w:vAlign w:val="center"/>
            <w:hideMark/>
          </w:tcPr>
          <w:p w14:paraId="4F7A0FCF"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36CD02D2"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337F6A1B"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3A165C2F"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Applicant</w:t>
            </w:r>
          </w:p>
        </w:tc>
        <w:tc>
          <w:tcPr>
            <w:tcW w:w="2600" w:type="dxa"/>
            <w:tcBorders>
              <w:top w:val="nil"/>
              <w:left w:val="nil"/>
              <w:bottom w:val="single" w:sz="4" w:space="0" w:color="auto"/>
              <w:right w:val="single" w:sz="4" w:space="0" w:color="auto"/>
            </w:tcBorders>
            <w:shd w:val="clear" w:color="DBDBDB" w:fill="DBDBDB"/>
            <w:vAlign w:val="center"/>
            <w:hideMark/>
          </w:tcPr>
          <w:p w14:paraId="06DB50C4"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BDBDB" w:fill="DBDBDB"/>
            <w:vAlign w:val="center"/>
            <w:hideMark/>
          </w:tcPr>
          <w:p w14:paraId="26B632F1"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F0FF684"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71F1FFC3"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6BEDD4FF"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Agency</w:t>
            </w:r>
          </w:p>
        </w:tc>
        <w:tc>
          <w:tcPr>
            <w:tcW w:w="2600" w:type="dxa"/>
            <w:tcBorders>
              <w:top w:val="nil"/>
              <w:left w:val="nil"/>
              <w:bottom w:val="single" w:sz="4" w:space="0" w:color="auto"/>
              <w:right w:val="single" w:sz="4" w:space="0" w:color="auto"/>
            </w:tcBorders>
            <w:shd w:val="clear" w:color="DBDBDB" w:fill="DBDBDB"/>
            <w:vAlign w:val="center"/>
            <w:hideMark/>
          </w:tcPr>
          <w:p w14:paraId="1E112FE7"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FDA or EMA</w:t>
            </w:r>
          </w:p>
        </w:tc>
        <w:tc>
          <w:tcPr>
            <w:tcW w:w="6380" w:type="dxa"/>
            <w:tcBorders>
              <w:top w:val="nil"/>
              <w:left w:val="nil"/>
              <w:bottom w:val="single" w:sz="4" w:space="0" w:color="auto"/>
              <w:right w:val="single" w:sz="4" w:space="0" w:color="auto"/>
            </w:tcBorders>
            <w:shd w:val="clear" w:color="DBDBDB" w:fill="DBDBDB"/>
            <w:vAlign w:val="center"/>
            <w:hideMark/>
          </w:tcPr>
          <w:p w14:paraId="14676EB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2C98F3B9"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02710617"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4503558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If FDA, CDER or CBER?</w:t>
            </w:r>
          </w:p>
        </w:tc>
        <w:tc>
          <w:tcPr>
            <w:tcW w:w="2600" w:type="dxa"/>
            <w:tcBorders>
              <w:top w:val="nil"/>
              <w:left w:val="nil"/>
              <w:bottom w:val="single" w:sz="4" w:space="0" w:color="auto"/>
              <w:right w:val="single" w:sz="4" w:space="0" w:color="auto"/>
            </w:tcBorders>
            <w:shd w:val="clear" w:color="DBDBDB" w:fill="DBDBDB"/>
            <w:vAlign w:val="center"/>
            <w:hideMark/>
          </w:tcPr>
          <w:p w14:paraId="2BF60115"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CDER or CBER</w:t>
            </w:r>
          </w:p>
        </w:tc>
        <w:tc>
          <w:tcPr>
            <w:tcW w:w="6380" w:type="dxa"/>
            <w:tcBorders>
              <w:top w:val="nil"/>
              <w:left w:val="nil"/>
              <w:bottom w:val="single" w:sz="4" w:space="0" w:color="auto"/>
              <w:right w:val="single" w:sz="4" w:space="0" w:color="auto"/>
            </w:tcBorders>
            <w:shd w:val="clear" w:color="DBDBDB" w:fill="DBDBDB"/>
            <w:vAlign w:val="center"/>
            <w:hideMark/>
          </w:tcPr>
          <w:p w14:paraId="17943A9A"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198C272"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02CAC884"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387B2E4B"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Drug or Biologic</w:t>
            </w:r>
          </w:p>
        </w:tc>
        <w:tc>
          <w:tcPr>
            <w:tcW w:w="2600" w:type="dxa"/>
            <w:tcBorders>
              <w:top w:val="nil"/>
              <w:left w:val="nil"/>
              <w:bottom w:val="single" w:sz="4" w:space="0" w:color="auto"/>
              <w:right w:val="single" w:sz="4" w:space="0" w:color="auto"/>
            </w:tcBorders>
            <w:shd w:val="clear" w:color="DBDBDB" w:fill="DBDBDB"/>
            <w:vAlign w:val="center"/>
            <w:hideMark/>
          </w:tcPr>
          <w:p w14:paraId="68ABD1E1"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Drug or Biologic</w:t>
            </w:r>
          </w:p>
        </w:tc>
        <w:tc>
          <w:tcPr>
            <w:tcW w:w="6380" w:type="dxa"/>
            <w:tcBorders>
              <w:top w:val="nil"/>
              <w:left w:val="nil"/>
              <w:bottom w:val="single" w:sz="4" w:space="0" w:color="auto"/>
              <w:right w:val="single" w:sz="4" w:space="0" w:color="auto"/>
            </w:tcBorders>
            <w:shd w:val="clear" w:color="DBDBDB" w:fill="DBDBDB"/>
            <w:vAlign w:val="center"/>
            <w:hideMark/>
          </w:tcPr>
          <w:p w14:paraId="229FA564"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31F74B5"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3C687671"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0E949D8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Application type (EPAR, NDA, BLA)</w:t>
            </w:r>
          </w:p>
        </w:tc>
        <w:tc>
          <w:tcPr>
            <w:tcW w:w="2600" w:type="dxa"/>
            <w:tcBorders>
              <w:top w:val="nil"/>
              <w:left w:val="nil"/>
              <w:bottom w:val="single" w:sz="4" w:space="0" w:color="auto"/>
              <w:right w:val="single" w:sz="4" w:space="0" w:color="auto"/>
            </w:tcBorders>
            <w:shd w:val="clear" w:color="DBDBDB" w:fill="DBDBDB"/>
            <w:vAlign w:val="center"/>
            <w:hideMark/>
          </w:tcPr>
          <w:p w14:paraId="766BFAAA"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Options: EPAR, NDA, BLA</w:t>
            </w:r>
          </w:p>
        </w:tc>
        <w:tc>
          <w:tcPr>
            <w:tcW w:w="6380" w:type="dxa"/>
            <w:tcBorders>
              <w:top w:val="nil"/>
              <w:left w:val="nil"/>
              <w:bottom w:val="single" w:sz="4" w:space="0" w:color="auto"/>
              <w:right w:val="single" w:sz="4" w:space="0" w:color="auto"/>
            </w:tcBorders>
            <w:shd w:val="clear" w:color="DBDBDB" w:fill="DBDBDB"/>
            <w:vAlign w:val="center"/>
            <w:hideMark/>
          </w:tcPr>
          <w:p w14:paraId="277C358F"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423FF097"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48CD21B7"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00933AC8"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Application Number</w:t>
            </w:r>
          </w:p>
        </w:tc>
        <w:tc>
          <w:tcPr>
            <w:tcW w:w="2600" w:type="dxa"/>
            <w:tcBorders>
              <w:top w:val="nil"/>
              <w:left w:val="nil"/>
              <w:bottom w:val="single" w:sz="4" w:space="0" w:color="auto"/>
              <w:right w:val="single" w:sz="4" w:space="0" w:color="auto"/>
            </w:tcBorders>
            <w:shd w:val="clear" w:color="DBDBDB" w:fill="DBDBDB"/>
            <w:vAlign w:val="center"/>
            <w:hideMark/>
          </w:tcPr>
          <w:p w14:paraId="2B42C135"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Numeric</w:t>
            </w:r>
          </w:p>
        </w:tc>
        <w:tc>
          <w:tcPr>
            <w:tcW w:w="6380" w:type="dxa"/>
            <w:tcBorders>
              <w:top w:val="nil"/>
              <w:left w:val="nil"/>
              <w:bottom w:val="single" w:sz="4" w:space="0" w:color="auto"/>
              <w:right w:val="single" w:sz="4" w:space="0" w:color="auto"/>
            </w:tcBorders>
            <w:shd w:val="clear" w:color="DBDBDB" w:fill="DBDBDB"/>
            <w:vAlign w:val="center"/>
            <w:hideMark/>
          </w:tcPr>
          <w:p w14:paraId="3AFACAB9"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743A8B54"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29FD96C4"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BDBDB" w:fill="DBDBDB"/>
            <w:vAlign w:val="center"/>
            <w:hideMark/>
          </w:tcPr>
          <w:p w14:paraId="008DA2B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Date of Approval or Marketing </w:t>
            </w:r>
            <w:proofErr w:type="spellStart"/>
            <w:r w:rsidRPr="00B76F43">
              <w:rPr>
                <w:rFonts w:ascii="Aptos Narrow" w:eastAsia="Times New Roman" w:hAnsi="Aptos Narrow" w:cs="Times New Roman"/>
                <w:b/>
                <w:bCs/>
                <w:color w:val="000000"/>
                <w:kern w:val="0"/>
                <w:sz w:val="16"/>
                <w:szCs w:val="16"/>
                <w14:ligatures w14:val="none"/>
              </w:rPr>
              <w:t>Authorisation</w:t>
            </w:r>
            <w:proofErr w:type="spellEnd"/>
          </w:p>
        </w:tc>
        <w:tc>
          <w:tcPr>
            <w:tcW w:w="2600" w:type="dxa"/>
            <w:tcBorders>
              <w:top w:val="nil"/>
              <w:left w:val="nil"/>
              <w:bottom w:val="single" w:sz="4" w:space="0" w:color="auto"/>
              <w:right w:val="single" w:sz="4" w:space="0" w:color="auto"/>
            </w:tcBorders>
            <w:shd w:val="clear" w:color="DBDBDB" w:fill="DBDBDB"/>
            <w:vAlign w:val="center"/>
            <w:hideMark/>
          </w:tcPr>
          <w:p w14:paraId="54A8F5B7"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MMDDYY</w:t>
            </w:r>
          </w:p>
        </w:tc>
        <w:tc>
          <w:tcPr>
            <w:tcW w:w="6380" w:type="dxa"/>
            <w:tcBorders>
              <w:top w:val="nil"/>
              <w:left w:val="nil"/>
              <w:bottom w:val="single" w:sz="4" w:space="0" w:color="auto"/>
              <w:right w:val="single" w:sz="4" w:space="0" w:color="auto"/>
            </w:tcBorders>
            <w:shd w:val="clear" w:color="DBDBDB" w:fill="DBDBDB"/>
            <w:vAlign w:val="center"/>
            <w:hideMark/>
          </w:tcPr>
          <w:p w14:paraId="70E74B24"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4F823405"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04FFFAE6"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9D9D9"/>
            <w:vAlign w:val="center"/>
            <w:hideMark/>
          </w:tcPr>
          <w:p w14:paraId="6B48F3E3"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Year of Approval</w:t>
            </w:r>
          </w:p>
        </w:tc>
        <w:tc>
          <w:tcPr>
            <w:tcW w:w="2600" w:type="dxa"/>
            <w:tcBorders>
              <w:top w:val="nil"/>
              <w:left w:val="nil"/>
              <w:bottom w:val="single" w:sz="4" w:space="0" w:color="auto"/>
              <w:right w:val="single" w:sz="4" w:space="0" w:color="auto"/>
            </w:tcBorders>
            <w:shd w:val="clear" w:color="DBDBDB" w:fill="DBDBDB"/>
            <w:vAlign w:val="center"/>
            <w:hideMark/>
          </w:tcPr>
          <w:p w14:paraId="68C13D5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YYYY</w:t>
            </w:r>
          </w:p>
        </w:tc>
        <w:tc>
          <w:tcPr>
            <w:tcW w:w="6380" w:type="dxa"/>
            <w:tcBorders>
              <w:top w:val="nil"/>
              <w:left w:val="nil"/>
              <w:bottom w:val="single" w:sz="4" w:space="0" w:color="auto"/>
              <w:right w:val="single" w:sz="4" w:space="0" w:color="auto"/>
            </w:tcBorders>
            <w:shd w:val="clear" w:color="DBDBDB" w:fill="DBDBDB"/>
            <w:vAlign w:val="center"/>
            <w:hideMark/>
          </w:tcPr>
          <w:p w14:paraId="585BA97E"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4FF3231F"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51127736"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9D9D9"/>
            <w:vAlign w:val="center"/>
            <w:hideMark/>
          </w:tcPr>
          <w:p w14:paraId="4C7432D3"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Indication </w:t>
            </w:r>
          </w:p>
        </w:tc>
        <w:tc>
          <w:tcPr>
            <w:tcW w:w="2600" w:type="dxa"/>
            <w:tcBorders>
              <w:top w:val="nil"/>
              <w:left w:val="nil"/>
              <w:bottom w:val="single" w:sz="4" w:space="0" w:color="auto"/>
              <w:right w:val="single" w:sz="4" w:space="0" w:color="auto"/>
            </w:tcBorders>
            <w:shd w:val="clear" w:color="D9D9D9" w:fill="D9D9D9"/>
            <w:vAlign w:val="center"/>
            <w:hideMark/>
          </w:tcPr>
          <w:p w14:paraId="20CEAB2F"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D9D9" w:fill="D9D9D9"/>
            <w:vAlign w:val="center"/>
            <w:hideMark/>
          </w:tcPr>
          <w:p w14:paraId="3389FE72" w14:textId="715314CA" w:rsidR="00B76F43" w:rsidRPr="00B76F43" w:rsidRDefault="00801C9F" w:rsidP="00B76F43">
            <w:pPr>
              <w:rPr>
                <w:rFonts w:ascii="Aptos Narrow" w:eastAsia="Times New Roman" w:hAnsi="Aptos Narrow" w:cs="Times New Roman"/>
                <w:color w:val="000000"/>
                <w:kern w:val="0"/>
                <w:sz w:val="16"/>
                <w:szCs w:val="16"/>
                <w14:ligatures w14:val="none"/>
              </w:rPr>
            </w:pPr>
            <w:r>
              <w:rPr>
                <w:rFonts w:ascii="Aptos Narrow" w:eastAsia="Times New Roman" w:hAnsi="Aptos Narrow" w:cs="Times New Roman"/>
                <w:color w:val="000000"/>
                <w:kern w:val="0"/>
                <w:sz w:val="16"/>
                <w:szCs w:val="16"/>
                <w14:ligatures w14:val="none"/>
              </w:rPr>
              <w:t>Directly from review documentation</w:t>
            </w:r>
          </w:p>
        </w:tc>
      </w:tr>
      <w:tr w:rsidR="00B76F43" w:rsidRPr="00B76F43" w14:paraId="3F22BED2"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3D972F95"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9D9D9"/>
            <w:vAlign w:val="center"/>
            <w:hideMark/>
          </w:tcPr>
          <w:p w14:paraId="6C09405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Approval includes Pediatric Population?</w:t>
            </w:r>
          </w:p>
        </w:tc>
        <w:tc>
          <w:tcPr>
            <w:tcW w:w="2600" w:type="dxa"/>
            <w:tcBorders>
              <w:top w:val="nil"/>
              <w:left w:val="nil"/>
              <w:bottom w:val="single" w:sz="4" w:space="0" w:color="auto"/>
              <w:right w:val="single" w:sz="4" w:space="0" w:color="auto"/>
            </w:tcBorders>
            <w:shd w:val="clear" w:color="D9D9D9" w:fill="D9D9D9"/>
            <w:vAlign w:val="center"/>
            <w:hideMark/>
          </w:tcPr>
          <w:p w14:paraId="39F73CC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D9D9" w:fill="D9D9D9"/>
            <w:vAlign w:val="center"/>
            <w:hideMark/>
          </w:tcPr>
          <w:p w14:paraId="5CE4587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09FEB204"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32FF6637"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9D9D9"/>
            <w:vAlign w:val="center"/>
            <w:hideMark/>
          </w:tcPr>
          <w:p w14:paraId="0B01235A"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Priority Review?</w:t>
            </w:r>
          </w:p>
        </w:tc>
        <w:tc>
          <w:tcPr>
            <w:tcW w:w="2600" w:type="dxa"/>
            <w:tcBorders>
              <w:top w:val="nil"/>
              <w:left w:val="nil"/>
              <w:bottom w:val="single" w:sz="4" w:space="0" w:color="auto"/>
              <w:right w:val="single" w:sz="4" w:space="0" w:color="auto"/>
            </w:tcBorders>
            <w:shd w:val="clear" w:color="D9D9D9" w:fill="D9D9D9"/>
            <w:vAlign w:val="center"/>
            <w:hideMark/>
          </w:tcPr>
          <w:p w14:paraId="45B5DF3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D9D9" w:fill="D9D9D9"/>
            <w:vAlign w:val="center"/>
            <w:hideMark/>
          </w:tcPr>
          <w:p w14:paraId="6D41A25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Directly from review documentation</w:t>
            </w:r>
          </w:p>
        </w:tc>
      </w:tr>
      <w:tr w:rsidR="00B76F43" w:rsidRPr="00B76F43" w14:paraId="4855F589"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0AFFEA0B" w14:textId="77777777" w:rsidR="00B76F43" w:rsidRPr="00B76F43" w:rsidRDefault="00B76F43" w:rsidP="00B76F43">
            <w:pPr>
              <w:rPr>
                <w:rFonts w:eastAsia="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9D9D9"/>
            <w:vAlign w:val="center"/>
            <w:hideMark/>
          </w:tcPr>
          <w:p w14:paraId="16C27061"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Orphan Designation?</w:t>
            </w:r>
          </w:p>
        </w:tc>
        <w:tc>
          <w:tcPr>
            <w:tcW w:w="2600" w:type="dxa"/>
            <w:tcBorders>
              <w:top w:val="nil"/>
              <w:left w:val="nil"/>
              <w:bottom w:val="single" w:sz="4" w:space="0" w:color="auto"/>
              <w:right w:val="single" w:sz="4" w:space="0" w:color="auto"/>
            </w:tcBorders>
            <w:shd w:val="clear" w:color="D9D9D9" w:fill="D9D9D9"/>
            <w:vAlign w:val="center"/>
            <w:hideMark/>
          </w:tcPr>
          <w:p w14:paraId="3C5DFE8C"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Binary </w:t>
            </w:r>
          </w:p>
        </w:tc>
        <w:tc>
          <w:tcPr>
            <w:tcW w:w="6380" w:type="dxa"/>
            <w:tcBorders>
              <w:top w:val="nil"/>
              <w:left w:val="nil"/>
              <w:bottom w:val="single" w:sz="4" w:space="0" w:color="auto"/>
              <w:right w:val="single" w:sz="4" w:space="0" w:color="auto"/>
            </w:tcBorders>
            <w:shd w:val="clear" w:color="D9D9D9" w:fill="D9D9D9"/>
            <w:vAlign w:val="center"/>
            <w:hideMark/>
          </w:tcPr>
          <w:p w14:paraId="7CFB1B5F"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Directly from review documentation</w:t>
            </w:r>
          </w:p>
        </w:tc>
      </w:tr>
      <w:tr w:rsidR="00B76F43" w:rsidRPr="00B76F43" w14:paraId="43678C5B" w14:textId="77777777" w:rsidTr="00B76F43">
        <w:trPr>
          <w:trHeight w:val="2160"/>
        </w:trPr>
        <w:tc>
          <w:tcPr>
            <w:tcW w:w="780" w:type="dxa"/>
            <w:vMerge w:val="restart"/>
            <w:tcBorders>
              <w:top w:val="nil"/>
              <w:left w:val="single" w:sz="4" w:space="0" w:color="auto"/>
              <w:bottom w:val="single" w:sz="4" w:space="0" w:color="auto"/>
              <w:right w:val="single" w:sz="4" w:space="0" w:color="auto"/>
            </w:tcBorders>
            <w:shd w:val="clear" w:color="000000" w:fill="DAE9F8"/>
            <w:textDirection w:val="btLr"/>
            <w:vAlign w:val="center"/>
            <w:hideMark/>
          </w:tcPr>
          <w:p w14:paraId="24B96382"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Totality of pivotal evidence submitted </w:t>
            </w:r>
          </w:p>
        </w:tc>
        <w:tc>
          <w:tcPr>
            <w:tcW w:w="2920" w:type="dxa"/>
            <w:tcBorders>
              <w:top w:val="nil"/>
              <w:left w:val="nil"/>
              <w:bottom w:val="single" w:sz="4" w:space="0" w:color="auto"/>
              <w:right w:val="single" w:sz="4" w:space="0" w:color="auto"/>
            </w:tcBorders>
            <w:shd w:val="clear" w:color="D9D9D9" w:fill="DAE9F8"/>
            <w:vAlign w:val="center"/>
            <w:hideMark/>
          </w:tcPr>
          <w:p w14:paraId="772B4ACA"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Single-arm study produced pivotal efficacy evidence</w:t>
            </w:r>
          </w:p>
        </w:tc>
        <w:tc>
          <w:tcPr>
            <w:tcW w:w="2600" w:type="dxa"/>
            <w:tcBorders>
              <w:top w:val="nil"/>
              <w:left w:val="nil"/>
              <w:bottom w:val="single" w:sz="4" w:space="0" w:color="auto"/>
              <w:right w:val="single" w:sz="4" w:space="0" w:color="auto"/>
            </w:tcBorders>
            <w:shd w:val="clear" w:color="D9D9D9" w:fill="DAE9F8"/>
            <w:vAlign w:val="center"/>
            <w:hideMark/>
          </w:tcPr>
          <w:p w14:paraId="52E11C0C"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D9D9" w:fill="DAE9F8"/>
            <w:vAlign w:val="center"/>
            <w:hideMark/>
          </w:tcPr>
          <w:p w14:paraId="20FDCB28"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Some review documents included tables that specific “pivotal” or “primary” evidence over supportive evidence. For these products, any study that was not listed as supportive were considered pivotal evidence. Where this distinction was not made, we examined review strategy text to determine which trials were not purely supportive evidence</w:t>
            </w:r>
            <w:r w:rsidRPr="00B76F43">
              <w:rPr>
                <w:rFonts w:ascii="Aptos Narrow" w:eastAsia="Times New Roman" w:hAnsi="Aptos Narrow" w:cs="Times New Roman"/>
                <w:color w:val="000000"/>
                <w:kern w:val="0"/>
                <w:sz w:val="16"/>
                <w:szCs w:val="16"/>
                <w14:ligatures w14:val="none"/>
              </w:rPr>
              <w:br/>
              <w:t xml:space="preserve">In situations where there was only one </w:t>
            </w:r>
            <w:proofErr w:type="gramStart"/>
            <w:r w:rsidRPr="00B76F43">
              <w:rPr>
                <w:rFonts w:ascii="Aptos Narrow" w:eastAsia="Times New Roman" w:hAnsi="Aptos Narrow" w:cs="Times New Roman"/>
                <w:color w:val="000000"/>
                <w:kern w:val="0"/>
                <w:sz w:val="16"/>
                <w:szCs w:val="16"/>
                <w14:ligatures w14:val="none"/>
              </w:rPr>
              <w:t>Phase</w:t>
            </w:r>
            <w:proofErr w:type="gramEnd"/>
            <w:r w:rsidRPr="00B76F43">
              <w:rPr>
                <w:rFonts w:ascii="Aptos Narrow" w:eastAsia="Times New Roman" w:hAnsi="Aptos Narrow" w:cs="Times New Roman"/>
                <w:color w:val="000000"/>
                <w:kern w:val="0"/>
                <w:sz w:val="16"/>
                <w:szCs w:val="16"/>
                <w14:ligatures w14:val="none"/>
              </w:rPr>
              <w:t xml:space="preserve"> 2/3 or 3 trial listed at all for efficacy, that was considered pivotal. If the SAT was an extension study or </w:t>
            </w:r>
            <w:proofErr w:type="gramStart"/>
            <w:r w:rsidRPr="00B76F43">
              <w:rPr>
                <w:rFonts w:ascii="Aptos Narrow" w:eastAsia="Times New Roman" w:hAnsi="Aptos Narrow" w:cs="Times New Roman"/>
                <w:color w:val="000000"/>
                <w:kern w:val="0"/>
                <w:sz w:val="16"/>
                <w:szCs w:val="16"/>
                <w14:ligatures w14:val="none"/>
              </w:rPr>
              <w:t>long term</w:t>
            </w:r>
            <w:proofErr w:type="gramEnd"/>
            <w:r w:rsidRPr="00B76F43">
              <w:rPr>
                <w:rFonts w:ascii="Aptos Narrow" w:eastAsia="Times New Roman" w:hAnsi="Aptos Narrow" w:cs="Times New Roman"/>
                <w:color w:val="000000"/>
                <w:kern w:val="0"/>
                <w:sz w:val="16"/>
                <w:szCs w:val="16"/>
                <w14:ligatures w14:val="none"/>
              </w:rPr>
              <w:t xml:space="preserve"> safety study, it was considered non-</w:t>
            </w:r>
            <w:proofErr w:type="spellStart"/>
            <w:r w:rsidRPr="00B76F43">
              <w:rPr>
                <w:rFonts w:ascii="Aptos Narrow" w:eastAsia="Times New Roman" w:hAnsi="Aptos Narrow" w:cs="Times New Roman"/>
                <w:color w:val="000000"/>
                <w:kern w:val="0"/>
                <w:sz w:val="16"/>
                <w:szCs w:val="16"/>
                <w14:ligatures w14:val="none"/>
              </w:rPr>
              <w:t>oivotal</w:t>
            </w:r>
            <w:proofErr w:type="spellEnd"/>
            <w:r w:rsidRPr="00B76F43">
              <w:rPr>
                <w:rFonts w:ascii="Aptos Narrow" w:eastAsia="Times New Roman" w:hAnsi="Aptos Narrow" w:cs="Times New Roman"/>
                <w:color w:val="000000"/>
                <w:kern w:val="0"/>
                <w:sz w:val="16"/>
                <w:szCs w:val="16"/>
                <w14:ligatures w14:val="none"/>
              </w:rPr>
              <w:t>, unless it was the only Phase 2 or 3 study included in the submission. Any SATs ongoing at the time of submission were considered non-pivotal unless the review strategy text explicitly stated otherwise</w:t>
            </w:r>
          </w:p>
        </w:tc>
      </w:tr>
      <w:tr w:rsidR="00B76F43" w:rsidRPr="00B76F43" w14:paraId="464670B5" w14:textId="77777777" w:rsidTr="00B76F43">
        <w:trPr>
          <w:trHeight w:val="980"/>
        </w:trPr>
        <w:tc>
          <w:tcPr>
            <w:tcW w:w="780" w:type="dxa"/>
            <w:vMerge/>
            <w:tcBorders>
              <w:top w:val="nil"/>
              <w:left w:val="single" w:sz="4" w:space="0" w:color="auto"/>
              <w:bottom w:val="single" w:sz="4" w:space="0" w:color="auto"/>
              <w:right w:val="single" w:sz="4" w:space="0" w:color="auto"/>
            </w:tcBorders>
            <w:vAlign w:val="center"/>
            <w:hideMark/>
          </w:tcPr>
          <w:p w14:paraId="76805C31"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AE9F8"/>
            <w:vAlign w:val="center"/>
            <w:hideMark/>
          </w:tcPr>
          <w:p w14:paraId="355DBB8A"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Single-arm study was submitted in conjunction with traditional well-controlled study/studies as pivotal evidence</w:t>
            </w:r>
          </w:p>
        </w:tc>
        <w:tc>
          <w:tcPr>
            <w:tcW w:w="2600" w:type="dxa"/>
            <w:tcBorders>
              <w:top w:val="nil"/>
              <w:left w:val="nil"/>
              <w:bottom w:val="single" w:sz="4" w:space="0" w:color="auto"/>
              <w:right w:val="single" w:sz="4" w:space="0" w:color="auto"/>
            </w:tcBorders>
            <w:shd w:val="clear" w:color="D9D9D9" w:fill="DAE9F8"/>
            <w:vAlign w:val="center"/>
            <w:hideMark/>
          </w:tcPr>
          <w:p w14:paraId="67F05AA6"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D9D9" w:fill="DAE9F8"/>
            <w:vAlign w:val="center"/>
            <w:hideMark/>
          </w:tcPr>
          <w:p w14:paraId="0AD2710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If any RCT was submitted alongside the pivotal SAT(s), this value was 1.</w:t>
            </w:r>
          </w:p>
        </w:tc>
      </w:tr>
      <w:tr w:rsidR="00B76F43" w:rsidRPr="00B76F43" w14:paraId="1DBB71E7"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175EA9D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AE9F8"/>
            <w:vAlign w:val="center"/>
            <w:hideMark/>
          </w:tcPr>
          <w:p w14:paraId="25A59D81"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Only pivotal efficacy evidence came from single-arm study or studies </w:t>
            </w:r>
          </w:p>
        </w:tc>
        <w:tc>
          <w:tcPr>
            <w:tcW w:w="2600" w:type="dxa"/>
            <w:tcBorders>
              <w:top w:val="nil"/>
              <w:left w:val="nil"/>
              <w:bottom w:val="single" w:sz="4" w:space="0" w:color="auto"/>
              <w:right w:val="single" w:sz="4" w:space="0" w:color="auto"/>
            </w:tcBorders>
            <w:shd w:val="clear" w:color="D9D9D9" w:fill="DAE9F8"/>
            <w:vAlign w:val="center"/>
            <w:hideMark/>
          </w:tcPr>
          <w:p w14:paraId="5D982AE3"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D9D9" w:fill="DAE9F8"/>
            <w:vAlign w:val="center"/>
            <w:hideMark/>
          </w:tcPr>
          <w:p w14:paraId="31B23C2E"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If any RCT was submitted alongside the pivotal SAT(s), this value was 0.</w:t>
            </w:r>
          </w:p>
        </w:tc>
      </w:tr>
      <w:tr w:rsidR="00B76F43" w:rsidRPr="00B76F43" w14:paraId="0B24C953"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B0D5F71"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AE9F8"/>
            <w:vAlign w:val="center"/>
            <w:hideMark/>
          </w:tcPr>
          <w:p w14:paraId="0B13588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Single-arm study was used for pivotal evidence in pediatric population only</w:t>
            </w:r>
          </w:p>
        </w:tc>
        <w:tc>
          <w:tcPr>
            <w:tcW w:w="2600" w:type="dxa"/>
            <w:tcBorders>
              <w:top w:val="nil"/>
              <w:left w:val="nil"/>
              <w:bottom w:val="single" w:sz="4" w:space="0" w:color="auto"/>
              <w:right w:val="single" w:sz="4" w:space="0" w:color="auto"/>
            </w:tcBorders>
            <w:shd w:val="clear" w:color="D9D9D9" w:fill="DAE9F8"/>
            <w:vAlign w:val="center"/>
            <w:hideMark/>
          </w:tcPr>
          <w:p w14:paraId="003905A6"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D9D9" w:fill="DAE9F8"/>
            <w:vAlign w:val="center"/>
            <w:hideMark/>
          </w:tcPr>
          <w:p w14:paraId="269A5E6A"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396F197F" w14:textId="77777777" w:rsidTr="00B76F43">
        <w:trPr>
          <w:trHeight w:val="1200"/>
        </w:trPr>
        <w:tc>
          <w:tcPr>
            <w:tcW w:w="780" w:type="dxa"/>
            <w:vMerge/>
            <w:tcBorders>
              <w:top w:val="nil"/>
              <w:left w:val="single" w:sz="4" w:space="0" w:color="auto"/>
              <w:bottom w:val="single" w:sz="4" w:space="0" w:color="auto"/>
              <w:right w:val="single" w:sz="4" w:space="0" w:color="auto"/>
            </w:tcBorders>
            <w:vAlign w:val="center"/>
            <w:hideMark/>
          </w:tcPr>
          <w:p w14:paraId="1D4C3B96"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AE9F8"/>
            <w:vAlign w:val="center"/>
            <w:hideMark/>
          </w:tcPr>
          <w:p w14:paraId="1096B972"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proofErr w:type="gramStart"/>
            <w:r w:rsidRPr="00B76F43">
              <w:rPr>
                <w:rFonts w:ascii="Aptos Narrow" w:eastAsia="Times New Roman" w:hAnsi="Aptos Narrow" w:cs="Times New Roman"/>
                <w:b/>
                <w:bCs/>
                <w:color w:val="000000"/>
                <w:kern w:val="0"/>
                <w:sz w:val="16"/>
                <w:szCs w:val="16"/>
                <w14:ligatures w14:val="none"/>
              </w:rPr>
              <w:t>Single-arm</w:t>
            </w:r>
            <w:proofErr w:type="gramEnd"/>
            <w:r w:rsidRPr="00B76F43">
              <w:rPr>
                <w:rFonts w:ascii="Aptos Narrow" w:eastAsia="Times New Roman" w:hAnsi="Aptos Narrow" w:cs="Times New Roman"/>
                <w:b/>
                <w:bCs/>
                <w:color w:val="000000"/>
                <w:kern w:val="0"/>
                <w:sz w:val="16"/>
                <w:szCs w:val="16"/>
                <w14:ligatures w14:val="none"/>
              </w:rPr>
              <w:t xml:space="preserve">* study had a non-randomized control group, including benchmarks, natural history, past trials, </w:t>
            </w:r>
            <w:proofErr w:type="spellStart"/>
            <w:r w:rsidRPr="00B76F43">
              <w:rPr>
                <w:rFonts w:ascii="Aptos Narrow" w:eastAsia="Times New Roman" w:hAnsi="Aptos Narrow" w:cs="Times New Roman"/>
                <w:b/>
                <w:bCs/>
                <w:color w:val="000000"/>
                <w:kern w:val="0"/>
                <w:sz w:val="16"/>
                <w:szCs w:val="16"/>
                <w14:ligatures w14:val="none"/>
              </w:rPr>
              <w:t>etc</w:t>
            </w:r>
            <w:proofErr w:type="spellEnd"/>
            <w:r w:rsidRPr="00B76F43">
              <w:rPr>
                <w:rFonts w:ascii="Aptos Narrow" w:eastAsia="Times New Roman" w:hAnsi="Aptos Narrow" w:cs="Times New Roman"/>
                <w:b/>
                <w:bCs/>
                <w:color w:val="000000"/>
                <w:kern w:val="0"/>
                <w:sz w:val="16"/>
                <w:szCs w:val="16"/>
                <w14:ligatures w14:val="none"/>
              </w:rPr>
              <w:t xml:space="preserve"> (not including baseline controls / pre-/post- </w:t>
            </w:r>
            <w:proofErr w:type="spellStart"/>
            <w:r w:rsidRPr="00B76F43">
              <w:rPr>
                <w:rFonts w:ascii="Aptos Narrow" w:eastAsia="Times New Roman" w:hAnsi="Aptos Narrow" w:cs="Times New Roman"/>
                <w:b/>
                <w:bCs/>
                <w:color w:val="000000"/>
                <w:kern w:val="0"/>
                <w:sz w:val="16"/>
                <w:szCs w:val="16"/>
                <w14:ligatures w14:val="none"/>
              </w:rPr>
              <w:t>comparisions</w:t>
            </w:r>
            <w:proofErr w:type="spellEnd"/>
            <w:r w:rsidRPr="00B76F43">
              <w:rPr>
                <w:rFonts w:ascii="Aptos Narrow" w:eastAsia="Times New Roman" w:hAnsi="Aptos Narrow" w:cs="Times New Roman"/>
                <w:b/>
                <w:bCs/>
                <w:color w:val="000000"/>
                <w:kern w:val="0"/>
                <w:sz w:val="16"/>
                <w:szCs w:val="16"/>
                <w14:ligatures w14:val="none"/>
              </w:rPr>
              <w:t>)</w:t>
            </w:r>
          </w:p>
        </w:tc>
        <w:tc>
          <w:tcPr>
            <w:tcW w:w="2600" w:type="dxa"/>
            <w:tcBorders>
              <w:top w:val="nil"/>
              <w:left w:val="nil"/>
              <w:bottom w:val="single" w:sz="4" w:space="0" w:color="auto"/>
              <w:right w:val="single" w:sz="4" w:space="0" w:color="auto"/>
            </w:tcBorders>
            <w:shd w:val="clear" w:color="D9D9D9" w:fill="DAE9F8"/>
            <w:vAlign w:val="center"/>
            <w:hideMark/>
          </w:tcPr>
          <w:p w14:paraId="0154F6A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D9D9" w:fill="DAE9F8"/>
            <w:vAlign w:val="center"/>
            <w:hideMark/>
          </w:tcPr>
          <w:p w14:paraId="3386120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If any external control arm was used (i.e. not a within study comparison to patient's own baseline), this value was 1</w:t>
            </w:r>
          </w:p>
        </w:tc>
      </w:tr>
      <w:tr w:rsidR="00B76F43" w:rsidRPr="00B76F43" w14:paraId="706C02AE"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7631F8E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AE9F8"/>
            <w:vAlign w:val="center"/>
            <w:hideMark/>
          </w:tcPr>
          <w:p w14:paraId="7625F33B"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Pivotal single-arm </w:t>
            </w:r>
            <w:proofErr w:type="gramStart"/>
            <w:r w:rsidRPr="00B76F43">
              <w:rPr>
                <w:rFonts w:ascii="Aptos Narrow" w:eastAsia="Times New Roman" w:hAnsi="Aptos Narrow" w:cs="Times New Roman"/>
                <w:b/>
                <w:bCs/>
                <w:color w:val="000000"/>
                <w:kern w:val="0"/>
                <w:sz w:val="16"/>
                <w:szCs w:val="16"/>
                <w14:ligatures w14:val="none"/>
              </w:rPr>
              <w:t>study  Phase</w:t>
            </w:r>
            <w:proofErr w:type="gramEnd"/>
          </w:p>
        </w:tc>
        <w:tc>
          <w:tcPr>
            <w:tcW w:w="2600" w:type="dxa"/>
            <w:tcBorders>
              <w:top w:val="nil"/>
              <w:left w:val="nil"/>
              <w:bottom w:val="single" w:sz="4" w:space="0" w:color="auto"/>
              <w:right w:val="single" w:sz="4" w:space="0" w:color="auto"/>
            </w:tcBorders>
            <w:shd w:val="clear" w:color="D9D9D9" w:fill="DAE9F8"/>
            <w:vAlign w:val="center"/>
            <w:hideMark/>
          </w:tcPr>
          <w:p w14:paraId="28F1055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Options: 2 or 3</w:t>
            </w:r>
          </w:p>
        </w:tc>
        <w:tc>
          <w:tcPr>
            <w:tcW w:w="6380" w:type="dxa"/>
            <w:tcBorders>
              <w:top w:val="nil"/>
              <w:left w:val="nil"/>
              <w:bottom w:val="single" w:sz="4" w:space="0" w:color="auto"/>
              <w:right w:val="single" w:sz="4" w:space="0" w:color="auto"/>
            </w:tcBorders>
            <w:shd w:val="clear" w:color="D9D9D9" w:fill="DAE9F8"/>
            <w:vAlign w:val="center"/>
            <w:hideMark/>
          </w:tcPr>
          <w:p w14:paraId="416590A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CA12804"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7AAFB223"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D9D9" w:fill="DAE9F8"/>
            <w:vAlign w:val="center"/>
            <w:hideMark/>
          </w:tcPr>
          <w:p w14:paraId="4151DC54"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Notes</w:t>
            </w:r>
          </w:p>
        </w:tc>
        <w:tc>
          <w:tcPr>
            <w:tcW w:w="2600" w:type="dxa"/>
            <w:tcBorders>
              <w:top w:val="nil"/>
              <w:left w:val="nil"/>
              <w:bottom w:val="single" w:sz="4" w:space="0" w:color="auto"/>
              <w:right w:val="single" w:sz="4" w:space="0" w:color="auto"/>
            </w:tcBorders>
            <w:shd w:val="clear" w:color="D9D9D9" w:fill="DAE9F8"/>
            <w:vAlign w:val="center"/>
            <w:hideMark/>
          </w:tcPr>
          <w:p w14:paraId="7C7E66D7"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D9D9" w:fill="DAE9F8"/>
            <w:vAlign w:val="center"/>
            <w:hideMark/>
          </w:tcPr>
          <w:p w14:paraId="183C4EA1"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BE0671B" w14:textId="77777777" w:rsidTr="00B76F43">
        <w:trPr>
          <w:trHeight w:val="720"/>
        </w:trPr>
        <w:tc>
          <w:tcPr>
            <w:tcW w:w="780" w:type="dxa"/>
            <w:vMerge w:val="restart"/>
            <w:tcBorders>
              <w:top w:val="nil"/>
              <w:left w:val="single" w:sz="4" w:space="0" w:color="auto"/>
              <w:bottom w:val="single" w:sz="4" w:space="0" w:color="auto"/>
              <w:right w:val="single" w:sz="4" w:space="0" w:color="auto"/>
            </w:tcBorders>
            <w:shd w:val="clear" w:color="000000" w:fill="FBE2D5"/>
            <w:textDirection w:val="btLr"/>
            <w:vAlign w:val="center"/>
            <w:hideMark/>
          </w:tcPr>
          <w:p w14:paraId="2D88FDC4"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General information on overall reviewer response</w:t>
            </w:r>
          </w:p>
        </w:tc>
        <w:tc>
          <w:tcPr>
            <w:tcW w:w="2920" w:type="dxa"/>
            <w:tcBorders>
              <w:top w:val="nil"/>
              <w:left w:val="nil"/>
              <w:bottom w:val="single" w:sz="4" w:space="0" w:color="auto"/>
              <w:right w:val="single" w:sz="4" w:space="0" w:color="auto"/>
            </w:tcBorders>
            <w:shd w:val="clear" w:color="EAD1DC" w:fill="FBE2D5"/>
            <w:vAlign w:val="center"/>
            <w:hideMark/>
          </w:tcPr>
          <w:p w14:paraId="7B7C19A6"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concern about single arm study design or comparator (e.g. balance on baseline characteristics)</w:t>
            </w:r>
          </w:p>
        </w:tc>
        <w:tc>
          <w:tcPr>
            <w:tcW w:w="2600" w:type="dxa"/>
            <w:tcBorders>
              <w:top w:val="nil"/>
              <w:left w:val="nil"/>
              <w:bottom w:val="single" w:sz="4" w:space="0" w:color="auto"/>
              <w:right w:val="single" w:sz="4" w:space="0" w:color="auto"/>
            </w:tcBorders>
            <w:shd w:val="clear" w:color="EAD1DC" w:fill="FBE2D5"/>
            <w:vAlign w:val="center"/>
            <w:hideMark/>
          </w:tcPr>
          <w:p w14:paraId="62F0E027"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EAD1DC" w:fill="FBE2D5"/>
            <w:vAlign w:val="center"/>
            <w:hideMark/>
          </w:tcPr>
          <w:p w14:paraId="4DD412C1"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603EBFC"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4AE04D5A"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1A0447AB"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concern about single arm study design or comparator - text</w:t>
            </w:r>
          </w:p>
        </w:tc>
        <w:tc>
          <w:tcPr>
            <w:tcW w:w="2600" w:type="dxa"/>
            <w:tcBorders>
              <w:top w:val="nil"/>
              <w:left w:val="nil"/>
              <w:bottom w:val="single" w:sz="4" w:space="0" w:color="auto"/>
              <w:right w:val="single" w:sz="4" w:space="0" w:color="auto"/>
            </w:tcBorders>
            <w:shd w:val="clear" w:color="EAD1DC" w:fill="FBE2D5"/>
            <w:vAlign w:val="center"/>
            <w:hideMark/>
          </w:tcPr>
          <w:p w14:paraId="313E3A06"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EAD1DC" w:fill="FBE2D5"/>
            <w:vAlign w:val="center"/>
            <w:hideMark/>
          </w:tcPr>
          <w:p w14:paraId="3B44B5E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BA98AB5" w14:textId="77777777" w:rsidTr="00B76F43">
        <w:trPr>
          <w:trHeight w:val="720"/>
        </w:trPr>
        <w:tc>
          <w:tcPr>
            <w:tcW w:w="780" w:type="dxa"/>
            <w:vMerge/>
            <w:tcBorders>
              <w:top w:val="nil"/>
              <w:left w:val="single" w:sz="4" w:space="0" w:color="auto"/>
              <w:bottom w:val="single" w:sz="4" w:space="0" w:color="auto"/>
              <w:right w:val="single" w:sz="4" w:space="0" w:color="auto"/>
            </w:tcBorders>
            <w:vAlign w:val="center"/>
            <w:hideMark/>
          </w:tcPr>
          <w:p w14:paraId="6F8106CC"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43EEC1A9"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positive aspect of single-arm study design (e.g. unmet need, large effect size)</w:t>
            </w:r>
          </w:p>
        </w:tc>
        <w:tc>
          <w:tcPr>
            <w:tcW w:w="2600" w:type="dxa"/>
            <w:tcBorders>
              <w:top w:val="nil"/>
              <w:left w:val="nil"/>
              <w:bottom w:val="single" w:sz="4" w:space="0" w:color="auto"/>
              <w:right w:val="single" w:sz="4" w:space="0" w:color="auto"/>
            </w:tcBorders>
            <w:shd w:val="clear" w:color="EAD1DC" w:fill="FBE2D5"/>
            <w:vAlign w:val="center"/>
            <w:hideMark/>
          </w:tcPr>
          <w:p w14:paraId="39884C7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EAD1DC" w:fill="FBE2D5"/>
            <w:vAlign w:val="center"/>
            <w:hideMark/>
          </w:tcPr>
          <w:p w14:paraId="3CEAED9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26DD0C06"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523AF4DB"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3AD04AC1"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positive aspect of single-arm study design - text</w:t>
            </w:r>
          </w:p>
        </w:tc>
        <w:tc>
          <w:tcPr>
            <w:tcW w:w="2600" w:type="dxa"/>
            <w:tcBorders>
              <w:top w:val="nil"/>
              <w:left w:val="nil"/>
              <w:bottom w:val="single" w:sz="4" w:space="0" w:color="auto"/>
              <w:right w:val="single" w:sz="4" w:space="0" w:color="auto"/>
            </w:tcBorders>
            <w:shd w:val="clear" w:color="EAD1DC" w:fill="FBE2D5"/>
            <w:vAlign w:val="center"/>
            <w:hideMark/>
          </w:tcPr>
          <w:p w14:paraId="63D095BE"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EAD1DC" w:fill="FBE2D5"/>
            <w:vAlign w:val="center"/>
            <w:hideMark/>
          </w:tcPr>
          <w:p w14:paraId="540D8CB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3C011C1C"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09230219"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1F142A3D"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Study includes some external control arm (ECA)</w:t>
            </w:r>
          </w:p>
        </w:tc>
        <w:tc>
          <w:tcPr>
            <w:tcW w:w="2600" w:type="dxa"/>
            <w:tcBorders>
              <w:top w:val="nil"/>
              <w:left w:val="nil"/>
              <w:bottom w:val="single" w:sz="4" w:space="0" w:color="auto"/>
              <w:right w:val="single" w:sz="4" w:space="0" w:color="auto"/>
            </w:tcBorders>
            <w:shd w:val="clear" w:color="EAD1DC" w:fill="FBE2D5"/>
            <w:vAlign w:val="center"/>
            <w:hideMark/>
          </w:tcPr>
          <w:p w14:paraId="63A51FA1"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EAD1DC" w:fill="FBE2D5"/>
            <w:vAlign w:val="center"/>
            <w:hideMark/>
          </w:tcPr>
          <w:p w14:paraId="50BB498A"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ACA9EA0"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11A0240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47921F4B"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concern about comparator/ECA</w:t>
            </w:r>
          </w:p>
        </w:tc>
        <w:tc>
          <w:tcPr>
            <w:tcW w:w="2600" w:type="dxa"/>
            <w:tcBorders>
              <w:top w:val="nil"/>
              <w:left w:val="nil"/>
              <w:bottom w:val="single" w:sz="4" w:space="0" w:color="auto"/>
              <w:right w:val="single" w:sz="4" w:space="0" w:color="auto"/>
            </w:tcBorders>
            <w:shd w:val="clear" w:color="EAD1DC" w:fill="FBE2D5"/>
            <w:vAlign w:val="center"/>
            <w:hideMark/>
          </w:tcPr>
          <w:p w14:paraId="4BC74D6C"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w:t>
            </w:r>
          </w:p>
        </w:tc>
        <w:tc>
          <w:tcPr>
            <w:tcW w:w="6380" w:type="dxa"/>
            <w:tcBorders>
              <w:top w:val="nil"/>
              <w:left w:val="nil"/>
              <w:bottom w:val="single" w:sz="4" w:space="0" w:color="auto"/>
              <w:right w:val="single" w:sz="4" w:space="0" w:color="auto"/>
            </w:tcBorders>
            <w:shd w:val="clear" w:color="EAD1DC" w:fill="FBE2D5"/>
            <w:vAlign w:val="center"/>
            <w:hideMark/>
          </w:tcPr>
          <w:p w14:paraId="37F2058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9BE3335"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2A343BC4"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30E5874D"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concern about comparator/ECA - text</w:t>
            </w:r>
          </w:p>
        </w:tc>
        <w:tc>
          <w:tcPr>
            <w:tcW w:w="2600" w:type="dxa"/>
            <w:tcBorders>
              <w:top w:val="nil"/>
              <w:left w:val="nil"/>
              <w:bottom w:val="single" w:sz="4" w:space="0" w:color="auto"/>
              <w:right w:val="single" w:sz="4" w:space="0" w:color="auto"/>
            </w:tcBorders>
            <w:shd w:val="clear" w:color="EAD1DC" w:fill="FBE2D5"/>
            <w:vAlign w:val="center"/>
            <w:hideMark/>
          </w:tcPr>
          <w:p w14:paraId="7084582E"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EAD1DC" w:fill="FBE2D5"/>
            <w:vAlign w:val="center"/>
            <w:hideMark/>
          </w:tcPr>
          <w:p w14:paraId="2037DA4B"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E8175B2"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0BF486E"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354A6513"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positive aspect of comparator/ECA</w:t>
            </w:r>
          </w:p>
        </w:tc>
        <w:tc>
          <w:tcPr>
            <w:tcW w:w="2600" w:type="dxa"/>
            <w:tcBorders>
              <w:top w:val="nil"/>
              <w:left w:val="nil"/>
              <w:bottom w:val="single" w:sz="4" w:space="0" w:color="auto"/>
              <w:right w:val="single" w:sz="4" w:space="0" w:color="auto"/>
            </w:tcBorders>
            <w:shd w:val="clear" w:color="EAD1DC" w:fill="FBE2D5"/>
            <w:vAlign w:val="center"/>
            <w:hideMark/>
          </w:tcPr>
          <w:p w14:paraId="02145DD3"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w:t>
            </w:r>
          </w:p>
        </w:tc>
        <w:tc>
          <w:tcPr>
            <w:tcW w:w="6380" w:type="dxa"/>
            <w:tcBorders>
              <w:top w:val="nil"/>
              <w:left w:val="nil"/>
              <w:bottom w:val="single" w:sz="4" w:space="0" w:color="auto"/>
              <w:right w:val="single" w:sz="4" w:space="0" w:color="auto"/>
            </w:tcBorders>
            <w:shd w:val="clear" w:color="EAD1DC" w:fill="FBE2D5"/>
            <w:vAlign w:val="center"/>
            <w:hideMark/>
          </w:tcPr>
          <w:p w14:paraId="62602BE9"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66FE759"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678CF54B"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25AB30F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 mentions any concern about positive aspect of comparator/ECA - text</w:t>
            </w:r>
          </w:p>
        </w:tc>
        <w:tc>
          <w:tcPr>
            <w:tcW w:w="2600" w:type="dxa"/>
            <w:tcBorders>
              <w:top w:val="nil"/>
              <w:left w:val="nil"/>
              <w:bottom w:val="single" w:sz="4" w:space="0" w:color="auto"/>
              <w:right w:val="single" w:sz="4" w:space="0" w:color="auto"/>
            </w:tcBorders>
            <w:shd w:val="clear" w:color="EAD1DC" w:fill="FBE2D5"/>
            <w:vAlign w:val="center"/>
            <w:hideMark/>
          </w:tcPr>
          <w:p w14:paraId="33822AB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EAD1DC" w:fill="FBE2D5"/>
            <w:vAlign w:val="center"/>
            <w:hideMark/>
          </w:tcPr>
          <w:p w14:paraId="23AE07D9"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D177F24" w14:textId="77777777" w:rsidTr="00B76F43">
        <w:trPr>
          <w:trHeight w:val="720"/>
        </w:trPr>
        <w:tc>
          <w:tcPr>
            <w:tcW w:w="780" w:type="dxa"/>
            <w:vMerge/>
            <w:tcBorders>
              <w:top w:val="nil"/>
              <w:left w:val="single" w:sz="4" w:space="0" w:color="auto"/>
              <w:bottom w:val="single" w:sz="4" w:space="0" w:color="auto"/>
              <w:right w:val="single" w:sz="4" w:space="0" w:color="auto"/>
            </w:tcBorders>
            <w:vAlign w:val="center"/>
            <w:hideMark/>
          </w:tcPr>
          <w:p w14:paraId="6E0B212A"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3C042E50"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Statistical Reviewer recommends approval based on single-arm study (partially or wholly)</w:t>
            </w:r>
          </w:p>
        </w:tc>
        <w:tc>
          <w:tcPr>
            <w:tcW w:w="2600" w:type="dxa"/>
            <w:tcBorders>
              <w:top w:val="nil"/>
              <w:left w:val="nil"/>
              <w:bottom w:val="single" w:sz="4" w:space="0" w:color="auto"/>
              <w:right w:val="single" w:sz="4" w:space="0" w:color="auto"/>
            </w:tcBorders>
            <w:shd w:val="clear" w:color="EAD1DC" w:fill="FBE2D5"/>
            <w:vAlign w:val="center"/>
            <w:hideMark/>
          </w:tcPr>
          <w:p w14:paraId="077175A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EAD1DC" w:fill="FBE2D5"/>
            <w:vAlign w:val="center"/>
            <w:hideMark/>
          </w:tcPr>
          <w:p w14:paraId="26BC33AF"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0E409F32"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2975554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BE2D5"/>
            <w:vAlign w:val="center"/>
            <w:hideMark/>
          </w:tcPr>
          <w:p w14:paraId="15547BE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Notes</w:t>
            </w:r>
          </w:p>
        </w:tc>
        <w:tc>
          <w:tcPr>
            <w:tcW w:w="2600" w:type="dxa"/>
            <w:tcBorders>
              <w:top w:val="nil"/>
              <w:left w:val="nil"/>
              <w:bottom w:val="single" w:sz="4" w:space="0" w:color="auto"/>
              <w:right w:val="single" w:sz="4" w:space="0" w:color="auto"/>
            </w:tcBorders>
            <w:shd w:val="clear" w:color="EAD1DC" w:fill="FBE2D5"/>
            <w:vAlign w:val="center"/>
            <w:hideMark/>
          </w:tcPr>
          <w:p w14:paraId="652205D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EAD1DC" w:fill="FBE2D5"/>
            <w:vAlign w:val="center"/>
            <w:hideMark/>
          </w:tcPr>
          <w:p w14:paraId="6547CAE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AD48FF2" w14:textId="77777777" w:rsidTr="00B76F43">
        <w:trPr>
          <w:trHeight w:val="480"/>
        </w:trPr>
        <w:tc>
          <w:tcPr>
            <w:tcW w:w="780" w:type="dxa"/>
            <w:vMerge w:val="restart"/>
            <w:tcBorders>
              <w:top w:val="nil"/>
              <w:left w:val="single" w:sz="4" w:space="0" w:color="auto"/>
              <w:bottom w:val="single" w:sz="4" w:space="0" w:color="auto"/>
              <w:right w:val="single" w:sz="4" w:space="0" w:color="auto"/>
            </w:tcBorders>
            <w:shd w:val="clear" w:color="000000" w:fill="F2CEEF"/>
            <w:textDirection w:val="btLr"/>
            <w:vAlign w:val="center"/>
            <w:hideMark/>
          </w:tcPr>
          <w:p w14:paraId="60280460"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lastRenderedPageBreak/>
              <w:t>Labelling Information</w:t>
            </w:r>
          </w:p>
        </w:tc>
        <w:tc>
          <w:tcPr>
            <w:tcW w:w="2920" w:type="dxa"/>
            <w:tcBorders>
              <w:top w:val="nil"/>
              <w:left w:val="nil"/>
              <w:bottom w:val="single" w:sz="4" w:space="0" w:color="auto"/>
              <w:right w:val="single" w:sz="4" w:space="0" w:color="auto"/>
            </w:tcBorders>
            <w:shd w:val="clear" w:color="EAD1DC" w:fill="F2CEEF"/>
            <w:vAlign w:val="center"/>
            <w:hideMark/>
          </w:tcPr>
          <w:p w14:paraId="7A3CAE1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Single-arm study included/mentioned in product labeling</w:t>
            </w:r>
          </w:p>
        </w:tc>
        <w:tc>
          <w:tcPr>
            <w:tcW w:w="2600" w:type="dxa"/>
            <w:tcBorders>
              <w:top w:val="nil"/>
              <w:left w:val="nil"/>
              <w:bottom w:val="single" w:sz="4" w:space="0" w:color="auto"/>
              <w:right w:val="single" w:sz="4" w:space="0" w:color="auto"/>
            </w:tcBorders>
            <w:shd w:val="clear" w:color="EAD1DC" w:fill="F2CEEF"/>
            <w:vAlign w:val="center"/>
            <w:hideMark/>
          </w:tcPr>
          <w:p w14:paraId="04EF92AF"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EAD1DC" w:fill="F2CEEF"/>
            <w:vAlign w:val="center"/>
            <w:hideMark/>
          </w:tcPr>
          <w:p w14:paraId="75DAED7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If the label mentioned a single-arm study by name or references clinical evidence as "uncontrolled", this value was 1</w:t>
            </w:r>
          </w:p>
        </w:tc>
      </w:tr>
      <w:tr w:rsidR="00B76F43" w:rsidRPr="00B76F43" w14:paraId="33E35ED7"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77A32D13"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2CEEF"/>
            <w:vAlign w:val="center"/>
            <w:hideMark/>
          </w:tcPr>
          <w:p w14:paraId="4A051CF9"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Comparator/ECA included/mentioned in product labeling</w:t>
            </w:r>
          </w:p>
        </w:tc>
        <w:tc>
          <w:tcPr>
            <w:tcW w:w="2600" w:type="dxa"/>
            <w:tcBorders>
              <w:top w:val="nil"/>
              <w:left w:val="nil"/>
              <w:bottom w:val="single" w:sz="4" w:space="0" w:color="auto"/>
              <w:right w:val="single" w:sz="4" w:space="0" w:color="auto"/>
            </w:tcBorders>
            <w:shd w:val="clear" w:color="EAD1DC" w:fill="F2CEEF"/>
            <w:vAlign w:val="center"/>
            <w:hideMark/>
          </w:tcPr>
          <w:p w14:paraId="41356C07"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 or baseline-control)</w:t>
            </w:r>
          </w:p>
        </w:tc>
        <w:tc>
          <w:tcPr>
            <w:tcW w:w="6380" w:type="dxa"/>
            <w:tcBorders>
              <w:top w:val="nil"/>
              <w:left w:val="nil"/>
              <w:bottom w:val="single" w:sz="4" w:space="0" w:color="auto"/>
              <w:right w:val="single" w:sz="4" w:space="0" w:color="auto"/>
            </w:tcBorders>
            <w:shd w:val="clear" w:color="EAD1DC" w:fill="F2CEEF"/>
            <w:vAlign w:val="center"/>
            <w:hideMark/>
          </w:tcPr>
          <w:p w14:paraId="397E0DC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If language indicates that the single-arm study was compared to anything external (e.g. literature, natural history, past trials), this value was 1.</w:t>
            </w:r>
          </w:p>
        </w:tc>
      </w:tr>
      <w:tr w:rsidR="00B76F43" w:rsidRPr="00B76F43" w14:paraId="02B39958"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34BA25E3"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EAD1DC" w:fill="F2CEEF"/>
            <w:vAlign w:val="center"/>
            <w:hideMark/>
          </w:tcPr>
          <w:p w14:paraId="644C4FC0"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Notes</w:t>
            </w:r>
          </w:p>
        </w:tc>
        <w:tc>
          <w:tcPr>
            <w:tcW w:w="2600" w:type="dxa"/>
            <w:tcBorders>
              <w:top w:val="nil"/>
              <w:left w:val="nil"/>
              <w:bottom w:val="single" w:sz="4" w:space="0" w:color="auto"/>
              <w:right w:val="single" w:sz="4" w:space="0" w:color="auto"/>
            </w:tcBorders>
            <w:shd w:val="clear" w:color="EAD1DC" w:fill="F2CEEF"/>
            <w:vAlign w:val="center"/>
            <w:hideMark/>
          </w:tcPr>
          <w:p w14:paraId="5E9C743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EAD1DC" w:fill="F2CEEF"/>
            <w:vAlign w:val="center"/>
            <w:hideMark/>
          </w:tcPr>
          <w:p w14:paraId="3323E276"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39AED3B3" w14:textId="77777777" w:rsidTr="00B76F43">
        <w:trPr>
          <w:trHeight w:val="480"/>
        </w:trPr>
        <w:tc>
          <w:tcPr>
            <w:tcW w:w="780" w:type="dxa"/>
            <w:vMerge w:val="restart"/>
            <w:tcBorders>
              <w:top w:val="nil"/>
              <w:left w:val="single" w:sz="4" w:space="0" w:color="auto"/>
              <w:bottom w:val="single" w:sz="4" w:space="0" w:color="auto"/>
              <w:right w:val="single" w:sz="4" w:space="0" w:color="auto"/>
            </w:tcBorders>
            <w:shd w:val="clear" w:color="000000" w:fill="C0E6F5"/>
            <w:textDirection w:val="btLr"/>
            <w:vAlign w:val="center"/>
            <w:hideMark/>
          </w:tcPr>
          <w:p w14:paraId="3F0E7B98"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Agency reviewer responses to submission of pivotal SAT(s)</w:t>
            </w:r>
          </w:p>
        </w:tc>
        <w:tc>
          <w:tcPr>
            <w:tcW w:w="2920" w:type="dxa"/>
            <w:tcBorders>
              <w:top w:val="nil"/>
              <w:left w:val="nil"/>
              <w:bottom w:val="single" w:sz="4" w:space="0" w:color="auto"/>
              <w:right w:val="single" w:sz="4" w:space="0" w:color="auto"/>
            </w:tcBorders>
            <w:shd w:val="clear" w:color="000000" w:fill="C0E6F5"/>
            <w:vAlign w:val="center"/>
            <w:hideMark/>
          </w:tcPr>
          <w:p w14:paraId="29A839A9"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Rare disease or gene therapy with inability to recruit placebo</w:t>
            </w:r>
          </w:p>
        </w:tc>
        <w:tc>
          <w:tcPr>
            <w:tcW w:w="2600" w:type="dxa"/>
            <w:tcBorders>
              <w:top w:val="nil"/>
              <w:left w:val="nil"/>
              <w:bottom w:val="single" w:sz="4" w:space="0" w:color="auto"/>
              <w:right w:val="single" w:sz="4" w:space="0" w:color="auto"/>
            </w:tcBorders>
            <w:shd w:val="clear" w:color="D9EAD3" w:fill="C0E6F5"/>
            <w:vAlign w:val="center"/>
            <w:hideMark/>
          </w:tcPr>
          <w:p w14:paraId="35B8BEC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0B7C46A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Authors' assessment </w:t>
            </w:r>
          </w:p>
        </w:tc>
      </w:tr>
      <w:tr w:rsidR="00B76F43" w:rsidRPr="00B76F43" w14:paraId="5D6737FF"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02FC56DE"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259D3826"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rare disease or gene therapy with inability to recruit placebo</w:t>
            </w:r>
          </w:p>
        </w:tc>
        <w:tc>
          <w:tcPr>
            <w:tcW w:w="2600" w:type="dxa"/>
            <w:tcBorders>
              <w:top w:val="nil"/>
              <w:left w:val="nil"/>
              <w:bottom w:val="single" w:sz="4" w:space="0" w:color="auto"/>
              <w:right w:val="single" w:sz="4" w:space="0" w:color="auto"/>
            </w:tcBorders>
            <w:shd w:val="clear" w:color="D9EAD3" w:fill="C0E6F5"/>
            <w:vAlign w:val="center"/>
            <w:hideMark/>
          </w:tcPr>
          <w:p w14:paraId="1B7FD7CF"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1286EE0E"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Review documentation must explicitly reference context as rare disease</w:t>
            </w:r>
          </w:p>
        </w:tc>
      </w:tr>
      <w:tr w:rsidR="00B76F43" w:rsidRPr="00B76F43" w14:paraId="18637A83"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5BDC1238"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24B3CD5B"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 rare but inability to recruit placebo</w:t>
            </w:r>
          </w:p>
        </w:tc>
        <w:tc>
          <w:tcPr>
            <w:tcW w:w="2600" w:type="dxa"/>
            <w:tcBorders>
              <w:top w:val="nil"/>
              <w:left w:val="nil"/>
              <w:bottom w:val="single" w:sz="4" w:space="0" w:color="auto"/>
              <w:right w:val="single" w:sz="4" w:space="0" w:color="auto"/>
            </w:tcBorders>
            <w:shd w:val="clear" w:color="D9EAD3" w:fill="C0E6F5"/>
            <w:vAlign w:val="center"/>
            <w:hideMark/>
          </w:tcPr>
          <w:p w14:paraId="20D9DBD3"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60D2F73B"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Authors' assessment </w:t>
            </w:r>
          </w:p>
        </w:tc>
      </w:tr>
      <w:tr w:rsidR="00B76F43" w:rsidRPr="00B76F43" w14:paraId="0E64421D"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B5FB288"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6150D50F"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not rare but unable to recruit placebo</w:t>
            </w:r>
          </w:p>
        </w:tc>
        <w:tc>
          <w:tcPr>
            <w:tcW w:w="2600" w:type="dxa"/>
            <w:tcBorders>
              <w:top w:val="nil"/>
              <w:left w:val="nil"/>
              <w:bottom w:val="single" w:sz="4" w:space="0" w:color="auto"/>
              <w:right w:val="single" w:sz="4" w:space="0" w:color="auto"/>
            </w:tcBorders>
            <w:shd w:val="clear" w:color="D9EAD3" w:fill="C0E6F5"/>
            <w:vAlign w:val="center"/>
            <w:hideMark/>
          </w:tcPr>
          <w:p w14:paraId="750A8F7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312FB5F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Review documentation must explicitly state that recruiting controls or randomizing would be infeasible or unethical</w:t>
            </w:r>
          </w:p>
        </w:tc>
      </w:tr>
      <w:tr w:rsidR="00B76F43" w:rsidRPr="00B76F43" w14:paraId="7143779E"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3748F84D"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056A6A6F"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Objective primary endpoint</w:t>
            </w:r>
          </w:p>
        </w:tc>
        <w:tc>
          <w:tcPr>
            <w:tcW w:w="2600" w:type="dxa"/>
            <w:tcBorders>
              <w:top w:val="nil"/>
              <w:left w:val="nil"/>
              <w:bottom w:val="single" w:sz="4" w:space="0" w:color="auto"/>
              <w:right w:val="single" w:sz="4" w:space="0" w:color="auto"/>
            </w:tcBorders>
            <w:shd w:val="clear" w:color="D9EAD3" w:fill="C0E6F5"/>
            <w:vAlign w:val="center"/>
            <w:hideMark/>
          </w:tcPr>
          <w:p w14:paraId="5E81CA3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34385C8E"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Authors' assessment </w:t>
            </w:r>
          </w:p>
        </w:tc>
      </w:tr>
      <w:tr w:rsidR="00B76F43" w:rsidRPr="00B76F43" w14:paraId="58E63158"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4450E5E7"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6E90B258"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objective primary endpoint</w:t>
            </w:r>
          </w:p>
        </w:tc>
        <w:tc>
          <w:tcPr>
            <w:tcW w:w="2600" w:type="dxa"/>
            <w:tcBorders>
              <w:top w:val="nil"/>
              <w:left w:val="nil"/>
              <w:bottom w:val="single" w:sz="4" w:space="0" w:color="auto"/>
              <w:right w:val="single" w:sz="4" w:space="0" w:color="auto"/>
            </w:tcBorders>
            <w:shd w:val="clear" w:color="D9EAD3" w:fill="C0E6F5"/>
            <w:vAlign w:val="center"/>
            <w:hideMark/>
          </w:tcPr>
          <w:p w14:paraId="4016DB98"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47F33933"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Review documentation must either explicitly state that primary endpoint is objective (1) or explicitly critique a lack of objectivity in the endpoint (0)</w:t>
            </w:r>
          </w:p>
        </w:tc>
      </w:tr>
      <w:tr w:rsidR="00B76F43" w:rsidRPr="00B76F43" w14:paraId="5D4D7C8D"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11FFD251"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1E341CA2"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Discrepancy in assessment of objective endpoint?</w:t>
            </w:r>
          </w:p>
        </w:tc>
        <w:tc>
          <w:tcPr>
            <w:tcW w:w="2600" w:type="dxa"/>
            <w:tcBorders>
              <w:top w:val="nil"/>
              <w:left w:val="nil"/>
              <w:bottom w:val="single" w:sz="4" w:space="0" w:color="auto"/>
              <w:right w:val="single" w:sz="4" w:space="0" w:color="auto"/>
            </w:tcBorders>
            <w:shd w:val="clear" w:color="D9EAD3" w:fill="C0E6F5"/>
            <w:vAlign w:val="center"/>
            <w:hideMark/>
          </w:tcPr>
          <w:p w14:paraId="503B36F6"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0AB8597B"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Indicates whether the paper </w:t>
            </w:r>
            <w:proofErr w:type="gramStart"/>
            <w:r w:rsidRPr="00B76F43">
              <w:rPr>
                <w:rFonts w:ascii="Aptos Narrow" w:eastAsia="Times New Roman" w:hAnsi="Aptos Narrow" w:cs="Times New Roman"/>
                <w:color w:val="000000"/>
                <w:kern w:val="0"/>
                <w:sz w:val="16"/>
                <w:szCs w:val="16"/>
                <w14:ligatures w14:val="none"/>
              </w:rPr>
              <w:t>authors'</w:t>
            </w:r>
            <w:proofErr w:type="gramEnd"/>
            <w:r w:rsidRPr="00B76F43">
              <w:rPr>
                <w:rFonts w:ascii="Aptos Narrow" w:eastAsia="Times New Roman" w:hAnsi="Aptos Narrow" w:cs="Times New Roman"/>
                <w:color w:val="000000"/>
                <w:kern w:val="0"/>
                <w:sz w:val="16"/>
                <w:szCs w:val="16"/>
                <w14:ligatures w14:val="none"/>
              </w:rPr>
              <w:t xml:space="preserve"> noted an objective endpoint, but the reviewers did not explicitly state this.</w:t>
            </w:r>
          </w:p>
        </w:tc>
      </w:tr>
      <w:tr w:rsidR="00B76F43" w:rsidRPr="00B76F43" w14:paraId="66EF5868"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00B0284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01052932"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Determination of endpoint objectivity</w:t>
            </w:r>
          </w:p>
        </w:tc>
        <w:tc>
          <w:tcPr>
            <w:tcW w:w="2600" w:type="dxa"/>
            <w:tcBorders>
              <w:top w:val="nil"/>
              <w:left w:val="nil"/>
              <w:bottom w:val="single" w:sz="4" w:space="0" w:color="auto"/>
              <w:right w:val="single" w:sz="4" w:space="0" w:color="auto"/>
            </w:tcBorders>
            <w:shd w:val="clear" w:color="D9EAD3" w:fill="C0E6F5"/>
            <w:vAlign w:val="center"/>
            <w:hideMark/>
          </w:tcPr>
          <w:p w14:paraId="3E0A260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2660B43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In cases where there was a discrepancy, senior reviewer made a final determination. Endpoint was only ruled objective if senior reviewer agreed it was implicitly objective</w:t>
            </w:r>
          </w:p>
        </w:tc>
      </w:tr>
      <w:tr w:rsidR="00B76F43" w:rsidRPr="00B76F43" w14:paraId="5DD03B0E"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071F7C3B"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5DED8CD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Reason for determination of endpoint </w:t>
            </w:r>
            <w:proofErr w:type="spellStart"/>
            <w:r w:rsidRPr="00B76F43">
              <w:rPr>
                <w:rFonts w:ascii="Aptos Narrow" w:eastAsia="Times New Roman" w:hAnsi="Aptos Narrow" w:cs="Times New Roman"/>
                <w:b/>
                <w:bCs/>
                <w:color w:val="000000"/>
                <w:kern w:val="0"/>
                <w:sz w:val="16"/>
                <w:szCs w:val="16"/>
                <w14:ligatures w14:val="none"/>
              </w:rPr>
              <w:t>objectvitity</w:t>
            </w:r>
            <w:proofErr w:type="spellEnd"/>
          </w:p>
        </w:tc>
        <w:tc>
          <w:tcPr>
            <w:tcW w:w="2600" w:type="dxa"/>
            <w:tcBorders>
              <w:top w:val="nil"/>
              <w:left w:val="nil"/>
              <w:bottom w:val="single" w:sz="4" w:space="0" w:color="auto"/>
              <w:right w:val="single" w:sz="4" w:space="0" w:color="auto"/>
            </w:tcBorders>
            <w:shd w:val="clear" w:color="D9EAD3" w:fill="C0E6F5"/>
            <w:vAlign w:val="center"/>
            <w:hideMark/>
          </w:tcPr>
          <w:p w14:paraId="7D420BA5"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EAD3" w:fill="C0E6F5"/>
            <w:vAlign w:val="center"/>
            <w:hideMark/>
          </w:tcPr>
          <w:p w14:paraId="69C5A17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Documentation of reason for senior reviewer decision</w:t>
            </w:r>
          </w:p>
        </w:tc>
      </w:tr>
      <w:tr w:rsidR="00B76F43" w:rsidRPr="00B76F43" w14:paraId="2D923EF5"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18766659"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11412B24"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Primary Endpoint</w:t>
            </w:r>
          </w:p>
        </w:tc>
        <w:tc>
          <w:tcPr>
            <w:tcW w:w="2600" w:type="dxa"/>
            <w:tcBorders>
              <w:top w:val="nil"/>
              <w:left w:val="nil"/>
              <w:bottom w:val="single" w:sz="4" w:space="0" w:color="auto"/>
              <w:right w:val="single" w:sz="4" w:space="0" w:color="auto"/>
            </w:tcBorders>
            <w:shd w:val="clear" w:color="D9EAD3" w:fill="C0E6F5"/>
            <w:vAlign w:val="center"/>
            <w:hideMark/>
          </w:tcPr>
          <w:p w14:paraId="0C20D082"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EAD3" w:fill="C0E6F5"/>
            <w:vAlign w:val="center"/>
            <w:hideMark/>
          </w:tcPr>
          <w:p w14:paraId="61EBC931"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Abstracted directly from review documentation</w:t>
            </w:r>
          </w:p>
        </w:tc>
      </w:tr>
      <w:tr w:rsidR="00B76F43" w:rsidRPr="00B76F43" w14:paraId="19A7FD73"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5E8614E5"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58DC7180"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Effect Size of Primary Endpoint</w:t>
            </w:r>
          </w:p>
        </w:tc>
        <w:tc>
          <w:tcPr>
            <w:tcW w:w="2600" w:type="dxa"/>
            <w:tcBorders>
              <w:top w:val="nil"/>
              <w:left w:val="nil"/>
              <w:bottom w:val="single" w:sz="4" w:space="0" w:color="auto"/>
              <w:right w:val="single" w:sz="4" w:space="0" w:color="auto"/>
            </w:tcBorders>
            <w:shd w:val="clear" w:color="D9EAD3" w:fill="C0E6F5"/>
            <w:vAlign w:val="center"/>
            <w:hideMark/>
          </w:tcPr>
          <w:p w14:paraId="1BFB335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EAD3" w:fill="C0E6F5"/>
            <w:vAlign w:val="center"/>
            <w:hideMark/>
          </w:tcPr>
          <w:p w14:paraId="0EEC488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Abstracted directly from review documentation</w:t>
            </w:r>
          </w:p>
        </w:tc>
      </w:tr>
      <w:tr w:rsidR="00B76F43" w:rsidRPr="00B76F43" w14:paraId="041CF7CA"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5CB2EF68"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57973F53"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 Large effect size in primary endpoint</w:t>
            </w:r>
          </w:p>
        </w:tc>
        <w:tc>
          <w:tcPr>
            <w:tcW w:w="2600" w:type="dxa"/>
            <w:tcBorders>
              <w:top w:val="nil"/>
              <w:left w:val="nil"/>
              <w:bottom w:val="single" w:sz="4" w:space="0" w:color="auto"/>
              <w:right w:val="single" w:sz="4" w:space="0" w:color="auto"/>
            </w:tcBorders>
            <w:shd w:val="clear" w:color="D9EAD3" w:fill="C0E6F5"/>
            <w:vAlign w:val="center"/>
            <w:hideMark/>
          </w:tcPr>
          <w:p w14:paraId="6065251F"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234E0B8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Effect size was considered large if (1) reviewer explicitly stated </w:t>
            </w:r>
            <w:proofErr w:type="gramStart"/>
            <w:r w:rsidRPr="00B76F43">
              <w:rPr>
                <w:rFonts w:ascii="Aptos Narrow" w:eastAsia="Times New Roman" w:hAnsi="Aptos Narrow" w:cs="Times New Roman"/>
                <w:color w:val="000000"/>
                <w:kern w:val="0"/>
                <w:sz w:val="16"/>
                <w:szCs w:val="16"/>
                <w14:ligatures w14:val="none"/>
              </w:rPr>
              <w:t>that  effect</w:t>
            </w:r>
            <w:proofErr w:type="gramEnd"/>
            <w:r w:rsidRPr="00B76F43">
              <w:rPr>
                <w:rFonts w:ascii="Aptos Narrow" w:eastAsia="Times New Roman" w:hAnsi="Aptos Narrow" w:cs="Times New Roman"/>
                <w:color w:val="000000"/>
                <w:kern w:val="0"/>
                <w:sz w:val="16"/>
                <w:szCs w:val="16"/>
                <w14:ligatures w14:val="none"/>
              </w:rPr>
              <w:t xml:space="preserve"> was large (2) if effect size was large corresponding to Temple 2012 (RR&gt;1.5)</w:t>
            </w:r>
          </w:p>
        </w:tc>
      </w:tr>
      <w:tr w:rsidR="00B76F43" w:rsidRPr="00B76F43" w14:paraId="5EB15350"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665AA745"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3ECFE652"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Notes on effect size</w:t>
            </w:r>
          </w:p>
        </w:tc>
        <w:tc>
          <w:tcPr>
            <w:tcW w:w="2600" w:type="dxa"/>
            <w:tcBorders>
              <w:top w:val="nil"/>
              <w:left w:val="nil"/>
              <w:bottom w:val="single" w:sz="4" w:space="0" w:color="auto"/>
              <w:right w:val="single" w:sz="4" w:space="0" w:color="auto"/>
            </w:tcBorders>
            <w:shd w:val="clear" w:color="D9EAD3" w:fill="C0E6F5"/>
            <w:vAlign w:val="center"/>
            <w:hideMark/>
          </w:tcPr>
          <w:p w14:paraId="48C3B2FA"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EAD3" w:fill="C0E6F5"/>
            <w:vAlign w:val="center"/>
            <w:hideMark/>
          </w:tcPr>
          <w:p w14:paraId="16B5FCD6"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668973B"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53D61F65"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587F3EC8"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Different procedures required for intervention &amp; control</w:t>
            </w:r>
          </w:p>
        </w:tc>
        <w:tc>
          <w:tcPr>
            <w:tcW w:w="2600" w:type="dxa"/>
            <w:tcBorders>
              <w:top w:val="nil"/>
              <w:left w:val="nil"/>
              <w:bottom w:val="single" w:sz="4" w:space="0" w:color="auto"/>
              <w:right w:val="single" w:sz="4" w:space="0" w:color="auto"/>
            </w:tcBorders>
            <w:shd w:val="clear" w:color="D9EAD3" w:fill="C0E6F5"/>
            <w:vAlign w:val="center"/>
            <w:hideMark/>
          </w:tcPr>
          <w:p w14:paraId="2498576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035CB3C1"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0E537EFB"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457E7B0A"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204308D9"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different procedures would be required for intervention &amp; control</w:t>
            </w:r>
          </w:p>
        </w:tc>
        <w:tc>
          <w:tcPr>
            <w:tcW w:w="2600" w:type="dxa"/>
            <w:tcBorders>
              <w:top w:val="nil"/>
              <w:left w:val="nil"/>
              <w:bottom w:val="single" w:sz="4" w:space="0" w:color="auto"/>
              <w:right w:val="single" w:sz="4" w:space="0" w:color="auto"/>
            </w:tcBorders>
            <w:shd w:val="clear" w:color="D9EAD3" w:fill="C0E6F5"/>
            <w:vAlign w:val="center"/>
            <w:hideMark/>
          </w:tcPr>
          <w:p w14:paraId="46B73AF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7E5E9A54"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0DB84E1"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43B1D67"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5AE3D76D"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Established natural history without spontaneous improvement</w:t>
            </w:r>
          </w:p>
        </w:tc>
        <w:tc>
          <w:tcPr>
            <w:tcW w:w="2600" w:type="dxa"/>
            <w:tcBorders>
              <w:top w:val="nil"/>
              <w:left w:val="nil"/>
              <w:bottom w:val="single" w:sz="4" w:space="0" w:color="auto"/>
              <w:right w:val="single" w:sz="4" w:space="0" w:color="auto"/>
            </w:tcBorders>
            <w:shd w:val="clear" w:color="D9EAD3" w:fill="C0E6F5"/>
            <w:vAlign w:val="center"/>
            <w:hideMark/>
          </w:tcPr>
          <w:p w14:paraId="71CC56B9"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4727E726"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78B59FFB"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6085910A"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7F1A1CA6"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established natural history without spontaneous improvement</w:t>
            </w:r>
          </w:p>
        </w:tc>
        <w:tc>
          <w:tcPr>
            <w:tcW w:w="2600" w:type="dxa"/>
            <w:tcBorders>
              <w:top w:val="nil"/>
              <w:left w:val="nil"/>
              <w:bottom w:val="single" w:sz="4" w:space="0" w:color="auto"/>
              <w:right w:val="single" w:sz="4" w:space="0" w:color="auto"/>
            </w:tcBorders>
            <w:shd w:val="clear" w:color="D9EAD3" w:fill="C0E6F5"/>
            <w:vAlign w:val="center"/>
            <w:hideMark/>
          </w:tcPr>
          <w:p w14:paraId="27C9FB5A"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0ABC668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6EF3CA4"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6AC74BB4"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7AB02B6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Severe condition with no effective therapies for control / limited SoC options</w:t>
            </w:r>
          </w:p>
        </w:tc>
        <w:tc>
          <w:tcPr>
            <w:tcW w:w="2600" w:type="dxa"/>
            <w:tcBorders>
              <w:top w:val="nil"/>
              <w:left w:val="nil"/>
              <w:bottom w:val="single" w:sz="4" w:space="0" w:color="auto"/>
              <w:right w:val="single" w:sz="4" w:space="0" w:color="auto"/>
            </w:tcBorders>
            <w:shd w:val="clear" w:color="D9EAD3" w:fill="C0E6F5"/>
            <w:vAlign w:val="center"/>
            <w:hideMark/>
          </w:tcPr>
          <w:p w14:paraId="537E07BA"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24FB4769"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1BD0CAD" w14:textId="77777777" w:rsidTr="00B76F43">
        <w:trPr>
          <w:trHeight w:val="720"/>
        </w:trPr>
        <w:tc>
          <w:tcPr>
            <w:tcW w:w="780" w:type="dxa"/>
            <w:vMerge/>
            <w:tcBorders>
              <w:top w:val="nil"/>
              <w:left w:val="single" w:sz="4" w:space="0" w:color="auto"/>
              <w:bottom w:val="single" w:sz="4" w:space="0" w:color="auto"/>
              <w:right w:val="single" w:sz="4" w:space="0" w:color="auto"/>
            </w:tcBorders>
            <w:vAlign w:val="center"/>
            <w:hideMark/>
          </w:tcPr>
          <w:p w14:paraId="32F653F1"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2EFF21C3"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severe condition with no effective therapies for control / limited SoC options</w:t>
            </w:r>
          </w:p>
        </w:tc>
        <w:tc>
          <w:tcPr>
            <w:tcW w:w="2600" w:type="dxa"/>
            <w:tcBorders>
              <w:top w:val="nil"/>
              <w:left w:val="nil"/>
              <w:bottom w:val="single" w:sz="4" w:space="0" w:color="auto"/>
              <w:right w:val="single" w:sz="4" w:space="0" w:color="auto"/>
            </w:tcBorders>
            <w:shd w:val="clear" w:color="D9EAD3" w:fill="C0E6F5"/>
            <w:vAlign w:val="center"/>
            <w:hideMark/>
          </w:tcPr>
          <w:p w14:paraId="0CBF0E2F"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188FDA79"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3339A638"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2C9C35F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7FCE4A5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SoC is well established or effective</w:t>
            </w:r>
          </w:p>
        </w:tc>
        <w:tc>
          <w:tcPr>
            <w:tcW w:w="2600" w:type="dxa"/>
            <w:tcBorders>
              <w:top w:val="nil"/>
              <w:left w:val="nil"/>
              <w:bottom w:val="single" w:sz="4" w:space="0" w:color="auto"/>
              <w:right w:val="single" w:sz="4" w:space="0" w:color="auto"/>
            </w:tcBorders>
            <w:shd w:val="clear" w:color="D9EAD3" w:fill="C0E6F5"/>
            <w:vAlign w:val="center"/>
            <w:hideMark/>
          </w:tcPr>
          <w:p w14:paraId="280806F7"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56FFED26"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C2C0ACB"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45AA7CE6"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38865321"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SoC is well established or effective</w:t>
            </w:r>
          </w:p>
        </w:tc>
        <w:tc>
          <w:tcPr>
            <w:tcW w:w="2600" w:type="dxa"/>
            <w:tcBorders>
              <w:top w:val="nil"/>
              <w:left w:val="nil"/>
              <w:bottom w:val="single" w:sz="4" w:space="0" w:color="auto"/>
              <w:right w:val="single" w:sz="4" w:space="0" w:color="auto"/>
            </w:tcBorders>
            <w:shd w:val="clear" w:color="D9EAD3" w:fill="C0E6F5"/>
            <w:vAlign w:val="center"/>
            <w:hideMark/>
          </w:tcPr>
          <w:p w14:paraId="142FEF15"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0DF3C728"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02BEBEA6"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20A6EF9B"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000000" w:fill="C0E6F5"/>
            <w:vAlign w:val="center"/>
            <w:hideMark/>
          </w:tcPr>
          <w:p w14:paraId="3F42C954"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 Unblinded randomization or some other parallel study </w:t>
            </w:r>
            <w:proofErr w:type="spellStart"/>
            <w:r w:rsidRPr="00B76F43">
              <w:rPr>
                <w:rFonts w:ascii="Aptos Narrow" w:eastAsia="Times New Roman" w:hAnsi="Aptos Narrow" w:cs="Times New Roman"/>
                <w:b/>
                <w:bCs/>
                <w:color w:val="000000"/>
                <w:kern w:val="0"/>
                <w:sz w:val="16"/>
                <w:szCs w:val="16"/>
                <w14:ligatures w14:val="none"/>
              </w:rPr>
              <w:t>deisgn</w:t>
            </w:r>
            <w:proofErr w:type="spellEnd"/>
            <w:r w:rsidRPr="00B76F43">
              <w:rPr>
                <w:rFonts w:ascii="Aptos Narrow" w:eastAsia="Times New Roman" w:hAnsi="Aptos Narrow" w:cs="Times New Roman"/>
                <w:b/>
                <w:bCs/>
                <w:color w:val="000000"/>
                <w:kern w:val="0"/>
                <w:sz w:val="16"/>
                <w:szCs w:val="16"/>
                <w14:ligatures w14:val="none"/>
              </w:rPr>
              <w:t xml:space="preserve"> is possible</w:t>
            </w:r>
          </w:p>
        </w:tc>
        <w:tc>
          <w:tcPr>
            <w:tcW w:w="2600" w:type="dxa"/>
            <w:tcBorders>
              <w:top w:val="nil"/>
              <w:left w:val="nil"/>
              <w:bottom w:val="single" w:sz="4" w:space="0" w:color="auto"/>
              <w:right w:val="single" w:sz="4" w:space="0" w:color="auto"/>
            </w:tcBorders>
            <w:shd w:val="clear" w:color="D9EAD3" w:fill="C0E6F5"/>
            <w:vAlign w:val="center"/>
            <w:hideMark/>
          </w:tcPr>
          <w:p w14:paraId="003261F4"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27E4773A"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77017324" w14:textId="77777777" w:rsidTr="00B76F43">
        <w:trPr>
          <w:trHeight w:val="720"/>
        </w:trPr>
        <w:tc>
          <w:tcPr>
            <w:tcW w:w="780" w:type="dxa"/>
            <w:vMerge/>
            <w:tcBorders>
              <w:top w:val="nil"/>
              <w:left w:val="single" w:sz="4" w:space="0" w:color="auto"/>
              <w:bottom w:val="single" w:sz="4" w:space="0" w:color="auto"/>
              <w:right w:val="single" w:sz="4" w:space="0" w:color="auto"/>
            </w:tcBorders>
            <w:vAlign w:val="center"/>
            <w:hideMark/>
          </w:tcPr>
          <w:p w14:paraId="6AA4883F"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000000" w:fill="C0E6F5"/>
            <w:vAlign w:val="center"/>
            <w:hideMark/>
          </w:tcPr>
          <w:p w14:paraId="450BBD98"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Reviewer notes that unblinded randomization or some other parallel study </w:t>
            </w:r>
            <w:proofErr w:type="spellStart"/>
            <w:r w:rsidRPr="00B76F43">
              <w:rPr>
                <w:rFonts w:ascii="Aptos Narrow" w:eastAsia="Times New Roman" w:hAnsi="Aptos Narrow" w:cs="Times New Roman"/>
                <w:b/>
                <w:bCs/>
                <w:color w:val="000000"/>
                <w:kern w:val="0"/>
                <w:sz w:val="16"/>
                <w:szCs w:val="16"/>
                <w14:ligatures w14:val="none"/>
              </w:rPr>
              <w:t>deisgn</w:t>
            </w:r>
            <w:proofErr w:type="spellEnd"/>
            <w:r w:rsidRPr="00B76F43">
              <w:rPr>
                <w:rFonts w:ascii="Aptos Narrow" w:eastAsia="Times New Roman" w:hAnsi="Aptos Narrow" w:cs="Times New Roman"/>
                <w:b/>
                <w:bCs/>
                <w:color w:val="000000"/>
                <w:kern w:val="0"/>
                <w:sz w:val="16"/>
                <w:szCs w:val="16"/>
                <w14:ligatures w14:val="none"/>
              </w:rPr>
              <w:t xml:space="preserve"> is possible</w:t>
            </w:r>
          </w:p>
        </w:tc>
        <w:tc>
          <w:tcPr>
            <w:tcW w:w="2600" w:type="dxa"/>
            <w:tcBorders>
              <w:top w:val="nil"/>
              <w:left w:val="nil"/>
              <w:bottom w:val="single" w:sz="4" w:space="0" w:color="auto"/>
              <w:right w:val="single" w:sz="4" w:space="0" w:color="auto"/>
            </w:tcBorders>
            <w:shd w:val="clear" w:color="D9EAD3" w:fill="C0E6F5"/>
            <w:vAlign w:val="center"/>
            <w:hideMark/>
          </w:tcPr>
          <w:p w14:paraId="6E753F7E"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2311A55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7AADE662" w14:textId="77777777" w:rsidTr="00B76F43">
        <w:trPr>
          <w:trHeight w:val="720"/>
        </w:trPr>
        <w:tc>
          <w:tcPr>
            <w:tcW w:w="780" w:type="dxa"/>
            <w:vMerge/>
            <w:tcBorders>
              <w:top w:val="nil"/>
              <w:left w:val="single" w:sz="4" w:space="0" w:color="auto"/>
              <w:bottom w:val="single" w:sz="4" w:space="0" w:color="auto"/>
              <w:right w:val="single" w:sz="4" w:space="0" w:color="auto"/>
            </w:tcBorders>
            <w:vAlign w:val="center"/>
            <w:hideMark/>
          </w:tcPr>
          <w:p w14:paraId="0DAB192D"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000000" w:fill="C0E6F5"/>
            <w:vAlign w:val="center"/>
            <w:hideMark/>
          </w:tcPr>
          <w:p w14:paraId="77F198C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Requires complex safety assessment or active comparator for safety contextualization</w:t>
            </w:r>
          </w:p>
        </w:tc>
        <w:tc>
          <w:tcPr>
            <w:tcW w:w="2600" w:type="dxa"/>
            <w:tcBorders>
              <w:top w:val="nil"/>
              <w:left w:val="nil"/>
              <w:bottom w:val="single" w:sz="4" w:space="0" w:color="auto"/>
              <w:right w:val="single" w:sz="4" w:space="0" w:color="auto"/>
            </w:tcBorders>
            <w:shd w:val="clear" w:color="D9EAD3" w:fill="C0E6F5"/>
            <w:vAlign w:val="center"/>
            <w:hideMark/>
          </w:tcPr>
          <w:p w14:paraId="0A7FFF4A"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6B71754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BB7C0B2" w14:textId="77777777" w:rsidTr="00B76F43">
        <w:trPr>
          <w:trHeight w:val="720"/>
        </w:trPr>
        <w:tc>
          <w:tcPr>
            <w:tcW w:w="780" w:type="dxa"/>
            <w:vMerge/>
            <w:tcBorders>
              <w:top w:val="nil"/>
              <w:left w:val="single" w:sz="4" w:space="0" w:color="auto"/>
              <w:bottom w:val="single" w:sz="4" w:space="0" w:color="auto"/>
              <w:right w:val="single" w:sz="4" w:space="0" w:color="auto"/>
            </w:tcBorders>
            <w:vAlign w:val="center"/>
            <w:hideMark/>
          </w:tcPr>
          <w:p w14:paraId="7C6C2E84"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5D4173F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submission requires complex safety assessment or active comparator for safety contextualization</w:t>
            </w:r>
          </w:p>
        </w:tc>
        <w:tc>
          <w:tcPr>
            <w:tcW w:w="2600" w:type="dxa"/>
            <w:tcBorders>
              <w:top w:val="nil"/>
              <w:left w:val="nil"/>
              <w:bottom w:val="single" w:sz="4" w:space="0" w:color="auto"/>
              <w:right w:val="single" w:sz="4" w:space="0" w:color="auto"/>
            </w:tcBorders>
            <w:shd w:val="clear" w:color="D9EAD3" w:fill="C0E6F5"/>
            <w:vAlign w:val="center"/>
            <w:hideMark/>
          </w:tcPr>
          <w:p w14:paraId="330AA7DE"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3AD6C10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44A73FF"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3684B60"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43206C21"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has perception of ability or need to enroll placebo</w:t>
            </w:r>
          </w:p>
        </w:tc>
        <w:tc>
          <w:tcPr>
            <w:tcW w:w="2600" w:type="dxa"/>
            <w:tcBorders>
              <w:top w:val="nil"/>
              <w:left w:val="nil"/>
              <w:bottom w:val="single" w:sz="4" w:space="0" w:color="auto"/>
              <w:right w:val="single" w:sz="4" w:space="0" w:color="auto"/>
            </w:tcBorders>
            <w:shd w:val="clear" w:color="D9EAD3" w:fill="C0E6F5"/>
            <w:vAlign w:val="center"/>
            <w:hideMark/>
          </w:tcPr>
          <w:p w14:paraId="4DE1080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w:t>
            </w:r>
          </w:p>
        </w:tc>
        <w:tc>
          <w:tcPr>
            <w:tcW w:w="6380" w:type="dxa"/>
            <w:tcBorders>
              <w:top w:val="nil"/>
              <w:left w:val="nil"/>
              <w:bottom w:val="single" w:sz="4" w:space="0" w:color="auto"/>
              <w:right w:val="single" w:sz="4" w:space="0" w:color="auto"/>
            </w:tcBorders>
            <w:shd w:val="clear" w:color="D9EAD3" w:fill="C0E6F5"/>
            <w:vAlign w:val="center"/>
            <w:hideMark/>
          </w:tcPr>
          <w:p w14:paraId="4CFEC14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6DFF4490"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1750F35A"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179484E3"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Language used in review to describe need for single-arm study</w:t>
            </w:r>
          </w:p>
        </w:tc>
        <w:tc>
          <w:tcPr>
            <w:tcW w:w="2600" w:type="dxa"/>
            <w:tcBorders>
              <w:top w:val="nil"/>
              <w:left w:val="nil"/>
              <w:bottom w:val="single" w:sz="4" w:space="0" w:color="auto"/>
              <w:right w:val="single" w:sz="4" w:space="0" w:color="auto"/>
            </w:tcBorders>
            <w:shd w:val="clear" w:color="D9EAD3" w:fill="C0E6F5"/>
            <w:vAlign w:val="center"/>
            <w:hideMark/>
          </w:tcPr>
          <w:p w14:paraId="37BAACFE"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EAD3" w:fill="C0E6F5"/>
            <w:vAlign w:val="center"/>
            <w:hideMark/>
          </w:tcPr>
          <w:p w14:paraId="0F8B4C6A"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21F185FE"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74F64225"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D9EAD3" w:fill="C0E6F5"/>
            <w:vAlign w:val="center"/>
            <w:hideMark/>
          </w:tcPr>
          <w:p w14:paraId="26546C9F"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Notes</w:t>
            </w:r>
          </w:p>
        </w:tc>
        <w:tc>
          <w:tcPr>
            <w:tcW w:w="2600" w:type="dxa"/>
            <w:tcBorders>
              <w:top w:val="nil"/>
              <w:left w:val="nil"/>
              <w:bottom w:val="single" w:sz="4" w:space="0" w:color="auto"/>
              <w:right w:val="single" w:sz="4" w:space="0" w:color="auto"/>
            </w:tcBorders>
            <w:shd w:val="clear" w:color="D9EAD3" w:fill="C0E6F5"/>
            <w:vAlign w:val="center"/>
            <w:hideMark/>
          </w:tcPr>
          <w:p w14:paraId="0FD7C7E3"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D9EAD3" w:fill="C0E6F5"/>
            <w:vAlign w:val="center"/>
            <w:hideMark/>
          </w:tcPr>
          <w:p w14:paraId="641C04D0"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4D2EE5A4" w14:textId="77777777" w:rsidTr="00B76F43">
        <w:trPr>
          <w:trHeight w:val="320"/>
        </w:trPr>
        <w:tc>
          <w:tcPr>
            <w:tcW w:w="780" w:type="dxa"/>
            <w:vMerge w:val="restart"/>
            <w:tcBorders>
              <w:top w:val="nil"/>
              <w:left w:val="single" w:sz="4" w:space="0" w:color="auto"/>
              <w:bottom w:val="single" w:sz="4" w:space="0" w:color="auto"/>
              <w:right w:val="single" w:sz="4" w:space="0" w:color="auto"/>
            </w:tcBorders>
            <w:shd w:val="clear" w:color="000000" w:fill="C1F0C8"/>
            <w:textDirection w:val="btLr"/>
            <w:vAlign w:val="center"/>
            <w:hideMark/>
          </w:tcPr>
          <w:p w14:paraId="49AE205D"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information</w:t>
            </w:r>
          </w:p>
        </w:tc>
        <w:tc>
          <w:tcPr>
            <w:tcW w:w="2920" w:type="dxa"/>
            <w:tcBorders>
              <w:top w:val="nil"/>
              <w:left w:val="nil"/>
              <w:bottom w:val="single" w:sz="4" w:space="0" w:color="auto"/>
              <w:right w:val="single" w:sz="4" w:space="0" w:color="auto"/>
            </w:tcBorders>
            <w:shd w:val="clear" w:color="FFF2CC" w:fill="C1F0C8"/>
            <w:vAlign w:val="center"/>
            <w:hideMark/>
          </w:tcPr>
          <w:p w14:paraId="381C6761"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is person-level</w:t>
            </w:r>
          </w:p>
        </w:tc>
        <w:tc>
          <w:tcPr>
            <w:tcW w:w="2600" w:type="dxa"/>
            <w:tcBorders>
              <w:top w:val="nil"/>
              <w:left w:val="nil"/>
              <w:bottom w:val="single" w:sz="4" w:space="0" w:color="auto"/>
              <w:right w:val="single" w:sz="4" w:space="0" w:color="auto"/>
            </w:tcBorders>
            <w:shd w:val="clear" w:color="FFF2CC" w:fill="C1F0C8"/>
            <w:vAlign w:val="center"/>
            <w:hideMark/>
          </w:tcPr>
          <w:p w14:paraId="34B6B4A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w:t>
            </w:r>
          </w:p>
        </w:tc>
        <w:tc>
          <w:tcPr>
            <w:tcW w:w="6380" w:type="dxa"/>
            <w:tcBorders>
              <w:top w:val="nil"/>
              <w:left w:val="nil"/>
              <w:bottom w:val="single" w:sz="4" w:space="0" w:color="auto"/>
              <w:right w:val="single" w:sz="4" w:space="0" w:color="auto"/>
            </w:tcBorders>
            <w:shd w:val="clear" w:color="FFF2CC" w:fill="C1F0C8"/>
            <w:vAlign w:val="center"/>
            <w:hideMark/>
          </w:tcPr>
          <w:p w14:paraId="603E32C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This </w:t>
            </w:r>
            <w:proofErr w:type="gramStart"/>
            <w:r w:rsidRPr="00B76F43">
              <w:rPr>
                <w:rFonts w:ascii="Aptos Narrow" w:eastAsia="Times New Roman" w:hAnsi="Aptos Narrow" w:cs="Times New Roman"/>
                <w:color w:val="000000"/>
                <w:kern w:val="0"/>
                <w:sz w:val="16"/>
                <w:szCs w:val="16"/>
                <w14:ligatures w14:val="none"/>
              </w:rPr>
              <w:t>differentiates  between</w:t>
            </w:r>
            <w:proofErr w:type="gramEnd"/>
            <w:r w:rsidRPr="00B76F43">
              <w:rPr>
                <w:rFonts w:ascii="Aptos Narrow" w:eastAsia="Times New Roman" w:hAnsi="Aptos Narrow" w:cs="Times New Roman"/>
                <w:color w:val="000000"/>
                <w:kern w:val="0"/>
                <w:sz w:val="16"/>
                <w:szCs w:val="16"/>
                <w14:ligatures w14:val="none"/>
              </w:rPr>
              <w:t xml:space="preserve"> aggregate benchmarks (value of 0) and person-level ECAs</w:t>
            </w:r>
          </w:p>
        </w:tc>
      </w:tr>
      <w:tr w:rsidR="00B76F43" w:rsidRPr="00B76F43" w14:paraId="6EC5441D"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1B2CAD41"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FFF2CC" w:fill="C1F0C8"/>
            <w:vAlign w:val="center"/>
            <w:hideMark/>
          </w:tcPr>
          <w:p w14:paraId="1BFF66F0"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is from past trial data</w:t>
            </w:r>
          </w:p>
        </w:tc>
        <w:tc>
          <w:tcPr>
            <w:tcW w:w="2600" w:type="dxa"/>
            <w:tcBorders>
              <w:top w:val="nil"/>
              <w:left w:val="nil"/>
              <w:bottom w:val="single" w:sz="4" w:space="0" w:color="auto"/>
              <w:right w:val="single" w:sz="4" w:space="0" w:color="auto"/>
            </w:tcBorders>
            <w:shd w:val="clear" w:color="FFF2CC" w:fill="C1F0C8"/>
            <w:vAlign w:val="center"/>
            <w:hideMark/>
          </w:tcPr>
          <w:p w14:paraId="301CD43D"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w:t>
            </w:r>
          </w:p>
        </w:tc>
        <w:tc>
          <w:tcPr>
            <w:tcW w:w="6380" w:type="dxa"/>
            <w:tcBorders>
              <w:top w:val="nil"/>
              <w:left w:val="nil"/>
              <w:bottom w:val="single" w:sz="4" w:space="0" w:color="auto"/>
              <w:right w:val="single" w:sz="4" w:space="0" w:color="auto"/>
            </w:tcBorders>
            <w:shd w:val="clear" w:color="FFF2CC" w:fill="C1F0C8"/>
            <w:vAlign w:val="center"/>
            <w:hideMark/>
          </w:tcPr>
          <w:p w14:paraId="5D06F3D6"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Corresponds to any data collected in a past clinical trial setting</w:t>
            </w:r>
          </w:p>
        </w:tc>
      </w:tr>
      <w:tr w:rsidR="00B76F43" w:rsidRPr="00B76F43" w14:paraId="1ED05D0E"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20D2F18A"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FFF2CC" w:fill="C1F0C8"/>
            <w:vAlign w:val="center"/>
            <w:hideMark/>
          </w:tcPr>
          <w:p w14:paraId="57890F4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Comparator is patient's own baseline </w:t>
            </w:r>
          </w:p>
        </w:tc>
        <w:tc>
          <w:tcPr>
            <w:tcW w:w="2600" w:type="dxa"/>
            <w:tcBorders>
              <w:top w:val="nil"/>
              <w:left w:val="nil"/>
              <w:bottom w:val="single" w:sz="4" w:space="0" w:color="auto"/>
              <w:right w:val="single" w:sz="4" w:space="0" w:color="auto"/>
            </w:tcBorders>
            <w:shd w:val="clear" w:color="FFF2CC" w:fill="C1F0C8"/>
            <w:vAlign w:val="center"/>
            <w:hideMark/>
          </w:tcPr>
          <w:p w14:paraId="401BEFF5"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FFF2CC" w:fill="C1F0C8"/>
            <w:vAlign w:val="center"/>
            <w:hideMark/>
          </w:tcPr>
          <w:p w14:paraId="0AD169B1"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Corresponds to any endpoints where there is a comparison to a baseline value rather than an external value</w:t>
            </w:r>
          </w:p>
        </w:tc>
      </w:tr>
      <w:tr w:rsidR="00B76F43" w:rsidRPr="00B76F43" w14:paraId="5AEFD463"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A8EACF1"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000000" w:fill="C1F0C8"/>
            <w:vAlign w:val="center"/>
            <w:hideMark/>
          </w:tcPr>
          <w:p w14:paraId="0E8D5EA3"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is from RWD</w:t>
            </w:r>
          </w:p>
        </w:tc>
        <w:tc>
          <w:tcPr>
            <w:tcW w:w="2600" w:type="dxa"/>
            <w:tcBorders>
              <w:top w:val="nil"/>
              <w:left w:val="nil"/>
              <w:bottom w:val="single" w:sz="4" w:space="0" w:color="auto"/>
              <w:right w:val="single" w:sz="4" w:space="0" w:color="auto"/>
            </w:tcBorders>
            <w:shd w:val="clear" w:color="FFF2CC" w:fill="C1F0C8"/>
            <w:vAlign w:val="center"/>
            <w:hideMark/>
          </w:tcPr>
          <w:p w14:paraId="607458D2"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w:t>
            </w:r>
          </w:p>
        </w:tc>
        <w:tc>
          <w:tcPr>
            <w:tcW w:w="6380" w:type="dxa"/>
            <w:tcBorders>
              <w:top w:val="nil"/>
              <w:left w:val="nil"/>
              <w:bottom w:val="single" w:sz="4" w:space="0" w:color="auto"/>
              <w:right w:val="single" w:sz="4" w:space="0" w:color="auto"/>
            </w:tcBorders>
            <w:shd w:val="clear" w:color="FFF2CC" w:fill="C1F0C8"/>
            <w:vAlign w:val="center"/>
            <w:hideMark/>
          </w:tcPr>
          <w:p w14:paraId="6A8066A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RWD is defined as any data initially collected not for the purpose of the SAT; includes Electronic Health Records, Administrative Claims Data, and Disease Registries/Natural History Studies</w:t>
            </w:r>
          </w:p>
        </w:tc>
      </w:tr>
      <w:tr w:rsidR="00B76F43" w:rsidRPr="00B76F43" w14:paraId="4B9C1064"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DB3B621"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000000" w:fill="C1F0C8"/>
            <w:vAlign w:val="center"/>
            <w:hideMark/>
          </w:tcPr>
          <w:p w14:paraId="325ED380"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RWD source 1</w:t>
            </w:r>
          </w:p>
        </w:tc>
        <w:tc>
          <w:tcPr>
            <w:tcW w:w="2600" w:type="dxa"/>
            <w:tcBorders>
              <w:top w:val="nil"/>
              <w:left w:val="nil"/>
              <w:bottom w:val="single" w:sz="4" w:space="0" w:color="auto"/>
              <w:right w:val="single" w:sz="4" w:space="0" w:color="auto"/>
            </w:tcBorders>
            <w:shd w:val="clear" w:color="FFF2CC" w:fill="C1F0C8"/>
            <w:vAlign w:val="center"/>
            <w:hideMark/>
          </w:tcPr>
          <w:p w14:paraId="7AE4A239"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Options: EHR, Claims, Registry or Natural History Cohort</w:t>
            </w:r>
          </w:p>
        </w:tc>
        <w:tc>
          <w:tcPr>
            <w:tcW w:w="6380" w:type="dxa"/>
            <w:tcBorders>
              <w:top w:val="nil"/>
              <w:left w:val="nil"/>
              <w:bottom w:val="single" w:sz="4" w:space="0" w:color="auto"/>
              <w:right w:val="single" w:sz="4" w:space="0" w:color="auto"/>
            </w:tcBorders>
            <w:shd w:val="clear" w:color="FFF2CC" w:fill="C1F0C8"/>
            <w:vAlign w:val="center"/>
            <w:hideMark/>
          </w:tcPr>
          <w:p w14:paraId="303064E9"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3FD75E9"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3D2DACB0"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FFF2CC" w:fill="C1F0C8"/>
            <w:vAlign w:val="center"/>
            <w:hideMark/>
          </w:tcPr>
          <w:p w14:paraId="1C46A60B"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RWD source 2</w:t>
            </w:r>
          </w:p>
        </w:tc>
        <w:tc>
          <w:tcPr>
            <w:tcW w:w="2600" w:type="dxa"/>
            <w:tcBorders>
              <w:top w:val="nil"/>
              <w:left w:val="nil"/>
              <w:bottom w:val="single" w:sz="4" w:space="0" w:color="auto"/>
              <w:right w:val="single" w:sz="4" w:space="0" w:color="auto"/>
            </w:tcBorders>
            <w:shd w:val="clear" w:color="FFF2CC" w:fill="C1F0C8"/>
            <w:vAlign w:val="center"/>
            <w:hideMark/>
          </w:tcPr>
          <w:p w14:paraId="5D5CC01F"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Options: EHR, Claims, Registry or Natural History Cohort</w:t>
            </w:r>
          </w:p>
        </w:tc>
        <w:tc>
          <w:tcPr>
            <w:tcW w:w="6380" w:type="dxa"/>
            <w:tcBorders>
              <w:top w:val="nil"/>
              <w:left w:val="nil"/>
              <w:bottom w:val="single" w:sz="4" w:space="0" w:color="auto"/>
              <w:right w:val="single" w:sz="4" w:space="0" w:color="auto"/>
            </w:tcBorders>
            <w:shd w:val="clear" w:color="FFF2CC" w:fill="C1F0C8"/>
            <w:vAlign w:val="center"/>
            <w:hideMark/>
          </w:tcPr>
          <w:p w14:paraId="4A435415"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2EDD7D09"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7DA11BAC"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FFF2CC" w:fill="C1F0C8"/>
            <w:vAlign w:val="center"/>
            <w:hideMark/>
          </w:tcPr>
          <w:p w14:paraId="28AF7FE2"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RWD source 3</w:t>
            </w:r>
          </w:p>
        </w:tc>
        <w:tc>
          <w:tcPr>
            <w:tcW w:w="2600" w:type="dxa"/>
            <w:tcBorders>
              <w:top w:val="nil"/>
              <w:left w:val="nil"/>
              <w:bottom w:val="single" w:sz="4" w:space="0" w:color="auto"/>
              <w:right w:val="single" w:sz="4" w:space="0" w:color="auto"/>
            </w:tcBorders>
            <w:shd w:val="clear" w:color="FFF2CC" w:fill="C1F0C8"/>
            <w:vAlign w:val="center"/>
            <w:hideMark/>
          </w:tcPr>
          <w:p w14:paraId="6FC9D83E"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Options: EHR, Claims, Registry or Natural History Cohort</w:t>
            </w:r>
          </w:p>
        </w:tc>
        <w:tc>
          <w:tcPr>
            <w:tcW w:w="6380" w:type="dxa"/>
            <w:tcBorders>
              <w:top w:val="nil"/>
              <w:left w:val="nil"/>
              <w:bottom w:val="single" w:sz="4" w:space="0" w:color="auto"/>
              <w:right w:val="single" w:sz="4" w:space="0" w:color="auto"/>
            </w:tcBorders>
            <w:shd w:val="clear" w:color="FFF2CC" w:fill="C1F0C8"/>
            <w:vAlign w:val="center"/>
            <w:hideMark/>
          </w:tcPr>
          <w:p w14:paraId="2D79A5E1"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6CDA93D"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02128303"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FFF2CC" w:fill="C1F0C8"/>
            <w:vAlign w:val="center"/>
            <w:hideMark/>
          </w:tcPr>
          <w:p w14:paraId="1B38BB2C"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uses multiple types of RWD</w:t>
            </w:r>
          </w:p>
        </w:tc>
        <w:tc>
          <w:tcPr>
            <w:tcW w:w="2600" w:type="dxa"/>
            <w:tcBorders>
              <w:top w:val="nil"/>
              <w:left w:val="nil"/>
              <w:bottom w:val="single" w:sz="4" w:space="0" w:color="auto"/>
              <w:right w:val="single" w:sz="4" w:space="0" w:color="auto"/>
            </w:tcBorders>
            <w:shd w:val="clear" w:color="FFF2CC" w:fill="C1F0C8"/>
            <w:vAlign w:val="center"/>
            <w:hideMark/>
          </w:tcPr>
          <w:p w14:paraId="6A71397C"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w:t>
            </w:r>
          </w:p>
        </w:tc>
        <w:tc>
          <w:tcPr>
            <w:tcW w:w="6380" w:type="dxa"/>
            <w:tcBorders>
              <w:top w:val="nil"/>
              <w:left w:val="nil"/>
              <w:bottom w:val="single" w:sz="4" w:space="0" w:color="auto"/>
              <w:right w:val="single" w:sz="4" w:space="0" w:color="auto"/>
            </w:tcBorders>
            <w:shd w:val="clear" w:color="FFF2CC" w:fill="C1F0C8"/>
            <w:vAlign w:val="center"/>
            <w:hideMark/>
          </w:tcPr>
          <w:p w14:paraId="14B74B3A"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715B0A80"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2AE279B4"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FFF2CC" w:fill="C1F0C8"/>
            <w:vAlign w:val="center"/>
            <w:hideMark/>
          </w:tcPr>
          <w:p w14:paraId="4D63C17C"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ECA uses RWD linkages</w:t>
            </w:r>
          </w:p>
        </w:tc>
        <w:tc>
          <w:tcPr>
            <w:tcW w:w="2600" w:type="dxa"/>
            <w:tcBorders>
              <w:top w:val="nil"/>
              <w:left w:val="nil"/>
              <w:bottom w:val="single" w:sz="4" w:space="0" w:color="auto"/>
              <w:right w:val="single" w:sz="4" w:space="0" w:color="auto"/>
            </w:tcBorders>
            <w:shd w:val="clear" w:color="FFF2CC" w:fill="C1F0C8"/>
            <w:vAlign w:val="center"/>
            <w:hideMark/>
          </w:tcPr>
          <w:p w14:paraId="07029CC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(0 if no ECA)</w:t>
            </w:r>
          </w:p>
        </w:tc>
        <w:tc>
          <w:tcPr>
            <w:tcW w:w="6380" w:type="dxa"/>
            <w:tcBorders>
              <w:top w:val="nil"/>
              <w:left w:val="nil"/>
              <w:bottom w:val="single" w:sz="4" w:space="0" w:color="auto"/>
              <w:right w:val="single" w:sz="4" w:space="0" w:color="auto"/>
            </w:tcBorders>
            <w:shd w:val="clear" w:color="FFF2CC" w:fill="C1F0C8"/>
            <w:vAlign w:val="center"/>
            <w:hideMark/>
          </w:tcPr>
          <w:p w14:paraId="0A44180B" w14:textId="622C36A2"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Refers to any </w:t>
            </w:r>
            <w:r w:rsidR="008F4B7D">
              <w:rPr>
                <w:rFonts w:ascii="Aptos Narrow" w:eastAsia="Times New Roman" w:hAnsi="Aptos Narrow" w:cs="Times New Roman"/>
                <w:color w:val="000000"/>
                <w:kern w:val="0"/>
                <w:sz w:val="16"/>
                <w:szCs w:val="16"/>
                <w14:ligatures w14:val="none"/>
              </w:rPr>
              <w:t>data where multiple RWD sources are linked at the patient level</w:t>
            </w:r>
          </w:p>
        </w:tc>
      </w:tr>
      <w:tr w:rsidR="00B76F43" w:rsidRPr="00B76F43" w14:paraId="7EE3FFED"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4CAECCA8"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FFF2CC" w:fill="C1F0C8"/>
            <w:vAlign w:val="center"/>
            <w:hideMark/>
          </w:tcPr>
          <w:p w14:paraId="68EE221E"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Notes</w:t>
            </w:r>
          </w:p>
        </w:tc>
        <w:tc>
          <w:tcPr>
            <w:tcW w:w="2600" w:type="dxa"/>
            <w:tcBorders>
              <w:top w:val="nil"/>
              <w:left w:val="nil"/>
              <w:bottom w:val="single" w:sz="4" w:space="0" w:color="auto"/>
              <w:right w:val="single" w:sz="4" w:space="0" w:color="auto"/>
            </w:tcBorders>
            <w:shd w:val="clear" w:color="FFF2CC" w:fill="C1F0C8"/>
            <w:vAlign w:val="center"/>
            <w:hideMark/>
          </w:tcPr>
          <w:p w14:paraId="129FD7F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FFF2CC" w:fill="C1F0C8"/>
            <w:vAlign w:val="center"/>
            <w:hideMark/>
          </w:tcPr>
          <w:p w14:paraId="192D6E0F"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096D30E6" w14:textId="77777777" w:rsidTr="00B76F43">
        <w:trPr>
          <w:trHeight w:val="480"/>
        </w:trPr>
        <w:tc>
          <w:tcPr>
            <w:tcW w:w="780" w:type="dxa"/>
            <w:vMerge w:val="restart"/>
            <w:tcBorders>
              <w:top w:val="nil"/>
              <w:left w:val="single" w:sz="4" w:space="0" w:color="auto"/>
              <w:bottom w:val="single" w:sz="4" w:space="0" w:color="auto"/>
              <w:right w:val="single" w:sz="4" w:space="0" w:color="auto"/>
            </w:tcBorders>
            <w:shd w:val="clear" w:color="000000" w:fill="DBBDF9"/>
            <w:textDirection w:val="btLr"/>
            <w:vAlign w:val="center"/>
            <w:hideMark/>
          </w:tcPr>
          <w:p w14:paraId="0BDE1612"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Agency reviewer responses (critiques and positive assessments) to submission of external control arm,</w:t>
            </w:r>
          </w:p>
        </w:tc>
        <w:tc>
          <w:tcPr>
            <w:tcW w:w="2920" w:type="dxa"/>
            <w:tcBorders>
              <w:top w:val="nil"/>
              <w:left w:val="nil"/>
              <w:bottom w:val="single" w:sz="4" w:space="0" w:color="auto"/>
              <w:right w:val="single" w:sz="4" w:space="0" w:color="auto"/>
            </w:tcBorders>
            <w:shd w:val="clear" w:color="CFE2F3" w:fill="DBBDF9"/>
            <w:vAlign w:val="center"/>
            <w:hideMark/>
          </w:tcPr>
          <w:p w14:paraId="62016476"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comparator is a benchmark / not patient-level</w:t>
            </w:r>
          </w:p>
        </w:tc>
        <w:tc>
          <w:tcPr>
            <w:tcW w:w="2600" w:type="dxa"/>
            <w:tcBorders>
              <w:top w:val="nil"/>
              <w:left w:val="nil"/>
              <w:bottom w:val="single" w:sz="4" w:space="0" w:color="auto"/>
              <w:right w:val="single" w:sz="4" w:space="0" w:color="auto"/>
            </w:tcBorders>
            <w:shd w:val="clear" w:color="CFE2F3" w:fill="DBBDF9"/>
            <w:vAlign w:val="center"/>
            <w:hideMark/>
          </w:tcPr>
          <w:p w14:paraId="6A77FE59"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1865835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10DF6DBB" w14:textId="77777777" w:rsidTr="00B76F43">
        <w:trPr>
          <w:trHeight w:val="960"/>
        </w:trPr>
        <w:tc>
          <w:tcPr>
            <w:tcW w:w="780" w:type="dxa"/>
            <w:vMerge/>
            <w:tcBorders>
              <w:top w:val="nil"/>
              <w:left w:val="single" w:sz="4" w:space="0" w:color="auto"/>
              <w:bottom w:val="single" w:sz="4" w:space="0" w:color="auto"/>
              <w:right w:val="single" w:sz="4" w:space="0" w:color="auto"/>
            </w:tcBorders>
            <w:vAlign w:val="center"/>
            <w:hideMark/>
          </w:tcPr>
          <w:p w14:paraId="3CF99E2E"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4F360E25"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patient level data is not accessible by regulator or 3rd party data, ownership limits regulators QA or inspections</w:t>
            </w:r>
          </w:p>
        </w:tc>
        <w:tc>
          <w:tcPr>
            <w:tcW w:w="2600" w:type="dxa"/>
            <w:tcBorders>
              <w:top w:val="nil"/>
              <w:left w:val="nil"/>
              <w:bottom w:val="single" w:sz="4" w:space="0" w:color="auto"/>
              <w:right w:val="single" w:sz="4" w:space="0" w:color="auto"/>
            </w:tcBorders>
            <w:shd w:val="clear" w:color="CFE2F3" w:fill="DBBDF9"/>
            <w:vAlign w:val="center"/>
            <w:hideMark/>
          </w:tcPr>
          <w:p w14:paraId="67C98D9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3A48AB46"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417353A0"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6681557B"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0AB93285"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endpoint measured in ECA is subjective or otherwise unreliable</w:t>
            </w:r>
          </w:p>
        </w:tc>
        <w:tc>
          <w:tcPr>
            <w:tcW w:w="2600" w:type="dxa"/>
            <w:tcBorders>
              <w:top w:val="nil"/>
              <w:left w:val="nil"/>
              <w:bottom w:val="single" w:sz="4" w:space="0" w:color="auto"/>
              <w:right w:val="single" w:sz="4" w:space="0" w:color="auto"/>
            </w:tcBorders>
            <w:shd w:val="clear" w:color="CFE2F3" w:fill="DBBDF9"/>
            <w:vAlign w:val="center"/>
            <w:hideMark/>
          </w:tcPr>
          <w:p w14:paraId="7DD3BBD4"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3ED9B7F7"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4736D383" w14:textId="77777777" w:rsidTr="00B76F43">
        <w:trPr>
          <w:trHeight w:val="480"/>
        </w:trPr>
        <w:tc>
          <w:tcPr>
            <w:tcW w:w="780" w:type="dxa"/>
            <w:vMerge/>
            <w:tcBorders>
              <w:top w:val="nil"/>
              <w:left w:val="single" w:sz="4" w:space="0" w:color="auto"/>
              <w:bottom w:val="single" w:sz="4" w:space="0" w:color="auto"/>
              <w:right w:val="single" w:sz="4" w:space="0" w:color="auto"/>
            </w:tcBorders>
            <w:vAlign w:val="center"/>
            <w:hideMark/>
          </w:tcPr>
          <w:p w14:paraId="005BF340"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628F94B9"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ECA is not contemporaneous to trial</w:t>
            </w:r>
          </w:p>
        </w:tc>
        <w:tc>
          <w:tcPr>
            <w:tcW w:w="2600" w:type="dxa"/>
            <w:tcBorders>
              <w:top w:val="nil"/>
              <w:left w:val="nil"/>
              <w:bottom w:val="single" w:sz="4" w:space="0" w:color="auto"/>
              <w:right w:val="single" w:sz="4" w:space="0" w:color="auto"/>
            </w:tcBorders>
            <w:shd w:val="clear" w:color="CFE2F3" w:fill="DBBDF9"/>
            <w:vAlign w:val="center"/>
            <w:hideMark/>
          </w:tcPr>
          <w:p w14:paraId="39495912"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4DEAE3E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5B085FF8" w14:textId="77777777" w:rsidTr="00B76F43">
        <w:trPr>
          <w:trHeight w:val="960"/>
        </w:trPr>
        <w:tc>
          <w:tcPr>
            <w:tcW w:w="780" w:type="dxa"/>
            <w:vMerge/>
            <w:tcBorders>
              <w:top w:val="nil"/>
              <w:left w:val="single" w:sz="4" w:space="0" w:color="auto"/>
              <w:bottom w:val="single" w:sz="4" w:space="0" w:color="auto"/>
              <w:right w:val="single" w:sz="4" w:space="0" w:color="auto"/>
            </w:tcBorders>
            <w:vAlign w:val="center"/>
            <w:hideMark/>
          </w:tcPr>
          <w:p w14:paraId="1D5D2F5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1AED1164"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ECA data is not generated among geographically representative populations and/ or similar practice setting as single arm trial</w:t>
            </w:r>
          </w:p>
        </w:tc>
        <w:tc>
          <w:tcPr>
            <w:tcW w:w="2600" w:type="dxa"/>
            <w:tcBorders>
              <w:top w:val="nil"/>
              <w:left w:val="nil"/>
              <w:bottom w:val="single" w:sz="4" w:space="0" w:color="auto"/>
              <w:right w:val="single" w:sz="4" w:space="0" w:color="auto"/>
            </w:tcBorders>
            <w:shd w:val="clear" w:color="CFE2F3" w:fill="DBBDF9"/>
            <w:vAlign w:val="center"/>
            <w:hideMark/>
          </w:tcPr>
          <w:p w14:paraId="13C0F070"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6BD4BA9F"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3A948D66" w14:textId="77777777" w:rsidTr="00B76F43">
        <w:trPr>
          <w:trHeight w:val="960"/>
        </w:trPr>
        <w:tc>
          <w:tcPr>
            <w:tcW w:w="780" w:type="dxa"/>
            <w:vMerge/>
            <w:tcBorders>
              <w:top w:val="nil"/>
              <w:left w:val="single" w:sz="4" w:space="0" w:color="auto"/>
              <w:bottom w:val="single" w:sz="4" w:space="0" w:color="auto"/>
              <w:right w:val="single" w:sz="4" w:space="0" w:color="auto"/>
            </w:tcBorders>
            <w:vAlign w:val="center"/>
            <w:hideMark/>
          </w:tcPr>
          <w:p w14:paraId="6B5690D2"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72FEBF6C"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ECA and trial arms are not balanced on baseline covariates or that comparable inclusion exclusion criteria cannot be applied to both arms</w:t>
            </w:r>
          </w:p>
        </w:tc>
        <w:tc>
          <w:tcPr>
            <w:tcW w:w="2600" w:type="dxa"/>
            <w:tcBorders>
              <w:top w:val="nil"/>
              <w:left w:val="nil"/>
              <w:bottom w:val="single" w:sz="4" w:space="0" w:color="auto"/>
              <w:right w:val="single" w:sz="4" w:space="0" w:color="auto"/>
            </w:tcBorders>
            <w:shd w:val="clear" w:color="CFE2F3" w:fill="DBBDF9"/>
            <w:vAlign w:val="center"/>
            <w:hideMark/>
          </w:tcPr>
          <w:p w14:paraId="32028B18"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269EF11C"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266E2E28" w14:textId="77777777" w:rsidTr="00B76F43">
        <w:trPr>
          <w:trHeight w:val="960"/>
        </w:trPr>
        <w:tc>
          <w:tcPr>
            <w:tcW w:w="780" w:type="dxa"/>
            <w:vMerge/>
            <w:tcBorders>
              <w:top w:val="nil"/>
              <w:left w:val="single" w:sz="4" w:space="0" w:color="auto"/>
              <w:bottom w:val="single" w:sz="4" w:space="0" w:color="auto"/>
              <w:right w:val="single" w:sz="4" w:space="0" w:color="auto"/>
            </w:tcBorders>
            <w:vAlign w:val="center"/>
            <w:hideMark/>
          </w:tcPr>
          <w:p w14:paraId="70014DCE"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7D12CA2C"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that study cannot provide a clinical alternative at a similar point in the disease progression as the single arm trial</w:t>
            </w:r>
          </w:p>
        </w:tc>
        <w:tc>
          <w:tcPr>
            <w:tcW w:w="2600" w:type="dxa"/>
            <w:tcBorders>
              <w:top w:val="nil"/>
              <w:left w:val="nil"/>
              <w:bottom w:val="single" w:sz="4" w:space="0" w:color="auto"/>
              <w:right w:val="single" w:sz="4" w:space="0" w:color="auto"/>
            </w:tcBorders>
            <w:shd w:val="clear" w:color="CFE2F3" w:fill="DBBDF9"/>
            <w:vAlign w:val="center"/>
            <w:hideMark/>
          </w:tcPr>
          <w:p w14:paraId="54E3013B"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23B30908"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2E99C245" w14:textId="77777777" w:rsidTr="00B76F43">
        <w:trPr>
          <w:trHeight w:val="720"/>
        </w:trPr>
        <w:tc>
          <w:tcPr>
            <w:tcW w:w="780" w:type="dxa"/>
            <w:vMerge/>
            <w:tcBorders>
              <w:top w:val="nil"/>
              <w:left w:val="single" w:sz="4" w:space="0" w:color="auto"/>
              <w:bottom w:val="single" w:sz="4" w:space="0" w:color="auto"/>
              <w:right w:val="single" w:sz="4" w:space="0" w:color="auto"/>
            </w:tcBorders>
            <w:vAlign w:val="center"/>
            <w:hideMark/>
          </w:tcPr>
          <w:p w14:paraId="6BED7B7C"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10A744C7"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 xml:space="preserve">Reviewer notes that there is risk of outcome ascertainment bias in the comparator arm </w:t>
            </w:r>
          </w:p>
        </w:tc>
        <w:tc>
          <w:tcPr>
            <w:tcW w:w="2600" w:type="dxa"/>
            <w:tcBorders>
              <w:top w:val="nil"/>
              <w:left w:val="nil"/>
              <w:bottom w:val="single" w:sz="4" w:space="0" w:color="auto"/>
              <w:right w:val="single" w:sz="4" w:space="0" w:color="auto"/>
            </w:tcBorders>
            <w:shd w:val="clear" w:color="CFE2F3" w:fill="DBBDF9"/>
            <w:vAlign w:val="center"/>
            <w:hideMark/>
          </w:tcPr>
          <w:p w14:paraId="7C063C03"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1639485D"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2D9CF943"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5BBEAA88"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3CA0F89A"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Reviewer notes data quality issues</w:t>
            </w:r>
          </w:p>
        </w:tc>
        <w:tc>
          <w:tcPr>
            <w:tcW w:w="2600" w:type="dxa"/>
            <w:tcBorders>
              <w:top w:val="nil"/>
              <w:left w:val="nil"/>
              <w:bottom w:val="single" w:sz="4" w:space="0" w:color="auto"/>
              <w:right w:val="single" w:sz="4" w:space="0" w:color="auto"/>
            </w:tcBorders>
            <w:shd w:val="clear" w:color="CFE2F3" w:fill="DBBDF9"/>
            <w:vAlign w:val="center"/>
            <w:hideMark/>
          </w:tcPr>
          <w:p w14:paraId="066DF395"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Binary (Leave blank if no ECA)</w:t>
            </w:r>
          </w:p>
        </w:tc>
        <w:tc>
          <w:tcPr>
            <w:tcW w:w="6380" w:type="dxa"/>
            <w:tcBorders>
              <w:top w:val="nil"/>
              <w:left w:val="nil"/>
              <w:bottom w:val="single" w:sz="4" w:space="0" w:color="auto"/>
              <w:right w:val="single" w:sz="4" w:space="0" w:color="auto"/>
            </w:tcBorders>
            <w:shd w:val="clear" w:color="CFE2F3" w:fill="DBBDF9"/>
            <w:vAlign w:val="center"/>
            <w:hideMark/>
          </w:tcPr>
          <w:p w14:paraId="4326411E" w14:textId="25DC62B2"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xml:space="preserve">Data Quality Issues were identified only if reviewer explicitly </w:t>
            </w:r>
            <w:r w:rsidR="00801C9F">
              <w:rPr>
                <w:rFonts w:ascii="Aptos Narrow" w:eastAsia="Times New Roman" w:hAnsi="Aptos Narrow" w:cs="Times New Roman"/>
                <w:color w:val="000000"/>
                <w:kern w:val="0"/>
                <w:sz w:val="16"/>
                <w:szCs w:val="16"/>
                <w14:ligatures w14:val="none"/>
              </w:rPr>
              <w:t>flagged this</w:t>
            </w:r>
          </w:p>
        </w:tc>
      </w:tr>
      <w:tr w:rsidR="00B76F43" w:rsidRPr="00B76F43" w14:paraId="2A5E8995"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7A133F40"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4F6E7821"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Language used in review to describe ECA</w:t>
            </w:r>
          </w:p>
        </w:tc>
        <w:tc>
          <w:tcPr>
            <w:tcW w:w="2600" w:type="dxa"/>
            <w:tcBorders>
              <w:top w:val="nil"/>
              <w:left w:val="nil"/>
              <w:bottom w:val="single" w:sz="4" w:space="0" w:color="auto"/>
              <w:right w:val="single" w:sz="4" w:space="0" w:color="auto"/>
            </w:tcBorders>
            <w:shd w:val="clear" w:color="CFE2F3" w:fill="DBBDF9"/>
            <w:vAlign w:val="center"/>
            <w:hideMark/>
          </w:tcPr>
          <w:p w14:paraId="5C0369D2"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CFE2F3" w:fill="DBBDF9"/>
            <w:vAlign w:val="center"/>
            <w:hideMark/>
          </w:tcPr>
          <w:p w14:paraId="09FF8358"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r w:rsidR="00B76F43" w:rsidRPr="00B76F43" w14:paraId="44EBD3A5" w14:textId="77777777" w:rsidTr="00B76F43">
        <w:trPr>
          <w:trHeight w:val="320"/>
        </w:trPr>
        <w:tc>
          <w:tcPr>
            <w:tcW w:w="780" w:type="dxa"/>
            <w:vMerge/>
            <w:tcBorders>
              <w:top w:val="nil"/>
              <w:left w:val="single" w:sz="4" w:space="0" w:color="auto"/>
              <w:bottom w:val="single" w:sz="4" w:space="0" w:color="auto"/>
              <w:right w:val="single" w:sz="4" w:space="0" w:color="auto"/>
            </w:tcBorders>
            <w:vAlign w:val="center"/>
            <w:hideMark/>
          </w:tcPr>
          <w:p w14:paraId="07D0DEF7" w14:textId="77777777" w:rsidR="00B76F43" w:rsidRPr="00B76F43" w:rsidRDefault="00B76F43" w:rsidP="00B76F43">
            <w:pPr>
              <w:rPr>
                <w:rFonts w:ascii="Aptos Narrow" w:eastAsia="Times New Roman" w:hAnsi="Aptos Narrow" w:cs="Times New Roman"/>
                <w:b/>
                <w:bCs/>
                <w:color w:val="000000"/>
                <w:kern w:val="0"/>
                <w:sz w:val="16"/>
                <w:szCs w:val="16"/>
                <w14:ligatures w14:val="none"/>
              </w:rPr>
            </w:pPr>
          </w:p>
        </w:tc>
        <w:tc>
          <w:tcPr>
            <w:tcW w:w="2920" w:type="dxa"/>
            <w:tcBorders>
              <w:top w:val="nil"/>
              <w:left w:val="nil"/>
              <w:bottom w:val="single" w:sz="4" w:space="0" w:color="auto"/>
              <w:right w:val="single" w:sz="4" w:space="0" w:color="auto"/>
            </w:tcBorders>
            <w:shd w:val="clear" w:color="CFE2F3" w:fill="DBBDF9"/>
            <w:vAlign w:val="center"/>
            <w:hideMark/>
          </w:tcPr>
          <w:p w14:paraId="7306684B" w14:textId="77777777" w:rsidR="00B76F43" w:rsidRPr="00B76F43" w:rsidRDefault="00B76F43" w:rsidP="00B76F43">
            <w:pPr>
              <w:jc w:val="center"/>
              <w:rPr>
                <w:rFonts w:ascii="Aptos Narrow" w:eastAsia="Times New Roman" w:hAnsi="Aptos Narrow" w:cs="Times New Roman"/>
                <w:b/>
                <w:bCs/>
                <w:color w:val="000000"/>
                <w:kern w:val="0"/>
                <w:sz w:val="16"/>
                <w:szCs w:val="16"/>
                <w14:ligatures w14:val="none"/>
              </w:rPr>
            </w:pPr>
            <w:r w:rsidRPr="00B76F43">
              <w:rPr>
                <w:rFonts w:ascii="Aptos Narrow" w:eastAsia="Times New Roman" w:hAnsi="Aptos Narrow" w:cs="Times New Roman"/>
                <w:b/>
                <w:bCs/>
                <w:color w:val="000000"/>
                <w:kern w:val="0"/>
                <w:sz w:val="16"/>
                <w:szCs w:val="16"/>
                <w14:ligatures w14:val="none"/>
              </w:rPr>
              <w:t>Notes</w:t>
            </w:r>
          </w:p>
        </w:tc>
        <w:tc>
          <w:tcPr>
            <w:tcW w:w="2600" w:type="dxa"/>
            <w:tcBorders>
              <w:top w:val="nil"/>
              <w:left w:val="nil"/>
              <w:bottom w:val="single" w:sz="4" w:space="0" w:color="auto"/>
              <w:right w:val="single" w:sz="4" w:space="0" w:color="auto"/>
            </w:tcBorders>
            <w:shd w:val="clear" w:color="CFE2F3" w:fill="DBBDF9"/>
            <w:vAlign w:val="center"/>
            <w:hideMark/>
          </w:tcPr>
          <w:p w14:paraId="57DBF8C9" w14:textId="77777777" w:rsidR="00B76F43" w:rsidRPr="00B76F43" w:rsidRDefault="00B76F43" w:rsidP="00B76F43">
            <w:pPr>
              <w:jc w:val="cente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Free Text</w:t>
            </w:r>
          </w:p>
        </w:tc>
        <w:tc>
          <w:tcPr>
            <w:tcW w:w="6380" w:type="dxa"/>
            <w:tcBorders>
              <w:top w:val="nil"/>
              <w:left w:val="nil"/>
              <w:bottom w:val="single" w:sz="4" w:space="0" w:color="auto"/>
              <w:right w:val="single" w:sz="4" w:space="0" w:color="auto"/>
            </w:tcBorders>
            <w:shd w:val="clear" w:color="CFE2F3" w:fill="DBBDF9"/>
            <w:vAlign w:val="center"/>
            <w:hideMark/>
          </w:tcPr>
          <w:p w14:paraId="2CE4144F" w14:textId="77777777" w:rsidR="00B76F43" w:rsidRPr="00B76F43" w:rsidRDefault="00B76F43" w:rsidP="00B76F43">
            <w:pPr>
              <w:rPr>
                <w:rFonts w:ascii="Aptos Narrow" w:eastAsia="Times New Roman" w:hAnsi="Aptos Narrow" w:cs="Times New Roman"/>
                <w:color w:val="000000"/>
                <w:kern w:val="0"/>
                <w:sz w:val="16"/>
                <w:szCs w:val="16"/>
                <w14:ligatures w14:val="none"/>
              </w:rPr>
            </w:pPr>
            <w:r w:rsidRPr="00B76F43">
              <w:rPr>
                <w:rFonts w:ascii="Aptos Narrow" w:eastAsia="Times New Roman" w:hAnsi="Aptos Narrow" w:cs="Times New Roman"/>
                <w:color w:val="000000"/>
                <w:kern w:val="0"/>
                <w:sz w:val="16"/>
                <w:szCs w:val="16"/>
                <w14:ligatures w14:val="none"/>
              </w:rPr>
              <w:t> </w:t>
            </w:r>
          </w:p>
        </w:tc>
      </w:tr>
    </w:tbl>
    <w:p w14:paraId="19BB1823" w14:textId="77777777" w:rsidR="00B76F43" w:rsidRDefault="00B76F43"/>
    <w:sectPr w:rsidR="00B76F43" w:rsidSect="00B76F4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F43"/>
    <w:rsid w:val="000906AC"/>
    <w:rsid w:val="000C2B5F"/>
    <w:rsid w:val="000D73CD"/>
    <w:rsid w:val="00180DA9"/>
    <w:rsid w:val="001B08EE"/>
    <w:rsid w:val="00543B87"/>
    <w:rsid w:val="00801C9F"/>
    <w:rsid w:val="008F4B7D"/>
    <w:rsid w:val="00A31B0B"/>
    <w:rsid w:val="00A5458C"/>
    <w:rsid w:val="00AC189B"/>
    <w:rsid w:val="00B07E10"/>
    <w:rsid w:val="00B76F43"/>
    <w:rsid w:val="00CF1C88"/>
    <w:rsid w:val="00E52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1BC14E"/>
  <w14:defaultImageDpi w14:val="32767"/>
  <w15:chartTrackingRefBased/>
  <w15:docId w15:val="{993F2474-35BC-5246-8335-44196839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F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6F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6F4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6F4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76F4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76F4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6F4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6F4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6F4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F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6F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6F4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6F4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76F4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76F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6F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6F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6F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6F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F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F4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F4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6F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76F43"/>
    <w:rPr>
      <w:i/>
      <w:iCs/>
      <w:color w:val="404040" w:themeColor="text1" w:themeTint="BF"/>
    </w:rPr>
  </w:style>
  <w:style w:type="paragraph" w:styleId="ListParagraph">
    <w:name w:val="List Paragraph"/>
    <w:basedOn w:val="Normal"/>
    <w:uiPriority w:val="34"/>
    <w:qFormat/>
    <w:rsid w:val="00B76F43"/>
    <w:pPr>
      <w:ind w:left="720"/>
      <w:contextualSpacing/>
    </w:pPr>
  </w:style>
  <w:style w:type="character" w:styleId="IntenseEmphasis">
    <w:name w:val="Intense Emphasis"/>
    <w:basedOn w:val="DefaultParagraphFont"/>
    <w:uiPriority w:val="21"/>
    <w:qFormat/>
    <w:rsid w:val="00B76F43"/>
    <w:rPr>
      <w:i/>
      <w:iCs/>
      <w:color w:val="0F4761" w:themeColor="accent1" w:themeShade="BF"/>
    </w:rPr>
  </w:style>
  <w:style w:type="paragraph" w:styleId="IntenseQuote">
    <w:name w:val="Intense Quote"/>
    <w:basedOn w:val="Normal"/>
    <w:next w:val="Normal"/>
    <w:link w:val="IntenseQuoteChar"/>
    <w:uiPriority w:val="30"/>
    <w:qFormat/>
    <w:rsid w:val="00B76F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6F43"/>
    <w:rPr>
      <w:i/>
      <w:iCs/>
      <w:color w:val="0F4761" w:themeColor="accent1" w:themeShade="BF"/>
    </w:rPr>
  </w:style>
  <w:style w:type="character" w:styleId="IntenseReference">
    <w:name w:val="Intense Reference"/>
    <w:basedOn w:val="DefaultParagraphFont"/>
    <w:uiPriority w:val="32"/>
    <w:qFormat/>
    <w:rsid w:val="00B76F43"/>
    <w:rPr>
      <w:b/>
      <w:bCs/>
      <w:smallCaps/>
      <w:color w:val="0F4761" w:themeColor="accent1" w:themeShade="BF"/>
      <w:spacing w:val="5"/>
    </w:rPr>
  </w:style>
  <w:style w:type="table" w:styleId="TableGrid">
    <w:name w:val="Table Grid"/>
    <w:basedOn w:val="TableNormal"/>
    <w:uiPriority w:val="39"/>
    <w:rsid w:val="000C2B5F"/>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910251">
      <w:bodyDiv w:val="1"/>
      <w:marLeft w:val="0"/>
      <w:marRight w:val="0"/>
      <w:marTop w:val="0"/>
      <w:marBottom w:val="0"/>
      <w:divBdr>
        <w:top w:val="none" w:sz="0" w:space="0" w:color="auto"/>
        <w:left w:val="none" w:sz="0" w:space="0" w:color="auto"/>
        <w:bottom w:val="none" w:sz="0" w:space="0" w:color="auto"/>
        <w:right w:val="none" w:sz="0" w:space="0" w:color="auto"/>
      </w:divBdr>
    </w:div>
    <w:div w:id="1446853238">
      <w:bodyDiv w:val="1"/>
      <w:marLeft w:val="0"/>
      <w:marRight w:val="0"/>
      <w:marTop w:val="0"/>
      <w:marBottom w:val="0"/>
      <w:divBdr>
        <w:top w:val="none" w:sz="0" w:space="0" w:color="auto"/>
        <w:left w:val="none" w:sz="0" w:space="0" w:color="auto"/>
        <w:bottom w:val="none" w:sz="0" w:space="0" w:color="auto"/>
        <w:right w:val="none" w:sz="0" w:space="0" w:color="auto"/>
      </w:divBdr>
    </w:div>
    <w:div w:id="169969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1571</Words>
  <Characters>8959</Characters>
  <Application>Microsoft Office Word</Application>
  <DocSecurity>0</DocSecurity>
  <Lines>74</Lines>
  <Paragraphs>21</Paragraphs>
  <ScaleCrop>false</ScaleCrop>
  <Company/>
  <LinksUpToDate>false</LinksUpToDate>
  <CharactersWithSpaces>10509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Subramaniam, Disha</dc:creator>
  <cp:keywords/>
  <dc:description/>
  <cp:lastModifiedBy>Subramaniam, Disha</cp:lastModifiedBy>
  <cp:revision>2</cp:revision>
  <dcterms:created xsi:type="dcterms:W3CDTF">2024-06-24T21:50:00Z</dcterms:created>
  <dcterms:modified xsi:type="dcterms:W3CDTF">2024-06-24T21:50:00Z</dcterms:modified>
</cp:coreProperties>
</file>