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40FC" w:rsidRDefault="001040FC">
      <w:pPr>
        <w:rPr>
          <w:b/>
        </w:rPr>
      </w:pPr>
    </w:p>
    <w:p w:rsidR="001040FC" w:rsidRDefault="001040FC">
      <w:pPr>
        <w:jc w:val="center"/>
        <w:rPr>
          <w:b/>
        </w:rPr>
      </w:pPr>
    </w:p>
    <w:tbl>
      <w:tblPr>
        <w:tblStyle w:val="a0"/>
        <w:tblW w:w="10530" w:type="dxa"/>
        <w:jc w:val="center"/>
        <w:tblBorders>
          <w:top w:val="single" w:sz="4" w:space="0" w:color="000000"/>
          <w:left w:val="nil"/>
          <w:bottom w:val="single" w:sz="4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0"/>
        <w:gridCol w:w="7980"/>
      </w:tblGrid>
      <w:tr w:rsidR="001040FC" w:rsidRPr="007B1D32" w:rsidTr="00EC6D9D">
        <w:trPr>
          <w:trHeight w:val="521"/>
          <w:jc w:val="center"/>
        </w:trPr>
        <w:tc>
          <w:tcPr>
            <w:tcW w:w="10530" w:type="dxa"/>
            <w:gridSpan w:val="2"/>
            <w:tcBorders>
              <w:top w:val="nil"/>
              <w:bottom w:val="single" w:sz="4" w:space="0" w:color="000000"/>
            </w:tcBorders>
            <w:vAlign w:val="center"/>
          </w:tcPr>
          <w:p w:rsidR="00F52D8D" w:rsidRPr="005C7C3E" w:rsidRDefault="00EC6D9D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5C7C3E">
              <w:rPr>
                <w:rFonts w:ascii="Times New Roman" w:hAnsi="Times New Roman" w:cs="Times New Roman"/>
                <w:b/>
                <w:bCs/>
                <w:iCs/>
              </w:rPr>
              <w:t>Online Resource</w:t>
            </w:r>
            <w:r w:rsidR="007B1D32" w:rsidRPr="005C7C3E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="00D276B2" w:rsidRPr="005C7C3E">
              <w:rPr>
                <w:rFonts w:ascii="Times New Roman" w:hAnsi="Times New Roman" w:cs="Times New Roman"/>
                <w:b/>
                <w:bCs/>
                <w:iCs/>
              </w:rPr>
              <w:t>2</w:t>
            </w:r>
          </w:p>
          <w:p w:rsidR="00F52D8D" w:rsidRDefault="00F52D8D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1040FC" w:rsidRPr="005C7C3E" w:rsidRDefault="007B1D32">
            <w:pPr>
              <w:rPr>
                <w:rFonts w:ascii="Times New Roman" w:hAnsi="Times New Roman" w:cs="Times New Roman"/>
                <w:i/>
              </w:rPr>
            </w:pPr>
            <w:bookmarkStart w:id="0" w:name="_GoBack"/>
            <w:r w:rsidRPr="005C7C3E">
              <w:rPr>
                <w:rFonts w:ascii="Times New Roman" w:hAnsi="Times New Roman" w:cs="Times New Roman"/>
                <w:i/>
              </w:rPr>
              <w:t xml:space="preserve">Adapted definitions of the Expert Recommendations for Implementation Change (ERIC) </w:t>
            </w:r>
            <w:r w:rsidR="00D9516A" w:rsidRPr="005C7C3E">
              <w:rPr>
                <w:rFonts w:ascii="Times New Roman" w:hAnsi="Times New Roman" w:cs="Times New Roman"/>
                <w:i/>
              </w:rPr>
              <w:t xml:space="preserve">categories </w:t>
            </w:r>
            <w:r w:rsidRPr="005C7C3E">
              <w:rPr>
                <w:rFonts w:ascii="Times New Roman" w:hAnsi="Times New Roman" w:cs="Times New Roman"/>
                <w:i/>
              </w:rPr>
              <w:t>to the context of Criança Feliz's analysis.</w:t>
            </w:r>
            <w:bookmarkEnd w:id="0"/>
          </w:p>
        </w:tc>
      </w:tr>
      <w:tr w:rsidR="001040FC" w:rsidRPr="007B1D32" w:rsidTr="00EC6D9D">
        <w:trPr>
          <w:trHeight w:val="1197"/>
          <w:jc w:val="center"/>
        </w:trPr>
        <w:tc>
          <w:tcPr>
            <w:tcW w:w="2550" w:type="dxa"/>
            <w:tcBorders>
              <w:top w:val="single" w:sz="4" w:space="0" w:color="000000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 xml:space="preserve">ERIC </w:t>
            </w:r>
          </w:p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 xml:space="preserve">implementation strategies </w:t>
            </w:r>
            <w:r w:rsidR="00D9516A" w:rsidRPr="007B1D32">
              <w:rPr>
                <w:rFonts w:ascii="Times New Roman" w:hAnsi="Times New Roman" w:cs="Times New Roman"/>
                <w:b/>
              </w:rPr>
              <w:t>categories</w:t>
            </w:r>
          </w:p>
        </w:tc>
        <w:tc>
          <w:tcPr>
            <w:tcW w:w="7980" w:type="dxa"/>
            <w:tcBorders>
              <w:top w:val="single" w:sz="4" w:space="0" w:color="000000"/>
              <w:left w:val="nil"/>
            </w:tcBorders>
            <w:vAlign w:val="center"/>
          </w:tcPr>
          <w:p w:rsidR="001040FC" w:rsidRPr="007B1D32" w:rsidRDefault="007B1D32">
            <w:pPr>
              <w:jc w:val="center"/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  <w:b/>
              </w:rPr>
              <w:t>Definitions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>Use evaluative and iterative strategies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>Strategies to monitor and evaluate to ensure quality and fidelity, identification of barriers and facilitators, and assessment of population needs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>Provide interactive assistance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>Strategies to provide technical assistance to PCF teams to guarantee the quality and fidelity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>Adapt and tailor to context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>Strategies to tailor PCF to municipal and family contexts, prioritizing their demands and needs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>Develop stakeholder interrelationships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bookmarkStart w:id="1" w:name="_heading=h.gjdgxs" w:colFirst="0" w:colLast="0"/>
            <w:bookmarkEnd w:id="1"/>
            <w:r w:rsidRPr="007B1D32">
              <w:rPr>
                <w:rFonts w:ascii="Times New Roman" w:hAnsi="Times New Roman" w:cs="Times New Roman"/>
              </w:rPr>
              <w:t xml:space="preserve">Strategies to develop a formal or informal referral process within the multisectoral network systems, and the development of strategies to engage and strengthen community resources 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>Train and educate stakeholders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 xml:space="preserve">Strategies and tools to train PCF teams to guarantee fidelity of the evidence-based intervention 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>Support PCF teams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>Strategies to enhance PCF’s team self-efficacy and knowledge, to monitor PCF’s requirements and goals, in addition to complimentary multisector agreements and qualified workforce to address families’ needs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>Utilize financial strategies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>Strategies to fund the scaling up of the PCF and different funding schemes and criteria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 xml:space="preserve">Change infrastructure 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>Strategies to change physical structure, equipment, and record systems in order to make PCF feasible, appropriate, and to improve the monitoring and evaluation of implementation outcomes.</w:t>
            </w:r>
          </w:p>
        </w:tc>
      </w:tr>
      <w:tr w:rsidR="001040FC" w:rsidRPr="007B1D32" w:rsidTr="00EC6D9D">
        <w:trPr>
          <w:jc w:val="center"/>
        </w:trPr>
        <w:tc>
          <w:tcPr>
            <w:tcW w:w="2550" w:type="dxa"/>
            <w:tcBorders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  <w:b/>
              </w:rPr>
            </w:pPr>
            <w:r w:rsidRPr="007B1D32">
              <w:rPr>
                <w:rFonts w:ascii="Times New Roman" w:hAnsi="Times New Roman" w:cs="Times New Roman"/>
                <w:b/>
              </w:rPr>
              <w:t xml:space="preserve">Engage demand side </w:t>
            </w:r>
          </w:p>
        </w:tc>
        <w:tc>
          <w:tcPr>
            <w:tcW w:w="7980" w:type="dxa"/>
            <w:tcBorders>
              <w:left w:val="nil"/>
              <w:right w:val="nil"/>
            </w:tcBorders>
            <w:vAlign w:val="center"/>
          </w:tcPr>
          <w:p w:rsidR="001040FC" w:rsidRPr="007B1D32" w:rsidRDefault="007B1D32">
            <w:pPr>
              <w:rPr>
                <w:rFonts w:ascii="Times New Roman" w:hAnsi="Times New Roman" w:cs="Times New Roman"/>
              </w:rPr>
            </w:pPr>
            <w:r w:rsidRPr="007B1D32">
              <w:rPr>
                <w:rFonts w:ascii="Times New Roman" w:hAnsi="Times New Roman" w:cs="Times New Roman"/>
              </w:rPr>
              <w:t>Strategies to prepare and involve families participating in PCF to be engaged and active, as well as strategies to increase PCF implementation reach.</w:t>
            </w:r>
          </w:p>
        </w:tc>
      </w:tr>
    </w:tbl>
    <w:p w:rsidR="001040FC" w:rsidRDefault="001040FC">
      <w:pPr>
        <w:jc w:val="center"/>
        <w:rPr>
          <w:b/>
        </w:rPr>
      </w:pPr>
    </w:p>
    <w:p w:rsidR="001040FC" w:rsidRDefault="001040FC"/>
    <w:sectPr w:rsidR="001040F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40FC"/>
    <w:rsid w:val="001040FC"/>
    <w:rsid w:val="00127A05"/>
    <w:rsid w:val="00312562"/>
    <w:rsid w:val="005C7C3E"/>
    <w:rsid w:val="007B1D32"/>
    <w:rsid w:val="00D276B2"/>
    <w:rsid w:val="00D9516A"/>
    <w:rsid w:val="00EC6D9D"/>
    <w:rsid w:val="00F5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FFEC2-7B07-DA42-99D0-6EED40AA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554F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B855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Svm6nuhjpDE8x68GUEPh3NujCw==">CgMxLjAyCGguZ2pkZ3hzOABqJQoUc3VnZ2VzdC5keXFocjhrZWs4OW8SDVJlYmVjY2EgRHVubmVqJQoUc3VnZ2VzdC5sbmNybDg0czlxaWsSDVJlYmVjY2EgRHVubmVqJAoTc3VnZ2VzdC5ocnYyandwNWJqbxINUmViZWNjYSBEdW5uZWolChRzdWdnZXN0Ljgwd2RjMGx6Y2txbRINUmViZWNjYSBEdW5uZXIhMWYxYjRBWU1GSENoTHczSVZxdXl3emFzRU8yOC1FWVFF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Godoi</dc:creator>
  <cp:lastModifiedBy>Gabriela Buccini</cp:lastModifiedBy>
  <cp:revision>7</cp:revision>
  <dcterms:created xsi:type="dcterms:W3CDTF">2023-07-27T21:02:00Z</dcterms:created>
  <dcterms:modified xsi:type="dcterms:W3CDTF">2024-09-27T20:42:00Z</dcterms:modified>
</cp:coreProperties>
</file>