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4580" w:type="dxa"/>
        <w:tblInd w:w="-905" w:type="dxa"/>
        <w:tblLook w:val="04A0" w:firstRow="1" w:lastRow="0" w:firstColumn="1" w:lastColumn="0" w:noHBand="0" w:noVBand="1"/>
      </w:tblPr>
      <w:tblGrid>
        <w:gridCol w:w="1376"/>
        <w:gridCol w:w="6551"/>
        <w:gridCol w:w="6653"/>
      </w:tblGrid>
      <w:tr w:rsidR="00811B65" w:rsidRPr="00F8638B" w:rsidTr="00811B65">
        <w:tc>
          <w:tcPr>
            <w:tcW w:w="14580" w:type="dxa"/>
            <w:gridSpan w:val="3"/>
            <w:tcBorders>
              <w:top w:val="nil"/>
              <w:left w:val="nil"/>
              <w:bottom w:val="single" w:sz="4" w:space="0" w:color="auto"/>
              <w:right w:val="nil"/>
            </w:tcBorders>
          </w:tcPr>
          <w:p w:rsidR="00B72888" w:rsidRPr="00361A9F" w:rsidRDefault="00B72888" w:rsidP="009D0FD8">
            <w:pPr>
              <w:spacing w:line="480" w:lineRule="auto"/>
              <w:rPr>
                <w:rFonts w:ascii="Times New Roman" w:hAnsi="Times New Roman" w:cs="Times New Roman"/>
                <w:b/>
                <w:sz w:val="18"/>
                <w:szCs w:val="18"/>
              </w:rPr>
            </w:pPr>
            <w:r w:rsidRPr="00361A9F">
              <w:rPr>
                <w:rFonts w:ascii="Times New Roman" w:hAnsi="Times New Roman" w:cs="Times New Roman"/>
                <w:b/>
                <w:sz w:val="18"/>
                <w:szCs w:val="18"/>
              </w:rPr>
              <w:t xml:space="preserve">Online Resource </w:t>
            </w:r>
            <w:r w:rsidR="00456FAC">
              <w:rPr>
                <w:rFonts w:ascii="Times New Roman" w:hAnsi="Times New Roman" w:cs="Times New Roman"/>
                <w:b/>
                <w:sz w:val="18"/>
                <w:szCs w:val="18"/>
              </w:rPr>
              <w:t>4</w:t>
            </w:r>
            <w:bookmarkStart w:id="0" w:name="_GoBack"/>
            <w:bookmarkEnd w:id="0"/>
          </w:p>
          <w:p w:rsidR="00811B65" w:rsidRPr="00361A9F" w:rsidRDefault="00F8638B" w:rsidP="009D0FD8">
            <w:pPr>
              <w:spacing w:line="480" w:lineRule="auto"/>
              <w:rPr>
                <w:rFonts w:ascii="Times New Roman" w:hAnsi="Times New Roman" w:cs="Times New Roman"/>
                <w:i/>
                <w:sz w:val="18"/>
                <w:szCs w:val="18"/>
              </w:rPr>
            </w:pPr>
            <w:r w:rsidRPr="00361A9F">
              <w:rPr>
                <w:rFonts w:ascii="Times New Roman" w:hAnsi="Times New Roman" w:cs="Times New Roman"/>
                <w:i/>
                <w:sz w:val="18"/>
                <w:szCs w:val="18"/>
              </w:rPr>
              <w:t xml:space="preserve">Narrative </w:t>
            </w:r>
            <w:r w:rsidR="000371E9" w:rsidRPr="00361A9F">
              <w:rPr>
                <w:rFonts w:ascii="Times New Roman" w:hAnsi="Times New Roman" w:cs="Times New Roman"/>
                <w:i/>
                <w:sz w:val="18"/>
                <w:szCs w:val="18"/>
              </w:rPr>
              <w:t>S</w:t>
            </w:r>
            <w:r w:rsidR="00811B65" w:rsidRPr="00361A9F">
              <w:rPr>
                <w:rFonts w:ascii="Times New Roman" w:hAnsi="Times New Roman" w:cs="Times New Roman"/>
                <w:i/>
                <w:sz w:val="18"/>
                <w:szCs w:val="18"/>
              </w:rPr>
              <w:t xml:space="preserve">ummary of </w:t>
            </w:r>
            <w:r w:rsidR="000371E9" w:rsidRPr="00361A9F">
              <w:rPr>
                <w:rFonts w:ascii="Times New Roman" w:hAnsi="Times New Roman" w:cs="Times New Roman"/>
                <w:i/>
                <w:sz w:val="18"/>
                <w:szCs w:val="18"/>
              </w:rPr>
              <w:t>I</w:t>
            </w:r>
            <w:r w:rsidR="00811B65" w:rsidRPr="00361A9F">
              <w:rPr>
                <w:rFonts w:ascii="Times New Roman" w:hAnsi="Times New Roman" w:cs="Times New Roman"/>
                <w:i/>
                <w:sz w:val="18"/>
                <w:szCs w:val="18"/>
              </w:rPr>
              <w:t xml:space="preserve">dentified </w:t>
            </w:r>
            <w:r w:rsidR="000371E9" w:rsidRPr="00361A9F">
              <w:rPr>
                <w:rFonts w:ascii="Times New Roman" w:hAnsi="Times New Roman" w:cs="Times New Roman"/>
                <w:i/>
                <w:sz w:val="18"/>
                <w:szCs w:val="18"/>
              </w:rPr>
              <w:t>F</w:t>
            </w:r>
            <w:r w:rsidR="00811B65" w:rsidRPr="00361A9F">
              <w:rPr>
                <w:rFonts w:ascii="Times New Roman" w:hAnsi="Times New Roman" w:cs="Times New Roman"/>
                <w:i/>
                <w:sz w:val="18"/>
                <w:szCs w:val="18"/>
              </w:rPr>
              <w:t xml:space="preserve">acilitators and </w:t>
            </w:r>
            <w:r w:rsidR="000371E9" w:rsidRPr="00361A9F">
              <w:rPr>
                <w:rFonts w:ascii="Times New Roman" w:hAnsi="Times New Roman" w:cs="Times New Roman"/>
                <w:i/>
                <w:sz w:val="18"/>
                <w:szCs w:val="18"/>
              </w:rPr>
              <w:t>B</w:t>
            </w:r>
            <w:r w:rsidR="00811B65" w:rsidRPr="00361A9F">
              <w:rPr>
                <w:rFonts w:ascii="Times New Roman" w:hAnsi="Times New Roman" w:cs="Times New Roman"/>
                <w:i/>
                <w:sz w:val="18"/>
                <w:szCs w:val="18"/>
              </w:rPr>
              <w:t xml:space="preserve">arriers </w:t>
            </w:r>
            <w:r w:rsidR="000371E9" w:rsidRPr="00361A9F">
              <w:rPr>
                <w:rFonts w:ascii="Times New Roman" w:hAnsi="Times New Roman" w:cs="Times New Roman"/>
                <w:i/>
                <w:sz w:val="18"/>
                <w:szCs w:val="18"/>
              </w:rPr>
              <w:t>A</w:t>
            </w:r>
            <w:r w:rsidR="00811B65" w:rsidRPr="00361A9F">
              <w:rPr>
                <w:rFonts w:ascii="Times New Roman" w:hAnsi="Times New Roman" w:cs="Times New Roman"/>
                <w:i/>
                <w:sz w:val="18"/>
                <w:szCs w:val="18"/>
              </w:rPr>
              <w:t xml:space="preserve">cross </w:t>
            </w:r>
            <w:r w:rsidR="000371E9" w:rsidRPr="00361A9F">
              <w:rPr>
                <w:rFonts w:ascii="Times New Roman" w:hAnsi="Times New Roman" w:cs="Times New Roman"/>
                <w:i/>
                <w:sz w:val="18"/>
                <w:szCs w:val="18"/>
              </w:rPr>
              <w:t>C</w:t>
            </w:r>
            <w:r w:rsidR="009D0FD8" w:rsidRPr="00361A9F">
              <w:rPr>
                <w:rFonts w:ascii="Times New Roman" w:hAnsi="Times New Roman" w:cs="Times New Roman"/>
                <w:i/>
                <w:sz w:val="18"/>
                <w:szCs w:val="18"/>
              </w:rPr>
              <w:t xml:space="preserve">ritical </w:t>
            </w:r>
            <w:r w:rsidR="000371E9" w:rsidRPr="00361A9F">
              <w:rPr>
                <w:rFonts w:ascii="Times New Roman" w:hAnsi="Times New Roman" w:cs="Times New Roman"/>
                <w:i/>
                <w:sz w:val="18"/>
                <w:szCs w:val="18"/>
              </w:rPr>
              <w:t>Q</w:t>
            </w:r>
            <w:r w:rsidR="009D0FD8" w:rsidRPr="00361A9F">
              <w:rPr>
                <w:rFonts w:ascii="Times New Roman" w:hAnsi="Times New Roman" w:cs="Times New Roman"/>
                <w:i/>
                <w:sz w:val="18"/>
                <w:szCs w:val="18"/>
              </w:rPr>
              <w:t xml:space="preserve">uality </w:t>
            </w:r>
            <w:r w:rsidR="000371E9" w:rsidRPr="00361A9F">
              <w:rPr>
                <w:rFonts w:ascii="Times New Roman" w:hAnsi="Times New Roman" w:cs="Times New Roman"/>
                <w:i/>
                <w:sz w:val="18"/>
                <w:szCs w:val="18"/>
              </w:rPr>
              <w:t>C</w:t>
            </w:r>
            <w:r w:rsidR="009D0FD8" w:rsidRPr="00361A9F">
              <w:rPr>
                <w:rFonts w:ascii="Times New Roman" w:hAnsi="Times New Roman" w:cs="Times New Roman"/>
                <w:i/>
                <w:sz w:val="18"/>
                <w:szCs w:val="18"/>
              </w:rPr>
              <w:t xml:space="preserve">ontrol </w:t>
            </w:r>
            <w:r w:rsidR="000371E9" w:rsidRPr="00361A9F">
              <w:rPr>
                <w:rFonts w:ascii="Times New Roman" w:hAnsi="Times New Roman" w:cs="Times New Roman"/>
                <w:i/>
                <w:sz w:val="18"/>
                <w:szCs w:val="18"/>
              </w:rPr>
              <w:t>P</w:t>
            </w:r>
            <w:r w:rsidR="009D0FD8" w:rsidRPr="00361A9F">
              <w:rPr>
                <w:rFonts w:ascii="Times New Roman" w:hAnsi="Times New Roman" w:cs="Times New Roman"/>
                <w:i/>
                <w:sz w:val="18"/>
                <w:szCs w:val="18"/>
              </w:rPr>
              <w:t>oints (CQCPs)</w:t>
            </w:r>
          </w:p>
        </w:tc>
      </w:tr>
      <w:tr w:rsidR="00811B65" w:rsidRPr="00F8638B" w:rsidTr="009D0FD8">
        <w:tc>
          <w:tcPr>
            <w:tcW w:w="1362" w:type="dxa"/>
            <w:tcBorders>
              <w:top w:val="single" w:sz="4" w:space="0" w:color="auto"/>
            </w:tcBorders>
          </w:tcPr>
          <w:p w:rsidR="00811B65" w:rsidRPr="00F8638B" w:rsidRDefault="00811B65" w:rsidP="009D0FD8">
            <w:pPr>
              <w:spacing w:line="480" w:lineRule="auto"/>
              <w:rPr>
                <w:rFonts w:ascii="Times New Roman" w:hAnsi="Times New Roman" w:cs="Times New Roman"/>
                <w:sz w:val="18"/>
                <w:szCs w:val="18"/>
              </w:rPr>
            </w:pPr>
          </w:p>
        </w:tc>
        <w:tc>
          <w:tcPr>
            <w:tcW w:w="6558" w:type="dxa"/>
            <w:tcBorders>
              <w:top w:val="single" w:sz="4" w:space="0" w:color="auto"/>
            </w:tcBorders>
            <w:vAlign w:val="center"/>
          </w:tcPr>
          <w:p w:rsidR="00811B65" w:rsidRPr="00F8638B" w:rsidRDefault="00811B65" w:rsidP="009D0FD8">
            <w:pPr>
              <w:spacing w:line="480" w:lineRule="auto"/>
              <w:jc w:val="center"/>
              <w:rPr>
                <w:rFonts w:ascii="Times New Roman" w:hAnsi="Times New Roman" w:cs="Times New Roman"/>
                <w:sz w:val="18"/>
                <w:szCs w:val="18"/>
              </w:rPr>
            </w:pPr>
            <w:r w:rsidRPr="00F8638B">
              <w:rPr>
                <w:rFonts w:ascii="Times New Roman" w:hAnsi="Times New Roman" w:cs="Times New Roman"/>
                <w:sz w:val="18"/>
                <w:szCs w:val="18"/>
              </w:rPr>
              <w:t>Facilitators</w:t>
            </w:r>
          </w:p>
        </w:tc>
        <w:tc>
          <w:tcPr>
            <w:tcW w:w="6660" w:type="dxa"/>
            <w:tcBorders>
              <w:top w:val="single" w:sz="4" w:space="0" w:color="auto"/>
            </w:tcBorders>
            <w:vAlign w:val="center"/>
          </w:tcPr>
          <w:p w:rsidR="00811B65" w:rsidRPr="00F8638B" w:rsidRDefault="00811B65" w:rsidP="009D0FD8">
            <w:pPr>
              <w:spacing w:line="480" w:lineRule="auto"/>
              <w:jc w:val="center"/>
              <w:rPr>
                <w:rFonts w:ascii="Times New Roman" w:hAnsi="Times New Roman" w:cs="Times New Roman"/>
                <w:sz w:val="18"/>
                <w:szCs w:val="18"/>
              </w:rPr>
            </w:pPr>
            <w:r w:rsidRPr="00F8638B">
              <w:rPr>
                <w:rFonts w:ascii="Times New Roman" w:hAnsi="Times New Roman" w:cs="Times New Roman"/>
                <w:sz w:val="18"/>
                <w:szCs w:val="18"/>
              </w:rPr>
              <w:t>Barriers</w:t>
            </w:r>
          </w:p>
        </w:tc>
      </w:tr>
      <w:tr w:rsidR="00811B65" w:rsidRPr="00F8638B" w:rsidTr="009D0FD8">
        <w:tc>
          <w:tcPr>
            <w:tcW w:w="1362" w:type="dxa"/>
            <w:vAlign w:val="center"/>
          </w:tcPr>
          <w:p w:rsidR="00811B65" w:rsidRPr="009D0FD8" w:rsidRDefault="00811B65" w:rsidP="009D0FD8">
            <w:pPr>
              <w:spacing w:line="480" w:lineRule="auto"/>
              <w:rPr>
                <w:rFonts w:ascii="Times New Roman" w:hAnsi="Times New Roman" w:cs="Times New Roman"/>
                <w:sz w:val="18"/>
                <w:szCs w:val="18"/>
              </w:rPr>
            </w:pPr>
            <w:r w:rsidRPr="009D0FD8">
              <w:rPr>
                <w:rFonts w:ascii="Times New Roman" w:hAnsi="Times New Roman" w:cs="Times New Roman"/>
                <w:sz w:val="18"/>
                <w:szCs w:val="18"/>
              </w:rPr>
              <w:t>CQCP 1 - Hiring Municipal Workforc</w:t>
            </w:r>
            <w:r w:rsidR="009D0FD8">
              <w:rPr>
                <w:rFonts w:ascii="Times New Roman" w:hAnsi="Times New Roman" w:cs="Times New Roman"/>
                <w:sz w:val="18"/>
                <w:szCs w:val="18"/>
              </w:rPr>
              <w:t>e</w:t>
            </w:r>
          </w:p>
        </w:tc>
        <w:tc>
          <w:tcPr>
            <w:tcW w:w="6558" w:type="dxa"/>
          </w:tcPr>
          <w:p w:rsidR="00811B65" w:rsidRPr="00F8638B" w:rsidRDefault="00811B65" w:rsidP="009D0FD8">
            <w:pPr>
              <w:spacing w:line="480" w:lineRule="auto"/>
              <w:rPr>
                <w:rFonts w:ascii="Times New Roman" w:hAnsi="Times New Roman" w:cs="Times New Roman"/>
                <w:sz w:val="18"/>
                <w:szCs w:val="18"/>
              </w:rPr>
            </w:pPr>
            <w:r w:rsidRPr="00F8638B">
              <w:rPr>
                <w:rFonts w:ascii="Times New Roman" w:hAnsi="Times New Roman" w:cs="Times New Roman"/>
                <w:sz w:val="18"/>
                <w:szCs w:val="18"/>
              </w:rPr>
              <w:t>The PCF municipal workforce includes one municipal coordinator (optional), supervisors (one for up to 15 home visitors), and home visitors (one for every 34 families), who, upon successful completion of training, execute home visits. The coordinator and supervisor must have a four-year bachelor's degree, and preferably be trained as a psychologist, social worker, sociologist, anthropologist, economist, music, or occupational therapist. Home visitors are high school-level technicians. Preferably, supervisors and home visitors are hired to work full-time</w:t>
            </w:r>
            <w:r w:rsidR="00F8638B">
              <w:rPr>
                <w:rFonts w:ascii="Times New Roman" w:hAnsi="Times New Roman" w:cs="Times New Roman"/>
                <w:sz w:val="18"/>
                <w:szCs w:val="18"/>
              </w:rPr>
              <w:t>.</w:t>
            </w:r>
          </w:p>
        </w:tc>
        <w:tc>
          <w:tcPr>
            <w:tcW w:w="6660" w:type="dxa"/>
          </w:tcPr>
          <w:p w:rsidR="00811B65" w:rsidRPr="00F8638B" w:rsidRDefault="00811B65" w:rsidP="009D0FD8">
            <w:pPr>
              <w:spacing w:line="480" w:lineRule="auto"/>
              <w:rPr>
                <w:rFonts w:ascii="Times New Roman" w:hAnsi="Times New Roman" w:cs="Times New Roman"/>
                <w:sz w:val="18"/>
                <w:szCs w:val="18"/>
              </w:rPr>
            </w:pPr>
            <w:r w:rsidRPr="00F8638B">
              <w:rPr>
                <w:rFonts w:ascii="Times New Roman" w:hAnsi="Times New Roman" w:cs="Times New Roman"/>
                <w:sz w:val="18"/>
                <w:szCs w:val="18"/>
              </w:rPr>
              <w:t>Underfunding has hindered the hiring of a municipal workforce, leading to short-term contracts, lack of paid labor rights (e.g., sick leave and vacation), and low salaries. These factors have been barriers to attracting qualified candidates and often lead to retention issues such as high turnover rates and staffing shortages, which lead to late delivery of training</w:t>
            </w:r>
            <w:r w:rsidR="00F8638B">
              <w:rPr>
                <w:rFonts w:ascii="Times New Roman" w:hAnsi="Times New Roman" w:cs="Times New Roman"/>
                <w:sz w:val="18"/>
                <w:szCs w:val="18"/>
              </w:rPr>
              <w:t>.</w:t>
            </w:r>
          </w:p>
        </w:tc>
      </w:tr>
      <w:tr w:rsidR="00811B65" w:rsidRPr="00F8638B" w:rsidTr="009D0FD8">
        <w:tc>
          <w:tcPr>
            <w:tcW w:w="1362" w:type="dxa"/>
            <w:vAlign w:val="center"/>
          </w:tcPr>
          <w:p w:rsidR="00811B65" w:rsidRPr="009D0FD8" w:rsidRDefault="00811B65" w:rsidP="009D0FD8">
            <w:pPr>
              <w:spacing w:line="480" w:lineRule="auto"/>
              <w:rPr>
                <w:rFonts w:ascii="Times New Roman" w:hAnsi="Times New Roman" w:cs="Times New Roman"/>
                <w:sz w:val="18"/>
                <w:szCs w:val="18"/>
              </w:rPr>
            </w:pPr>
            <w:r w:rsidRPr="009D0FD8">
              <w:rPr>
                <w:rFonts w:ascii="Times New Roman" w:hAnsi="Times New Roman" w:cs="Times New Roman"/>
                <w:sz w:val="18"/>
                <w:szCs w:val="18"/>
              </w:rPr>
              <w:t>CQCP 2 - Training</w:t>
            </w:r>
          </w:p>
        </w:tc>
        <w:tc>
          <w:tcPr>
            <w:tcW w:w="6558" w:type="dxa"/>
          </w:tcPr>
          <w:p w:rsidR="00811B65" w:rsidRPr="00F8638B" w:rsidRDefault="00811B65" w:rsidP="009D0FD8">
            <w:pPr>
              <w:spacing w:line="480" w:lineRule="auto"/>
              <w:rPr>
                <w:rFonts w:ascii="Times New Roman" w:hAnsi="Times New Roman" w:cs="Times New Roman"/>
                <w:sz w:val="18"/>
                <w:szCs w:val="18"/>
              </w:rPr>
            </w:pPr>
            <w:r w:rsidRPr="00F8638B">
              <w:rPr>
                <w:rFonts w:ascii="Times New Roman" w:hAnsi="Times New Roman" w:cs="Times New Roman"/>
                <w:sz w:val="18"/>
                <w:szCs w:val="18"/>
              </w:rPr>
              <w:t>The PCF initial training package consists of 80 hours of training, which includes</w:t>
            </w:r>
            <w:r w:rsidRPr="00F8638B">
              <w:rPr>
                <w:rFonts w:ascii="Times New Roman" w:hAnsi="Times New Roman" w:cs="Times New Roman"/>
                <w:i/>
                <w:sz w:val="18"/>
                <w:szCs w:val="18"/>
              </w:rPr>
              <w:t xml:space="preserve"> </w:t>
            </w:r>
            <w:r w:rsidRPr="00F8638B">
              <w:rPr>
                <w:rFonts w:ascii="Times New Roman" w:hAnsi="Times New Roman" w:cs="Times New Roman"/>
                <w:sz w:val="18"/>
                <w:szCs w:val="18"/>
              </w:rPr>
              <w:t xml:space="preserve">40 hours in the CCD </w:t>
            </w:r>
            <w:r w:rsidRPr="00F8638B">
              <w:rPr>
                <w:rFonts w:ascii="Times New Roman" w:hAnsi="Times New Roman" w:cs="Times New Roman"/>
                <w:sz w:val="18"/>
                <w:szCs w:val="18"/>
                <w:highlight w:val="white"/>
              </w:rPr>
              <w:t>curriculum</w:t>
            </w:r>
            <w:r w:rsidRPr="00F8638B">
              <w:rPr>
                <w:rFonts w:ascii="Times New Roman" w:hAnsi="Times New Roman" w:cs="Times New Roman"/>
                <w:sz w:val="18"/>
                <w:szCs w:val="18"/>
              </w:rPr>
              <w:t xml:space="preserve"> and an additional 40 hours of training in the home visit methodology based on the Official Home Visiting Guide – created by the PCF National Coordination Team to guide the delivery of the CCD </w:t>
            </w:r>
            <w:r w:rsidRPr="00F8638B">
              <w:rPr>
                <w:rFonts w:ascii="Times New Roman" w:hAnsi="Times New Roman" w:cs="Times New Roman"/>
                <w:sz w:val="18"/>
                <w:szCs w:val="18"/>
                <w:highlight w:val="white"/>
              </w:rPr>
              <w:t>curriculum</w:t>
            </w:r>
            <w:r w:rsidRPr="00F8638B">
              <w:rPr>
                <w:rFonts w:ascii="Times New Roman" w:hAnsi="Times New Roman" w:cs="Times New Roman"/>
                <w:sz w:val="18"/>
                <w:szCs w:val="18"/>
              </w:rPr>
              <w:t xml:space="preserve"> in home visiting settings. The PCF National Coordination Team is charged with coordinating the national training cascade composed of national and state master trainers – named facilitators – responsible for supporting in-person training of the PCF municipal teams including supervisors and home visitors. </w:t>
            </w:r>
            <w:r w:rsidRPr="00F8638B">
              <w:rPr>
                <w:rFonts w:ascii="Times New Roman" w:hAnsi="Times New Roman" w:cs="Times New Roman"/>
                <w:sz w:val="18"/>
                <w:szCs w:val="18"/>
                <w:highlight w:val="white"/>
              </w:rPr>
              <w:t>The cascade model assumes that supervisors at the municipal level would be able to facilitate training new home visitors to help meet demand</w:t>
            </w:r>
            <w:r w:rsidRPr="00F8638B">
              <w:rPr>
                <w:rFonts w:ascii="Times New Roman" w:hAnsi="Times New Roman" w:cs="Times New Roman"/>
                <w:sz w:val="18"/>
                <w:szCs w:val="18"/>
              </w:rPr>
              <w:t xml:space="preserve"> due to high staff turnover. During the COVID-19 pandemic, a virtual training format was adopted to help with disseminating the training to new supervisors and home visitors</w:t>
            </w:r>
            <w:r w:rsidR="00F8638B">
              <w:rPr>
                <w:rFonts w:ascii="Times New Roman" w:hAnsi="Times New Roman" w:cs="Times New Roman"/>
                <w:sz w:val="18"/>
                <w:szCs w:val="18"/>
              </w:rPr>
              <w:t>.</w:t>
            </w:r>
          </w:p>
        </w:tc>
        <w:tc>
          <w:tcPr>
            <w:tcW w:w="6660" w:type="dxa"/>
          </w:tcPr>
          <w:p w:rsidR="00811B65" w:rsidRPr="00F8638B" w:rsidRDefault="00811B65" w:rsidP="009D0FD8">
            <w:pPr>
              <w:spacing w:line="480" w:lineRule="auto"/>
              <w:rPr>
                <w:rFonts w:ascii="Times New Roman" w:hAnsi="Times New Roman" w:cs="Times New Roman"/>
                <w:sz w:val="18"/>
                <w:szCs w:val="18"/>
              </w:rPr>
            </w:pPr>
            <w:r w:rsidRPr="00F8638B">
              <w:rPr>
                <w:rFonts w:ascii="Times New Roman" w:hAnsi="Times New Roman" w:cs="Times New Roman"/>
                <w:sz w:val="18"/>
                <w:szCs w:val="18"/>
              </w:rPr>
              <w:t xml:space="preserve">Barriers to the training include the fact that training materials are not tailored to the varying levels of the cascade, as well as the lack of tools to assess the impact of the initial training on the knowledge, skills, and competency of facilitators, supervisors, and home visitors. For example, supervisors who are required to have a four-year degree are subject to the same training curriculum as home visitors who may possess secondary schooling. Additionally, at the municipal level, there is a lack of resources, such as access to computers and high-speed internet, and insufficient protected time for the initial training (either in person or online) or continuing education training. The online training was added after the original PCF design and the quality of in-person and online training may differ and there is no official continuing education training package. Lastly, initial training has been occurring late due to the high turnover of PCF municipal teams. </w:t>
            </w:r>
          </w:p>
          <w:p w:rsidR="00811B65" w:rsidRPr="00F8638B" w:rsidRDefault="00811B65" w:rsidP="009D0FD8">
            <w:pPr>
              <w:spacing w:line="480" w:lineRule="auto"/>
              <w:rPr>
                <w:rFonts w:ascii="Times New Roman" w:hAnsi="Times New Roman" w:cs="Times New Roman"/>
                <w:sz w:val="18"/>
                <w:szCs w:val="18"/>
              </w:rPr>
            </w:pPr>
          </w:p>
        </w:tc>
      </w:tr>
      <w:tr w:rsidR="00811B65" w:rsidRPr="00F8638B" w:rsidTr="009D0FD8">
        <w:tc>
          <w:tcPr>
            <w:tcW w:w="1362" w:type="dxa"/>
            <w:vAlign w:val="center"/>
          </w:tcPr>
          <w:p w:rsidR="00811B65" w:rsidRPr="009D0FD8" w:rsidRDefault="00811B65" w:rsidP="009D0FD8">
            <w:pPr>
              <w:spacing w:line="480" w:lineRule="auto"/>
              <w:rPr>
                <w:rFonts w:ascii="Times New Roman" w:hAnsi="Times New Roman" w:cs="Times New Roman"/>
                <w:sz w:val="18"/>
                <w:szCs w:val="18"/>
              </w:rPr>
            </w:pPr>
            <w:r w:rsidRPr="009D0FD8">
              <w:rPr>
                <w:rFonts w:ascii="Times New Roman" w:hAnsi="Times New Roman" w:cs="Times New Roman"/>
                <w:sz w:val="18"/>
                <w:szCs w:val="18"/>
                <w:highlight w:val="white"/>
              </w:rPr>
              <w:lastRenderedPageBreak/>
              <w:t>CQCP 3 - Home Visits</w:t>
            </w:r>
          </w:p>
        </w:tc>
        <w:tc>
          <w:tcPr>
            <w:tcW w:w="6558" w:type="dxa"/>
          </w:tcPr>
          <w:p w:rsidR="00811B65" w:rsidRPr="00F8638B" w:rsidRDefault="00811B65" w:rsidP="009D0FD8">
            <w:pPr>
              <w:spacing w:line="480" w:lineRule="auto"/>
              <w:rPr>
                <w:rFonts w:ascii="Times New Roman" w:hAnsi="Times New Roman" w:cs="Times New Roman"/>
                <w:sz w:val="18"/>
                <w:szCs w:val="18"/>
              </w:rPr>
            </w:pPr>
            <w:r w:rsidRPr="00F8638B">
              <w:rPr>
                <w:rFonts w:ascii="Times New Roman" w:hAnsi="Times New Roman" w:cs="Times New Roman"/>
                <w:sz w:val="18"/>
                <w:szCs w:val="18"/>
              </w:rPr>
              <w:t xml:space="preserve">To deliver home visits, the PCF municipal team must be hired and trained. The PCF municipal team roles are outlined in </w:t>
            </w:r>
            <w:r w:rsidR="00D149DA">
              <w:rPr>
                <w:rFonts w:ascii="Times New Roman" w:hAnsi="Times New Roman" w:cs="Times New Roman"/>
                <w:sz w:val="18"/>
                <w:szCs w:val="18"/>
              </w:rPr>
              <w:t>Appendix 3</w:t>
            </w:r>
            <w:r w:rsidRPr="00F8638B">
              <w:rPr>
                <w:rFonts w:ascii="Times New Roman" w:hAnsi="Times New Roman" w:cs="Times New Roman"/>
                <w:sz w:val="18"/>
                <w:szCs w:val="18"/>
              </w:rPr>
              <w:t xml:space="preserve">. The supervisor is responsible for oversight of home visitors, which is essential for maintaining PCF home visiting implementation fidelity. </w:t>
            </w:r>
            <w:r w:rsidRPr="00F8638B">
              <w:rPr>
                <w:rFonts w:ascii="Times New Roman" w:hAnsi="Times New Roman" w:cs="Times New Roman"/>
                <w:sz w:val="18"/>
                <w:szCs w:val="18"/>
                <w:highlight w:val="white"/>
              </w:rPr>
              <w:t>Home visitors are expected to create a home visit plan based on the CCD curriculum and carry out a 45-minute home visit. A home visit plan that is of high quality and fidelity can promote the program outcome of improving parenting skills and have the longer-term impact of improving ECD milestones</w:t>
            </w:r>
            <w:r w:rsidRPr="00F8638B">
              <w:rPr>
                <w:rFonts w:ascii="Times New Roman" w:hAnsi="Times New Roman" w:cs="Times New Roman"/>
                <w:sz w:val="18"/>
                <w:szCs w:val="18"/>
              </w:rPr>
              <w:t>. The PCF recommends monthly visits for pregnant individuals, weekly for young children under 36 months, and biweekly or monthly for children between 36 and 72 months who lost one of their caregivers during the COVID-19 pandemic, or children with disabilities enrolled in the Continuous Cash Benefit program</w:t>
            </w:r>
            <w:r w:rsidR="00F8638B">
              <w:rPr>
                <w:rFonts w:ascii="Times New Roman" w:hAnsi="Times New Roman" w:cs="Times New Roman"/>
                <w:sz w:val="18"/>
                <w:szCs w:val="18"/>
              </w:rPr>
              <w:t>.</w:t>
            </w:r>
          </w:p>
        </w:tc>
        <w:tc>
          <w:tcPr>
            <w:tcW w:w="6660" w:type="dxa"/>
          </w:tcPr>
          <w:p w:rsidR="00811B65" w:rsidRPr="00F8638B" w:rsidRDefault="00811B65" w:rsidP="009D0FD8">
            <w:pPr>
              <w:spacing w:line="480" w:lineRule="auto"/>
              <w:rPr>
                <w:rFonts w:ascii="Times New Roman" w:hAnsi="Times New Roman" w:cs="Times New Roman"/>
                <w:sz w:val="18"/>
                <w:szCs w:val="18"/>
              </w:rPr>
            </w:pPr>
            <w:r w:rsidRPr="00F8638B">
              <w:rPr>
                <w:rFonts w:ascii="Times New Roman" w:hAnsi="Times New Roman" w:cs="Times New Roman"/>
                <w:sz w:val="18"/>
                <w:szCs w:val="18"/>
              </w:rPr>
              <w:t>One barrier to the operationalization of high-quality home visits is the lack of transportation to travel long distances between PCF hubs to households. As a result of COVID-19, in-person home visiting was replaced with online contacts through WhatsApp. While this may have alleviated the transportation barrier that home visitors initially faced, it presented a new set of challenges due to the lack of resources (e.g., internet, Wi-Fi) needed to connect families and home visitors. In addition, undertrained home visitors, who lack foundational knowledge to conduct home visits, ended up short-cutting and making non-evidence-based modifications to the delivery of the CCD curriculum. For example, home visitors often end up working directly with children rather than guiding caregivers to work with their children, which means that the transfer of skills from home visitor to caregiver cannot always be ensured</w:t>
            </w:r>
            <w:r w:rsidR="00F8638B">
              <w:rPr>
                <w:rFonts w:ascii="Times New Roman" w:hAnsi="Times New Roman" w:cs="Times New Roman"/>
                <w:sz w:val="18"/>
                <w:szCs w:val="18"/>
              </w:rPr>
              <w:t>.</w:t>
            </w:r>
          </w:p>
        </w:tc>
      </w:tr>
      <w:tr w:rsidR="00811B65" w:rsidRPr="00F8638B" w:rsidTr="009D0FD8">
        <w:tc>
          <w:tcPr>
            <w:tcW w:w="1362" w:type="dxa"/>
            <w:vAlign w:val="center"/>
          </w:tcPr>
          <w:p w:rsidR="00811B65" w:rsidRPr="009D0FD8" w:rsidRDefault="00811B65" w:rsidP="009D0FD8">
            <w:pPr>
              <w:spacing w:line="480" w:lineRule="auto"/>
              <w:rPr>
                <w:rFonts w:ascii="Times New Roman" w:hAnsi="Times New Roman" w:cs="Times New Roman"/>
                <w:sz w:val="18"/>
                <w:szCs w:val="18"/>
              </w:rPr>
            </w:pPr>
            <w:r w:rsidRPr="009D0FD8">
              <w:rPr>
                <w:rFonts w:ascii="Times New Roman" w:hAnsi="Times New Roman" w:cs="Times New Roman"/>
                <w:sz w:val="18"/>
                <w:szCs w:val="18"/>
              </w:rPr>
              <w:t>CQCP 4 - Complementary Multisectoral Actions</w:t>
            </w:r>
          </w:p>
        </w:tc>
        <w:tc>
          <w:tcPr>
            <w:tcW w:w="6558" w:type="dxa"/>
          </w:tcPr>
          <w:p w:rsidR="00811B65" w:rsidRPr="00F8638B" w:rsidRDefault="00811B65" w:rsidP="009D0FD8">
            <w:pPr>
              <w:spacing w:line="480" w:lineRule="auto"/>
              <w:rPr>
                <w:rFonts w:ascii="Times New Roman" w:hAnsi="Times New Roman" w:cs="Times New Roman"/>
                <w:sz w:val="18"/>
                <w:szCs w:val="18"/>
              </w:rPr>
            </w:pPr>
            <w:r w:rsidRPr="00F8638B">
              <w:rPr>
                <w:rFonts w:ascii="Times New Roman" w:hAnsi="Times New Roman" w:cs="Times New Roman"/>
                <w:sz w:val="18"/>
                <w:szCs w:val="18"/>
              </w:rPr>
              <w:t xml:space="preserve">Complementary multisectoral actions are strategies to address social determinants of health identified through the home visit. These actions aim to integrate regional social assistance, healthcare, education, culture, human rights, and children’s rights policies to promote a nurturing care environment. The implementation of these multisectoral actions is coordinated by the Multisectoral Management Committee (MMC) at the three government levels (national, state, and municipal). At the national level, the PCF is coordinated by the Ministry of Development and Social Assistance, Family, and Fight against Hunger. At the state level, a technical team is formed by coordinator and technical assistance personnel known as facilitators, who are responsible for providing technical support to municipalities for the implementation of the PCF. At the municipal level, the MMC is formed by PCF supervisors and managers representing the social </w:t>
            </w:r>
            <w:r w:rsidRPr="00F8638B">
              <w:rPr>
                <w:rFonts w:ascii="Times New Roman" w:hAnsi="Times New Roman" w:cs="Times New Roman"/>
                <w:sz w:val="18"/>
                <w:szCs w:val="18"/>
              </w:rPr>
              <w:lastRenderedPageBreak/>
              <w:t>assistance, education, health, culture, and human rights sectors, which meets regularly to develop a multisectoral plan including multisectoral warm handoff referrals, and criteria to one-and-done or multiple actions to strengthen community resources and connections. As the home visitor meets with families and becomes aware of social</w:t>
            </w:r>
            <w:r w:rsidRPr="00F8638B">
              <w:rPr>
                <w:rFonts w:ascii="Times New Roman" w:hAnsi="Times New Roman" w:cs="Times New Roman"/>
                <w:sz w:val="18"/>
                <w:szCs w:val="18"/>
                <w:highlight w:val="white"/>
              </w:rPr>
              <w:t xml:space="preserve"> vulnerabilities, they </w:t>
            </w:r>
            <w:r w:rsidRPr="00F8638B">
              <w:rPr>
                <w:rFonts w:ascii="Times New Roman" w:hAnsi="Times New Roman" w:cs="Times New Roman"/>
                <w:sz w:val="18"/>
                <w:szCs w:val="18"/>
              </w:rPr>
              <w:t>may present their case notes to the supervisor. The supervisor reviews the case notes and home visit plan before communicating with the MMC. At the municipal MMC, cases are discussed, multisectoral actions are deliberated, and the home visitor continuously monitors the family until their needs are met. As a result, continuity of care is established through home visits, and the MMC can create a pathway for communication and resources, ultimately reinforcing engagement among the sectors</w:t>
            </w:r>
            <w:r w:rsidR="00F8638B">
              <w:rPr>
                <w:rFonts w:ascii="Times New Roman" w:hAnsi="Times New Roman" w:cs="Times New Roman"/>
                <w:sz w:val="18"/>
                <w:szCs w:val="18"/>
              </w:rPr>
              <w:t>.</w:t>
            </w:r>
          </w:p>
        </w:tc>
        <w:tc>
          <w:tcPr>
            <w:tcW w:w="6660" w:type="dxa"/>
          </w:tcPr>
          <w:p w:rsidR="00811B65" w:rsidRPr="00F8638B" w:rsidRDefault="00811B65" w:rsidP="009D0FD8">
            <w:pPr>
              <w:spacing w:line="480" w:lineRule="auto"/>
              <w:rPr>
                <w:rFonts w:ascii="Times New Roman" w:hAnsi="Times New Roman" w:cs="Times New Roman"/>
                <w:sz w:val="18"/>
                <w:szCs w:val="18"/>
              </w:rPr>
            </w:pPr>
            <w:r w:rsidRPr="00F8638B">
              <w:rPr>
                <w:rFonts w:ascii="Times New Roman" w:hAnsi="Times New Roman" w:cs="Times New Roman"/>
                <w:sz w:val="18"/>
                <w:szCs w:val="18"/>
              </w:rPr>
              <w:lastRenderedPageBreak/>
              <w:t>An initial barrier is the PCF municipal teams lack the skills and knowledge to identify family social determinants of health and other vulnerabilities. Second, the operationalization of the complementary multisectoral actions has been challenged due to (1) the failure to establish a MMC at all government levels (i.e., national, state, municipal) as well as (2) the unclear role of each sector in developing multisectoral actions. Another barrier is that the national and state have failed to support municipalities in developing their municipal multisectoral action plan</w:t>
            </w:r>
            <w:r w:rsidR="00F8638B">
              <w:rPr>
                <w:rFonts w:ascii="Times New Roman" w:hAnsi="Times New Roman" w:cs="Times New Roman"/>
                <w:sz w:val="18"/>
                <w:szCs w:val="18"/>
              </w:rPr>
              <w:t>.</w:t>
            </w:r>
          </w:p>
        </w:tc>
      </w:tr>
      <w:tr w:rsidR="00811B65" w:rsidRPr="00F8638B" w:rsidTr="009D0FD8">
        <w:tc>
          <w:tcPr>
            <w:tcW w:w="1362" w:type="dxa"/>
            <w:vAlign w:val="center"/>
          </w:tcPr>
          <w:p w:rsidR="00811B65" w:rsidRPr="009D0FD8" w:rsidRDefault="00811B65" w:rsidP="009D0FD8">
            <w:pPr>
              <w:spacing w:line="480" w:lineRule="auto"/>
              <w:rPr>
                <w:rFonts w:ascii="Times New Roman" w:hAnsi="Times New Roman" w:cs="Times New Roman"/>
                <w:sz w:val="18"/>
                <w:szCs w:val="18"/>
              </w:rPr>
            </w:pPr>
            <w:r w:rsidRPr="009D0FD8">
              <w:rPr>
                <w:rFonts w:ascii="Times New Roman" w:hAnsi="Times New Roman" w:cs="Times New Roman"/>
                <w:sz w:val="18"/>
                <w:szCs w:val="18"/>
              </w:rPr>
              <w:t>CQCP 5 - Municipal Supervision</w:t>
            </w:r>
          </w:p>
        </w:tc>
        <w:tc>
          <w:tcPr>
            <w:tcW w:w="6558" w:type="dxa"/>
          </w:tcPr>
          <w:p w:rsidR="00811B65" w:rsidRPr="00F8638B" w:rsidRDefault="00811B65" w:rsidP="009D0FD8">
            <w:pPr>
              <w:spacing w:line="480" w:lineRule="auto"/>
              <w:rPr>
                <w:rFonts w:ascii="Times New Roman" w:hAnsi="Times New Roman" w:cs="Times New Roman"/>
                <w:sz w:val="18"/>
                <w:szCs w:val="18"/>
              </w:rPr>
            </w:pPr>
            <w:r w:rsidRPr="00F8638B">
              <w:rPr>
                <w:rFonts w:ascii="Times New Roman" w:hAnsi="Times New Roman" w:cs="Times New Roman"/>
                <w:sz w:val="18"/>
                <w:szCs w:val="18"/>
              </w:rPr>
              <w:t>One supervisor is responsible for accompanying and supporting up to 15 home visitors. Supervisors must have proper training as outlined in the PCF curriculum, policies, and substantive practice to aid the provision of quality supervision. They assist in the weekly planning of the home visits, lead weekly meetings, respond to questions from home visitors, conduct field supervision, and engage in the MMC and other multisectoral outreach events. When supervisors conduct field supervision by accompanying home visitors, it is an opportunity to share knowledge and on-the-job training. Proper documentation of supervision-related activities is vital for PCF fidelity</w:t>
            </w:r>
            <w:r w:rsidR="00F8638B">
              <w:rPr>
                <w:rFonts w:ascii="Times New Roman" w:hAnsi="Times New Roman" w:cs="Times New Roman"/>
                <w:sz w:val="18"/>
                <w:szCs w:val="18"/>
              </w:rPr>
              <w:t>.</w:t>
            </w:r>
          </w:p>
        </w:tc>
        <w:tc>
          <w:tcPr>
            <w:tcW w:w="6660" w:type="dxa"/>
          </w:tcPr>
          <w:p w:rsidR="00811B65" w:rsidRPr="00F8638B" w:rsidRDefault="00811B65" w:rsidP="009D0FD8">
            <w:pPr>
              <w:spacing w:line="480" w:lineRule="auto"/>
              <w:rPr>
                <w:rFonts w:ascii="Times New Roman" w:hAnsi="Times New Roman" w:cs="Times New Roman"/>
                <w:sz w:val="18"/>
                <w:szCs w:val="18"/>
              </w:rPr>
            </w:pPr>
            <w:r w:rsidRPr="00F8638B">
              <w:rPr>
                <w:rFonts w:ascii="Times New Roman" w:hAnsi="Times New Roman" w:cs="Times New Roman"/>
                <w:sz w:val="18"/>
                <w:szCs w:val="18"/>
              </w:rPr>
              <w:t>Barriers to municipal supervision include a lack of standardized checklists or data collection to document the quality of supervision and insufficient time for weekly supervision and field supervision due to numerous administrative duties. As a result, supervisors were found to not be conducting field supervision, which has compromised the quality and fidelity of home visits. In addition, the supervisor has a high caseload to supervise which makes effective supervision challenging. These barriers may compromise the overall PCF evidence-based approach.</w:t>
            </w:r>
          </w:p>
          <w:p w:rsidR="00811B65" w:rsidRPr="00F8638B" w:rsidRDefault="00811B65" w:rsidP="009D0FD8">
            <w:pPr>
              <w:spacing w:line="480" w:lineRule="auto"/>
              <w:rPr>
                <w:rFonts w:ascii="Times New Roman" w:hAnsi="Times New Roman" w:cs="Times New Roman"/>
                <w:sz w:val="18"/>
                <w:szCs w:val="18"/>
              </w:rPr>
            </w:pPr>
          </w:p>
        </w:tc>
      </w:tr>
      <w:tr w:rsidR="00811B65" w:rsidRPr="00F8638B" w:rsidTr="009D0FD8">
        <w:tc>
          <w:tcPr>
            <w:tcW w:w="1362" w:type="dxa"/>
            <w:vAlign w:val="center"/>
          </w:tcPr>
          <w:p w:rsidR="00811B65" w:rsidRPr="009D0FD8" w:rsidRDefault="00811B65" w:rsidP="009D0FD8">
            <w:pPr>
              <w:spacing w:line="480" w:lineRule="auto"/>
              <w:rPr>
                <w:rFonts w:ascii="Times New Roman" w:hAnsi="Times New Roman" w:cs="Times New Roman"/>
                <w:sz w:val="18"/>
                <w:szCs w:val="18"/>
              </w:rPr>
            </w:pPr>
            <w:r w:rsidRPr="009D0FD8">
              <w:rPr>
                <w:rFonts w:ascii="Times New Roman" w:hAnsi="Times New Roman" w:cs="Times New Roman"/>
                <w:sz w:val="18"/>
                <w:szCs w:val="18"/>
                <w:highlight w:val="white"/>
              </w:rPr>
              <w:t xml:space="preserve">CQCP 6 - Technical </w:t>
            </w:r>
            <w:r w:rsidRPr="009D0FD8">
              <w:rPr>
                <w:rFonts w:ascii="Times New Roman" w:hAnsi="Times New Roman" w:cs="Times New Roman"/>
                <w:sz w:val="18"/>
                <w:szCs w:val="18"/>
                <w:highlight w:val="white"/>
              </w:rPr>
              <w:lastRenderedPageBreak/>
              <w:t>Assistance and Monitoring</w:t>
            </w:r>
          </w:p>
        </w:tc>
        <w:tc>
          <w:tcPr>
            <w:tcW w:w="6558" w:type="dxa"/>
          </w:tcPr>
          <w:p w:rsidR="00811B65" w:rsidRPr="00F8638B" w:rsidRDefault="00811B65" w:rsidP="009D0FD8">
            <w:pPr>
              <w:spacing w:line="480" w:lineRule="auto"/>
              <w:rPr>
                <w:rFonts w:ascii="Times New Roman" w:hAnsi="Times New Roman" w:cs="Times New Roman"/>
                <w:sz w:val="18"/>
                <w:szCs w:val="18"/>
              </w:rPr>
            </w:pPr>
            <w:r w:rsidRPr="00F8638B">
              <w:rPr>
                <w:rFonts w:ascii="Times New Roman" w:hAnsi="Times New Roman" w:cs="Times New Roman"/>
                <w:sz w:val="18"/>
                <w:szCs w:val="18"/>
              </w:rPr>
              <w:lastRenderedPageBreak/>
              <w:t xml:space="preserve">The national and state coordination teams are responsible for providing technical assistance and monitoring the implementation at the municipal level. Technical assistance consists of activities to support municipalities to develop their </w:t>
            </w:r>
            <w:r w:rsidRPr="00F8638B">
              <w:rPr>
                <w:rFonts w:ascii="Times New Roman" w:hAnsi="Times New Roman" w:cs="Times New Roman"/>
                <w:sz w:val="18"/>
                <w:szCs w:val="18"/>
              </w:rPr>
              <w:lastRenderedPageBreak/>
              <w:t>implementation blueprint, goals, and multisectoral engagement. Monitoring consists of systematic activities to collect data for quality and fidelity improvement either using forms or via the electronic monitoring system (e-PCF) monitoring system. After initial implementation, as the program continues to offer services to the families, the national and state technical assistance teams offer insight into adaptations to local contexts to achieve the intermediate program outcomes, as well as the progress towards those outcomes (i.e., decreasing family vulnerabilities, targeted vulnerabilities, and improving parenting skills)</w:t>
            </w:r>
            <w:r w:rsidR="00F8638B">
              <w:rPr>
                <w:rFonts w:ascii="Times New Roman" w:hAnsi="Times New Roman" w:cs="Times New Roman"/>
                <w:sz w:val="18"/>
                <w:szCs w:val="18"/>
              </w:rPr>
              <w:t>.</w:t>
            </w:r>
          </w:p>
        </w:tc>
        <w:tc>
          <w:tcPr>
            <w:tcW w:w="6660" w:type="dxa"/>
          </w:tcPr>
          <w:p w:rsidR="00811B65" w:rsidRPr="00F8638B" w:rsidRDefault="00811B65" w:rsidP="009D0FD8">
            <w:pPr>
              <w:spacing w:line="480" w:lineRule="auto"/>
              <w:rPr>
                <w:rFonts w:ascii="Times New Roman" w:hAnsi="Times New Roman" w:cs="Times New Roman"/>
                <w:sz w:val="18"/>
                <w:szCs w:val="18"/>
              </w:rPr>
            </w:pPr>
            <w:r w:rsidRPr="00F8638B">
              <w:rPr>
                <w:rFonts w:ascii="Times New Roman" w:hAnsi="Times New Roman" w:cs="Times New Roman"/>
                <w:sz w:val="18"/>
                <w:szCs w:val="18"/>
              </w:rPr>
              <w:lastRenderedPageBreak/>
              <w:t xml:space="preserve">A barrier to effective technical assistance and monitoring concerns the lack of process indicators to monitor and evaluate the scale up of the CPs. Also, the number of professionals assigned to the state teams to provide technical assistance to municipalities </w:t>
            </w:r>
            <w:r w:rsidRPr="00F8638B">
              <w:rPr>
                <w:rFonts w:ascii="Times New Roman" w:hAnsi="Times New Roman" w:cs="Times New Roman"/>
                <w:sz w:val="18"/>
                <w:szCs w:val="18"/>
              </w:rPr>
              <w:lastRenderedPageBreak/>
              <w:t>is limited. In addition, some states and municipalities lack infrastructure and technology such as Wi-Fi, computer systems, facilities, or other devices to establish an e-PCF effectively. The training to use the e-PCF was reported to not be able to develop the desired skill set to effectively use the e-PCF. Due to instabilities and errors in the e-PCF, the registration and monitoring of home visits is perceived by state and municipal teams as a challenge</w:t>
            </w:r>
            <w:r w:rsidR="00F8638B">
              <w:rPr>
                <w:rFonts w:ascii="Times New Roman" w:hAnsi="Times New Roman" w:cs="Times New Roman"/>
                <w:sz w:val="18"/>
                <w:szCs w:val="18"/>
              </w:rPr>
              <w:t>.</w:t>
            </w:r>
          </w:p>
        </w:tc>
      </w:tr>
      <w:tr w:rsidR="00811B65" w:rsidRPr="00F8638B" w:rsidTr="009D0FD8">
        <w:tc>
          <w:tcPr>
            <w:tcW w:w="1362" w:type="dxa"/>
            <w:vAlign w:val="center"/>
          </w:tcPr>
          <w:p w:rsidR="00811B65" w:rsidRPr="009D0FD8" w:rsidRDefault="00811B65" w:rsidP="009D0FD8">
            <w:pPr>
              <w:spacing w:line="480" w:lineRule="auto"/>
              <w:rPr>
                <w:rFonts w:ascii="Times New Roman" w:hAnsi="Times New Roman" w:cs="Times New Roman"/>
                <w:sz w:val="18"/>
                <w:szCs w:val="18"/>
              </w:rPr>
            </w:pPr>
            <w:r w:rsidRPr="009D0FD8">
              <w:rPr>
                <w:rFonts w:ascii="Times New Roman" w:hAnsi="Times New Roman" w:cs="Times New Roman"/>
                <w:sz w:val="18"/>
                <w:szCs w:val="18"/>
              </w:rPr>
              <w:lastRenderedPageBreak/>
              <w:t>CQCP 7 - Funding</w:t>
            </w:r>
          </w:p>
        </w:tc>
        <w:tc>
          <w:tcPr>
            <w:tcW w:w="6558" w:type="dxa"/>
          </w:tcPr>
          <w:p w:rsidR="00811B65" w:rsidRPr="00F8638B" w:rsidRDefault="00811B65" w:rsidP="009D0FD8">
            <w:pPr>
              <w:spacing w:line="480" w:lineRule="auto"/>
              <w:rPr>
                <w:rFonts w:ascii="Times New Roman" w:hAnsi="Times New Roman" w:cs="Times New Roman"/>
                <w:sz w:val="18"/>
                <w:szCs w:val="18"/>
              </w:rPr>
            </w:pPr>
            <w:r w:rsidRPr="00F8638B">
              <w:rPr>
                <w:rFonts w:ascii="Times New Roman" w:hAnsi="Times New Roman" w:cs="Times New Roman"/>
                <w:sz w:val="18"/>
                <w:szCs w:val="18"/>
              </w:rPr>
              <w:t xml:space="preserve">National funding incentives are provided to states and municipalities to support the scale up of PCF. </w:t>
            </w:r>
            <w:r w:rsidRPr="00F8638B">
              <w:rPr>
                <w:rFonts w:ascii="Times New Roman" w:hAnsi="Times New Roman" w:cs="Times New Roman"/>
                <w:sz w:val="18"/>
                <w:szCs w:val="18"/>
                <w:highlight w:val="white"/>
              </w:rPr>
              <w:t>States receive an annual financial transfer to coordinate the dissemination of PCF across municipalities.</w:t>
            </w:r>
            <w:r w:rsidRPr="00F8638B">
              <w:rPr>
                <w:rFonts w:ascii="Times New Roman" w:hAnsi="Times New Roman" w:cs="Times New Roman"/>
                <w:sz w:val="18"/>
                <w:szCs w:val="18"/>
              </w:rPr>
              <w:t xml:space="preserve"> To enroll in PCF, municipalities have to</w:t>
            </w:r>
            <w:r w:rsidRPr="00F8638B">
              <w:rPr>
                <w:rFonts w:ascii="Times New Roman" w:hAnsi="Times New Roman" w:cs="Times New Roman"/>
                <w:sz w:val="18"/>
                <w:szCs w:val="18"/>
                <w:highlight w:val="white"/>
              </w:rPr>
              <w:t xml:space="preserve"> submit an implementation plan outlining home visiting goals, a multisectoral action plan, and hiring and training efforts. Then, municipalities receive a startup transfer for the initial phase of the implementation. After the implementation phase, municipalities receive a monthly transfer based on achieving ideally 90% of the upon-agreed home visits targets, i.e., established in the implementation plan. In particular, municipality teams must conduct at a minimum 30% of the upon-agreed home visits goal or they will not receive the monthly federal funding. All home visits must be recorded in the e-PCF in order to count towards the upon-agreed goals</w:t>
            </w:r>
            <w:r w:rsidR="00F8638B">
              <w:rPr>
                <w:rFonts w:ascii="Times New Roman" w:hAnsi="Times New Roman" w:cs="Times New Roman"/>
                <w:sz w:val="18"/>
                <w:szCs w:val="18"/>
                <w:highlight w:val="white"/>
              </w:rPr>
              <w:t>.</w:t>
            </w:r>
          </w:p>
        </w:tc>
        <w:tc>
          <w:tcPr>
            <w:tcW w:w="6660" w:type="dxa"/>
          </w:tcPr>
          <w:p w:rsidR="00811B65" w:rsidRPr="00F8638B" w:rsidRDefault="00811B65" w:rsidP="009D0FD8">
            <w:pPr>
              <w:spacing w:line="480" w:lineRule="auto"/>
              <w:rPr>
                <w:rFonts w:ascii="Times New Roman" w:hAnsi="Times New Roman" w:cs="Times New Roman"/>
                <w:sz w:val="18"/>
                <w:szCs w:val="18"/>
              </w:rPr>
            </w:pPr>
            <w:r w:rsidRPr="00F8638B">
              <w:rPr>
                <w:rFonts w:ascii="Times New Roman" w:hAnsi="Times New Roman" w:cs="Times New Roman"/>
                <w:sz w:val="18"/>
                <w:szCs w:val="18"/>
                <w:highlight w:val="white"/>
              </w:rPr>
              <w:t>Barriers to funding include the lack of mandatory co-financing at municipal and state levels, which has led, for example, to poor operationalization of transportation - a vital component of reaching families. The uncertainty about long-term funding negatively impacts the perceived sustainability of PCF</w:t>
            </w:r>
            <w:r w:rsidR="00F8638B">
              <w:rPr>
                <w:rFonts w:ascii="Times New Roman" w:hAnsi="Times New Roman" w:cs="Times New Roman"/>
                <w:sz w:val="18"/>
                <w:szCs w:val="18"/>
                <w:highlight w:val="white"/>
              </w:rPr>
              <w:t>.</w:t>
            </w:r>
          </w:p>
        </w:tc>
      </w:tr>
    </w:tbl>
    <w:p w:rsidR="00434B6F" w:rsidRDefault="00434B6F"/>
    <w:sectPr w:rsidR="00434B6F" w:rsidSect="00811B65">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B65"/>
    <w:rsid w:val="000371E9"/>
    <w:rsid w:val="00312562"/>
    <w:rsid w:val="00361A9F"/>
    <w:rsid w:val="00434B6F"/>
    <w:rsid w:val="00456FAC"/>
    <w:rsid w:val="00555BA2"/>
    <w:rsid w:val="00811B65"/>
    <w:rsid w:val="009D0FD8"/>
    <w:rsid w:val="00B72888"/>
    <w:rsid w:val="00C23257"/>
    <w:rsid w:val="00D149DA"/>
    <w:rsid w:val="00D222FF"/>
    <w:rsid w:val="00F863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3EBEA1"/>
  <w15:chartTrackingRefBased/>
  <w15:docId w15:val="{6E5E94B4-3138-44B3-BAB5-733B44774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11B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7288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1700</Words>
  <Characters>9690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Gabriela Buccini</dc:creator>
  <cp:keywords/>
  <dc:description/>
  <cp:lastModifiedBy>Gabriela Buccini</cp:lastModifiedBy>
  <cp:revision>7</cp:revision>
  <dcterms:created xsi:type="dcterms:W3CDTF">2024-09-20T19:33:00Z</dcterms:created>
  <dcterms:modified xsi:type="dcterms:W3CDTF">2024-09-27T20:54:00Z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74aed09191d296bbc70881ed124cafea6f3516dfc05c07808f68476defb1009e</vt:lpwstr>
  </property>
</Properties>
</file>