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A65" w:rsidRPr="009F4CBB" w:rsidRDefault="005B6A65" w:rsidP="005B6A65">
      <w:pPr>
        <w:pStyle w:val="berschrift1"/>
        <w:rPr>
          <w:lang w:val="en-US"/>
        </w:rPr>
      </w:pPr>
      <w:bookmarkStart w:id="0" w:name="_Toc187328011"/>
      <w:r w:rsidRPr="009F4CBB">
        <w:rPr>
          <w:lang w:val="en-US"/>
        </w:rPr>
        <w:t>Annex</w:t>
      </w:r>
      <w:bookmarkEnd w:id="0"/>
      <w:r w:rsidRPr="009F4CBB">
        <w:rPr>
          <w:lang w:val="en-US"/>
        </w:rPr>
        <w:t xml:space="preserve"> </w:t>
      </w:r>
    </w:p>
    <w:p w:rsidR="005B6A65" w:rsidRPr="009F4CBB" w:rsidRDefault="005B6A65" w:rsidP="005B6A65">
      <w:pPr>
        <w:pStyle w:val="berschrift2"/>
        <w:rPr>
          <w:lang w:val="en-US"/>
        </w:rPr>
      </w:pPr>
      <w:bookmarkStart w:id="1" w:name="_Toc187328012"/>
      <w:r w:rsidRPr="009F4CBB">
        <w:rPr>
          <w:lang w:val="en-US"/>
        </w:rPr>
        <w:t>Annex 1: Overview of principles</w:t>
      </w:r>
      <w:bookmarkEnd w:id="1"/>
      <w:r w:rsidRPr="009F4CBB">
        <w:rPr>
          <w:lang w:val="en-US"/>
        </w:rPr>
        <w:t xml:space="preserve"> </w:t>
      </w:r>
    </w:p>
    <w:p w:rsidR="005B6A65" w:rsidRPr="009F4CBB" w:rsidRDefault="005B6A65" w:rsidP="005B6A65">
      <w:pPr>
        <w:rPr>
          <w:rFonts w:ascii="Times New Roman" w:hAnsi="Times New Roman" w:cs="Times New Roman"/>
          <w:b/>
          <w:sz w:val="24"/>
          <w:lang w:val="en-US"/>
        </w:rPr>
      </w:pPr>
      <w:r w:rsidRPr="009F4CBB">
        <w:rPr>
          <w:rFonts w:ascii="Times New Roman" w:hAnsi="Times New Roman" w:cs="Times New Roman"/>
          <w:b/>
          <w:sz w:val="24"/>
          <w:lang w:val="en-US"/>
        </w:rPr>
        <w:t>Impact magnitude</w:t>
      </w:r>
    </w:p>
    <w:p w:rsidR="005B6A65" w:rsidRPr="009F4CBB" w:rsidRDefault="005B6A65" w:rsidP="005B6A65">
      <w:pPr>
        <w:pStyle w:val="Listenabsatz"/>
        <w:numPr>
          <w:ilvl w:val="0"/>
          <w:numId w:val="3"/>
        </w:numPr>
        <w:spacing w:after="240"/>
        <w:rPr>
          <w:sz w:val="24"/>
          <w:szCs w:val="24"/>
          <w:lang w:val="en-US"/>
        </w:rPr>
      </w:pPr>
      <w:r w:rsidRPr="009F4CBB">
        <w:rPr>
          <w:b/>
          <w:bCs/>
          <w:sz w:val="24"/>
          <w:szCs w:val="24"/>
          <w:lang w:val="en-US"/>
        </w:rPr>
        <w:t>Principle 1:</w:t>
      </w:r>
      <w:r w:rsidRPr="009F4CBB">
        <w:rPr>
          <w:sz w:val="24"/>
          <w:szCs w:val="24"/>
          <w:lang w:val="en-US"/>
        </w:rPr>
        <w:t xml:space="preserve"> </w:t>
      </w:r>
      <w:r w:rsidRPr="009F4CBB">
        <w:rPr>
          <w:i/>
          <w:iCs/>
          <w:sz w:val="24"/>
          <w:szCs w:val="24"/>
          <w:lang w:val="en-US"/>
        </w:rPr>
        <w:t>A positive company impact of an economic activity is significant if it leads to a social or environmental outcome that meets or exceeds a well-established (e.g., science-based or international standards-based) threshold. Regarding the IMP classification, this applies to B and C impacts</w:t>
      </w:r>
      <w:r w:rsidRPr="009F4CBB">
        <w:rPr>
          <w:i/>
          <w:iCs/>
          <w:color w:val="000000" w:themeColor="text1"/>
          <w:sz w:val="24"/>
          <w:szCs w:val="24"/>
          <w:lang w:val="en-US"/>
        </w:rPr>
        <w:t>.</w:t>
      </w:r>
    </w:p>
    <w:p w:rsidR="005B6A65" w:rsidRPr="009F4CBB" w:rsidRDefault="005B6A65" w:rsidP="005B6A65">
      <w:pPr>
        <w:pStyle w:val="Listenabsatz"/>
        <w:numPr>
          <w:ilvl w:val="0"/>
          <w:numId w:val="3"/>
        </w:numPr>
        <w:rPr>
          <w:i/>
          <w:iCs/>
          <w:sz w:val="24"/>
          <w:szCs w:val="24"/>
          <w:lang w:val="en-US"/>
        </w:rPr>
      </w:pPr>
      <w:r w:rsidRPr="009F4CBB">
        <w:rPr>
          <w:b/>
          <w:bCs/>
          <w:sz w:val="24"/>
          <w:szCs w:val="24"/>
          <w:lang w:val="en-US"/>
        </w:rPr>
        <w:t>Principle 2:</w:t>
      </w:r>
      <w:r w:rsidRPr="009F4CBB">
        <w:rPr>
          <w:sz w:val="24"/>
          <w:szCs w:val="24"/>
          <w:lang w:val="en-US"/>
        </w:rPr>
        <w:t xml:space="preserve"> </w:t>
      </w:r>
      <w:r w:rsidRPr="009F4CBB">
        <w:rPr>
          <w:i/>
          <w:iCs/>
          <w:sz w:val="24"/>
          <w:szCs w:val="24"/>
          <w:lang w:val="en-US"/>
        </w:rPr>
        <w:t>If thresholds are not available or if IMP’s “A” classification applies, the significance of company impacts should be defined based on relative performance measures. A company has significant positive impact if it leads to an improvement in a social or environmental outcome by a pre-defined percentage value on average compared to the previous years or if the change of the social or environmental outcome caused by the company belongs to the best-performing percentile of its peer group (sector/industry).</w:t>
      </w:r>
    </w:p>
    <w:p w:rsidR="005B6A65" w:rsidRPr="009F4CBB" w:rsidRDefault="005B6A65" w:rsidP="005B6A65">
      <w:pPr>
        <w:pStyle w:val="Listenabsatz"/>
        <w:numPr>
          <w:ilvl w:val="0"/>
          <w:numId w:val="3"/>
        </w:numPr>
        <w:rPr>
          <w:i/>
          <w:iCs/>
          <w:sz w:val="24"/>
          <w:szCs w:val="24"/>
          <w:lang w:val="en-US"/>
        </w:rPr>
      </w:pPr>
      <w:r w:rsidRPr="009F4CBB">
        <w:rPr>
          <w:b/>
          <w:bCs/>
          <w:sz w:val="24"/>
          <w:szCs w:val="24"/>
          <w:lang w:val="en-US"/>
        </w:rPr>
        <w:t xml:space="preserve">Principle 3: </w:t>
      </w:r>
      <w:r w:rsidRPr="009F4CBB">
        <w:rPr>
          <w:i/>
          <w:iCs/>
          <w:sz w:val="24"/>
          <w:szCs w:val="24"/>
          <w:lang w:val="en-US"/>
        </w:rPr>
        <w:t>Impact-aligned and impact-generating investments should only refer to significant company impacts and aggregate them on a portfolio level.</w:t>
      </w:r>
    </w:p>
    <w:p w:rsidR="005B6A65" w:rsidRPr="009F4CBB" w:rsidRDefault="005B6A65" w:rsidP="005B6A65">
      <w:pPr>
        <w:pStyle w:val="Listenabsatz"/>
        <w:numPr>
          <w:ilvl w:val="0"/>
          <w:numId w:val="3"/>
        </w:numPr>
        <w:rPr>
          <w:i/>
          <w:iCs/>
          <w:sz w:val="24"/>
          <w:szCs w:val="24"/>
          <w:lang w:val="en-US"/>
        </w:rPr>
      </w:pPr>
      <w:r w:rsidRPr="009F4CBB">
        <w:rPr>
          <w:b/>
          <w:bCs/>
          <w:sz w:val="24"/>
          <w:szCs w:val="24"/>
          <w:lang w:val="en-US"/>
        </w:rPr>
        <w:t>Principle 4:</w:t>
      </w:r>
      <w:r w:rsidRPr="009F4CBB">
        <w:rPr>
          <w:i/>
          <w:iCs/>
          <w:sz w:val="24"/>
          <w:szCs w:val="24"/>
          <w:lang w:val="en-US"/>
        </w:rPr>
        <w:t xml:space="preserve"> If economic activities have no viable option to transition away from significantly harmful social or environmental outcomes, no significant positive company impact can be generated. </w:t>
      </w:r>
    </w:p>
    <w:p w:rsidR="005B6A65" w:rsidRPr="009F4CBB" w:rsidRDefault="005B6A65" w:rsidP="005B6A65">
      <w:pPr>
        <w:rPr>
          <w:rFonts w:ascii="Times New Roman" w:hAnsi="Times New Roman" w:cs="Times New Roman"/>
          <w:i/>
          <w:iCs/>
          <w:sz w:val="24"/>
          <w:szCs w:val="24"/>
          <w:lang w:val="en-US"/>
        </w:rPr>
      </w:pPr>
    </w:p>
    <w:p w:rsidR="005B6A65" w:rsidRPr="009F4CBB" w:rsidRDefault="005B6A65" w:rsidP="005B6A65">
      <w:pPr>
        <w:rPr>
          <w:rFonts w:ascii="Times New Roman" w:hAnsi="Times New Roman" w:cs="Times New Roman"/>
          <w:b/>
          <w:sz w:val="24"/>
          <w:lang w:val="en-US"/>
        </w:rPr>
      </w:pPr>
      <w:r w:rsidRPr="009F4CBB">
        <w:rPr>
          <w:rFonts w:ascii="Times New Roman" w:hAnsi="Times New Roman" w:cs="Times New Roman"/>
          <w:b/>
          <w:sz w:val="24"/>
          <w:lang w:val="en-US"/>
        </w:rPr>
        <w:t>Impact life cycle</w:t>
      </w:r>
    </w:p>
    <w:p w:rsidR="005B6A65" w:rsidRPr="009F4CBB" w:rsidRDefault="005B6A65" w:rsidP="005B6A65">
      <w:pPr>
        <w:pStyle w:val="Listenabsatz"/>
        <w:numPr>
          <w:ilvl w:val="0"/>
          <w:numId w:val="2"/>
        </w:numPr>
        <w:spacing w:after="240"/>
        <w:rPr>
          <w:i/>
          <w:iCs/>
          <w:color w:val="000000" w:themeColor="text1"/>
          <w:sz w:val="24"/>
          <w:szCs w:val="24"/>
          <w:lang w:val="en-US"/>
        </w:rPr>
      </w:pPr>
      <w:r w:rsidRPr="009F4CBB">
        <w:rPr>
          <w:b/>
          <w:bCs/>
          <w:sz w:val="24"/>
          <w:szCs w:val="24"/>
          <w:lang w:val="en-US"/>
        </w:rPr>
        <w:t>Principle 5</w:t>
      </w:r>
      <w:r w:rsidRPr="009F4CBB">
        <w:rPr>
          <w:b/>
          <w:iCs/>
          <w:sz w:val="24"/>
          <w:szCs w:val="24"/>
          <w:lang w:val="en-US"/>
        </w:rPr>
        <w:t>:</w:t>
      </w:r>
      <w:r w:rsidRPr="009F4CBB">
        <w:rPr>
          <w:i/>
          <w:iCs/>
          <w:sz w:val="24"/>
          <w:szCs w:val="24"/>
          <w:lang w:val="en-US"/>
        </w:rPr>
        <w:t xml:space="preserve"> A positive company impact is significant as long as the resulting social or environmental outcomes continue to meet their thresholds over time. For the IMP classification, this applies to “B” and “C” impacts</w:t>
      </w:r>
      <w:r w:rsidRPr="009F4CBB">
        <w:rPr>
          <w:i/>
          <w:iCs/>
          <w:color w:val="000000" w:themeColor="text1"/>
          <w:sz w:val="24"/>
          <w:szCs w:val="24"/>
          <w:lang w:val="en-US"/>
        </w:rPr>
        <w:t>.</w:t>
      </w:r>
      <w:r w:rsidRPr="009F4CBB" w:rsidDel="007F38EF">
        <w:rPr>
          <w:i/>
          <w:iCs/>
          <w:color w:val="000000" w:themeColor="text1"/>
          <w:sz w:val="24"/>
          <w:szCs w:val="24"/>
          <w:lang w:val="en-US"/>
        </w:rPr>
        <w:t xml:space="preserve"> </w:t>
      </w:r>
    </w:p>
    <w:p w:rsidR="005B6A65" w:rsidRPr="009F4CBB" w:rsidRDefault="005B6A65" w:rsidP="005B6A65">
      <w:pPr>
        <w:pStyle w:val="Listenabsatz"/>
        <w:numPr>
          <w:ilvl w:val="0"/>
          <w:numId w:val="2"/>
        </w:numPr>
        <w:spacing w:after="240"/>
        <w:rPr>
          <w:i/>
          <w:iCs/>
          <w:sz w:val="24"/>
          <w:szCs w:val="24"/>
          <w:lang w:val="en-US"/>
        </w:rPr>
      </w:pPr>
      <w:r w:rsidRPr="009F4CBB">
        <w:rPr>
          <w:b/>
          <w:bCs/>
          <w:sz w:val="24"/>
          <w:szCs w:val="24"/>
          <w:lang w:val="en-US"/>
        </w:rPr>
        <w:t>Principle 6</w:t>
      </w:r>
      <w:r w:rsidRPr="009F4CBB">
        <w:rPr>
          <w:b/>
          <w:sz w:val="24"/>
          <w:szCs w:val="24"/>
          <w:lang w:val="en-US"/>
        </w:rPr>
        <w:t>:</w:t>
      </w:r>
      <w:r w:rsidRPr="009F4CBB">
        <w:rPr>
          <w:sz w:val="24"/>
          <w:szCs w:val="24"/>
          <w:lang w:val="en-US"/>
        </w:rPr>
        <w:t xml:space="preserve"> </w:t>
      </w:r>
      <w:r w:rsidRPr="009F4CBB">
        <w:rPr>
          <w:i/>
          <w:iCs/>
          <w:sz w:val="24"/>
          <w:szCs w:val="24"/>
          <w:lang w:val="en-US"/>
        </w:rPr>
        <w:t xml:space="preserve">In cases when thresholds are not available or where IMP’s </w:t>
      </w:r>
      <w:r w:rsidR="009F4CBB">
        <w:rPr>
          <w:i/>
          <w:iCs/>
          <w:sz w:val="24"/>
          <w:szCs w:val="24"/>
          <w:lang w:val="en-US"/>
        </w:rPr>
        <w:t>“</w:t>
      </w:r>
      <w:r w:rsidRPr="009F4CBB">
        <w:rPr>
          <w:i/>
          <w:iCs/>
          <w:sz w:val="24"/>
          <w:szCs w:val="24"/>
          <w:lang w:val="en-US"/>
        </w:rPr>
        <w:t>A</w:t>
      </w:r>
      <w:r w:rsidR="009F4CBB">
        <w:rPr>
          <w:i/>
          <w:iCs/>
          <w:sz w:val="24"/>
          <w:szCs w:val="24"/>
          <w:lang w:val="en-US"/>
        </w:rPr>
        <w:t>”</w:t>
      </w:r>
      <w:r w:rsidRPr="009F4CBB">
        <w:rPr>
          <w:i/>
          <w:iCs/>
          <w:sz w:val="24"/>
          <w:szCs w:val="24"/>
          <w:lang w:val="en-US"/>
        </w:rPr>
        <w:t xml:space="preserve"> classification applies, a positive company impact is significant as long as the pre-defined relative improvement rates or industry-specific percentile values are consistently met over time.</w:t>
      </w:r>
    </w:p>
    <w:p w:rsidR="005B6A65" w:rsidRPr="009F4CBB" w:rsidRDefault="005B6A65" w:rsidP="005B6A65">
      <w:pPr>
        <w:pStyle w:val="Listenabsatz"/>
        <w:numPr>
          <w:ilvl w:val="0"/>
          <w:numId w:val="2"/>
        </w:numPr>
        <w:spacing w:after="240"/>
        <w:rPr>
          <w:sz w:val="24"/>
          <w:szCs w:val="24"/>
          <w:lang w:val="en-US"/>
        </w:rPr>
      </w:pPr>
      <w:r w:rsidRPr="009F4CBB">
        <w:rPr>
          <w:b/>
          <w:bCs/>
          <w:sz w:val="24"/>
          <w:szCs w:val="24"/>
          <w:lang w:val="en-US"/>
        </w:rPr>
        <w:t xml:space="preserve">Principle 7: </w:t>
      </w:r>
      <w:r w:rsidRPr="009F4CBB">
        <w:rPr>
          <w:i/>
          <w:iCs/>
          <w:sz w:val="24"/>
          <w:szCs w:val="24"/>
          <w:lang w:val="en-US"/>
        </w:rPr>
        <w:t xml:space="preserve">For the capital allocation mechanism, a positive investor contribution lasts as long as the positive company impact lasts and the investor remains invested. </w:t>
      </w:r>
    </w:p>
    <w:p w:rsidR="005B6A65" w:rsidRPr="009F4CBB" w:rsidRDefault="005B6A65" w:rsidP="005B6A65">
      <w:pPr>
        <w:pStyle w:val="Listenabsatz"/>
        <w:numPr>
          <w:ilvl w:val="0"/>
          <w:numId w:val="2"/>
        </w:numPr>
        <w:spacing w:after="240"/>
        <w:rPr>
          <w:i/>
          <w:iCs/>
          <w:sz w:val="24"/>
          <w:szCs w:val="24"/>
          <w:lang w:val="en-US"/>
        </w:rPr>
      </w:pPr>
      <w:r w:rsidRPr="009F4CBB">
        <w:rPr>
          <w:b/>
          <w:bCs/>
          <w:sz w:val="24"/>
          <w:szCs w:val="24"/>
          <w:lang w:val="en-US"/>
        </w:rPr>
        <w:lastRenderedPageBreak/>
        <w:t>Principle 8</w:t>
      </w:r>
      <w:r w:rsidRPr="009F4CBB">
        <w:rPr>
          <w:i/>
          <w:iCs/>
          <w:sz w:val="24"/>
          <w:szCs w:val="24"/>
          <w:lang w:val="en-US"/>
        </w:rPr>
        <w:t xml:space="preserve">: The positive investor contribution of stewardship lasts as long as the investor provides ongoing evidence that the continuous improvements in company impact can be traced back to their engagement activities. </w:t>
      </w:r>
    </w:p>
    <w:p w:rsidR="005B6A65" w:rsidRPr="009F4CBB" w:rsidRDefault="005B6A65" w:rsidP="005B6A65">
      <w:pPr>
        <w:pStyle w:val="Listenabsatz"/>
        <w:numPr>
          <w:ilvl w:val="0"/>
          <w:numId w:val="2"/>
        </w:numPr>
        <w:spacing w:after="240"/>
        <w:rPr>
          <w:i/>
          <w:iCs/>
          <w:color w:val="000000" w:themeColor="text1"/>
          <w:sz w:val="24"/>
          <w:szCs w:val="24"/>
          <w:lang w:val="en-US"/>
        </w:rPr>
      </w:pPr>
      <w:r w:rsidRPr="009F4CBB">
        <w:rPr>
          <w:b/>
          <w:bCs/>
          <w:sz w:val="24"/>
          <w:szCs w:val="24"/>
          <w:lang w:val="en-US"/>
        </w:rPr>
        <w:t>Principle</w:t>
      </w:r>
      <w:r w:rsidRPr="009F4CBB">
        <w:rPr>
          <w:b/>
          <w:bCs/>
          <w:color w:val="000000" w:themeColor="text1"/>
          <w:sz w:val="24"/>
          <w:szCs w:val="24"/>
          <w:lang w:val="en-US"/>
        </w:rPr>
        <w:t xml:space="preserve"> 9:</w:t>
      </w:r>
      <w:r w:rsidRPr="009F4CBB">
        <w:rPr>
          <w:i/>
          <w:iCs/>
          <w:color w:val="000000" w:themeColor="text1"/>
          <w:sz w:val="24"/>
          <w:szCs w:val="24"/>
          <w:lang w:val="en-US"/>
        </w:rPr>
        <w:t xml:space="preserve"> Company impact is generally transferable between investors.</w:t>
      </w:r>
    </w:p>
    <w:p w:rsidR="005B6A65" w:rsidRPr="009F4CBB" w:rsidRDefault="005B6A65" w:rsidP="005B6A65">
      <w:pPr>
        <w:pStyle w:val="Listenabsatz"/>
        <w:numPr>
          <w:ilvl w:val="0"/>
          <w:numId w:val="2"/>
        </w:numPr>
        <w:spacing w:after="240"/>
        <w:rPr>
          <w:i/>
          <w:iCs/>
          <w:sz w:val="24"/>
          <w:szCs w:val="24"/>
          <w:lang w:val="en-US"/>
        </w:rPr>
      </w:pPr>
      <w:r w:rsidRPr="009F4CBB">
        <w:rPr>
          <w:b/>
          <w:bCs/>
          <w:sz w:val="24"/>
          <w:szCs w:val="24"/>
          <w:lang w:val="en-US"/>
        </w:rPr>
        <w:t>Principle 10:</w:t>
      </w:r>
      <w:r w:rsidRPr="009F4CBB">
        <w:rPr>
          <w:i/>
          <w:iCs/>
          <w:sz w:val="24"/>
          <w:szCs w:val="24"/>
          <w:lang w:val="en-US"/>
        </w:rPr>
        <w:t xml:space="preserve"> Investor contribution is generally not transferable between investors. </w:t>
      </w:r>
    </w:p>
    <w:p w:rsidR="005B6A65" w:rsidRPr="009F4CBB" w:rsidRDefault="005B6A65" w:rsidP="005B6A65">
      <w:pPr>
        <w:pStyle w:val="Listenabsatz"/>
        <w:numPr>
          <w:ilvl w:val="0"/>
          <w:numId w:val="2"/>
        </w:numPr>
        <w:spacing w:after="240"/>
        <w:rPr>
          <w:i/>
          <w:iCs/>
          <w:sz w:val="24"/>
          <w:szCs w:val="24"/>
          <w:lang w:val="en-US"/>
        </w:rPr>
      </w:pPr>
      <w:r w:rsidRPr="009F4CBB">
        <w:rPr>
          <w:b/>
          <w:bCs/>
          <w:sz w:val="24"/>
          <w:szCs w:val="24"/>
          <w:lang w:val="en-US"/>
        </w:rPr>
        <w:t>Principle 11</w:t>
      </w:r>
      <w:r w:rsidRPr="009F4CBB">
        <w:rPr>
          <w:i/>
          <w:iCs/>
          <w:sz w:val="24"/>
          <w:szCs w:val="24"/>
          <w:lang w:val="en-US"/>
        </w:rPr>
        <w:t>: During the pre-investment phase,</w:t>
      </w:r>
      <w:r w:rsidRPr="009F4CBB">
        <w:rPr>
          <w:sz w:val="24"/>
          <w:szCs w:val="24"/>
          <w:lang w:val="en-US"/>
        </w:rPr>
        <w:t xml:space="preserve"> i</w:t>
      </w:r>
      <w:r w:rsidRPr="009F4CBB">
        <w:rPr>
          <w:i/>
          <w:iCs/>
          <w:sz w:val="24"/>
          <w:szCs w:val="24"/>
          <w:lang w:val="en-US"/>
        </w:rPr>
        <w:t>nvestors shall determine and report their company impact goals and, for impact-generating investments additionally, specify their intended investor contribution goals at the investee and portfolio levels.</w:t>
      </w:r>
    </w:p>
    <w:p w:rsidR="005B6A65" w:rsidRPr="009F4CBB" w:rsidRDefault="005B6A65" w:rsidP="005B6A65">
      <w:pPr>
        <w:pStyle w:val="Listenabsatz"/>
        <w:numPr>
          <w:ilvl w:val="0"/>
          <w:numId w:val="2"/>
        </w:numPr>
        <w:spacing w:after="240"/>
        <w:rPr>
          <w:i/>
          <w:iCs/>
          <w:sz w:val="24"/>
          <w:szCs w:val="24"/>
          <w:lang w:val="en-US"/>
        </w:rPr>
      </w:pPr>
      <w:r w:rsidRPr="009F4CBB">
        <w:rPr>
          <w:b/>
          <w:bCs/>
          <w:sz w:val="24"/>
          <w:szCs w:val="24"/>
          <w:lang w:val="en-US"/>
        </w:rPr>
        <w:t>Principle 12</w:t>
      </w:r>
      <w:r w:rsidRPr="009F4CBB">
        <w:rPr>
          <w:i/>
          <w:iCs/>
          <w:sz w:val="24"/>
          <w:szCs w:val="24"/>
          <w:lang w:val="en-US"/>
        </w:rPr>
        <w:t>: During the post-investment phase, investors shall annually measure and report progress in achieving company impact goals and, for impact-generating investments additionally, realized investor contribution goals at the investee and portfolio levels.</w:t>
      </w:r>
    </w:p>
    <w:p w:rsidR="005B6A65" w:rsidRPr="009F4CBB" w:rsidRDefault="005B6A65" w:rsidP="005B6A65">
      <w:pPr>
        <w:pStyle w:val="Listenabsatz"/>
        <w:rPr>
          <w:i/>
          <w:iCs/>
          <w:sz w:val="24"/>
          <w:szCs w:val="24"/>
          <w:lang w:val="en-US"/>
        </w:rPr>
      </w:pPr>
    </w:p>
    <w:p w:rsidR="005B6A65" w:rsidRPr="009F4CBB" w:rsidRDefault="005B6A65" w:rsidP="005B6A65">
      <w:pPr>
        <w:rPr>
          <w:rFonts w:ascii="Times New Roman" w:hAnsi="Times New Roman" w:cs="Times New Roman"/>
          <w:b/>
          <w:sz w:val="24"/>
          <w:lang w:val="en-US"/>
        </w:rPr>
      </w:pPr>
      <w:r w:rsidRPr="009F4CBB">
        <w:rPr>
          <w:rFonts w:ascii="Times New Roman" w:hAnsi="Times New Roman" w:cs="Times New Roman"/>
          <w:b/>
          <w:sz w:val="24"/>
          <w:lang w:val="en-US"/>
        </w:rPr>
        <w:t>Impact tradeoffs</w:t>
      </w:r>
    </w:p>
    <w:p w:rsidR="005B6A65" w:rsidRPr="009F4CBB" w:rsidRDefault="005B6A65" w:rsidP="005B6A65">
      <w:pPr>
        <w:pStyle w:val="Listenabsatz"/>
        <w:numPr>
          <w:ilvl w:val="0"/>
          <w:numId w:val="4"/>
        </w:numPr>
        <w:spacing w:after="240"/>
        <w:rPr>
          <w:color w:val="000000" w:themeColor="text1"/>
          <w:sz w:val="24"/>
          <w:szCs w:val="24"/>
          <w:lang w:val="en-US"/>
        </w:rPr>
      </w:pPr>
      <w:r w:rsidRPr="009F4CBB">
        <w:rPr>
          <w:b/>
          <w:bCs/>
          <w:color w:val="000000" w:themeColor="text1"/>
          <w:sz w:val="24"/>
          <w:szCs w:val="24"/>
          <w:lang w:val="en-US"/>
        </w:rPr>
        <w:t>Principle 13</w:t>
      </w:r>
      <w:r w:rsidRPr="009F4CBB" w:rsidDel="00526BCF">
        <w:rPr>
          <w:b/>
          <w:color w:val="000000" w:themeColor="text1"/>
          <w:sz w:val="24"/>
          <w:szCs w:val="24"/>
          <w:lang w:val="en-US"/>
        </w:rPr>
        <w:t>:</w:t>
      </w:r>
      <w:r w:rsidRPr="009F4CBB" w:rsidDel="00526BCF">
        <w:rPr>
          <w:color w:val="000000" w:themeColor="text1"/>
          <w:sz w:val="24"/>
          <w:szCs w:val="24"/>
          <w:lang w:val="en-US"/>
        </w:rPr>
        <w:t xml:space="preserve"> </w:t>
      </w:r>
      <w:r w:rsidRPr="009F4CBB">
        <w:rPr>
          <w:i/>
          <w:iCs/>
          <w:color w:val="000000" w:themeColor="text1"/>
          <w:sz w:val="24"/>
          <w:szCs w:val="24"/>
          <w:lang w:val="en-US"/>
        </w:rPr>
        <w:t xml:space="preserve">Investors should conduct a context-based materiality assessment to select a company’s most relevant positive and negative </w:t>
      </w:r>
      <w:r w:rsidRPr="009F4CBB">
        <w:rPr>
          <w:i/>
          <w:iCs/>
          <w:sz w:val="24"/>
          <w:szCs w:val="24"/>
          <w:lang w:val="en-US"/>
        </w:rPr>
        <w:t>environmental</w:t>
      </w:r>
      <w:r w:rsidRPr="009F4CBB">
        <w:rPr>
          <w:i/>
          <w:iCs/>
          <w:color w:val="000000" w:themeColor="text1"/>
          <w:sz w:val="24"/>
          <w:szCs w:val="24"/>
          <w:lang w:val="en-US"/>
        </w:rPr>
        <w:t xml:space="preserve"> and social impacts for impact management. </w:t>
      </w:r>
    </w:p>
    <w:p w:rsidR="005B6A65" w:rsidRPr="009F4CBB" w:rsidRDefault="005B6A65" w:rsidP="005B6A65">
      <w:pPr>
        <w:pStyle w:val="Listenabsatz"/>
        <w:numPr>
          <w:ilvl w:val="0"/>
          <w:numId w:val="4"/>
        </w:numPr>
        <w:spacing w:after="240"/>
        <w:rPr>
          <w:i/>
          <w:iCs/>
          <w:sz w:val="24"/>
          <w:szCs w:val="24"/>
          <w:lang w:val="en-US"/>
        </w:rPr>
      </w:pPr>
      <w:r w:rsidRPr="009F4CBB">
        <w:rPr>
          <w:b/>
          <w:bCs/>
          <w:sz w:val="24"/>
          <w:szCs w:val="24"/>
          <w:lang w:val="en-US"/>
        </w:rPr>
        <w:t xml:space="preserve">Principle 14: </w:t>
      </w:r>
      <w:r w:rsidRPr="009F4CBB">
        <w:rPr>
          <w:i/>
          <w:iCs/>
          <w:sz w:val="24"/>
          <w:szCs w:val="24"/>
          <w:lang w:val="en-US"/>
        </w:rPr>
        <w:t xml:space="preserve">Investors should conduct a thorough analysis of the potential negative impacts that stem from tradeoffs between different impact categories. Such negative impacts should be measured, monitored, reported, and mitigated over time. </w:t>
      </w:r>
    </w:p>
    <w:p w:rsidR="005B6A65" w:rsidRPr="009F4CBB" w:rsidRDefault="005B6A65" w:rsidP="005B6A65">
      <w:pPr>
        <w:pStyle w:val="Listenabsatz"/>
        <w:numPr>
          <w:ilvl w:val="0"/>
          <w:numId w:val="4"/>
        </w:numPr>
        <w:rPr>
          <w:i/>
          <w:iCs/>
          <w:sz w:val="24"/>
          <w:szCs w:val="24"/>
          <w:lang w:val="en-US"/>
        </w:rPr>
      </w:pPr>
      <w:r w:rsidRPr="009F4CBB">
        <w:rPr>
          <w:b/>
          <w:bCs/>
          <w:sz w:val="24"/>
          <w:szCs w:val="24"/>
          <w:lang w:val="en-US"/>
        </w:rPr>
        <w:t>Principle 15:</w:t>
      </w:r>
      <w:r w:rsidRPr="009F4CBB" w:rsidDel="000010FA">
        <w:rPr>
          <w:sz w:val="24"/>
          <w:szCs w:val="24"/>
          <w:lang w:val="en-US"/>
        </w:rPr>
        <w:t xml:space="preserve"> </w:t>
      </w:r>
      <w:r w:rsidRPr="009F4CBB">
        <w:rPr>
          <w:i/>
          <w:sz w:val="24"/>
          <w:szCs w:val="24"/>
          <w:lang w:val="en-US"/>
        </w:rPr>
        <w:t xml:space="preserve">Impact-aligned and </w:t>
      </w:r>
      <w:r w:rsidRPr="009F4CBB">
        <w:rPr>
          <w:i/>
          <w:iCs/>
          <w:sz w:val="24"/>
          <w:szCs w:val="24"/>
          <w:lang w:val="en-US"/>
        </w:rPr>
        <w:t>impact</w:t>
      </w:r>
      <w:r w:rsidRPr="009F4CBB">
        <w:rPr>
          <w:i/>
          <w:sz w:val="24"/>
          <w:szCs w:val="24"/>
          <w:lang w:val="en-US"/>
        </w:rPr>
        <w:t>-generating investments</w:t>
      </w:r>
      <w:r w:rsidRPr="009F4CBB">
        <w:rPr>
          <w:i/>
          <w:iCs/>
          <w:sz w:val="24"/>
          <w:szCs w:val="24"/>
          <w:lang w:val="en-US"/>
        </w:rPr>
        <w:t xml:space="preserve"> should only aggregate company impacts within established impact categories (e.g., as defined in life cycle assessments) and should not aggregate impacts across different impact categories.</w:t>
      </w:r>
    </w:p>
    <w:p w:rsidR="005B6A65" w:rsidRPr="009F4CBB" w:rsidRDefault="005B6A65" w:rsidP="005B6A65">
      <w:pPr>
        <w:pStyle w:val="Listenabsatz"/>
        <w:numPr>
          <w:ilvl w:val="0"/>
          <w:numId w:val="4"/>
        </w:numPr>
        <w:rPr>
          <w:lang w:val="en-US"/>
        </w:rPr>
      </w:pPr>
      <w:r w:rsidRPr="009F4CBB">
        <w:rPr>
          <w:b/>
          <w:bCs/>
          <w:sz w:val="24"/>
          <w:szCs w:val="24"/>
          <w:lang w:val="en-US"/>
        </w:rPr>
        <w:t>Principle</w:t>
      </w:r>
      <w:r w:rsidRPr="009F4CBB">
        <w:rPr>
          <w:b/>
          <w:bCs/>
          <w:color w:val="000000" w:themeColor="text1"/>
          <w:sz w:val="24"/>
          <w:szCs w:val="24"/>
          <w:lang w:val="en-US"/>
        </w:rPr>
        <w:t xml:space="preserve"> 16</w:t>
      </w:r>
      <w:r w:rsidRPr="009F4CBB">
        <w:rPr>
          <w:b/>
          <w:color w:val="000000" w:themeColor="text1"/>
          <w:sz w:val="24"/>
          <w:szCs w:val="24"/>
          <w:lang w:val="en-US"/>
        </w:rPr>
        <w:t xml:space="preserve">: </w:t>
      </w:r>
      <w:r w:rsidRPr="009F4CBB">
        <w:rPr>
          <w:i/>
          <w:iCs/>
          <w:color w:val="000000" w:themeColor="text1"/>
          <w:sz w:val="24"/>
          <w:szCs w:val="24"/>
          <w:lang w:val="en-US"/>
        </w:rPr>
        <w:t>Monetizing impacts at the portfolio level across different impact categories is not a useful approach for impact-aligned or impact-generating investments.</w:t>
      </w:r>
    </w:p>
    <w:p w:rsidR="005B6A65" w:rsidRPr="005B6A65" w:rsidRDefault="005B6A65" w:rsidP="005B6A65">
      <w:pPr>
        <w:pStyle w:val="Listenabsatz"/>
        <w:numPr>
          <w:ilvl w:val="0"/>
          <w:numId w:val="1"/>
        </w:numPr>
        <w:jc w:val="left"/>
        <w:rPr>
          <w:sz w:val="24"/>
          <w:lang w:val="en-US"/>
        </w:rPr>
      </w:pPr>
      <w:r w:rsidRPr="009F4CBB">
        <w:rPr>
          <w:lang w:val="en-US"/>
        </w:rPr>
        <w:br w:type="page"/>
      </w:r>
    </w:p>
    <w:p w:rsidR="005B6A65" w:rsidRPr="009F4CBB" w:rsidRDefault="005B6A65" w:rsidP="005B6A65">
      <w:pPr>
        <w:pStyle w:val="berschrift2"/>
        <w:rPr>
          <w:lang w:val="en-US"/>
        </w:rPr>
      </w:pPr>
      <w:bookmarkStart w:id="2" w:name="_Toc187328013"/>
      <w:r w:rsidRPr="009F4CBB">
        <w:rPr>
          <w:lang w:val="en-US"/>
        </w:rPr>
        <w:lastRenderedPageBreak/>
        <w:t>Annex 2: IMP’s ABC classification</w:t>
      </w:r>
      <w:bookmarkEnd w:id="2"/>
    </w:p>
    <w:p w:rsidR="005B6A65" w:rsidRPr="009F4CBB" w:rsidRDefault="005B6A65" w:rsidP="005B6A65">
      <w:pPr>
        <w:spacing w:before="240" w:after="120"/>
        <w:rPr>
          <w:rFonts w:ascii="Times New Roman" w:hAnsi="Times New Roman" w:cs="Times New Roman"/>
          <w:sz w:val="24"/>
          <w:szCs w:val="24"/>
          <w:lang w:val="en-US"/>
        </w:rPr>
      </w:pPr>
      <w:r w:rsidRPr="009F4CBB">
        <w:rPr>
          <w:rFonts w:ascii="Times New Roman" w:hAnsi="Times New Roman" w:cs="Times New Roman"/>
          <w:b/>
          <w:bCs/>
          <w:sz w:val="24"/>
          <w:szCs w:val="24"/>
          <w:lang w:val="en-US"/>
        </w:rPr>
        <w:t>Fig. 2</w:t>
      </w:r>
      <w:r w:rsidRPr="009F4CBB">
        <w:rPr>
          <w:rFonts w:ascii="Times New Roman" w:hAnsi="Times New Roman" w:cs="Times New Roman"/>
          <w:sz w:val="24"/>
          <w:szCs w:val="24"/>
          <w:lang w:val="en-US"/>
        </w:rPr>
        <w:t xml:space="preserve"> IMP’s ABC classification in relation to a threshold (IMP 2023g)</w:t>
      </w:r>
    </w:p>
    <w:p w:rsidR="005B6A65" w:rsidRPr="009F4CBB" w:rsidRDefault="005B6A65" w:rsidP="005B6A65">
      <w:pPr>
        <w:spacing w:after="120"/>
        <w:rPr>
          <w:rFonts w:ascii="Times New Roman" w:hAnsi="Times New Roman" w:cs="Times New Roman"/>
          <w:sz w:val="24"/>
          <w:szCs w:val="24"/>
          <w:lang w:val="en-US"/>
        </w:rPr>
      </w:pPr>
      <w:r w:rsidRPr="009F4CBB">
        <w:rPr>
          <w:rFonts w:ascii="Times New Roman" w:hAnsi="Times New Roman" w:cs="Times New Roman"/>
          <w:noProof/>
          <w:lang w:eastAsia="en-IN"/>
        </w:rPr>
        <w:drawing>
          <wp:inline distT="0" distB="0" distL="0" distR="0" wp14:anchorId="73A4004F" wp14:editId="75ACC212">
            <wp:extent cx="5696911" cy="3204000"/>
            <wp:effectExtent l="19050" t="19050" r="18415" b="15875"/>
            <wp:docPr id="1946742091" name="Grafik 1946742091" descr="https://tideline.com/wp-content/uploads/2020/12/ABCs_Case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6742091"/>
                    <pic:cNvPicPr/>
                  </pic:nvPicPr>
                  <pic:blipFill>
                    <a:blip r:embed="rId5">
                      <a:extLst>
                        <a:ext uri="{28A0092B-C50C-407E-A947-70E740481C1C}">
                          <a14:useLocalDpi xmlns:a14="http://schemas.microsoft.com/office/drawing/2010/main" val="0"/>
                        </a:ext>
                      </a:extLst>
                    </a:blip>
                    <a:stretch>
                      <a:fillRect/>
                    </a:stretch>
                  </pic:blipFill>
                  <pic:spPr>
                    <a:xfrm>
                      <a:off x="0" y="0"/>
                      <a:ext cx="5696911" cy="3204000"/>
                    </a:xfrm>
                    <a:prstGeom prst="rect">
                      <a:avLst/>
                    </a:prstGeom>
                    <a:ln w="6350">
                      <a:solidFill>
                        <a:schemeClr val="tx1"/>
                      </a:solidFill>
                    </a:ln>
                  </pic:spPr>
                </pic:pic>
              </a:graphicData>
            </a:graphic>
          </wp:inline>
        </w:drawing>
      </w:r>
    </w:p>
    <w:p w:rsidR="005B6A65" w:rsidRPr="009F4CBB" w:rsidRDefault="005B6A65" w:rsidP="005B6A65">
      <w:pPr>
        <w:spacing w:before="240" w:after="120"/>
        <w:rPr>
          <w:rFonts w:ascii="Times New Roman" w:hAnsi="Times New Roman" w:cs="Times New Roman"/>
          <w:sz w:val="24"/>
          <w:szCs w:val="24"/>
          <w:lang w:val="en-US"/>
        </w:rPr>
      </w:pPr>
      <w:r w:rsidRPr="009F4CBB">
        <w:rPr>
          <w:rFonts w:ascii="Times New Roman" w:hAnsi="Times New Roman" w:cs="Times New Roman"/>
          <w:b/>
          <w:bCs/>
          <w:sz w:val="24"/>
          <w:szCs w:val="24"/>
          <w:lang w:val="en-US"/>
        </w:rPr>
        <w:t>Fig. 3</w:t>
      </w:r>
      <w:r w:rsidRPr="009F4CBB">
        <w:rPr>
          <w:rFonts w:ascii="Times New Roman" w:hAnsi="Times New Roman" w:cs="Times New Roman"/>
          <w:sz w:val="24"/>
          <w:szCs w:val="24"/>
          <w:lang w:val="en-US"/>
        </w:rPr>
        <w:t xml:space="preserve"> IMP’s ABC classification description (IMP 2023g)</w:t>
      </w:r>
    </w:p>
    <w:p w:rsidR="005B6A65" w:rsidRPr="009F4CBB" w:rsidRDefault="005B6A65" w:rsidP="005B6A65">
      <w:pPr>
        <w:spacing w:before="240" w:after="120"/>
        <w:rPr>
          <w:rFonts w:ascii="Times New Roman" w:hAnsi="Times New Roman" w:cs="Times New Roman"/>
          <w:lang w:val="en-US"/>
        </w:rPr>
      </w:pPr>
      <w:r w:rsidRPr="009F4CBB">
        <w:rPr>
          <w:rFonts w:ascii="Times New Roman" w:hAnsi="Times New Roman" w:cs="Times New Roman"/>
          <w:noProof/>
          <w:lang w:eastAsia="en-IN"/>
        </w:rPr>
        <w:drawing>
          <wp:inline distT="0" distB="0" distL="0" distR="0" wp14:anchorId="7F9E119D" wp14:editId="6E16B595">
            <wp:extent cx="5733416" cy="3583305"/>
            <wp:effectExtent l="19050" t="19050" r="19685" b="17145"/>
            <wp:docPr id="1109604971" name="Grafik 1109604971" descr="Ein Bild, das Text, Screenshot, Quittung,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96049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3416" cy="3583305"/>
                    </a:xfrm>
                    <a:prstGeom prst="rect">
                      <a:avLst/>
                    </a:prstGeom>
                    <a:ln w="6350">
                      <a:solidFill>
                        <a:schemeClr val="tx1"/>
                      </a:solidFill>
                    </a:ln>
                  </pic:spPr>
                </pic:pic>
              </a:graphicData>
            </a:graphic>
          </wp:inline>
        </w:drawing>
      </w:r>
    </w:p>
    <w:p w:rsidR="005B6A65" w:rsidRPr="009F4CBB" w:rsidRDefault="005B6A65" w:rsidP="005B6A65">
      <w:pPr>
        <w:pStyle w:val="berschrift2"/>
        <w:rPr>
          <w:lang w:val="en-US"/>
        </w:rPr>
      </w:pPr>
      <w:bookmarkStart w:id="3" w:name="_Toc187328014"/>
      <w:r w:rsidRPr="009F4CBB">
        <w:rPr>
          <w:lang w:val="en-US"/>
        </w:rPr>
        <w:lastRenderedPageBreak/>
        <w:t>Annex 3: Aggreg</w:t>
      </w:r>
      <w:bookmarkStart w:id="4" w:name="_GoBack"/>
      <w:bookmarkEnd w:id="4"/>
      <w:r w:rsidRPr="009F4CBB">
        <w:rPr>
          <w:lang w:val="en-US"/>
        </w:rPr>
        <w:t>ating ABC impacts at the portfolio level</w:t>
      </w:r>
      <w:bookmarkEnd w:id="3"/>
    </w:p>
    <w:p w:rsidR="005B6A65" w:rsidRPr="009F4CBB" w:rsidRDefault="005B6A65" w:rsidP="005B6A65">
      <w:pPr>
        <w:spacing w:before="240" w:after="120"/>
        <w:rPr>
          <w:rFonts w:ascii="Times New Roman" w:hAnsi="Times New Roman" w:cs="Times New Roman"/>
          <w:sz w:val="24"/>
          <w:szCs w:val="24"/>
          <w:lang w:val="en-US"/>
        </w:rPr>
      </w:pPr>
      <w:r w:rsidRPr="009F4CBB">
        <w:rPr>
          <w:rFonts w:ascii="Times New Roman" w:hAnsi="Times New Roman" w:cs="Times New Roman"/>
          <w:b/>
          <w:bCs/>
          <w:sz w:val="24"/>
          <w:szCs w:val="24"/>
          <w:lang w:val="en-US"/>
        </w:rPr>
        <w:t>Fig. 4</w:t>
      </w:r>
      <w:r w:rsidRPr="009F4CBB">
        <w:rPr>
          <w:rFonts w:ascii="Times New Roman" w:hAnsi="Times New Roman" w:cs="Times New Roman"/>
          <w:sz w:val="24"/>
          <w:szCs w:val="24"/>
          <w:lang w:val="en-US"/>
        </w:rPr>
        <w:t xml:space="preserve"> Aggregating ABC impacts at the portfolio level (IMP 2023d)</w:t>
      </w:r>
    </w:p>
    <w:p w:rsidR="006327DD" w:rsidRPr="009F4CBB" w:rsidRDefault="009F4CBB" w:rsidP="009F4CBB">
      <w:pPr>
        <w:pStyle w:val="StandardWeb"/>
      </w:pPr>
      <w:r>
        <w:rPr>
          <w:noProof/>
        </w:rPr>
        <w:drawing>
          <wp:inline distT="0" distB="0" distL="0" distR="0" wp14:anchorId="0FC48798" wp14:editId="019293EF">
            <wp:extent cx="5731077" cy="2517140"/>
            <wp:effectExtent l="0" t="0" r="3175" b="0"/>
            <wp:docPr id="1" name="Grafik 1" descr="C:\Users\bax3920\Nextcloud\01_Research\P4 Impact Principles\Version 3 (SN Business &amp; Economics) - 15.01.2025\Figures\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x3920\Nextcloud\01_Research\P4 Impact Principles\Version 3 (SN Business &amp; Economics) - 15.01.2025\Figures\Fig4.png"/>
                    <pic:cNvPicPr>
                      <a:picLocks noChangeAspect="1" noChangeArrowheads="1"/>
                    </pic:cNvPicPr>
                  </pic:nvPicPr>
                  <pic:blipFill rotWithShape="1">
                    <a:blip r:embed="rId7">
                      <a:extLst>
                        <a:ext uri="{28A0092B-C50C-407E-A947-70E740481C1C}">
                          <a14:useLocalDpi xmlns:a14="http://schemas.microsoft.com/office/drawing/2010/main" val="0"/>
                        </a:ext>
                      </a:extLst>
                    </a:blip>
                    <a:srcRect t="19741"/>
                    <a:stretch/>
                  </pic:blipFill>
                  <pic:spPr bwMode="auto">
                    <a:xfrm>
                      <a:off x="0" y="0"/>
                      <a:ext cx="5731510" cy="2517330"/>
                    </a:xfrm>
                    <a:prstGeom prst="rect">
                      <a:avLst/>
                    </a:prstGeom>
                    <a:noFill/>
                    <a:ln>
                      <a:noFill/>
                    </a:ln>
                    <a:extLst>
                      <a:ext uri="{53640926-AAD7-44D8-BBD7-CCE9431645EC}">
                        <a14:shadowObscured xmlns:a14="http://schemas.microsoft.com/office/drawing/2010/main"/>
                      </a:ext>
                    </a:extLst>
                  </pic:spPr>
                </pic:pic>
              </a:graphicData>
            </a:graphic>
          </wp:inline>
        </w:drawing>
      </w:r>
    </w:p>
    <w:sectPr w:rsidR="006327DD" w:rsidRPr="009F4CBB" w:rsidSect="005B6A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837A4"/>
    <w:multiLevelType w:val="hybridMultilevel"/>
    <w:tmpl w:val="8098EA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65BC2"/>
    <w:multiLevelType w:val="hybridMultilevel"/>
    <w:tmpl w:val="52588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936E31"/>
    <w:multiLevelType w:val="hybridMultilevel"/>
    <w:tmpl w:val="21E2255A"/>
    <w:lvl w:ilvl="0" w:tplc="7630A602">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AF26600"/>
    <w:multiLevelType w:val="hybridMultilevel"/>
    <w:tmpl w:val="97C6F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431"/>
    <w:rsid w:val="00003506"/>
    <w:rsid w:val="00004F1B"/>
    <w:rsid w:val="00004FC0"/>
    <w:rsid w:val="00011352"/>
    <w:rsid w:val="000126D4"/>
    <w:rsid w:val="000127FF"/>
    <w:rsid w:val="00013106"/>
    <w:rsid w:val="00014BCA"/>
    <w:rsid w:val="000164E8"/>
    <w:rsid w:val="00017BA7"/>
    <w:rsid w:val="000211F5"/>
    <w:rsid w:val="0002643F"/>
    <w:rsid w:val="0003127F"/>
    <w:rsid w:val="00031CEB"/>
    <w:rsid w:val="00033B53"/>
    <w:rsid w:val="00034B96"/>
    <w:rsid w:val="000360AB"/>
    <w:rsid w:val="00036737"/>
    <w:rsid w:val="00036882"/>
    <w:rsid w:val="0003768D"/>
    <w:rsid w:val="00040CAC"/>
    <w:rsid w:val="00041A5C"/>
    <w:rsid w:val="00042113"/>
    <w:rsid w:val="0004286F"/>
    <w:rsid w:val="000433C7"/>
    <w:rsid w:val="000439AA"/>
    <w:rsid w:val="000455BE"/>
    <w:rsid w:val="000469F2"/>
    <w:rsid w:val="00046F08"/>
    <w:rsid w:val="000518C7"/>
    <w:rsid w:val="00052B2F"/>
    <w:rsid w:val="0005316E"/>
    <w:rsid w:val="00055883"/>
    <w:rsid w:val="000602C2"/>
    <w:rsid w:val="0007065C"/>
    <w:rsid w:val="00073C54"/>
    <w:rsid w:val="00073F5F"/>
    <w:rsid w:val="00075B8C"/>
    <w:rsid w:val="00081641"/>
    <w:rsid w:val="00083607"/>
    <w:rsid w:val="0008495B"/>
    <w:rsid w:val="0008513D"/>
    <w:rsid w:val="00086B41"/>
    <w:rsid w:val="00090674"/>
    <w:rsid w:val="00091922"/>
    <w:rsid w:val="0009362D"/>
    <w:rsid w:val="00096561"/>
    <w:rsid w:val="00096CF8"/>
    <w:rsid w:val="00096E1C"/>
    <w:rsid w:val="00096F4A"/>
    <w:rsid w:val="00097369"/>
    <w:rsid w:val="00097F56"/>
    <w:rsid w:val="000A0555"/>
    <w:rsid w:val="000A098A"/>
    <w:rsid w:val="000A282B"/>
    <w:rsid w:val="000A30CC"/>
    <w:rsid w:val="000A339A"/>
    <w:rsid w:val="000A490C"/>
    <w:rsid w:val="000A6C04"/>
    <w:rsid w:val="000A7CA4"/>
    <w:rsid w:val="000B003F"/>
    <w:rsid w:val="000B048A"/>
    <w:rsid w:val="000B2B2A"/>
    <w:rsid w:val="000B3C1E"/>
    <w:rsid w:val="000B5DA6"/>
    <w:rsid w:val="000B5EBF"/>
    <w:rsid w:val="000B6ACC"/>
    <w:rsid w:val="000C0DEC"/>
    <w:rsid w:val="000C1B42"/>
    <w:rsid w:val="000C1D2D"/>
    <w:rsid w:val="000D014A"/>
    <w:rsid w:val="000D2B34"/>
    <w:rsid w:val="000D3B9B"/>
    <w:rsid w:val="000D6FEC"/>
    <w:rsid w:val="000E005B"/>
    <w:rsid w:val="000E1F18"/>
    <w:rsid w:val="000E4346"/>
    <w:rsid w:val="000E6B3C"/>
    <w:rsid w:val="000E7A7A"/>
    <w:rsid w:val="000F0855"/>
    <w:rsid w:val="000F1FA4"/>
    <w:rsid w:val="000F2632"/>
    <w:rsid w:val="000F37AC"/>
    <w:rsid w:val="000F4220"/>
    <w:rsid w:val="000F5A78"/>
    <w:rsid w:val="000F694F"/>
    <w:rsid w:val="0010027C"/>
    <w:rsid w:val="001013AD"/>
    <w:rsid w:val="00103674"/>
    <w:rsid w:val="0010474A"/>
    <w:rsid w:val="001055D9"/>
    <w:rsid w:val="001060C8"/>
    <w:rsid w:val="00106308"/>
    <w:rsid w:val="00110D05"/>
    <w:rsid w:val="0011274D"/>
    <w:rsid w:val="00117E75"/>
    <w:rsid w:val="001201D0"/>
    <w:rsid w:val="00121147"/>
    <w:rsid w:val="00130732"/>
    <w:rsid w:val="001318EF"/>
    <w:rsid w:val="001333F3"/>
    <w:rsid w:val="0013448F"/>
    <w:rsid w:val="00134BC7"/>
    <w:rsid w:val="00135B7E"/>
    <w:rsid w:val="00136AF9"/>
    <w:rsid w:val="00136DED"/>
    <w:rsid w:val="00140A55"/>
    <w:rsid w:val="00140A7A"/>
    <w:rsid w:val="0014159A"/>
    <w:rsid w:val="00141B5C"/>
    <w:rsid w:val="0014256A"/>
    <w:rsid w:val="00142939"/>
    <w:rsid w:val="0014570D"/>
    <w:rsid w:val="00146CBB"/>
    <w:rsid w:val="00150156"/>
    <w:rsid w:val="00151E46"/>
    <w:rsid w:val="001557F1"/>
    <w:rsid w:val="001562E3"/>
    <w:rsid w:val="001673A8"/>
    <w:rsid w:val="001741CA"/>
    <w:rsid w:val="00174592"/>
    <w:rsid w:val="00176552"/>
    <w:rsid w:val="00180CAB"/>
    <w:rsid w:val="00181A1A"/>
    <w:rsid w:val="00184E33"/>
    <w:rsid w:val="0018655D"/>
    <w:rsid w:val="00187653"/>
    <w:rsid w:val="00191DDC"/>
    <w:rsid w:val="00192758"/>
    <w:rsid w:val="0019338C"/>
    <w:rsid w:val="00193B74"/>
    <w:rsid w:val="00196688"/>
    <w:rsid w:val="001966F4"/>
    <w:rsid w:val="001A0E2C"/>
    <w:rsid w:val="001A0F42"/>
    <w:rsid w:val="001A3615"/>
    <w:rsid w:val="001A463A"/>
    <w:rsid w:val="001A5CDC"/>
    <w:rsid w:val="001B2D5F"/>
    <w:rsid w:val="001B302B"/>
    <w:rsid w:val="001B493C"/>
    <w:rsid w:val="001B4D6F"/>
    <w:rsid w:val="001B5AAB"/>
    <w:rsid w:val="001B616B"/>
    <w:rsid w:val="001C2357"/>
    <w:rsid w:val="001C2879"/>
    <w:rsid w:val="001C3AB7"/>
    <w:rsid w:val="001D0E0C"/>
    <w:rsid w:val="001D7834"/>
    <w:rsid w:val="001E0FB8"/>
    <w:rsid w:val="001E1A6E"/>
    <w:rsid w:val="001E3699"/>
    <w:rsid w:val="001E3F08"/>
    <w:rsid w:val="001E4A4A"/>
    <w:rsid w:val="001E5FC6"/>
    <w:rsid w:val="001E7E5D"/>
    <w:rsid w:val="001F63CC"/>
    <w:rsid w:val="001F73FC"/>
    <w:rsid w:val="00200833"/>
    <w:rsid w:val="002027FF"/>
    <w:rsid w:val="00202CA5"/>
    <w:rsid w:val="0020337F"/>
    <w:rsid w:val="00203724"/>
    <w:rsid w:val="00205026"/>
    <w:rsid w:val="00205752"/>
    <w:rsid w:val="0020745C"/>
    <w:rsid w:val="00210D17"/>
    <w:rsid w:val="00211E26"/>
    <w:rsid w:val="00212040"/>
    <w:rsid w:val="00214533"/>
    <w:rsid w:val="0021468E"/>
    <w:rsid w:val="00214FA1"/>
    <w:rsid w:val="0021505A"/>
    <w:rsid w:val="00216703"/>
    <w:rsid w:val="002220CE"/>
    <w:rsid w:val="0022215F"/>
    <w:rsid w:val="002234C5"/>
    <w:rsid w:val="00223868"/>
    <w:rsid w:val="00226175"/>
    <w:rsid w:val="00227298"/>
    <w:rsid w:val="00230536"/>
    <w:rsid w:val="00230C4A"/>
    <w:rsid w:val="00230F68"/>
    <w:rsid w:val="002318A4"/>
    <w:rsid w:val="0023421E"/>
    <w:rsid w:val="0023617E"/>
    <w:rsid w:val="00240038"/>
    <w:rsid w:val="00240048"/>
    <w:rsid w:val="002400D3"/>
    <w:rsid w:val="00247D68"/>
    <w:rsid w:val="002514C0"/>
    <w:rsid w:val="00253882"/>
    <w:rsid w:val="00255923"/>
    <w:rsid w:val="002561C2"/>
    <w:rsid w:val="00262469"/>
    <w:rsid w:val="00262DBF"/>
    <w:rsid w:val="00264948"/>
    <w:rsid w:val="00265A3A"/>
    <w:rsid w:val="00265DAE"/>
    <w:rsid w:val="00266661"/>
    <w:rsid w:val="0027351D"/>
    <w:rsid w:val="00273882"/>
    <w:rsid w:val="00276825"/>
    <w:rsid w:val="002770D5"/>
    <w:rsid w:val="00282BD9"/>
    <w:rsid w:val="00285955"/>
    <w:rsid w:val="00285C4D"/>
    <w:rsid w:val="002872DE"/>
    <w:rsid w:val="00291422"/>
    <w:rsid w:val="00291749"/>
    <w:rsid w:val="00291A93"/>
    <w:rsid w:val="00292CED"/>
    <w:rsid w:val="00292D45"/>
    <w:rsid w:val="00292E60"/>
    <w:rsid w:val="00294465"/>
    <w:rsid w:val="00295A0B"/>
    <w:rsid w:val="00295FA6"/>
    <w:rsid w:val="0029790A"/>
    <w:rsid w:val="002A2B4D"/>
    <w:rsid w:val="002A54CD"/>
    <w:rsid w:val="002A701D"/>
    <w:rsid w:val="002A72E5"/>
    <w:rsid w:val="002B093B"/>
    <w:rsid w:val="002B4E40"/>
    <w:rsid w:val="002B555B"/>
    <w:rsid w:val="002B7814"/>
    <w:rsid w:val="002C1D09"/>
    <w:rsid w:val="002C29CC"/>
    <w:rsid w:val="002C3D6A"/>
    <w:rsid w:val="002C5AD9"/>
    <w:rsid w:val="002C6957"/>
    <w:rsid w:val="002D0A5B"/>
    <w:rsid w:val="002D0C45"/>
    <w:rsid w:val="002D19BF"/>
    <w:rsid w:val="002D23CA"/>
    <w:rsid w:val="002D2D25"/>
    <w:rsid w:val="002D45F1"/>
    <w:rsid w:val="002E0988"/>
    <w:rsid w:val="002E1973"/>
    <w:rsid w:val="002F0352"/>
    <w:rsid w:val="002F1000"/>
    <w:rsid w:val="002F1C55"/>
    <w:rsid w:val="002F3B58"/>
    <w:rsid w:val="002F4646"/>
    <w:rsid w:val="002F4FF1"/>
    <w:rsid w:val="002F5044"/>
    <w:rsid w:val="002F51F5"/>
    <w:rsid w:val="003025B2"/>
    <w:rsid w:val="00305E76"/>
    <w:rsid w:val="00306403"/>
    <w:rsid w:val="003069F7"/>
    <w:rsid w:val="00307E0B"/>
    <w:rsid w:val="00311169"/>
    <w:rsid w:val="003138F9"/>
    <w:rsid w:val="003146C6"/>
    <w:rsid w:val="00315268"/>
    <w:rsid w:val="0031632F"/>
    <w:rsid w:val="0031656D"/>
    <w:rsid w:val="003176A6"/>
    <w:rsid w:val="0032348B"/>
    <w:rsid w:val="00330920"/>
    <w:rsid w:val="00330A64"/>
    <w:rsid w:val="0033679C"/>
    <w:rsid w:val="0033681B"/>
    <w:rsid w:val="00337760"/>
    <w:rsid w:val="00342A0C"/>
    <w:rsid w:val="003457F7"/>
    <w:rsid w:val="00347090"/>
    <w:rsid w:val="0035063F"/>
    <w:rsid w:val="003512C8"/>
    <w:rsid w:val="003523D0"/>
    <w:rsid w:val="003530BE"/>
    <w:rsid w:val="00354001"/>
    <w:rsid w:val="003543A0"/>
    <w:rsid w:val="003552B3"/>
    <w:rsid w:val="003562C7"/>
    <w:rsid w:val="003604B4"/>
    <w:rsid w:val="003607C1"/>
    <w:rsid w:val="00360859"/>
    <w:rsid w:val="00361350"/>
    <w:rsid w:val="003636C2"/>
    <w:rsid w:val="003661C1"/>
    <w:rsid w:val="00367083"/>
    <w:rsid w:val="00367D6C"/>
    <w:rsid w:val="003702A4"/>
    <w:rsid w:val="00371DEE"/>
    <w:rsid w:val="00371DFB"/>
    <w:rsid w:val="00371FFE"/>
    <w:rsid w:val="0037243D"/>
    <w:rsid w:val="00375486"/>
    <w:rsid w:val="00375516"/>
    <w:rsid w:val="00377615"/>
    <w:rsid w:val="00377D0B"/>
    <w:rsid w:val="003829A1"/>
    <w:rsid w:val="0038314F"/>
    <w:rsid w:val="0038459C"/>
    <w:rsid w:val="003854FE"/>
    <w:rsid w:val="003855F3"/>
    <w:rsid w:val="00387C95"/>
    <w:rsid w:val="003A13AC"/>
    <w:rsid w:val="003A1DB6"/>
    <w:rsid w:val="003A75E8"/>
    <w:rsid w:val="003B0729"/>
    <w:rsid w:val="003B1FA2"/>
    <w:rsid w:val="003B3CF2"/>
    <w:rsid w:val="003B47C8"/>
    <w:rsid w:val="003B5746"/>
    <w:rsid w:val="003C0D1D"/>
    <w:rsid w:val="003C72E9"/>
    <w:rsid w:val="003C75B0"/>
    <w:rsid w:val="003D1673"/>
    <w:rsid w:val="003D34AA"/>
    <w:rsid w:val="003D5B14"/>
    <w:rsid w:val="003D6895"/>
    <w:rsid w:val="003E05BC"/>
    <w:rsid w:val="003E0D3C"/>
    <w:rsid w:val="003E0FC4"/>
    <w:rsid w:val="003E1102"/>
    <w:rsid w:val="003E2C43"/>
    <w:rsid w:val="003E51FC"/>
    <w:rsid w:val="003E55ED"/>
    <w:rsid w:val="003E66E5"/>
    <w:rsid w:val="003E6946"/>
    <w:rsid w:val="003F0D9A"/>
    <w:rsid w:val="003F0FF5"/>
    <w:rsid w:val="003F1B3A"/>
    <w:rsid w:val="003F25DC"/>
    <w:rsid w:val="003F50DA"/>
    <w:rsid w:val="003F7A20"/>
    <w:rsid w:val="0040101E"/>
    <w:rsid w:val="00401F7E"/>
    <w:rsid w:val="00403714"/>
    <w:rsid w:val="00404273"/>
    <w:rsid w:val="0040568B"/>
    <w:rsid w:val="00407150"/>
    <w:rsid w:val="00407431"/>
    <w:rsid w:val="00411E88"/>
    <w:rsid w:val="00412FF2"/>
    <w:rsid w:val="00415652"/>
    <w:rsid w:val="004265FF"/>
    <w:rsid w:val="004267E3"/>
    <w:rsid w:val="00430C2D"/>
    <w:rsid w:val="004317C5"/>
    <w:rsid w:val="00433BCF"/>
    <w:rsid w:val="00434EA5"/>
    <w:rsid w:val="0043559F"/>
    <w:rsid w:val="0043681D"/>
    <w:rsid w:val="00437CB0"/>
    <w:rsid w:val="00440A53"/>
    <w:rsid w:val="00440C0B"/>
    <w:rsid w:val="0044168F"/>
    <w:rsid w:val="0044171E"/>
    <w:rsid w:val="00444B67"/>
    <w:rsid w:val="00446602"/>
    <w:rsid w:val="00446F9C"/>
    <w:rsid w:val="004470B7"/>
    <w:rsid w:val="00447A47"/>
    <w:rsid w:val="00447EC8"/>
    <w:rsid w:val="00452A34"/>
    <w:rsid w:val="00452B4A"/>
    <w:rsid w:val="00454ADF"/>
    <w:rsid w:val="00455415"/>
    <w:rsid w:val="0045544C"/>
    <w:rsid w:val="00455752"/>
    <w:rsid w:val="00460E74"/>
    <w:rsid w:val="00462E79"/>
    <w:rsid w:val="00464EDA"/>
    <w:rsid w:val="004651C1"/>
    <w:rsid w:val="0046564D"/>
    <w:rsid w:val="00465A11"/>
    <w:rsid w:val="00466F16"/>
    <w:rsid w:val="004672E8"/>
    <w:rsid w:val="004679D0"/>
    <w:rsid w:val="00470C1F"/>
    <w:rsid w:val="004714A3"/>
    <w:rsid w:val="004721B1"/>
    <w:rsid w:val="00472D6E"/>
    <w:rsid w:val="00477A2B"/>
    <w:rsid w:val="00480E04"/>
    <w:rsid w:val="00486CF1"/>
    <w:rsid w:val="00490547"/>
    <w:rsid w:val="00490EE8"/>
    <w:rsid w:val="004946DD"/>
    <w:rsid w:val="00494978"/>
    <w:rsid w:val="00495272"/>
    <w:rsid w:val="004A20D9"/>
    <w:rsid w:val="004A47E2"/>
    <w:rsid w:val="004A4B14"/>
    <w:rsid w:val="004A60B6"/>
    <w:rsid w:val="004A743A"/>
    <w:rsid w:val="004B424D"/>
    <w:rsid w:val="004B51DA"/>
    <w:rsid w:val="004B5F46"/>
    <w:rsid w:val="004B7C81"/>
    <w:rsid w:val="004C0D05"/>
    <w:rsid w:val="004C23F8"/>
    <w:rsid w:val="004C2EF2"/>
    <w:rsid w:val="004C3F67"/>
    <w:rsid w:val="004C58D8"/>
    <w:rsid w:val="004D1D19"/>
    <w:rsid w:val="004D3A7A"/>
    <w:rsid w:val="004D616B"/>
    <w:rsid w:val="004E012D"/>
    <w:rsid w:val="004E29C4"/>
    <w:rsid w:val="004E5AE5"/>
    <w:rsid w:val="004E5B69"/>
    <w:rsid w:val="004F405C"/>
    <w:rsid w:val="004F44A1"/>
    <w:rsid w:val="004F493C"/>
    <w:rsid w:val="00500C6C"/>
    <w:rsid w:val="00502459"/>
    <w:rsid w:val="00503BD8"/>
    <w:rsid w:val="005046FE"/>
    <w:rsid w:val="0050535A"/>
    <w:rsid w:val="00506A4B"/>
    <w:rsid w:val="005125A3"/>
    <w:rsid w:val="005143DF"/>
    <w:rsid w:val="00515824"/>
    <w:rsid w:val="005200D2"/>
    <w:rsid w:val="00520B53"/>
    <w:rsid w:val="005234F9"/>
    <w:rsid w:val="00523F9E"/>
    <w:rsid w:val="00524320"/>
    <w:rsid w:val="005247D9"/>
    <w:rsid w:val="00524B49"/>
    <w:rsid w:val="0052578F"/>
    <w:rsid w:val="005268C7"/>
    <w:rsid w:val="00527E4B"/>
    <w:rsid w:val="00530F91"/>
    <w:rsid w:val="00532402"/>
    <w:rsid w:val="005325A4"/>
    <w:rsid w:val="00534A16"/>
    <w:rsid w:val="00537D60"/>
    <w:rsid w:val="00540959"/>
    <w:rsid w:val="0054196A"/>
    <w:rsid w:val="00542069"/>
    <w:rsid w:val="00545A19"/>
    <w:rsid w:val="0055197A"/>
    <w:rsid w:val="005538A2"/>
    <w:rsid w:val="00560053"/>
    <w:rsid w:val="005603EF"/>
    <w:rsid w:val="00560B6C"/>
    <w:rsid w:val="00562E34"/>
    <w:rsid w:val="00566CCF"/>
    <w:rsid w:val="00567FEE"/>
    <w:rsid w:val="00572A48"/>
    <w:rsid w:val="00575DF2"/>
    <w:rsid w:val="00577E5F"/>
    <w:rsid w:val="00580ECA"/>
    <w:rsid w:val="00581D66"/>
    <w:rsid w:val="0058408C"/>
    <w:rsid w:val="00585B4F"/>
    <w:rsid w:val="00586E84"/>
    <w:rsid w:val="00587A4D"/>
    <w:rsid w:val="00590BAB"/>
    <w:rsid w:val="005959DD"/>
    <w:rsid w:val="0059600D"/>
    <w:rsid w:val="005972A6"/>
    <w:rsid w:val="00597F8A"/>
    <w:rsid w:val="005A09EB"/>
    <w:rsid w:val="005A29F7"/>
    <w:rsid w:val="005A2B31"/>
    <w:rsid w:val="005A2B97"/>
    <w:rsid w:val="005A529C"/>
    <w:rsid w:val="005A6CE2"/>
    <w:rsid w:val="005B0AA5"/>
    <w:rsid w:val="005B1896"/>
    <w:rsid w:val="005B2E5C"/>
    <w:rsid w:val="005B62DA"/>
    <w:rsid w:val="005B6A14"/>
    <w:rsid w:val="005B6A65"/>
    <w:rsid w:val="005B7BDC"/>
    <w:rsid w:val="005C56A6"/>
    <w:rsid w:val="005C5780"/>
    <w:rsid w:val="005C71F9"/>
    <w:rsid w:val="005C786D"/>
    <w:rsid w:val="005D0587"/>
    <w:rsid w:val="005D0833"/>
    <w:rsid w:val="005D1FEB"/>
    <w:rsid w:val="005D3C5B"/>
    <w:rsid w:val="005D4B64"/>
    <w:rsid w:val="005D5098"/>
    <w:rsid w:val="005D6449"/>
    <w:rsid w:val="005D6B56"/>
    <w:rsid w:val="005D7C6E"/>
    <w:rsid w:val="005D7F46"/>
    <w:rsid w:val="005D7FCA"/>
    <w:rsid w:val="005E1757"/>
    <w:rsid w:val="005E494A"/>
    <w:rsid w:val="005E5B65"/>
    <w:rsid w:val="005E6584"/>
    <w:rsid w:val="005E78B6"/>
    <w:rsid w:val="005E7A1C"/>
    <w:rsid w:val="005F0A88"/>
    <w:rsid w:val="005F47F9"/>
    <w:rsid w:val="005F4FAF"/>
    <w:rsid w:val="00601458"/>
    <w:rsid w:val="006019DF"/>
    <w:rsid w:val="00604B9E"/>
    <w:rsid w:val="00604D29"/>
    <w:rsid w:val="00606F6C"/>
    <w:rsid w:val="00610873"/>
    <w:rsid w:val="006149DB"/>
    <w:rsid w:val="0061676A"/>
    <w:rsid w:val="00623559"/>
    <w:rsid w:val="006256ED"/>
    <w:rsid w:val="0062599C"/>
    <w:rsid w:val="006327DD"/>
    <w:rsid w:val="00635832"/>
    <w:rsid w:val="00637042"/>
    <w:rsid w:val="00637A36"/>
    <w:rsid w:val="00637AA5"/>
    <w:rsid w:val="0064076F"/>
    <w:rsid w:val="00642FD5"/>
    <w:rsid w:val="00643FD5"/>
    <w:rsid w:val="00644E01"/>
    <w:rsid w:val="006452F9"/>
    <w:rsid w:val="006460F0"/>
    <w:rsid w:val="006515C9"/>
    <w:rsid w:val="00651AAD"/>
    <w:rsid w:val="00651D0E"/>
    <w:rsid w:val="006521A0"/>
    <w:rsid w:val="006547BB"/>
    <w:rsid w:val="00655020"/>
    <w:rsid w:val="00655DC5"/>
    <w:rsid w:val="006567F8"/>
    <w:rsid w:val="00661839"/>
    <w:rsid w:val="00661B16"/>
    <w:rsid w:val="00662F8D"/>
    <w:rsid w:val="00663504"/>
    <w:rsid w:val="00663D33"/>
    <w:rsid w:val="006642B8"/>
    <w:rsid w:val="00665190"/>
    <w:rsid w:val="00674E6F"/>
    <w:rsid w:val="00680B7C"/>
    <w:rsid w:val="00682755"/>
    <w:rsid w:val="00685C17"/>
    <w:rsid w:val="0069045B"/>
    <w:rsid w:val="006910A6"/>
    <w:rsid w:val="00695D76"/>
    <w:rsid w:val="006962A0"/>
    <w:rsid w:val="006A31DF"/>
    <w:rsid w:val="006A5D0B"/>
    <w:rsid w:val="006A6EAF"/>
    <w:rsid w:val="006B1C5B"/>
    <w:rsid w:val="006B1CF1"/>
    <w:rsid w:val="006B275F"/>
    <w:rsid w:val="006B2E01"/>
    <w:rsid w:val="006C0832"/>
    <w:rsid w:val="006C1836"/>
    <w:rsid w:val="006C1F40"/>
    <w:rsid w:val="006C5E8A"/>
    <w:rsid w:val="006C65BF"/>
    <w:rsid w:val="006C6952"/>
    <w:rsid w:val="006D1F28"/>
    <w:rsid w:val="006D4730"/>
    <w:rsid w:val="006D6DFE"/>
    <w:rsid w:val="006D7E11"/>
    <w:rsid w:val="006E2671"/>
    <w:rsid w:val="006F051C"/>
    <w:rsid w:val="006F6F0F"/>
    <w:rsid w:val="00701277"/>
    <w:rsid w:val="00705047"/>
    <w:rsid w:val="00706267"/>
    <w:rsid w:val="00706D3D"/>
    <w:rsid w:val="007072EA"/>
    <w:rsid w:val="00712CC3"/>
    <w:rsid w:val="00714A57"/>
    <w:rsid w:val="00715F48"/>
    <w:rsid w:val="00716CC6"/>
    <w:rsid w:val="00717AAB"/>
    <w:rsid w:val="00722C6B"/>
    <w:rsid w:val="00722EE6"/>
    <w:rsid w:val="007267CB"/>
    <w:rsid w:val="00726D70"/>
    <w:rsid w:val="00731121"/>
    <w:rsid w:val="00732234"/>
    <w:rsid w:val="0073296E"/>
    <w:rsid w:val="00735BD5"/>
    <w:rsid w:val="00742F02"/>
    <w:rsid w:val="00743CFF"/>
    <w:rsid w:val="007459D2"/>
    <w:rsid w:val="00745F9A"/>
    <w:rsid w:val="00747930"/>
    <w:rsid w:val="007507AE"/>
    <w:rsid w:val="007512FB"/>
    <w:rsid w:val="00751646"/>
    <w:rsid w:val="00752A93"/>
    <w:rsid w:val="00753F14"/>
    <w:rsid w:val="007551EE"/>
    <w:rsid w:val="007577E9"/>
    <w:rsid w:val="007617DF"/>
    <w:rsid w:val="0076249B"/>
    <w:rsid w:val="00762BB1"/>
    <w:rsid w:val="0076333E"/>
    <w:rsid w:val="00764320"/>
    <w:rsid w:val="007654B5"/>
    <w:rsid w:val="00765AB9"/>
    <w:rsid w:val="0076751F"/>
    <w:rsid w:val="0077006C"/>
    <w:rsid w:val="0077671A"/>
    <w:rsid w:val="00776E18"/>
    <w:rsid w:val="00776FEA"/>
    <w:rsid w:val="00782274"/>
    <w:rsid w:val="00783A1D"/>
    <w:rsid w:val="007840AB"/>
    <w:rsid w:val="007849B2"/>
    <w:rsid w:val="007854E5"/>
    <w:rsid w:val="00787888"/>
    <w:rsid w:val="0079094C"/>
    <w:rsid w:val="00791F85"/>
    <w:rsid w:val="00793B80"/>
    <w:rsid w:val="00794CB4"/>
    <w:rsid w:val="007955F8"/>
    <w:rsid w:val="00797185"/>
    <w:rsid w:val="007A3BF0"/>
    <w:rsid w:val="007B20C4"/>
    <w:rsid w:val="007B4591"/>
    <w:rsid w:val="007B76C6"/>
    <w:rsid w:val="007B7B9E"/>
    <w:rsid w:val="007C3E16"/>
    <w:rsid w:val="007C5FD5"/>
    <w:rsid w:val="007C746E"/>
    <w:rsid w:val="007C7860"/>
    <w:rsid w:val="007D23D3"/>
    <w:rsid w:val="007D2ABD"/>
    <w:rsid w:val="007D367A"/>
    <w:rsid w:val="007D74DD"/>
    <w:rsid w:val="007E06F4"/>
    <w:rsid w:val="007E0920"/>
    <w:rsid w:val="007E11EF"/>
    <w:rsid w:val="007E14BB"/>
    <w:rsid w:val="007E14CB"/>
    <w:rsid w:val="007E264A"/>
    <w:rsid w:val="007E3DD3"/>
    <w:rsid w:val="007E5153"/>
    <w:rsid w:val="007F19EB"/>
    <w:rsid w:val="007F2627"/>
    <w:rsid w:val="007F2EFD"/>
    <w:rsid w:val="007F3ED4"/>
    <w:rsid w:val="007F4D00"/>
    <w:rsid w:val="007F4E45"/>
    <w:rsid w:val="007F5679"/>
    <w:rsid w:val="007F7D6E"/>
    <w:rsid w:val="00802183"/>
    <w:rsid w:val="00802356"/>
    <w:rsid w:val="00804E0E"/>
    <w:rsid w:val="00805AED"/>
    <w:rsid w:val="00806E9D"/>
    <w:rsid w:val="00811AF3"/>
    <w:rsid w:val="00811FC0"/>
    <w:rsid w:val="0081214A"/>
    <w:rsid w:val="00813C27"/>
    <w:rsid w:val="00815602"/>
    <w:rsid w:val="008176DB"/>
    <w:rsid w:val="00817929"/>
    <w:rsid w:val="00820F7B"/>
    <w:rsid w:val="00822C18"/>
    <w:rsid w:val="008234AC"/>
    <w:rsid w:val="00823645"/>
    <w:rsid w:val="00823884"/>
    <w:rsid w:val="00823BEB"/>
    <w:rsid w:val="0082467F"/>
    <w:rsid w:val="00827CC1"/>
    <w:rsid w:val="00837DB9"/>
    <w:rsid w:val="00840F1C"/>
    <w:rsid w:val="00841B84"/>
    <w:rsid w:val="008425DC"/>
    <w:rsid w:val="00843F5F"/>
    <w:rsid w:val="00847A6A"/>
    <w:rsid w:val="008501D4"/>
    <w:rsid w:val="0085286A"/>
    <w:rsid w:val="0085335C"/>
    <w:rsid w:val="008554A3"/>
    <w:rsid w:val="00856BB8"/>
    <w:rsid w:val="00857BC3"/>
    <w:rsid w:val="00857E33"/>
    <w:rsid w:val="00860B0E"/>
    <w:rsid w:val="00861BAC"/>
    <w:rsid w:val="008636C0"/>
    <w:rsid w:val="00867D7B"/>
    <w:rsid w:val="00871075"/>
    <w:rsid w:val="00876E9C"/>
    <w:rsid w:val="00880A0D"/>
    <w:rsid w:val="0088331C"/>
    <w:rsid w:val="00885F73"/>
    <w:rsid w:val="00891088"/>
    <w:rsid w:val="008916E5"/>
    <w:rsid w:val="00891D1C"/>
    <w:rsid w:val="00894E3F"/>
    <w:rsid w:val="008A1B3C"/>
    <w:rsid w:val="008A27D0"/>
    <w:rsid w:val="008A4986"/>
    <w:rsid w:val="008A54B6"/>
    <w:rsid w:val="008A5A17"/>
    <w:rsid w:val="008A67CC"/>
    <w:rsid w:val="008B04BB"/>
    <w:rsid w:val="008B1EA6"/>
    <w:rsid w:val="008B6F33"/>
    <w:rsid w:val="008C06C6"/>
    <w:rsid w:val="008C10FF"/>
    <w:rsid w:val="008C2515"/>
    <w:rsid w:val="008C3145"/>
    <w:rsid w:val="008C38AC"/>
    <w:rsid w:val="008C3A7B"/>
    <w:rsid w:val="008C5C59"/>
    <w:rsid w:val="008C7833"/>
    <w:rsid w:val="008D3325"/>
    <w:rsid w:val="008D41A3"/>
    <w:rsid w:val="008D4609"/>
    <w:rsid w:val="008D4E4D"/>
    <w:rsid w:val="008D521E"/>
    <w:rsid w:val="008D5418"/>
    <w:rsid w:val="008D566B"/>
    <w:rsid w:val="008D7C95"/>
    <w:rsid w:val="008E0D5B"/>
    <w:rsid w:val="008E409D"/>
    <w:rsid w:val="008F08CB"/>
    <w:rsid w:val="008F0B61"/>
    <w:rsid w:val="008F195F"/>
    <w:rsid w:val="008F1C1E"/>
    <w:rsid w:val="008F46E6"/>
    <w:rsid w:val="008F4EB6"/>
    <w:rsid w:val="008F5047"/>
    <w:rsid w:val="008F5144"/>
    <w:rsid w:val="008F6AE4"/>
    <w:rsid w:val="008F6C2D"/>
    <w:rsid w:val="009016B8"/>
    <w:rsid w:val="009024AE"/>
    <w:rsid w:val="00902F1E"/>
    <w:rsid w:val="00903B99"/>
    <w:rsid w:val="00905DFC"/>
    <w:rsid w:val="009121B0"/>
    <w:rsid w:val="009148B3"/>
    <w:rsid w:val="00914B4B"/>
    <w:rsid w:val="00915FEF"/>
    <w:rsid w:val="0091630C"/>
    <w:rsid w:val="00916D79"/>
    <w:rsid w:val="00917C74"/>
    <w:rsid w:val="00921343"/>
    <w:rsid w:val="00923DD7"/>
    <w:rsid w:val="00924A14"/>
    <w:rsid w:val="0092532F"/>
    <w:rsid w:val="00926C12"/>
    <w:rsid w:val="00927435"/>
    <w:rsid w:val="00927E24"/>
    <w:rsid w:val="0093004E"/>
    <w:rsid w:val="00931075"/>
    <w:rsid w:val="009320E3"/>
    <w:rsid w:val="0093348A"/>
    <w:rsid w:val="00936030"/>
    <w:rsid w:val="00936F83"/>
    <w:rsid w:val="00937009"/>
    <w:rsid w:val="00942D5E"/>
    <w:rsid w:val="009433D8"/>
    <w:rsid w:val="00943899"/>
    <w:rsid w:val="00943CDA"/>
    <w:rsid w:val="009441B1"/>
    <w:rsid w:val="00944CE4"/>
    <w:rsid w:val="00945086"/>
    <w:rsid w:val="00947374"/>
    <w:rsid w:val="009479D9"/>
    <w:rsid w:val="009505A8"/>
    <w:rsid w:val="00950DB5"/>
    <w:rsid w:val="00954912"/>
    <w:rsid w:val="00955213"/>
    <w:rsid w:val="0095723A"/>
    <w:rsid w:val="009600D7"/>
    <w:rsid w:val="00964C07"/>
    <w:rsid w:val="009660EF"/>
    <w:rsid w:val="00970782"/>
    <w:rsid w:val="00976B82"/>
    <w:rsid w:val="0098006C"/>
    <w:rsid w:val="009807B7"/>
    <w:rsid w:val="009831E3"/>
    <w:rsid w:val="0098796A"/>
    <w:rsid w:val="00987E40"/>
    <w:rsid w:val="00991D06"/>
    <w:rsid w:val="0099382B"/>
    <w:rsid w:val="009970DC"/>
    <w:rsid w:val="009A5A6A"/>
    <w:rsid w:val="009A6779"/>
    <w:rsid w:val="009B107D"/>
    <w:rsid w:val="009B3017"/>
    <w:rsid w:val="009B77E8"/>
    <w:rsid w:val="009C0723"/>
    <w:rsid w:val="009C08F6"/>
    <w:rsid w:val="009C0AAD"/>
    <w:rsid w:val="009C3511"/>
    <w:rsid w:val="009C3762"/>
    <w:rsid w:val="009C41B9"/>
    <w:rsid w:val="009C6450"/>
    <w:rsid w:val="009C6B78"/>
    <w:rsid w:val="009D464E"/>
    <w:rsid w:val="009D7A6E"/>
    <w:rsid w:val="009D7D04"/>
    <w:rsid w:val="009E189D"/>
    <w:rsid w:val="009E2DB7"/>
    <w:rsid w:val="009E2E7B"/>
    <w:rsid w:val="009E74A1"/>
    <w:rsid w:val="009E7EBC"/>
    <w:rsid w:val="009F3FC0"/>
    <w:rsid w:val="009F4C9C"/>
    <w:rsid w:val="009F4CBB"/>
    <w:rsid w:val="009F5C6D"/>
    <w:rsid w:val="00A00111"/>
    <w:rsid w:val="00A0332C"/>
    <w:rsid w:val="00A0360C"/>
    <w:rsid w:val="00A04305"/>
    <w:rsid w:val="00A04457"/>
    <w:rsid w:val="00A04506"/>
    <w:rsid w:val="00A04A10"/>
    <w:rsid w:val="00A04B4D"/>
    <w:rsid w:val="00A05389"/>
    <w:rsid w:val="00A06E80"/>
    <w:rsid w:val="00A07AB7"/>
    <w:rsid w:val="00A07F8B"/>
    <w:rsid w:val="00A15C2F"/>
    <w:rsid w:val="00A163F8"/>
    <w:rsid w:val="00A16721"/>
    <w:rsid w:val="00A170BF"/>
    <w:rsid w:val="00A22B5E"/>
    <w:rsid w:val="00A2557B"/>
    <w:rsid w:val="00A26C1B"/>
    <w:rsid w:val="00A30CA4"/>
    <w:rsid w:val="00A3156C"/>
    <w:rsid w:val="00A35914"/>
    <w:rsid w:val="00A440E1"/>
    <w:rsid w:val="00A44651"/>
    <w:rsid w:val="00A47966"/>
    <w:rsid w:val="00A51D9E"/>
    <w:rsid w:val="00A52ABC"/>
    <w:rsid w:val="00A52C75"/>
    <w:rsid w:val="00A52EA5"/>
    <w:rsid w:val="00A550B4"/>
    <w:rsid w:val="00A5787A"/>
    <w:rsid w:val="00A60069"/>
    <w:rsid w:val="00A62097"/>
    <w:rsid w:val="00A65B85"/>
    <w:rsid w:val="00A65C60"/>
    <w:rsid w:val="00A66A9F"/>
    <w:rsid w:val="00A70B85"/>
    <w:rsid w:val="00A70BCB"/>
    <w:rsid w:val="00A74D67"/>
    <w:rsid w:val="00A768A2"/>
    <w:rsid w:val="00A77434"/>
    <w:rsid w:val="00A8191F"/>
    <w:rsid w:val="00A82262"/>
    <w:rsid w:val="00A8310E"/>
    <w:rsid w:val="00A86514"/>
    <w:rsid w:val="00A865B1"/>
    <w:rsid w:val="00A8758B"/>
    <w:rsid w:val="00A91678"/>
    <w:rsid w:val="00A933EB"/>
    <w:rsid w:val="00A95184"/>
    <w:rsid w:val="00A96803"/>
    <w:rsid w:val="00AA0AB6"/>
    <w:rsid w:val="00AA173E"/>
    <w:rsid w:val="00AA1FE6"/>
    <w:rsid w:val="00AA5B18"/>
    <w:rsid w:val="00AA5D40"/>
    <w:rsid w:val="00AA6385"/>
    <w:rsid w:val="00AA6884"/>
    <w:rsid w:val="00AB02BF"/>
    <w:rsid w:val="00AB14A7"/>
    <w:rsid w:val="00AB3129"/>
    <w:rsid w:val="00AB45E6"/>
    <w:rsid w:val="00AB5838"/>
    <w:rsid w:val="00AC4DB2"/>
    <w:rsid w:val="00AC5539"/>
    <w:rsid w:val="00AD07B9"/>
    <w:rsid w:val="00AD335F"/>
    <w:rsid w:val="00AE0E07"/>
    <w:rsid w:val="00AE1732"/>
    <w:rsid w:val="00AE254E"/>
    <w:rsid w:val="00AE32D3"/>
    <w:rsid w:val="00AE4016"/>
    <w:rsid w:val="00AE488E"/>
    <w:rsid w:val="00AE7BAA"/>
    <w:rsid w:val="00AF05BA"/>
    <w:rsid w:val="00AF23B7"/>
    <w:rsid w:val="00AF25B9"/>
    <w:rsid w:val="00AF2959"/>
    <w:rsid w:val="00AF3441"/>
    <w:rsid w:val="00AF4062"/>
    <w:rsid w:val="00AF5275"/>
    <w:rsid w:val="00AF55B0"/>
    <w:rsid w:val="00AF5817"/>
    <w:rsid w:val="00AF647B"/>
    <w:rsid w:val="00AF6985"/>
    <w:rsid w:val="00AF7FB7"/>
    <w:rsid w:val="00B0241F"/>
    <w:rsid w:val="00B0700E"/>
    <w:rsid w:val="00B07CC4"/>
    <w:rsid w:val="00B10E7A"/>
    <w:rsid w:val="00B11E50"/>
    <w:rsid w:val="00B1234B"/>
    <w:rsid w:val="00B12AA5"/>
    <w:rsid w:val="00B135B8"/>
    <w:rsid w:val="00B13CEC"/>
    <w:rsid w:val="00B14E56"/>
    <w:rsid w:val="00B16557"/>
    <w:rsid w:val="00B23005"/>
    <w:rsid w:val="00B2474A"/>
    <w:rsid w:val="00B24C06"/>
    <w:rsid w:val="00B25809"/>
    <w:rsid w:val="00B26104"/>
    <w:rsid w:val="00B31265"/>
    <w:rsid w:val="00B31DBE"/>
    <w:rsid w:val="00B35373"/>
    <w:rsid w:val="00B3606E"/>
    <w:rsid w:val="00B36FC2"/>
    <w:rsid w:val="00B41E6C"/>
    <w:rsid w:val="00B43528"/>
    <w:rsid w:val="00B45E93"/>
    <w:rsid w:val="00B535DD"/>
    <w:rsid w:val="00B53EC6"/>
    <w:rsid w:val="00B54B34"/>
    <w:rsid w:val="00B575FF"/>
    <w:rsid w:val="00B60649"/>
    <w:rsid w:val="00B60F20"/>
    <w:rsid w:val="00B64118"/>
    <w:rsid w:val="00B65E56"/>
    <w:rsid w:val="00B6699A"/>
    <w:rsid w:val="00B712FF"/>
    <w:rsid w:val="00B71A1D"/>
    <w:rsid w:val="00B7745C"/>
    <w:rsid w:val="00B80517"/>
    <w:rsid w:val="00B8140E"/>
    <w:rsid w:val="00B81479"/>
    <w:rsid w:val="00B83494"/>
    <w:rsid w:val="00B83687"/>
    <w:rsid w:val="00B8422F"/>
    <w:rsid w:val="00B86B9C"/>
    <w:rsid w:val="00B93496"/>
    <w:rsid w:val="00B94323"/>
    <w:rsid w:val="00B96AD1"/>
    <w:rsid w:val="00B97102"/>
    <w:rsid w:val="00BA49B4"/>
    <w:rsid w:val="00BA5079"/>
    <w:rsid w:val="00BA56C5"/>
    <w:rsid w:val="00BB0925"/>
    <w:rsid w:val="00BB0D56"/>
    <w:rsid w:val="00BB1195"/>
    <w:rsid w:val="00BB2560"/>
    <w:rsid w:val="00BB299B"/>
    <w:rsid w:val="00BB403A"/>
    <w:rsid w:val="00BB6405"/>
    <w:rsid w:val="00BC2C34"/>
    <w:rsid w:val="00BC50F9"/>
    <w:rsid w:val="00BC609A"/>
    <w:rsid w:val="00BC6FAA"/>
    <w:rsid w:val="00BD1B67"/>
    <w:rsid w:val="00BD46EF"/>
    <w:rsid w:val="00BD6007"/>
    <w:rsid w:val="00BD616B"/>
    <w:rsid w:val="00BD65A0"/>
    <w:rsid w:val="00BD6F12"/>
    <w:rsid w:val="00BD6FB8"/>
    <w:rsid w:val="00BE0F2A"/>
    <w:rsid w:val="00BE69CE"/>
    <w:rsid w:val="00BE6F65"/>
    <w:rsid w:val="00BE768F"/>
    <w:rsid w:val="00BF00B5"/>
    <w:rsid w:val="00BF0592"/>
    <w:rsid w:val="00BF0812"/>
    <w:rsid w:val="00BF1236"/>
    <w:rsid w:val="00BF2C96"/>
    <w:rsid w:val="00BF30DD"/>
    <w:rsid w:val="00BF3D29"/>
    <w:rsid w:val="00BF4FF6"/>
    <w:rsid w:val="00BF5065"/>
    <w:rsid w:val="00BF5D49"/>
    <w:rsid w:val="00BF74E2"/>
    <w:rsid w:val="00C010CC"/>
    <w:rsid w:val="00C0189E"/>
    <w:rsid w:val="00C02A0E"/>
    <w:rsid w:val="00C045B7"/>
    <w:rsid w:val="00C06532"/>
    <w:rsid w:val="00C10DC2"/>
    <w:rsid w:val="00C1312D"/>
    <w:rsid w:val="00C14051"/>
    <w:rsid w:val="00C14E2D"/>
    <w:rsid w:val="00C16FEC"/>
    <w:rsid w:val="00C17DED"/>
    <w:rsid w:val="00C20978"/>
    <w:rsid w:val="00C2128A"/>
    <w:rsid w:val="00C24A87"/>
    <w:rsid w:val="00C24BC8"/>
    <w:rsid w:val="00C2596D"/>
    <w:rsid w:val="00C2630F"/>
    <w:rsid w:val="00C27EBD"/>
    <w:rsid w:val="00C30DF2"/>
    <w:rsid w:val="00C30F9E"/>
    <w:rsid w:val="00C32998"/>
    <w:rsid w:val="00C32DB4"/>
    <w:rsid w:val="00C33920"/>
    <w:rsid w:val="00C37122"/>
    <w:rsid w:val="00C3735B"/>
    <w:rsid w:val="00C4046E"/>
    <w:rsid w:val="00C428E7"/>
    <w:rsid w:val="00C43C59"/>
    <w:rsid w:val="00C4506E"/>
    <w:rsid w:val="00C47DDE"/>
    <w:rsid w:val="00C51641"/>
    <w:rsid w:val="00C52706"/>
    <w:rsid w:val="00C572B5"/>
    <w:rsid w:val="00C6439F"/>
    <w:rsid w:val="00C656A9"/>
    <w:rsid w:val="00C730C2"/>
    <w:rsid w:val="00C730EB"/>
    <w:rsid w:val="00C75EDB"/>
    <w:rsid w:val="00C859A8"/>
    <w:rsid w:val="00C87DC3"/>
    <w:rsid w:val="00C908C1"/>
    <w:rsid w:val="00C91960"/>
    <w:rsid w:val="00C94807"/>
    <w:rsid w:val="00C94CC4"/>
    <w:rsid w:val="00C95517"/>
    <w:rsid w:val="00C96B28"/>
    <w:rsid w:val="00C97971"/>
    <w:rsid w:val="00CA19C1"/>
    <w:rsid w:val="00CA29A5"/>
    <w:rsid w:val="00CB3782"/>
    <w:rsid w:val="00CB3D2D"/>
    <w:rsid w:val="00CB5CAF"/>
    <w:rsid w:val="00CB7292"/>
    <w:rsid w:val="00CB7D0A"/>
    <w:rsid w:val="00CC064C"/>
    <w:rsid w:val="00CC1129"/>
    <w:rsid w:val="00CC1C42"/>
    <w:rsid w:val="00CC4805"/>
    <w:rsid w:val="00CC4E76"/>
    <w:rsid w:val="00CC74E8"/>
    <w:rsid w:val="00CD2A2A"/>
    <w:rsid w:val="00CD3159"/>
    <w:rsid w:val="00CD4E6B"/>
    <w:rsid w:val="00CE0855"/>
    <w:rsid w:val="00CE3252"/>
    <w:rsid w:val="00CE3FBE"/>
    <w:rsid w:val="00CE3FCF"/>
    <w:rsid w:val="00CE74E6"/>
    <w:rsid w:val="00CF00F9"/>
    <w:rsid w:val="00CF2235"/>
    <w:rsid w:val="00CF35DC"/>
    <w:rsid w:val="00CF4200"/>
    <w:rsid w:val="00CF483D"/>
    <w:rsid w:val="00CF5C4C"/>
    <w:rsid w:val="00CF652C"/>
    <w:rsid w:val="00CF6FBB"/>
    <w:rsid w:val="00D0208D"/>
    <w:rsid w:val="00D02D46"/>
    <w:rsid w:val="00D02FD0"/>
    <w:rsid w:val="00D044D0"/>
    <w:rsid w:val="00D05B68"/>
    <w:rsid w:val="00D0614F"/>
    <w:rsid w:val="00D10BA7"/>
    <w:rsid w:val="00D11213"/>
    <w:rsid w:val="00D147C2"/>
    <w:rsid w:val="00D16C62"/>
    <w:rsid w:val="00D1708C"/>
    <w:rsid w:val="00D20535"/>
    <w:rsid w:val="00D20EA7"/>
    <w:rsid w:val="00D2249E"/>
    <w:rsid w:val="00D25F0C"/>
    <w:rsid w:val="00D26E3B"/>
    <w:rsid w:val="00D27EF9"/>
    <w:rsid w:val="00D3134D"/>
    <w:rsid w:val="00D35B47"/>
    <w:rsid w:val="00D36C02"/>
    <w:rsid w:val="00D40227"/>
    <w:rsid w:val="00D4173E"/>
    <w:rsid w:val="00D41A6E"/>
    <w:rsid w:val="00D441D3"/>
    <w:rsid w:val="00D45134"/>
    <w:rsid w:val="00D453A7"/>
    <w:rsid w:val="00D45DEE"/>
    <w:rsid w:val="00D51055"/>
    <w:rsid w:val="00D54FA7"/>
    <w:rsid w:val="00D55BFC"/>
    <w:rsid w:val="00D56722"/>
    <w:rsid w:val="00D56E3B"/>
    <w:rsid w:val="00D571EA"/>
    <w:rsid w:val="00D576A3"/>
    <w:rsid w:val="00D57759"/>
    <w:rsid w:val="00D63E87"/>
    <w:rsid w:val="00D64CDC"/>
    <w:rsid w:val="00D67023"/>
    <w:rsid w:val="00D67D1F"/>
    <w:rsid w:val="00D715BE"/>
    <w:rsid w:val="00D73FF2"/>
    <w:rsid w:val="00D74C2B"/>
    <w:rsid w:val="00D76131"/>
    <w:rsid w:val="00D769C1"/>
    <w:rsid w:val="00D81F87"/>
    <w:rsid w:val="00D85FF3"/>
    <w:rsid w:val="00D91334"/>
    <w:rsid w:val="00D91E3E"/>
    <w:rsid w:val="00D95213"/>
    <w:rsid w:val="00D9742E"/>
    <w:rsid w:val="00DA6277"/>
    <w:rsid w:val="00DA68FE"/>
    <w:rsid w:val="00DA7F15"/>
    <w:rsid w:val="00DB3FE8"/>
    <w:rsid w:val="00DB4DE0"/>
    <w:rsid w:val="00DC019A"/>
    <w:rsid w:val="00DC021B"/>
    <w:rsid w:val="00DC3605"/>
    <w:rsid w:val="00DC3D19"/>
    <w:rsid w:val="00DC4E4F"/>
    <w:rsid w:val="00DC5DEA"/>
    <w:rsid w:val="00DD295F"/>
    <w:rsid w:val="00DE461B"/>
    <w:rsid w:val="00DE497A"/>
    <w:rsid w:val="00DE5A41"/>
    <w:rsid w:val="00DF079C"/>
    <w:rsid w:val="00DF08A9"/>
    <w:rsid w:val="00DF2EF6"/>
    <w:rsid w:val="00DF5D5C"/>
    <w:rsid w:val="00DF7A48"/>
    <w:rsid w:val="00DF7D16"/>
    <w:rsid w:val="00E0210E"/>
    <w:rsid w:val="00E026A6"/>
    <w:rsid w:val="00E03412"/>
    <w:rsid w:val="00E04E86"/>
    <w:rsid w:val="00E06279"/>
    <w:rsid w:val="00E062AA"/>
    <w:rsid w:val="00E072FE"/>
    <w:rsid w:val="00E07B76"/>
    <w:rsid w:val="00E12189"/>
    <w:rsid w:val="00E14178"/>
    <w:rsid w:val="00E1466B"/>
    <w:rsid w:val="00E17FF5"/>
    <w:rsid w:val="00E227BF"/>
    <w:rsid w:val="00E24B3E"/>
    <w:rsid w:val="00E265FB"/>
    <w:rsid w:val="00E26CF0"/>
    <w:rsid w:val="00E31F1B"/>
    <w:rsid w:val="00E32DAB"/>
    <w:rsid w:val="00E32DB0"/>
    <w:rsid w:val="00E32E8B"/>
    <w:rsid w:val="00E3396E"/>
    <w:rsid w:val="00E402AA"/>
    <w:rsid w:val="00E41D33"/>
    <w:rsid w:val="00E46737"/>
    <w:rsid w:val="00E50C76"/>
    <w:rsid w:val="00E50F6D"/>
    <w:rsid w:val="00E5459B"/>
    <w:rsid w:val="00E54D8C"/>
    <w:rsid w:val="00E54F2D"/>
    <w:rsid w:val="00E617AE"/>
    <w:rsid w:val="00E619F6"/>
    <w:rsid w:val="00E662F1"/>
    <w:rsid w:val="00E67D0B"/>
    <w:rsid w:val="00E70454"/>
    <w:rsid w:val="00E70DF1"/>
    <w:rsid w:val="00E71852"/>
    <w:rsid w:val="00E7321C"/>
    <w:rsid w:val="00E80361"/>
    <w:rsid w:val="00E81046"/>
    <w:rsid w:val="00E81677"/>
    <w:rsid w:val="00E81CBB"/>
    <w:rsid w:val="00E877C5"/>
    <w:rsid w:val="00E9408D"/>
    <w:rsid w:val="00E94437"/>
    <w:rsid w:val="00E94E73"/>
    <w:rsid w:val="00E97717"/>
    <w:rsid w:val="00EA1154"/>
    <w:rsid w:val="00EA42FF"/>
    <w:rsid w:val="00EA697B"/>
    <w:rsid w:val="00EA6CD4"/>
    <w:rsid w:val="00EB35C7"/>
    <w:rsid w:val="00EC1190"/>
    <w:rsid w:val="00EC2B3B"/>
    <w:rsid w:val="00EC5217"/>
    <w:rsid w:val="00EC540F"/>
    <w:rsid w:val="00ED118F"/>
    <w:rsid w:val="00ED1417"/>
    <w:rsid w:val="00ED1A42"/>
    <w:rsid w:val="00EE1C89"/>
    <w:rsid w:val="00EE2601"/>
    <w:rsid w:val="00EE2728"/>
    <w:rsid w:val="00EE44FB"/>
    <w:rsid w:val="00EE496F"/>
    <w:rsid w:val="00EE791D"/>
    <w:rsid w:val="00EE7D61"/>
    <w:rsid w:val="00EF09C5"/>
    <w:rsid w:val="00EF1E94"/>
    <w:rsid w:val="00EF3AC7"/>
    <w:rsid w:val="00EF67BF"/>
    <w:rsid w:val="00F00E43"/>
    <w:rsid w:val="00F032CC"/>
    <w:rsid w:val="00F03C64"/>
    <w:rsid w:val="00F0551F"/>
    <w:rsid w:val="00F0786C"/>
    <w:rsid w:val="00F10CB3"/>
    <w:rsid w:val="00F171EB"/>
    <w:rsid w:val="00F176C4"/>
    <w:rsid w:val="00F21399"/>
    <w:rsid w:val="00F23F3D"/>
    <w:rsid w:val="00F2530F"/>
    <w:rsid w:val="00F25E66"/>
    <w:rsid w:val="00F3249B"/>
    <w:rsid w:val="00F3262A"/>
    <w:rsid w:val="00F33FAD"/>
    <w:rsid w:val="00F34E5D"/>
    <w:rsid w:val="00F36C8C"/>
    <w:rsid w:val="00F40ABC"/>
    <w:rsid w:val="00F424F8"/>
    <w:rsid w:val="00F4314E"/>
    <w:rsid w:val="00F451C9"/>
    <w:rsid w:val="00F50164"/>
    <w:rsid w:val="00F504C4"/>
    <w:rsid w:val="00F505C2"/>
    <w:rsid w:val="00F51A8D"/>
    <w:rsid w:val="00F53638"/>
    <w:rsid w:val="00F54A22"/>
    <w:rsid w:val="00F55704"/>
    <w:rsid w:val="00F56F99"/>
    <w:rsid w:val="00F577FD"/>
    <w:rsid w:val="00F6358C"/>
    <w:rsid w:val="00F63E30"/>
    <w:rsid w:val="00F645D7"/>
    <w:rsid w:val="00F64E20"/>
    <w:rsid w:val="00F70B1E"/>
    <w:rsid w:val="00F7479A"/>
    <w:rsid w:val="00F764B0"/>
    <w:rsid w:val="00F76BC5"/>
    <w:rsid w:val="00F7731D"/>
    <w:rsid w:val="00F80738"/>
    <w:rsid w:val="00F82AE4"/>
    <w:rsid w:val="00F8310D"/>
    <w:rsid w:val="00F851D2"/>
    <w:rsid w:val="00F851DD"/>
    <w:rsid w:val="00F858F8"/>
    <w:rsid w:val="00F86FBC"/>
    <w:rsid w:val="00F8738F"/>
    <w:rsid w:val="00F92DEE"/>
    <w:rsid w:val="00F951A7"/>
    <w:rsid w:val="00F9556D"/>
    <w:rsid w:val="00F97407"/>
    <w:rsid w:val="00FA22FA"/>
    <w:rsid w:val="00FA2962"/>
    <w:rsid w:val="00FA3FAA"/>
    <w:rsid w:val="00FB0638"/>
    <w:rsid w:val="00FB06A8"/>
    <w:rsid w:val="00FB0C3A"/>
    <w:rsid w:val="00FB287A"/>
    <w:rsid w:val="00FB5340"/>
    <w:rsid w:val="00FC0D87"/>
    <w:rsid w:val="00FC19A4"/>
    <w:rsid w:val="00FC4A4A"/>
    <w:rsid w:val="00FC5C89"/>
    <w:rsid w:val="00FC6497"/>
    <w:rsid w:val="00FC6DAF"/>
    <w:rsid w:val="00FD2414"/>
    <w:rsid w:val="00FD2F68"/>
    <w:rsid w:val="00FD44BF"/>
    <w:rsid w:val="00FD49FB"/>
    <w:rsid w:val="00FD5B3C"/>
    <w:rsid w:val="00FD74A7"/>
    <w:rsid w:val="00FE1756"/>
    <w:rsid w:val="00FE2813"/>
    <w:rsid w:val="00FE3FE3"/>
    <w:rsid w:val="00FE4E63"/>
    <w:rsid w:val="00FE5FF4"/>
    <w:rsid w:val="00FF0511"/>
    <w:rsid w:val="00FF1F54"/>
    <w:rsid w:val="00FF2053"/>
    <w:rsid w:val="00FF268F"/>
    <w:rsid w:val="00FF32AB"/>
    <w:rsid w:val="00FF51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D3E7C"/>
  <w15:chartTrackingRefBased/>
  <w15:docId w15:val="{8F3F7EBB-7132-4809-9823-797805A0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6A65"/>
    <w:pPr>
      <w:keepNext/>
      <w:keepLines/>
      <w:spacing w:before="400" w:after="120" w:line="360" w:lineRule="auto"/>
      <w:jc w:val="both"/>
      <w:outlineLvl w:val="0"/>
    </w:pPr>
    <w:rPr>
      <w:rFonts w:ascii="Times New Roman" w:eastAsia="Times New Roman" w:hAnsi="Times New Roman" w:cs="Times New Roman"/>
      <w:b/>
      <w:sz w:val="24"/>
      <w:szCs w:val="24"/>
      <w:lang w:val="de" w:eastAsia="de-DE"/>
    </w:rPr>
  </w:style>
  <w:style w:type="paragraph" w:styleId="berschrift2">
    <w:name w:val="heading 2"/>
    <w:basedOn w:val="Standard"/>
    <w:next w:val="Standard"/>
    <w:link w:val="berschrift2Zchn"/>
    <w:uiPriority w:val="9"/>
    <w:unhideWhenUsed/>
    <w:qFormat/>
    <w:rsid w:val="005B6A65"/>
    <w:pPr>
      <w:keepNext/>
      <w:keepLines/>
      <w:spacing w:before="360" w:after="120" w:line="360" w:lineRule="auto"/>
      <w:jc w:val="both"/>
      <w:outlineLvl w:val="1"/>
    </w:pPr>
    <w:rPr>
      <w:rFonts w:ascii="Times New Roman" w:eastAsia="Times New Roman" w:hAnsi="Times New Roman" w:cs="Times New Roman"/>
      <w:b/>
      <w:sz w:val="24"/>
      <w:szCs w:val="24"/>
      <w:lang w:val="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B6A65"/>
    <w:rPr>
      <w:rFonts w:ascii="Times New Roman" w:eastAsia="Times New Roman" w:hAnsi="Times New Roman" w:cs="Times New Roman"/>
      <w:b/>
      <w:sz w:val="24"/>
      <w:szCs w:val="24"/>
      <w:lang w:val="de" w:eastAsia="de-DE"/>
    </w:rPr>
  </w:style>
  <w:style w:type="character" w:customStyle="1" w:styleId="berschrift2Zchn">
    <w:name w:val="Überschrift 2 Zchn"/>
    <w:basedOn w:val="Absatz-Standardschriftart"/>
    <w:link w:val="berschrift2"/>
    <w:uiPriority w:val="9"/>
    <w:rsid w:val="005B6A65"/>
    <w:rPr>
      <w:rFonts w:ascii="Times New Roman" w:eastAsia="Times New Roman" w:hAnsi="Times New Roman" w:cs="Times New Roman"/>
      <w:b/>
      <w:sz w:val="24"/>
      <w:szCs w:val="24"/>
      <w:lang w:val="de" w:eastAsia="de-DE"/>
    </w:rPr>
  </w:style>
  <w:style w:type="paragraph" w:styleId="Listenabsatz">
    <w:name w:val="List Paragraph"/>
    <w:basedOn w:val="Standard"/>
    <w:uiPriority w:val="34"/>
    <w:qFormat/>
    <w:rsid w:val="005B6A65"/>
    <w:pPr>
      <w:spacing w:after="0" w:line="360" w:lineRule="auto"/>
      <w:ind w:left="720"/>
      <w:contextualSpacing/>
      <w:jc w:val="both"/>
    </w:pPr>
    <w:rPr>
      <w:rFonts w:ascii="Times New Roman" w:eastAsia="Times New Roman" w:hAnsi="Times New Roman" w:cs="Times New Roman"/>
      <w:lang w:val="de" w:eastAsia="de-DE"/>
    </w:rPr>
  </w:style>
  <w:style w:type="paragraph" w:styleId="StandardWeb">
    <w:name w:val="Normal (Web)"/>
    <w:basedOn w:val="Standard"/>
    <w:uiPriority w:val="99"/>
    <w:unhideWhenUsed/>
    <w:rsid w:val="009F4CBB"/>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90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543</Words>
  <Characters>3426</Characters>
  <Application>Microsoft Office Word</Application>
  <DocSecurity>0</DocSecurity>
  <Lines>28</Lines>
  <Paragraphs>7</Paragraphs>
  <ScaleCrop>false</ScaleCrop>
  <Company>HP Inc.</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Lavanya G</dc:creator>
  <cp:keywords/>
  <dc:description/>
  <cp:lastModifiedBy>Brosche, Hendrik</cp:lastModifiedBy>
  <cp:revision>3</cp:revision>
  <dcterms:created xsi:type="dcterms:W3CDTF">2025-02-18T01:28:00Z</dcterms:created>
  <dcterms:modified xsi:type="dcterms:W3CDTF">2025-02-24T16:33:00Z</dcterms:modified>
</cp:coreProperties>
</file>