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67BC" w:rsidRDefault="006A67BC" w:rsidP="006A67BC">
      <w:pPr>
        <w:pStyle w:val="Heading1"/>
        <w:numPr>
          <w:ilvl w:val="0"/>
          <w:numId w:val="0"/>
        </w:numPr>
        <w:rPr>
          <w:lang w:val="en-US"/>
        </w:rPr>
      </w:pPr>
      <w:r w:rsidRPr="0C2553E4">
        <w:rPr>
          <w:lang w:val="en-US"/>
        </w:rPr>
        <w:t>Supplementary materials</w:t>
      </w:r>
    </w:p>
    <w:p w:rsidR="006A67BC" w:rsidRDefault="006A67BC" w:rsidP="006A67BC">
      <w:pPr>
        <w:pStyle w:val="Heading2"/>
        <w:numPr>
          <w:ilvl w:val="0"/>
          <w:numId w:val="0"/>
        </w:numPr>
        <w:rPr>
          <w:lang w:val="en-US"/>
        </w:rPr>
      </w:pPr>
      <w:bookmarkStart w:id="0" w:name="_Toc149291975"/>
      <w:bookmarkStart w:id="1" w:name="_Toc149646337"/>
      <w:bookmarkStart w:id="2" w:name="_Toc149661657"/>
      <w:bookmarkStart w:id="3" w:name="_Ref160788315"/>
      <w:r w:rsidRPr="0C2553E4">
        <w:rPr>
          <w:lang w:val="en-US"/>
        </w:rPr>
        <w:t xml:space="preserve">Annex I – EuroVoc classes considered for building the </w:t>
      </w:r>
      <w:r>
        <w:rPr>
          <w:lang w:val="en-US"/>
        </w:rPr>
        <w:t>d</w:t>
      </w:r>
      <w:r w:rsidRPr="0C2553E4">
        <w:rPr>
          <w:lang w:val="en-US"/>
        </w:rPr>
        <w:t>irectives sample</w:t>
      </w:r>
      <w:bookmarkEnd w:id="0"/>
      <w:bookmarkEnd w:id="1"/>
      <w:bookmarkEnd w:id="2"/>
      <w:bookmarkEnd w:id="3"/>
    </w:p>
    <w:p w:rsidR="006A67BC" w:rsidRPr="008A26D5" w:rsidRDefault="006A67BC" w:rsidP="006A67BC">
      <w:pPr>
        <w:pStyle w:val="Caption"/>
        <w:rPr>
          <w:u w:val="single"/>
        </w:rPr>
      </w:pPr>
      <w:bookmarkStart w:id="4" w:name="_Ref144223606"/>
      <w:bookmarkStart w:id="5" w:name="_Toc149646106"/>
      <w:r>
        <w:t xml:space="preserve">Table </w:t>
      </w:r>
      <w:r>
        <w:fldChar w:fldCharType="begin"/>
      </w:r>
      <w:r>
        <w:instrText xml:space="preserve"> SEQ Table \* ARABIC </w:instrText>
      </w:r>
      <w:r>
        <w:fldChar w:fldCharType="separate"/>
      </w:r>
      <w:r>
        <w:rPr>
          <w:noProof/>
        </w:rPr>
        <w:t>7</w:t>
      </w:r>
      <w:r>
        <w:fldChar w:fldCharType="end"/>
      </w:r>
      <w:bookmarkEnd w:id="4"/>
      <w:r>
        <w:t xml:space="preserve"> – EV classes considered for building the directives sample</w:t>
      </w:r>
      <w:bookmarkEnd w:id="5"/>
    </w:p>
    <w:tbl>
      <w:tblPr>
        <w:tblW w:w="8910" w:type="dxa"/>
        <w:tblLook w:val="04A0" w:firstRow="1" w:lastRow="0" w:firstColumn="1" w:lastColumn="0" w:noHBand="0" w:noVBand="1"/>
      </w:tblPr>
      <w:tblGrid>
        <w:gridCol w:w="1271"/>
        <w:gridCol w:w="1952"/>
        <w:gridCol w:w="2268"/>
        <w:gridCol w:w="1559"/>
        <w:gridCol w:w="1860"/>
      </w:tblGrid>
      <w:tr w:rsidR="006A67BC" w:rsidRPr="00695888" w:rsidTr="004A216B">
        <w:trPr>
          <w:cantSplit/>
          <w:trHeight w:val="520"/>
          <w:tblHeader/>
        </w:trPr>
        <w:tc>
          <w:tcPr>
            <w:tcW w:w="1271" w:type="dxa"/>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rsidR="006A67BC" w:rsidRPr="00695888" w:rsidRDefault="006A67BC" w:rsidP="004A216B">
            <w:pPr>
              <w:spacing w:after="0" w:line="240" w:lineRule="auto"/>
              <w:rPr>
                <w:rFonts w:ascii="Calibri" w:eastAsia="Times New Roman" w:hAnsi="Calibri" w:cs="Calibri"/>
                <w:b/>
                <w:bCs/>
                <w:color w:val="000000"/>
                <w:sz w:val="18"/>
                <w:szCs w:val="18"/>
              </w:rPr>
            </w:pPr>
            <w:r>
              <w:rPr>
                <w:rFonts w:ascii="Calibri" w:eastAsia="Times New Roman" w:hAnsi="Calibri" w:cs="Calibri"/>
                <w:b/>
                <w:bCs/>
                <w:color w:val="000000"/>
                <w:sz w:val="18"/>
                <w:szCs w:val="18"/>
              </w:rPr>
              <w:t>EV_I</w:t>
            </w:r>
          </w:p>
        </w:tc>
        <w:tc>
          <w:tcPr>
            <w:tcW w:w="1952"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6A67BC" w:rsidRPr="00695888" w:rsidRDefault="006A67BC" w:rsidP="004A216B">
            <w:pPr>
              <w:spacing w:after="0" w:line="240" w:lineRule="auto"/>
              <w:rPr>
                <w:rFonts w:ascii="Calibri" w:eastAsia="Times New Roman" w:hAnsi="Calibri" w:cs="Calibri"/>
                <w:b/>
                <w:bCs/>
                <w:color w:val="000000"/>
                <w:sz w:val="18"/>
                <w:szCs w:val="18"/>
              </w:rPr>
            </w:pPr>
            <w:r>
              <w:rPr>
                <w:rFonts w:ascii="Calibri" w:eastAsia="Times New Roman" w:hAnsi="Calibri" w:cs="Calibri"/>
                <w:b/>
                <w:bCs/>
                <w:color w:val="000000"/>
                <w:sz w:val="18"/>
                <w:szCs w:val="18"/>
              </w:rPr>
              <w:t>EV_II</w:t>
            </w:r>
          </w:p>
        </w:tc>
        <w:tc>
          <w:tcPr>
            <w:tcW w:w="2268"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6A67BC" w:rsidRPr="00695888" w:rsidRDefault="006A67BC" w:rsidP="004A216B">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EV_</w:t>
            </w:r>
            <w:r w:rsidRPr="00695888">
              <w:rPr>
                <w:rFonts w:ascii="Calibri" w:eastAsia="Times New Roman" w:hAnsi="Calibri" w:cs="Calibri"/>
                <w:b/>
                <w:bCs/>
                <w:color w:val="000000"/>
                <w:sz w:val="18"/>
                <w:szCs w:val="18"/>
              </w:rPr>
              <w:t>III</w:t>
            </w:r>
          </w:p>
        </w:tc>
        <w:tc>
          <w:tcPr>
            <w:tcW w:w="1559"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6A67BC" w:rsidRPr="00695888" w:rsidRDefault="006A67BC" w:rsidP="004A216B">
            <w:pPr>
              <w:spacing w:after="0" w:line="240" w:lineRule="auto"/>
              <w:jc w:val="center"/>
              <w:rPr>
                <w:rFonts w:ascii="Calibri" w:eastAsia="Times New Roman" w:hAnsi="Calibri" w:cs="Calibri"/>
                <w:b/>
                <w:bCs/>
                <w:color w:val="000000"/>
                <w:sz w:val="18"/>
                <w:szCs w:val="18"/>
              </w:rPr>
            </w:pPr>
            <w:r w:rsidRPr="00695888">
              <w:rPr>
                <w:rFonts w:ascii="Calibri" w:eastAsia="Times New Roman" w:hAnsi="Calibri" w:cs="Calibri"/>
                <w:b/>
                <w:bCs/>
                <w:color w:val="000000"/>
                <w:sz w:val="18"/>
                <w:szCs w:val="18"/>
              </w:rPr>
              <w:t>NT/</w:t>
            </w:r>
            <w:r>
              <w:rPr>
                <w:rFonts w:ascii="Calibri" w:eastAsia="Times New Roman" w:hAnsi="Calibri" w:cs="Calibri"/>
                <w:b/>
                <w:bCs/>
                <w:color w:val="000000"/>
                <w:sz w:val="18"/>
                <w:szCs w:val="18"/>
              </w:rPr>
              <w:t>EV_</w:t>
            </w:r>
            <w:r w:rsidRPr="00695888">
              <w:rPr>
                <w:rFonts w:ascii="Calibri" w:eastAsia="Times New Roman" w:hAnsi="Calibri" w:cs="Calibri"/>
                <w:b/>
                <w:bCs/>
                <w:color w:val="000000"/>
                <w:sz w:val="18"/>
                <w:szCs w:val="18"/>
              </w:rPr>
              <w:t>IV</w:t>
            </w:r>
          </w:p>
        </w:tc>
        <w:tc>
          <w:tcPr>
            <w:tcW w:w="1860" w:type="dxa"/>
            <w:tcBorders>
              <w:top w:val="single" w:sz="4" w:space="0" w:color="auto"/>
              <w:left w:val="nil"/>
              <w:bottom w:val="single" w:sz="4" w:space="0" w:color="auto"/>
              <w:right w:val="single" w:sz="4" w:space="0" w:color="auto"/>
            </w:tcBorders>
            <w:shd w:val="clear" w:color="auto" w:fill="BDD6EE" w:themeFill="accent1" w:themeFillTint="66"/>
            <w:vAlign w:val="center"/>
            <w:hideMark/>
          </w:tcPr>
          <w:p w:rsidR="006A67BC" w:rsidRPr="00695888" w:rsidRDefault="006A67BC" w:rsidP="004A216B">
            <w:pPr>
              <w:spacing w:after="0" w:line="240" w:lineRule="auto"/>
              <w:jc w:val="center"/>
              <w:rPr>
                <w:rFonts w:ascii="Calibri" w:eastAsia="Times New Roman" w:hAnsi="Calibri" w:cs="Calibri"/>
                <w:b/>
                <w:bCs/>
                <w:color w:val="000000"/>
                <w:sz w:val="18"/>
                <w:szCs w:val="18"/>
              </w:rPr>
            </w:pPr>
            <w:r w:rsidRPr="00695888">
              <w:rPr>
                <w:rFonts w:ascii="Calibri" w:eastAsia="Times New Roman" w:hAnsi="Calibri" w:cs="Calibri"/>
                <w:b/>
                <w:bCs/>
                <w:color w:val="000000"/>
                <w:sz w:val="18"/>
                <w:szCs w:val="18"/>
              </w:rPr>
              <w:t xml:space="preserve">Considered </w:t>
            </w:r>
            <w:r>
              <w:rPr>
                <w:rFonts w:ascii="Calibri" w:eastAsia="Times New Roman" w:hAnsi="Calibri" w:cs="Calibri"/>
                <w:b/>
                <w:bCs/>
                <w:color w:val="000000"/>
                <w:sz w:val="18"/>
                <w:szCs w:val="18"/>
              </w:rPr>
              <w:t>in</w:t>
            </w:r>
            <w:r w:rsidRPr="00695888">
              <w:rPr>
                <w:rFonts w:ascii="Calibri" w:eastAsia="Times New Roman" w:hAnsi="Calibri" w:cs="Calibri"/>
                <w:b/>
                <w:bCs/>
                <w:color w:val="000000"/>
                <w:sz w:val="18"/>
                <w:szCs w:val="18"/>
              </w:rPr>
              <w:t xml:space="preserve"> the sample</w:t>
            </w:r>
          </w:p>
        </w:tc>
      </w:tr>
      <w:tr w:rsidR="006A67BC" w:rsidRPr="00695888" w:rsidTr="004A216B">
        <w:trPr>
          <w:trHeight w:val="260"/>
        </w:trPr>
        <w:tc>
          <w:tcPr>
            <w:tcW w:w="1271"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Environment</w:t>
            </w: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environmental policy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waste management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pollution control measures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environmental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environmental protection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climate change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water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natural environment</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geophysical environment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Wildlife</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natural resources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Climate</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physical environment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deterioration of the environment</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nuisance</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pollution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Waste</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307"/>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degradation of the environment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Energy</w:t>
            </w: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energy policy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energy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energy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coal and mining industries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mining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mining product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coal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oil industry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hydrocarbon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oil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petrochemicals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electrical and nuclear industries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nuclear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electrical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nuclear power station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nuclear energy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tcBorders>
              <w:top w:val="nil"/>
              <w:left w:val="nil"/>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soft energy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soft energy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Industry</w:t>
            </w: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industrial structures and policy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industrial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industrial production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technical profession</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industrial structures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chemistry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chemical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special chemicals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chemical element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chemical compound</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iron, steel, and other metal industries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iron and steel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Pr>
                <w:rFonts w:ascii="Calibri" w:eastAsia="Times New Roman" w:hAnsi="Calibri" w:cs="Calibri"/>
                <w:color w:val="444444"/>
                <w:sz w:val="18"/>
                <w:szCs w:val="18"/>
              </w:rPr>
              <w:t>m</w:t>
            </w:r>
            <w:r w:rsidRPr="00695888">
              <w:rPr>
                <w:rFonts w:ascii="Calibri" w:eastAsia="Times New Roman" w:hAnsi="Calibri" w:cs="Calibri"/>
                <w:color w:val="444444"/>
                <w:sz w:val="18"/>
                <w:szCs w:val="18"/>
              </w:rPr>
              <w:t>etals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metallurgical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mechanical engineering</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mechanical engineering</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machinery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mechanical equipment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precision engineering</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pressure equipment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thermal equipment</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electronics and electrical engineering</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electronics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electrical engineering</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building and public works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building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building services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public works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tcBorders>
              <w:top w:val="nil"/>
              <w:left w:val="nil"/>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wood industry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wood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leather and textile industries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leather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textile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val="restart"/>
            <w:tcBorders>
              <w:top w:val="nil"/>
              <w:left w:val="single" w:sz="4" w:space="0" w:color="auto"/>
              <w:bottom w:val="single" w:sz="4" w:space="0" w:color="000000" w:themeColor="text1"/>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miscellaneous industries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refrigeration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vacuum industry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miscellaneous industries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1952" w:type="dxa"/>
            <w:vMerge/>
            <w:tcBorders>
              <w:top w:val="nil"/>
              <w:left w:val="single" w:sz="4" w:space="0" w:color="auto"/>
              <w:bottom w:val="single" w:sz="4" w:space="0" w:color="000000"/>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ceramics</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 </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000000"/>
                <w:sz w:val="18"/>
                <w:szCs w:val="18"/>
              </w:rPr>
            </w:pPr>
            <w:r w:rsidRPr="00695888">
              <w:rPr>
                <w:rFonts w:ascii="Calibri" w:eastAsia="Times New Roman" w:hAnsi="Calibri" w:cs="Calibri"/>
                <w:color w:val="000000"/>
                <w:sz w:val="18"/>
                <w:szCs w:val="18"/>
              </w:rPr>
              <w:t>yes</w:t>
            </w:r>
          </w:p>
        </w:tc>
      </w:tr>
      <w:tr w:rsidR="006A67BC" w:rsidRPr="00695888" w:rsidTr="004A216B">
        <w:trPr>
          <w:trHeight w:val="260"/>
        </w:trPr>
        <w:tc>
          <w:tcPr>
            <w:tcW w:w="1271"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Economics</w:t>
            </w:r>
          </w:p>
        </w:tc>
        <w:tc>
          <w:tcPr>
            <w:tcW w:w="1952" w:type="dxa"/>
            <w:tcBorders>
              <w:top w:val="nil"/>
              <w:left w:val="nil"/>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economic policy</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economic policy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circular economy</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yes</w:t>
            </w:r>
          </w:p>
        </w:tc>
      </w:tr>
      <w:tr w:rsidR="006A67BC" w:rsidRPr="00695888" w:rsidTr="004A216B">
        <w:trPr>
          <w:trHeight w:val="780"/>
        </w:trPr>
        <w:tc>
          <w:tcPr>
            <w:tcW w:w="1271" w:type="dxa"/>
            <w:tcBorders>
              <w:top w:val="nil"/>
              <w:left w:val="single" w:sz="4" w:space="0" w:color="auto"/>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Production, Technology and research</w:t>
            </w:r>
          </w:p>
        </w:tc>
        <w:tc>
          <w:tcPr>
            <w:tcW w:w="1952" w:type="dxa"/>
            <w:tcBorders>
              <w:top w:val="nil"/>
              <w:left w:val="nil"/>
              <w:bottom w:val="single" w:sz="4" w:space="0" w:color="auto"/>
              <w:right w:val="single" w:sz="4" w:space="0" w:color="auto"/>
            </w:tcBorders>
            <w:shd w:val="clear" w:color="auto" w:fill="D5DCE4" w:themeFill="text2" w:themeFillTint="33"/>
            <w:vAlign w:val="center"/>
            <w:hideMark/>
          </w:tcPr>
          <w:p w:rsidR="006A67BC" w:rsidRPr="00695888" w:rsidRDefault="006A67BC" w:rsidP="004A216B">
            <w:pPr>
              <w:spacing w:after="0" w:line="240" w:lineRule="auto"/>
              <w:rPr>
                <w:rFonts w:ascii="Calibri" w:eastAsia="Times New Roman" w:hAnsi="Calibri" w:cs="Calibri"/>
                <w:color w:val="444444"/>
                <w:sz w:val="18"/>
                <w:szCs w:val="18"/>
              </w:rPr>
            </w:pPr>
            <w:r w:rsidRPr="00695888">
              <w:rPr>
                <w:rFonts w:ascii="Calibri" w:eastAsia="Times New Roman" w:hAnsi="Calibri" w:cs="Calibri"/>
                <w:color w:val="444444"/>
                <w:sz w:val="18"/>
                <w:szCs w:val="18"/>
              </w:rPr>
              <w:t>technology and technical regulations</w:t>
            </w:r>
          </w:p>
        </w:tc>
        <w:tc>
          <w:tcPr>
            <w:tcW w:w="2268"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technology</w:t>
            </w:r>
          </w:p>
        </w:tc>
        <w:tc>
          <w:tcPr>
            <w:tcW w:w="1559"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recycling technology</w:t>
            </w:r>
          </w:p>
        </w:tc>
        <w:tc>
          <w:tcPr>
            <w:tcW w:w="1860" w:type="dxa"/>
            <w:tcBorders>
              <w:top w:val="nil"/>
              <w:left w:val="nil"/>
              <w:bottom w:val="single" w:sz="4" w:space="0" w:color="auto"/>
              <w:right w:val="single" w:sz="4" w:space="0" w:color="auto"/>
            </w:tcBorders>
            <w:shd w:val="clear" w:color="auto" w:fill="auto"/>
            <w:vAlign w:val="center"/>
            <w:hideMark/>
          </w:tcPr>
          <w:p w:rsidR="006A67BC" w:rsidRPr="00695888" w:rsidRDefault="006A67BC" w:rsidP="004A216B">
            <w:pPr>
              <w:spacing w:after="0" w:line="240" w:lineRule="auto"/>
              <w:jc w:val="center"/>
              <w:rPr>
                <w:rFonts w:ascii="Calibri" w:eastAsia="Times New Roman" w:hAnsi="Calibri" w:cs="Calibri"/>
                <w:color w:val="444444"/>
                <w:sz w:val="18"/>
                <w:szCs w:val="18"/>
              </w:rPr>
            </w:pPr>
            <w:r w:rsidRPr="00695888">
              <w:rPr>
                <w:rFonts w:ascii="Calibri" w:eastAsia="Times New Roman" w:hAnsi="Calibri" w:cs="Calibri"/>
                <w:color w:val="444444"/>
                <w:sz w:val="18"/>
                <w:szCs w:val="18"/>
              </w:rPr>
              <w:t>yes</w:t>
            </w:r>
          </w:p>
        </w:tc>
      </w:tr>
    </w:tbl>
    <w:p w:rsidR="006A67BC" w:rsidRDefault="006A67BC" w:rsidP="006A67BC">
      <w:pPr>
        <w:pStyle w:val="ListParagraph"/>
        <w:ind w:left="142"/>
        <w:jc w:val="center"/>
        <w:rPr>
          <w:lang w:val="en-US"/>
        </w:rPr>
      </w:pPr>
    </w:p>
    <w:p w:rsidR="006A67BC" w:rsidRDefault="006A67BC" w:rsidP="006A67BC">
      <w:r>
        <w:br w:type="page"/>
      </w:r>
    </w:p>
    <w:p w:rsidR="006A67BC" w:rsidRDefault="006A67BC" w:rsidP="006A67BC">
      <w:pPr>
        <w:pStyle w:val="Heading2"/>
        <w:numPr>
          <w:ilvl w:val="0"/>
          <w:numId w:val="0"/>
        </w:numPr>
        <w:rPr>
          <w:lang w:val="en-US"/>
        </w:rPr>
      </w:pPr>
      <w:bookmarkStart w:id="6" w:name="_Toc149646338"/>
      <w:bookmarkStart w:id="7" w:name="_Toc149661658"/>
      <w:bookmarkStart w:id="8" w:name="_Toc149291976"/>
      <w:r w:rsidRPr="0C2553E4">
        <w:rPr>
          <w:lang w:val="en-US"/>
        </w:rPr>
        <w:lastRenderedPageBreak/>
        <w:t>Annex II – Detailed list of Circular Economy and Climate Mitigation policy objectives considered for the in-depth directive analysis</w:t>
      </w:r>
    </w:p>
    <w:p w:rsidR="006A67BC" w:rsidRPr="0050220D" w:rsidRDefault="006A67BC" w:rsidP="006A67BC">
      <w:pPr>
        <w:pStyle w:val="Caption"/>
      </w:pPr>
      <w:bookmarkStart w:id="9" w:name="_Ref149218161"/>
      <w:bookmarkStart w:id="10" w:name="_Toc149646110"/>
      <w:r>
        <w:t xml:space="preserve">Table </w:t>
      </w:r>
      <w:r>
        <w:fldChar w:fldCharType="begin"/>
      </w:r>
      <w:r>
        <w:instrText xml:space="preserve"> SEQ Table \* ARABIC </w:instrText>
      </w:r>
      <w:r>
        <w:fldChar w:fldCharType="separate"/>
      </w:r>
      <w:r>
        <w:rPr>
          <w:noProof/>
        </w:rPr>
        <w:t>8</w:t>
      </w:r>
      <w:r>
        <w:fldChar w:fldCharType="end"/>
      </w:r>
      <w:bookmarkEnd w:id="9"/>
      <w:r>
        <w:t xml:space="preserve"> – List of CE policy objectives</w:t>
      </w:r>
      <w:bookmarkEnd w:id="1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0"/>
        <w:gridCol w:w="7087"/>
      </w:tblGrid>
      <w:tr w:rsidR="006A67BC" w:rsidRPr="001C1A27" w:rsidTr="004A216B">
        <w:trPr>
          <w:cantSplit/>
          <w:trHeight w:val="20"/>
          <w:tblHeader/>
        </w:trPr>
        <w:tc>
          <w:tcPr>
            <w:tcW w:w="1980" w:type="dxa"/>
            <w:shd w:val="clear" w:color="auto" w:fill="DEEAF6" w:themeFill="accent1" w:themeFillTint="33"/>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Policy objective</w:t>
            </w:r>
          </w:p>
        </w:tc>
        <w:tc>
          <w:tcPr>
            <w:tcW w:w="7087" w:type="dxa"/>
            <w:shd w:val="clear" w:color="auto" w:fill="DEEAF6" w:themeFill="accent1"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Detailed policy objectives</w:t>
            </w:r>
          </w:p>
        </w:tc>
      </w:tr>
      <w:tr w:rsidR="006A67BC" w:rsidRPr="00CB787E" w:rsidTr="004A216B">
        <w:trPr>
          <w:trHeight w:val="20"/>
        </w:trPr>
        <w:tc>
          <w:tcPr>
            <w:tcW w:w="9067" w:type="dxa"/>
            <w:gridSpan w:val="2"/>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A. A SUSTAINABLE PRODUCT POLICY FRAMEWORK</w:t>
            </w:r>
          </w:p>
        </w:tc>
      </w:tr>
      <w:tr w:rsidR="006A67BC" w:rsidRPr="00CB787E" w:rsidTr="004A216B">
        <w:trPr>
          <w:trHeight w:val="2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val="pt-BR" w:eastAsia="pt-BR"/>
              </w:rPr>
              <w:t>CE 1. Designing sustainable products</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1.1.</w:t>
            </w:r>
            <w:r w:rsidRPr="001C1A27">
              <w:rPr>
                <w:rFonts w:ascii="Calibri" w:eastAsia="Times New Roman" w:hAnsi="Calibri" w:cs="Calibri"/>
                <w:color w:val="000000"/>
                <w:sz w:val="18"/>
                <w:szCs w:val="18"/>
                <w:lang w:eastAsia="pt-BR"/>
              </w:rPr>
              <w:t xml:space="preserve"> Improving product durability, reusability, upgradability, and reparability</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1.2</w:t>
            </w:r>
            <w:r w:rsidRPr="001C1A27">
              <w:rPr>
                <w:rFonts w:ascii="Calibri" w:eastAsia="Times New Roman" w:hAnsi="Calibri" w:cs="Calibri"/>
                <w:color w:val="000000"/>
                <w:sz w:val="18"/>
                <w:szCs w:val="18"/>
                <w:lang w:eastAsia="pt-BR"/>
              </w:rPr>
              <w:t xml:space="preserve"> Addressing the presence of hazardous chemicals in products.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 xml:space="preserve">CE 1.3 </w:t>
            </w:r>
            <w:r w:rsidRPr="001C1A27">
              <w:rPr>
                <w:rFonts w:ascii="Calibri" w:eastAsia="Times New Roman" w:hAnsi="Calibri" w:cs="Calibri"/>
                <w:color w:val="000000"/>
                <w:sz w:val="18"/>
                <w:szCs w:val="18"/>
                <w:lang w:eastAsia="pt-BR"/>
              </w:rPr>
              <w:t>Increasing product's energy efficiency.</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 xml:space="preserve">CE 1.4 </w:t>
            </w:r>
            <w:r w:rsidRPr="001C1A27">
              <w:rPr>
                <w:rFonts w:ascii="Calibri" w:eastAsia="Times New Roman" w:hAnsi="Calibri" w:cs="Calibri"/>
                <w:color w:val="000000"/>
                <w:sz w:val="18"/>
                <w:szCs w:val="18"/>
                <w:lang w:eastAsia="pt-BR"/>
              </w:rPr>
              <w:t>Increasing product's resource efficiency</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1.5</w:t>
            </w:r>
            <w:r w:rsidRPr="001C1A27">
              <w:rPr>
                <w:rFonts w:ascii="Calibri" w:eastAsia="Times New Roman" w:hAnsi="Calibri" w:cs="Calibri"/>
                <w:color w:val="000000"/>
                <w:sz w:val="18"/>
                <w:szCs w:val="18"/>
                <w:lang w:eastAsia="pt-BR"/>
              </w:rPr>
              <w:t xml:space="preserve"> Increasing recycled content in products.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1.6</w:t>
            </w:r>
            <w:r w:rsidRPr="001C1A27">
              <w:rPr>
                <w:rFonts w:ascii="Calibri" w:eastAsia="Times New Roman" w:hAnsi="Calibri" w:cs="Calibri"/>
                <w:color w:val="000000"/>
                <w:sz w:val="18"/>
                <w:szCs w:val="18"/>
                <w:lang w:eastAsia="pt-BR"/>
              </w:rPr>
              <w:t xml:space="preserve"> Enabling remanufacturing and high-quality recycling.</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1.7</w:t>
            </w:r>
            <w:r w:rsidRPr="001C1A27">
              <w:rPr>
                <w:rFonts w:ascii="Calibri" w:eastAsia="Times New Roman" w:hAnsi="Calibri" w:cs="Calibri"/>
                <w:color w:val="000000"/>
                <w:sz w:val="18"/>
                <w:szCs w:val="18"/>
                <w:lang w:eastAsia="pt-BR"/>
              </w:rPr>
              <w:t xml:space="preserve"> Reducing environmental footprints (not including carbon)</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1.8</w:t>
            </w:r>
            <w:r w:rsidRPr="001C1A27">
              <w:rPr>
                <w:rFonts w:ascii="Calibri" w:eastAsia="Times New Roman" w:hAnsi="Calibri" w:cs="Calibri"/>
                <w:color w:val="000000"/>
                <w:sz w:val="18"/>
                <w:szCs w:val="18"/>
                <w:lang w:eastAsia="pt-BR"/>
              </w:rPr>
              <w:t xml:space="preserve"> Reducing the carbon footprint.</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1.9</w:t>
            </w:r>
            <w:r w:rsidRPr="001C1A27">
              <w:rPr>
                <w:rFonts w:ascii="Calibri" w:eastAsia="Times New Roman" w:hAnsi="Calibri" w:cs="Calibri"/>
                <w:color w:val="000000"/>
                <w:sz w:val="18"/>
                <w:szCs w:val="18"/>
                <w:lang w:eastAsia="pt-BR"/>
              </w:rPr>
              <w:t xml:space="preserve"> Restricting single-use and countering premature obsolescence.</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1.10</w:t>
            </w:r>
            <w:r w:rsidRPr="001C1A27">
              <w:rPr>
                <w:rFonts w:ascii="Calibri" w:eastAsia="Times New Roman" w:hAnsi="Calibri" w:cs="Calibri"/>
                <w:color w:val="000000"/>
                <w:sz w:val="18"/>
                <w:szCs w:val="18"/>
                <w:lang w:eastAsia="pt-BR"/>
              </w:rPr>
              <w:t xml:space="preserve"> Introducing a ban on the destruction of unsold durable goods.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1.11</w:t>
            </w:r>
            <w:r w:rsidRPr="001C1A27">
              <w:rPr>
                <w:rFonts w:ascii="Calibri" w:eastAsia="Times New Roman" w:hAnsi="Calibri" w:cs="Calibri"/>
                <w:color w:val="000000"/>
                <w:sz w:val="18"/>
                <w:szCs w:val="18"/>
                <w:lang w:eastAsia="pt-BR"/>
              </w:rPr>
              <w:t xml:space="preserve"> Incentivising product-as-a-service or other models where producers keep the ownership of the product or the responsibility for its performance throughout its lifecycle</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1.12</w:t>
            </w:r>
            <w:r w:rsidRPr="001C1A27">
              <w:rPr>
                <w:rFonts w:ascii="Calibri" w:eastAsia="Times New Roman" w:hAnsi="Calibri" w:cs="Calibri"/>
                <w:color w:val="000000"/>
                <w:sz w:val="18"/>
                <w:szCs w:val="18"/>
                <w:lang w:eastAsia="pt-BR"/>
              </w:rPr>
              <w:t xml:space="preserve"> Mobilising the potential of digitalisation of product information, including solutions such as digital passports, tagging, and watermarks.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1.13</w:t>
            </w:r>
            <w:r w:rsidRPr="001C1A27">
              <w:rPr>
                <w:rFonts w:ascii="Calibri" w:eastAsia="Times New Roman" w:hAnsi="Calibri" w:cs="Calibri"/>
                <w:color w:val="000000"/>
                <w:sz w:val="18"/>
                <w:szCs w:val="18"/>
                <w:lang w:eastAsia="pt-BR"/>
              </w:rPr>
              <w:t xml:space="preserve"> Rewarding products based on their different sustainability performance, including by linking high-performance levels to incentives</w:t>
            </w:r>
          </w:p>
        </w:tc>
      </w:tr>
      <w:tr w:rsidR="006A67BC" w:rsidRPr="00CB787E" w:rsidTr="004A216B">
        <w:trPr>
          <w:trHeight w:val="2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2. Empowering consumers and public buyers</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2.1</w:t>
            </w:r>
            <w:r w:rsidRPr="001C1A27">
              <w:rPr>
                <w:rFonts w:ascii="Calibri" w:eastAsia="Times New Roman" w:hAnsi="Calibri" w:cs="Calibri"/>
                <w:color w:val="000000"/>
                <w:sz w:val="18"/>
                <w:szCs w:val="18"/>
                <w:lang w:eastAsia="pt-BR"/>
              </w:rPr>
              <w:t xml:space="preserve"> Ensure that consumers receive trustworthy and relevant information on products at the point of sale, including on their lifespan and the availability of repair services, spare parts, and repair manuals.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2.2</w:t>
            </w:r>
            <w:r w:rsidRPr="001C1A27">
              <w:rPr>
                <w:rFonts w:ascii="Calibri" w:eastAsia="Times New Roman" w:hAnsi="Calibri" w:cs="Calibri"/>
                <w:color w:val="000000"/>
                <w:sz w:val="18"/>
                <w:szCs w:val="18"/>
                <w:lang w:eastAsia="pt-BR"/>
              </w:rPr>
              <w:t xml:space="preserve"> Strengthening consumer protection against greenwashing, premature obsolescence, and setting minimum requirements for sustainability labels/logos and information tools.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2.3</w:t>
            </w:r>
            <w:r w:rsidRPr="001C1A27">
              <w:rPr>
                <w:rFonts w:ascii="Calibri" w:eastAsia="Times New Roman" w:hAnsi="Calibri" w:cs="Calibri"/>
                <w:color w:val="000000"/>
                <w:sz w:val="18"/>
                <w:szCs w:val="18"/>
                <w:lang w:eastAsia="pt-BR"/>
              </w:rPr>
              <w:t xml:space="preserve"> Right to repair: availability of spare parts or access to repair </w:t>
            </w:r>
          </w:p>
        </w:tc>
      </w:tr>
      <w:tr w:rsidR="006A67BC" w:rsidRPr="00CB787E" w:rsidTr="004A216B">
        <w:trPr>
          <w:trHeight w:val="453"/>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2.4</w:t>
            </w:r>
            <w:r w:rsidRPr="001C1A27">
              <w:rPr>
                <w:rFonts w:ascii="Calibri" w:eastAsia="Times New Roman" w:hAnsi="Calibri" w:cs="Calibri"/>
                <w:color w:val="000000"/>
                <w:sz w:val="18"/>
                <w:szCs w:val="18"/>
                <w:lang w:eastAsia="pt-BR"/>
              </w:rPr>
              <w:t xml:space="preserve"> Minimum mandatory green public procurement (GPP) criteria and targets in sectoral legislation and phase in compulsory reporting to monitor the uptake of GPP</w:t>
            </w:r>
          </w:p>
        </w:tc>
      </w:tr>
      <w:tr w:rsidR="006A67BC" w:rsidRPr="00CB787E" w:rsidTr="004A216B">
        <w:trPr>
          <w:trHeight w:val="70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 Circularity in production processes</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3.1</w:t>
            </w:r>
            <w:r w:rsidRPr="001C1A27">
              <w:rPr>
                <w:rFonts w:ascii="Calibri" w:eastAsia="Times New Roman" w:hAnsi="Calibri" w:cs="Calibri"/>
                <w:color w:val="000000"/>
                <w:sz w:val="18"/>
                <w:szCs w:val="18"/>
                <w:lang w:eastAsia="pt-BR"/>
              </w:rPr>
              <w:t xml:space="preserve"> Promoting circularity in industrial processes in the context of the review </w:t>
            </w:r>
            <w:r w:rsidRPr="001C1A27">
              <w:rPr>
                <w:rFonts w:ascii="Calibri" w:eastAsia="Times New Roman" w:hAnsi="Calibri" w:cs="Calibri"/>
                <w:color w:val="000000"/>
                <w:sz w:val="18"/>
                <w:szCs w:val="18"/>
                <w:lang w:eastAsia="pt-BR"/>
              </w:rPr>
              <w:br/>
              <w:t>of the Industrial Emissions Directive, including the integration of circular economy practices in upcoming Best Available Techniques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3.2</w:t>
            </w:r>
            <w:r w:rsidRPr="001C1A27">
              <w:rPr>
                <w:rFonts w:ascii="Calibri" w:eastAsia="Times New Roman" w:hAnsi="Calibri" w:cs="Calibri"/>
                <w:color w:val="000000"/>
                <w:sz w:val="18"/>
                <w:szCs w:val="18"/>
                <w:lang w:eastAsia="pt-BR"/>
              </w:rPr>
              <w:t xml:space="preserve"> Facilitating industrial symbiosis by developing an industry-led reporting and certification system.</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3.3</w:t>
            </w:r>
            <w:r w:rsidRPr="001C1A27">
              <w:rPr>
                <w:rFonts w:ascii="Calibri" w:eastAsia="Times New Roman" w:hAnsi="Calibri" w:cs="Calibri"/>
                <w:color w:val="000000"/>
                <w:sz w:val="18"/>
                <w:szCs w:val="18"/>
                <w:lang w:eastAsia="pt-BR"/>
              </w:rPr>
              <w:t xml:space="preserve"> Supporting the sustainable and circular bio-based sector through the implementation of the Bioeconomy Action Plan.</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3.4</w:t>
            </w:r>
            <w:r w:rsidRPr="001C1A27">
              <w:rPr>
                <w:rFonts w:ascii="Calibri" w:eastAsia="Times New Roman" w:hAnsi="Calibri" w:cs="Calibri"/>
                <w:color w:val="000000"/>
                <w:sz w:val="18"/>
                <w:szCs w:val="18"/>
                <w:lang w:eastAsia="pt-BR"/>
              </w:rPr>
              <w:t>. Promoting the use of digital technologies for tracking, tracing, and mapping resources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3.5</w:t>
            </w:r>
            <w:r w:rsidRPr="001C1A27">
              <w:rPr>
                <w:rFonts w:ascii="Calibri" w:eastAsia="Times New Roman" w:hAnsi="Calibri" w:cs="Calibri"/>
                <w:color w:val="000000"/>
                <w:sz w:val="18"/>
                <w:szCs w:val="18"/>
                <w:lang w:eastAsia="pt-BR"/>
              </w:rPr>
              <w:t xml:space="preserve"> Promoting the uptake of green technologies through a system of solid verification by registering the EU Environmental Technology Verification scheme as an EU certification mark</w:t>
            </w:r>
          </w:p>
        </w:tc>
      </w:tr>
      <w:tr w:rsidR="006A67BC" w:rsidRPr="00CB787E" w:rsidTr="004A216B">
        <w:trPr>
          <w:trHeight w:val="20"/>
        </w:trPr>
        <w:tc>
          <w:tcPr>
            <w:tcW w:w="9067" w:type="dxa"/>
            <w:gridSpan w:val="2"/>
            <w:shd w:val="clear" w:color="auto" w:fill="auto"/>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B. KEY PRODUCT VALUE CHAINS</w:t>
            </w:r>
          </w:p>
        </w:tc>
      </w:tr>
      <w:tr w:rsidR="006A67BC" w:rsidRPr="001C1A27" w:rsidTr="004A216B">
        <w:trPr>
          <w:trHeight w:val="2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4. Focus on the sectors that use most resources and where the potential for circularity is high</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CE 4.1</w:t>
            </w:r>
            <w:r w:rsidRPr="001C1A27">
              <w:rPr>
                <w:rFonts w:ascii="Calibri" w:eastAsia="Times New Roman" w:hAnsi="Calibri" w:cs="Calibri"/>
                <w:color w:val="000000"/>
                <w:sz w:val="18"/>
                <w:szCs w:val="18"/>
                <w:lang w:val="pt-BR" w:eastAsia="pt-BR"/>
              </w:rPr>
              <w:t xml:space="preserve"> Electronics and ICT</w:t>
            </w:r>
          </w:p>
        </w:tc>
      </w:tr>
      <w:tr w:rsidR="006A67BC" w:rsidRPr="001C1A27"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val="pt-BR"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 xml:space="preserve">CE 4.2 </w:t>
            </w:r>
            <w:r w:rsidRPr="001C1A27">
              <w:rPr>
                <w:rFonts w:ascii="Calibri" w:eastAsia="Times New Roman" w:hAnsi="Calibri" w:cs="Calibri"/>
                <w:color w:val="000000"/>
                <w:sz w:val="18"/>
                <w:szCs w:val="18"/>
                <w:lang w:val="pt-BR" w:eastAsia="pt-BR"/>
              </w:rPr>
              <w:t>Batteries and vehicles</w:t>
            </w:r>
          </w:p>
        </w:tc>
      </w:tr>
      <w:tr w:rsidR="006A67BC" w:rsidRPr="001C1A27"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val="pt-BR"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CE 4.3</w:t>
            </w:r>
            <w:r w:rsidRPr="001C1A27">
              <w:rPr>
                <w:rFonts w:ascii="Calibri" w:eastAsia="Times New Roman" w:hAnsi="Calibri" w:cs="Calibri"/>
                <w:color w:val="000000"/>
                <w:sz w:val="18"/>
                <w:szCs w:val="18"/>
                <w:lang w:val="pt-BR" w:eastAsia="pt-BR"/>
              </w:rPr>
              <w:t xml:space="preserve"> Packaging</w:t>
            </w:r>
          </w:p>
        </w:tc>
      </w:tr>
      <w:tr w:rsidR="006A67BC" w:rsidRPr="001C1A27"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val="pt-BR"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 xml:space="preserve">CE 4.4 </w:t>
            </w:r>
            <w:r w:rsidRPr="001C1A27">
              <w:rPr>
                <w:rFonts w:ascii="Calibri" w:eastAsia="Times New Roman" w:hAnsi="Calibri" w:cs="Calibri"/>
                <w:color w:val="000000"/>
                <w:sz w:val="18"/>
                <w:szCs w:val="18"/>
                <w:lang w:val="pt-BR" w:eastAsia="pt-BR"/>
              </w:rPr>
              <w:t>Plastics</w:t>
            </w:r>
          </w:p>
        </w:tc>
      </w:tr>
      <w:tr w:rsidR="006A67BC" w:rsidRPr="001C1A27" w:rsidTr="004A216B">
        <w:trPr>
          <w:trHeight w:val="161"/>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val="pt-BR"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CE 4.5</w:t>
            </w:r>
            <w:r w:rsidRPr="001C1A27">
              <w:rPr>
                <w:rFonts w:ascii="Calibri" w:eastAsia="Times New Roman" w:hAnsi="Calibri" w:cs="Calibri"/>
                <w:color w:val="000000"/>
                <w:sz w:val="18"/>
                <w:szCs w:val="18"/>
                <w:lang w:val="pt-BR" w:eastAsia="pt-BR"/>
              </w:rPr>
              <w:t xml:space="preserve"> Construction and buildings</w:t>
            </w:r>
          </w:p>
        </w:tc>
      </w:tr>
      <w:tr w:rsidR="006A67BC" w:rsidRPr="00CB787E" w:rsidTr="004A216B">
        <w:trPr>
          <w:trHeight w:val="20"/>
        </w:trPr>
        <w:tc>
          <w:tcPr>
            <w:tcW w:w="9067" w:type="dxa"/>
            <w:gridSpan w:val="2"/>
            <w:shd w:val="clear" w:color="auto" w:fill="auto"/>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 LESS WASTE, MORE VALUE</w:t>
            </w:r>
          </w:p>
        </w:tc>
      </w:tr>
      <w:tr w:rsidR="006A67BC" w:rsidRPr="00CB787E" w:rsidTr="004A216B">
        <w:trPr>
          <w:trHeight w:val="2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5. Less waste, more value</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5.1</w:t>
            </w:r>
            <w:r w:rsidRPr="001C1A27">
              <w:rPr>
                <w:rFonts w:ascii="Calibri" w:eastAsia="Times New Roman" w:hAnsi="Calibri" w:cs="Calibri"/>
                <w:color w:val="000000"/>
                <w:sz w:val="18"/>
                <w:szCs w:val="18"/>
                <w:lang w:eastAsia="pt-BR"/>
              </w:rPr>
              <w:t xml:space="preserve"> Enhanced waste policy in support of waste prevention and circularity</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5.2</w:t>
            </w:r>
            <w:r w:rsidRPr="001C1A27">
              <w:rPr>
                <w:rFonts w:ascii="Calibri" w:eastAsia="Times New Roman" w:hAnsi="Calibri" w:cs="Calibri"/>
                <w:color w:val="000000"/>
                <w:sz w:val="18"/>
                <w:szCs w:val="18"/>
                <w:lang w:eastAsia="pt-BR"/>
              </w:rPr>
              <w:t xml:space="preserve"> Enhancing circularity in a toxic-free environment.</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5.3</w:t>
            </w:r>
            <w:r w:rsidRPr="001C1A27">
              <w:rPr>
                <w:rFonts w:ascii="Calibri" w:eastAsia="Times New Roman" w:hAnsi="Calibri" w:cs="Calibri"/>
                <w:color w:val="000000"/>
                <w:sz w:val="18"/>
                <w:szCs w:val="18"/>
                <w:lang w:eastAsia="pt-BR"/>
              </w:rPr>
              <w:t xml:space="preserve"> Creating a well-functioning EU market for secondary raw materials.</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5.4</w:t>
            </w:r>
            <w:r w:rsidRPr="001C1A27">
              <w:rPr>
                <w:rFonts w:ascii="Calibri" w:eastAsia="Times New Roman" w:hAnsi="Calibri" w:cs="Calibri"/>
                <w:color w:val="000000"/>
                <w:sz w:val="18"/>
                <w:szCs w:val="18"/>
                <w:lang w:eastAsia="pt-BR"/>
              </w:rPr>
              <w:t xml:space="preserve"> Addressing waste exports from the EU</w:t>
            </w:r>
          </w:p>
        </w:tc>
      </w:tr>
      <w:tr w:rsidR="006A67BC" w:rsidRPr="00CB787E" w:rsidTr="004A216B">
        <w:trPr>
          <w:trHeight w:val="20"/>
        </w:trPr>
        <w:tc>
          <w:tcPr>
            <w:tcW w:w="9067" w:type="dxa"/>
            <w:gridSpan w:val="2"/>
            <w:shd w:val="clear" w:color="auto" w:fill="auto"/>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D. MAKING CIRCULARITY WORK FOR PEOPLE, REGIONS AND CITIES</w:t>
            </w:r>
          </w:p>
        </w:tc>
      </w:tr>
      <w:tr w:rsidR="006A67BC" w:rsidRPr="00CB787E" w:rsidTr="004A216B">
        <w:trPr>
          <w:trHeight w:val="20"/>
        </w:trPr>
        <w:tc>
          <w:tcPr>
            <w:tcW w:w="1980" w:type="dxa"/>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6. Making circularity work for people, regions, and cities</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6.1</w:t>
            </w:r>
            <w:r w:rsidRPr="001C1A27">
              <w:rPr>
                <w:rFonts w:ascii="Calibri" w:eastAsia="Times New Roman" w:hAnsi="Calibri" w:cs="Calibri"/>
                <w:color w:val="000000"/>
                <w:sz w:val="18"/>
                <w:szCs w:val="18"/>
                <w:lang w:eastAsia="pt-BR"/>
              </w:rPr>
              <w:t xml:space="preserve"> Making circularity work for people, regions, and cities</w:t>
            </w:r>
          </w:p>
        </w:tc>
      </w:tr>
      <w:tr w:rsidR="006A67BC" w:rsidRPr="001C1A27" w:rsidTr="004A216B">
        <w:trPr>
          <w:trHeight w:val="20"/>
        </w:trPr>
        <w:tc>
          <w:tcPr>
            <w:tcW w:w="9067" w:type="dxa"/>
            <w:gridSpan w:val="2"/>
            <w:shd w:val="clear" w:color="auto" w:fill="auto"/>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E. CROSSCUTTING ACTIONS</w:t>
            </w:r>
          </w:p>
        </w:tc>
      </w:tr>
      <w:tr w:rsidR="006A67BC" w:rsidRPr="00CB787E" w:rsidTr="004A216B">
        <w:trPr>
          <w:trHeight w:val="20"/>
        </w:trPr>
        <w:tc>
          <w:tcPr>
            <w:tcW w:w="1980" w:type="dxa"/>
            <w:vMerge w:val="restart"/>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val="pt-BR" w:eastAsia="pt-BR"/>
              </w:rPr>
              <w:t>CE 7. Crosscutting actions</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val="pt-BR" w:eastAsia="pt-BR"/>
              </w:rPr>
            </w:pPr>
            <w:r w:rsidRPr="001C1A27">
              <w:rPr>
                <w:rFonts w:ascii="Calibri" w:eastAsia="Times New Roman" w:hAnsi="Calibri" w:cs="Calibri"/>
                <w:b/>
                <w:bCs/>
                <w:color w:val="000000"/>
                <w:sz w:val="18"/>
                <w:szCs w:val="18"/>
                <w:lang w:val="pt-BR" w:eastAsia="pt-BR"/>
              </w:rPr>
              <w:t xml:space="preserve">CE 7.1 </w:t>
            </w:r>
            <w:r w:rsidRPr="001C1A27">
              <w:rPr>
                <w:rFonts w:ascii="Calibri" w:eastAsia="Times New Roman" w:hAnsi="Calibri" w:cs="Calibri"/>
                <w:color w:val="000000"/>
                <w:sz w:val="18"/>
                <w:szCs w:val="18"/>
                <w:lang w:val="pt-BR" w:eastAsia="pt-BR"/>
              </w:rPr>
              <w:t>Circularity as a prerequisite for climate neutrality</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val="pt-BR"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7.2</w:t>
            </w:r>
            <w:r w:rsidRPr="001C1A27">
              <w:rPr>
                <w:rFonts w:ascii="Calibri" w:eastAsia="Times New Roman" w:hAnsi="Calibri" w:cs="Calibri"/>
                <w:color w:val="000000"/>
                <w:sz w:val="18"/>
                <w:szCs w:val="18"/>
                <w:lang w:eastAsia="pt-BR"/>
              </w:rPr>
              <w:t xml:space="preserve"> Getting the economics right.</w:t>
            </w:r>
          </w:p>
        </w:tc>
      </w:tr>
      <w:tr w:rsidR="006A67BC" w:rsidRPr="00CB787E" w:rsidTr="004A216B">
        <w:trPr>
          <w:trHeight w:val="20"/>
        </w:trPr>
        <w:tc>
          <w:tcPr>
            <w:tcW w:w="1980" w:type="dxa"/>
            <w:vMerge/>
            <w:shd w:val="clear" w:color="000000" w:fill="E2EFDA"/>
          </w:tcPr>
          <w:p w:rsidR="006A67BC" w:rsidRPr="001C1A27" w:rsidRDefault="006A67BC" w:rsidP="004A216B">
            <w:pPr>
              <w:spacing w:after="0" w:line="240" w:lineRule="auto"/>
              <w:rPr>
                <w:rFonts w:ascii="Calibri" w:eastAsia="Times New Roman" w:hAnsi="Calibri" w:cs="Calibri"/>
                <w:color w:val="000000"/>
                <w:sz w:val="18"/>
                <w:szCs w:val="18"/>
                <w:lang w:eastAsia="pt-BR"/>
              </w:rPr>
            </w:pPr>
          </w:p>
        </w:tc>
        <w:tc>
          <w:tcPr>
            <w:tcW w:w="7087" w:type="dxa"/>
            <w:shd w:val="clear" w:color="auto" w:fill="E2EFDA"/>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7.3</w:t>
            </w:r>
            <w:r w:rsidRPr="001C1A27">
              <w:rPr>
                <w:rFonts w:ascii="Calibri" w:eastAsia="Times New Roman" w:hAnsi="Calibri" w:cs="Calibri"/>
                <w:color w:val="000000"/>
                <w:sz w:val="18"/>
                <w:szCs w:val="18"/>
                <w:lang w:eastAsia="pt-BR"/>
              </w:rPr>
              <w:t xml:space="preserve"> Driving the transition through research, innovation, and digitalisation.</w:t>
            </w:r>
          </w:p>
        </w:tc>
      </w:tr>
      <w:tr w:rsidR="006A67BC" w:rsidRPr="00CB787E" w:rsidTr="004A216B">
        <w:trPr>
          <w:trHeight w:val="20"/>
        </w:trPr>
        <w:tc>
          <w:tcPr>
            <w:tcW w:w="9067" w:type="dxa"/>
            <w:gridSpan w:val="2"/>
            <w:shd w:val="clear" w:color="auto" w:fill="auto"/>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lastRenderedPageBreak/>
              <w:t>F. LEADING EFFORTS AT THE GLOBAL LEVEL</w:t>
            </w:r>
          </w:p>
        </w:tc>
      </w:tr>
      <w:tr w:rsidR="006A67BC" w:rsidRPr="00CB787E" w:rsidTr="004A216B">
        <w:trPr>
          <w:trHeight w:val="20"/>
        </w:trPr>
        <w:tc>
          <w:tcPr>
            <w:tcW w:w="1980" w:type="dxa"/>
            <w:shd w:val="clear" w:color="auto" w:fill="auto"/>
            <w:vAlign w:val="center"/>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CE 8. Leading efforts at the global level</w:t>
            </w:r>
          </w:p>
        </w:tc>
        <w:tc>
          <w:tcPr>
            <w:tcW w:w="7087" w:type="dxa"/>
            <w:shd w:val="clear" w:color="auto" w:fill="E2EFD9" w:themeFill="accent6" w:themeFillTint="33"/>
          </w:tcPr>
          <w:p w:rsidR="006A67BC" w:rsidRPr="001C1A27" w:rsidRDefault="006A67BC" w:rsidP="004A216B">
            <w:pPr>
              <w:spacing w:after="0" w:line="240" w:lineRule="auto"/>
              <w:rPr>
                <w:rFonts w:ascii="Calibri" w:eastAsia="Times New Roman" w:hAnsi="Calibri" w:cs="Calibri"/>
                <w:b/>
                <w:bCs/>
                <w:color w:val="000000"/>
                <w:sz w:val="18"/>
                <w:szCs w:val="18"/>
                <w:lang w:eastAsia="pt-BR"/>
              </w:rPr>
            </w:pPr>
            <w:r w:rsidRPr="001C1A27">
              <w:rPr>
                <w:rFonts w:ascii="Calibri" w:eastAsia="Times New Roman" w:hAnsi="Calibri" w:cs="Calibri"/>
                <w:b/>
                <w:bCs/>
                <w:color w:val="000000"/>
                <w:sz w:val="18"/>
                <w:szCs w:val="18"/>
                <w:lang w:eastAsia="pt-BR"/>
              </w:rPr>
              <w:t xml:space="preserve">CE 8.1 </w:t>
            </w:r>
            <w:r w:rsidRPr="001C1A27">
              <w:rPr>
                <w:rFonts w:ascii="Calibri" w:eastAsia="Times New Roman" w:hAnsi="Calibri" w:cs="Calibri"/>
                <w:color w:val="000000"/>
                <w:sz w:val="18"/>
                <w:szCs w:val="18"/>
                <w:lang w:eastAsia="pt-BR"/>
              </w:rPr>
              <w:t>Leading efforts at the global level</w:t>
            </w:r>
          </w:p>
        </w:tc>
      </w:tr>
    </w:tbl>
    <w:p w:rsidR="006A67BC" w:rsidRDefault="006A67BC" w:rsidP="006A67BC"/>
    <w:p w:rsidR="006A67BC" w:rsidRPr="0050220D" w:rsidRDefault="006A67BC" w:rsidP="006A67BC">
      <w:pPr>
        <w:pStyle w:val="Caption"/>
      </w:pPr>
      <w:bookmarkStart w:id="11" w:name="_Ref149219793"/>
      <w:bookmarkStart w:id="12" w:name="_Toc149646111"/>
      <w:r>
        <w:t xml:space="preserve">Table </w:t>
      </w:r>
      <w:r>
        <w:fldChar w:fldCharType="begin"/>
      </w:r>
      <w:r>
        <w:instrText xml:space="preserve"> SEQ Table \* ARABIC </w:instrText>
      </w:r>
      <w:r>
        <w:fldChar w:fldCharType="separate"/>
      </w:r>
      <w:r>
        <w:rPr>
          <w:noProof/>
        </w:rPr>
        <w:t>9</w:t>
      </w:r>
      <w:r>
        <w:fldChar w:fldCharType="end"/>
      </w:r>
      <w:bookmarkEnd w:id="11"/>
      <w:r>
        <w:t xml:space="preserve"> – List of CM policy objectives</w:t>
      </w:r>
      <w:bookmarkEnd w:id="12"/>
    </w:p>
    <w:tbl>
      <w:tblPr>
        <w:tblW w:w="8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0"/>
        <w:gridCol w:w="7020"/>
      </w:tblGrid>
      <w:tr w:rsidR="006A67BC" w:rsidRPr="00CB787E" w:rsidTr="004A216B">
        <w:trPr>
          <w:cantSplit/>
          <w:trHeight w:val="20"/>
          <w:tblHeader/>
        </w:trPr>
        <w:tc>
          <w:tcPr>
            <w:tcW w:w="1970" w:type="dxa"/>
            <w:shd w:val="clear" w:color="auto" w:fill="DEEAF6" w:themeFill="accent1" w:themeFillTint="33"/>
          </w:tcPr>
          <w:p w:rsidR="006A67BC" w:rsidRPr="001C1A27" w:rsidRDefault="006A67BC" w:rsidP="004A216B">
            <w:pPr>
              <w:spacing w:after="0" w:line="240" w:lineRule="auto"/>
              <w:rPr>
                <w:rFonts w:eastAsia="Times New Roman" w:cstheme="minorHAnsi"/>
                <w:b/>
                <w:bCs/>
                <w:color w:val="000000"/>
                <w:sz w:val="18"/>
                <w:szCs w:val="18"/>
                <w:lang w:val="pt-BR" w:eastAsia="pt-BR"/>
              </w:rPr>
            </w:pPr>
            <w:r w:rsidRPr="001C1A27">
              <w:rPr>
                <w:rFonts w:eastAsia="Times New Roman" w:cstheme="minorHAnsi"/>
                <w:b/>
                <w:bCs/>
                <w:color w:val="000000"/>
                <w:sz w:val="18"/>
                <w:szCs w:val="18"/>
                <w:lang w:val="pt-BR" w:eastAsia="pt-BR"/>
              </w:rPr>
              <w:t>Policy objective</w:t>
            </w:r>
          </w:p>
        </w:tc>
        <w:tc>
          <w:tcPr>
            <w:tcW w:w="7020" w:type="dxa"/>
            <w:shd w:val="clear" w:color="auto" w:fill="DEEAF6" w:themeFill="accent1" w:themeFillTint="33"/>
          </w:tcPr>
          <w:p w:rsidR="006A67BC" w:rsidRPr="009D6DA6" w:rsidRDefault="006A67BC" w:rsidP="004A216B">
            <w:pPr>
              <w:spacing w:after="0" w:line="240" w:lineRule="auto"/>
              <w:rPr>
                <w:rFonts w:eastAsia="Times New Roman"/>
                <w:b/>
                <w:bCs/>
                <w:color w:val="000000" w:themeColor="text1"/>
                <w:sz w:val="18"/>
                <w:szCs w:val="18"/>
                <w:lang w:eastAsia="pt-BR"/>
              </w:rPr>
            </w:pPr>
            <w:r w:rsidRPr="003F6921">
              <w:rPr>
                <w:rFonts w:eastAsia="Times New Roman"/>
                <w:b/>
                <w:bCs/>
                <w:color w:val="000000"/>
                <w:sz w:val="18"/>
                <w:szCs w:val="18"/>
                <w:lang w:eastAsia="pt-BR"/>
              </w:rPr>
              <w:t>Description of the detailed policy objective</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1C1A27" w:rsidRDefault="006A67BC" w:rsidP="004A216B">
            <w:pPr>
              <w:spacing w:after="0" w:line="240" w:lineRule="auto"/>
              <w:rPr>
                <w:rFonts w:eastAsia="Times New Roman" w:cstheme="minorHAnsi"/>
                <w:b/>
                <w:bCs/>
                <w:color w:val="000000"/>
                <w:sz w:val="18"/>
                <w:szCs w:val="18"/>
                <w:lang w:val="pt-BR" w:eastAsia="pt-BR"/>
              </w:rPr>
            </w:pPr>
            <w:r w:rsidRPr="001C1A27">
              <w:rPr>
                <w:rFonts w:eastAsia="Times New Roman" w:cstheme="minorHAnsi"/>
                <w:b/>
                <w:bCs/>
                <w:color w:val="000000"/>
                <w:sz w:val="18"/>
                <w:szCs w:val="18"/>
                <w:lang w:val="pt-BR" w:eastAsia="pt-BR"/>
              </w:rPr>
              <w:t>CM 1. Energy efficiency</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1.1</w:t>
            </w:r>
            <w:r w:rsidRPr="003F6921">
              <w:rPr>
                <w:rFonts w:eastAsia="Times New Roman"/>
                <w:color w:val="000000"/>
                <w:sz w:val="18"/>
                <w:szCs w:val="18"/>
                <w:lang w:eastAsia="pt-BR"/>
              </w:rPr>
              <w:t xml:space="preserve"> Energy efficiency for the decarbonisation of industrial processes </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1.2</w:t>
            </w:r>
            <w:r w:rsidRPr="003F6921">
              <w:rPr>
                <w:rFonts w:eastAsia="Times New Roman"/>
                <w:color w:val="000000"/>
                <w:sz w:val="18"/>
                <w:szCs w:val="18"/>
                <w:lang w:eastAsia="pt-BR"/>
              </w:rPr>
              <w:t xml:space="preserve"> Significant reductions in overall energy use in buildings</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1C1A27" w:rsidRDefault="006A67BC" w:rsidP="004A216B">
            <w:pPr>
              <w:spacing w:after="0" w:line="240" w:lineRule="auto"/>
              <w:rPr>
                <w:rFonts w:eastAsia="Times New Roman" w:cstheme="minorHAnsi"/>
                <w:b/>
                <w:bCs/>
                <w:color w:val="000000"/>
                <w:sz w:val="18"/>
                <w:szCs w:val="18"/>
                <w:lang w:val="pt-BR" w:eastAsia="pt-BR"/>
              </w:rPr>
            </w:pPr>
            <w:r w:rsidRPr="001C1A27">
              <w:rPr>
                <w:rFonts w:eastAsia="Times New Roman" w:cstheme="minorHAnsi"/>
                <w:b/>
                <w:bCs/>
                <w:color w:val="000000"/>
                <w:sz w:val="18"/>
                <w:szCs w:val="18"/>
                <w:lang w:val="pt-BR" w:eastAsia="pt-BR"/>
              </w:rPr>
              <w:t xml:space="preserve">CM 2. Deployment of renewables </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2.1</w:t>
            </w:r>
            <w:r w:rsidRPr="003F6921">
              <w:rPr>
                <w:rFonts w:eastAsia="Times New Roman"/>
                <w:color w:val="000000"/>
                <w:sz w:val="18"/>
                <w:szCs w:val="18"/>
                <w:lang w:eastAsia="pt-BR"/>
              </w:rPr>
              <w:t xml:space="preserve"> Increasing the share of renewables, thereby improving the security of supply and reducing dependence on imports.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2.2</w:t>
            </w:r>
            <w:r w:rsidRPr="003F6921">
              <w:rPr>
                <w:rFonts w:eastAsia="Times New Roman"/>
                <w:color w:val="000000"/>
                <w:sz w:val="18"/>
                <w:szCs w:val="18"/>
                <w:lang w:eastAsia="pt-BR"/>
              </w:rPr>
              <w:t xml:space="preserve"> Increase electricity production from renewables</w:t>
            </w:r>
            <w:r w:rsidRPr="001C1A27">
              <w:rPr>
                <w:rFonts w:eastAsia="Times New Roman" w:cstheme="minorHAnsi"/>
                <w:color w:val="000000"/>
                <w:sz w:val="18"/>
                <w:szCs w:val="18"/>
                <w:lang w:eastAsia="pt-BR"/>
              </w:rPr>
              <w:br/>
            </w:r>
            <w:r w:rsidRPr="003F6921">
              <w:rPr>
                <w:rFonts w:eastAsia="Times New Roman"/>
                <w:color w:val="000000"/>
                <w:sz w:val="18"/>
                <w:szCs w:val="18"/>
                <w:lang w:eastAsia="pt-BR"/>
              </w:rPr>
              <w:t xml:space="preserve">And promote a decentralised, smart, and flexible power system </w:t>
            </w:r>
          </w:p>
        </w:tc>
      </w:tr>
      <w:tr w:rsidR="006A67BC" w:rsidRPr="001C1A27"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1C1A27" w:rsidRDefault="006A67BC" w:rsidP="004A216B">
            <w:pPr>
              <w:spacing w:after="0" w:line="240" w:lineRule="auto"/>
              <w:rPr>
                <w:rFonts w:eastAsia="Times New Roman" w:cstheme="minorHAnsi"/>
                <w:color w:val="000000"/>
                <w:sz w:val="18"/>
                <w:szCs w:val="18"/>
                <w:lang w:val="pt-BR" w:eastAsia="pt-BR"/>
              </w:rPr>
            </w:pPr>
            <w:r w:rsidRPr="001C1A27">
              <w:rPr>
                <w:rFonts w:eastAsia="Times New Roman" w:cstheme="minorHAnsi"/>
                <w:b/>
                <w:bCs/>
                <w:color w:val="000000"/>
                <w:sz w:val="18"/>
                <w:szCs w:val="18"/>
                <w:lang w:val="pt-BR" w:eastAsia="pt-BR"/>
              </w:rPr>
              <w:t>CM 2.3</w:t>
            </w:r>
            <w:r w:rsidRPr="001C1A27">
              <w:rPr>
                <w:rFonts w:eastAsia="Times New Roman" w:cstheme="minorHAnsi"/>
                <w:color w:val="000000"/>
                <w:sz w:val="18"/>
                <w:szCs w:val="18"/>
                <w:lang w:val="pt-BR" w:eastAsia="pt-BR"/>
              </w:rPr>
              <w:t xml:space="preserve"> Fostering domestic jobs</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9D6DA6" w:rsidRDefault="006A67BC" w:rsidP="004A216B">
            <w:pPr>
              <w:spacing w:after="0" w:line="240" w:lineRule="auto"/>
              <w:rPr>
                <w:rFonts w:eastAsia="Times New Roman"/>
                <w:b/>
                <w:bCs/>
                <w:color w:val="000000" w:themeColor="text1"/>
                <w:sz w:val="18"/>
                <w:szCs w:val="18"/>
                <w:lang w:eastAsia="pt-BR"/>
              </w:rPr>
            </w:pPr>
            <w:r w:rsidRPr="003F6921">
              <w:rPr>
                <w:rFonts w:eastAsia="Times New Roman"/>
                <w:b/>
                <w:bCs/>
                <w:color w:val="000000"/>
                <w:sz w:val="18"/>
                <w:szCs w:val="18"/>
                <w:lang w:eastAsia="pt-BR"/>
              </w:rPr>
              <w:t xml:space="preserve"> CM 3. Clean, safe, and connected mobility </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3.1</w:t>
            </w:r>
            <w:r w:rsidRPr="003F6921">
              <w:rPr>
                <w:rFonts w:eastAsia="Times New Roman"/>
                <w:color w:val="000000"/>
                <w:sz w:val="18"/>
                <w:szCs w:val="18"/>
                <w:lang w:eastAsia="pt-BR"/>
              </w:rPr>
              <w:t xml:space="preserve"> Low or zero-emission vehicles with efficient alternative powertrains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3.2</w:t>
            </w:r>
            <w:r w:rsidRPr="003F6921">
              <w:rPr>
                <w:rFonts w:eastAsia="Times New Roman"/>
                <w:color w:val="000000"/>
                <w:sz w:val="18"/>
                <w:szCs w:val="18"/>
                <w:lang w:eastAsia="pt-BR"/>
              </w:rPr>
              <w:t xml:space="preserve"> Making heavy-duty vehicles, rail, aviation, and shipping climate-neutral</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3.3</w:t>
            </w:r>
            <w:r w:rsidRPr="003F6921">
              <w:rPr>
                <w:rFonts w:eastAsia="Times New Roman"/>
                <w:color w:val="000000"/>
                <w:sz w:val="18"/>
                <w:szCs w:val="18"/>
                <w:lang w:eastAsia="pt-BR"/>
              </w:rPr>
              <w:t xml:space="preserve"> Having an efficient organization and infrastructure of the mobility system.</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9D6DA6" w:rsidRDefault="006A67BC" w:rsidP="004A216B">
            <w:pPr>
              <w:spacing w:after="0" w:line="240" w:lineRule="auto"/>
              <w:rPr>
                <w:rFonts w:eastAsia="Times New Roman"/>
                <w:b/>
                <w:bCs/>
                <w:color w:val="000000" w:themeColor="text1"/>
                <w:sz w:val="18"/>
                <w:szCs w:val="18"/>
                <w:lang w:eastAsia="pt-BR"/>
              </w:rPr>
            </w:pPr>
            <w:r w:rsidRPr="003F6921">
              <w:rPr>
                <w:rFonts w:eastAsia="Times New Roman"/>
                <w:b/>
                <w:bCs/>
                <w:color w:val="000000"/>
                <w:sz w:val="18"/>
                <w:szCs w:val="18"/>
                <w:lang w:eastAsia="pt-BR"/>
              </w:rPr>
              <w:t>CM 4. Competitive industry and circular economy</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4.1</w:t>
            </w:r>
            <w:r w:rsidRPr="003F6921">
              <w:rPr>
                <w:rFonts w:eastAsia="Times New Roman"/>
                <w:color w:val="000000"/>
                <w:sz w:val="18"/>
                <w:szCs w:val="18"/>
                <w:lang w:eastAsia="pt-BR"/>
              </w:rPr>
              <w:t xml:space="preserve"> Promoting a more resource-efficient industrial production (such as steel, glass, and plastics)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4.2</w:t>
            </w:r>
            <w:r w:rsidRPr="003F6921">
              <w:rPr>
                <w:rFonts w:eastAsia="Times New Roman"/>
                <w:color w:val="000000"/>
                <w:sz w:val="18"/>
                <w:szCs w:val="18"/>
                <w:lang w:eastAsia="pt-BR"/>
              </w:rPr>
              <w:t xml:space="preserve"> Promoting a less emission-intensive industrial production (such as steel, glass, and plastics)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4.3</w:t>
            </w:r>
            <w:r w:rsidRPr="003F6921">
              <w:rPr>
                <w:rFonts w:eastAsia="Times New Roman"/>
                <w:color w:val="000000"/>
                <w:sz w:val="18"/>
                <w:szCs w:val="18"/>
                <w:lang w:eastAsia="pt-BR"/>
              </w:rPr>
              <w:t xml:space="preserve"> Raw material recovery and recycling to ensure sustainable and secure supply chains</w:t>
            </w:r>
          </w:p>
        </w:tc>
      </w:tr>
      <w:tr w:rsidR="006A67BC" w:rsidRPr="00F41DB2"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4.4</w:t>
            </w:r>
            <w:r w:rsidRPr="003F6921">
              <w:rPr>
                <w:rFonts w:eastAsia="Times New Roman"/>
                <w:color w:val="000000"/>
                <w:sz w:val="18"/>
                <w:szCs w:val="18"/>
                <w:lang w:eastAsia="pt-BR"/>
              </w:rPr>
              <w:t xml:space="preserve"> Innovation and modernisation of industrial processes, new technologies </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 xml:space="preserve">CM 4.5 </w:t>
            </w:r>
            <w:r w:rsidRPr="003F6921">
              <w:rPr>
                <w:rFonts w:eastAsia="Times New Roman"/>
                <w:color w:val="000000"/>
                <w:sz w:val="18"/>
                <w:szCs w:val="18"/>
                <w:lang w:eastAsia="pt-BR"/>
              </w:rPr>
              <w:t>Information on carbon and environmental footprints of products and services should be more transparent so that consumers may make informed decisions.</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1C1A27" w:rsidRDefault="006A67BC" w:rsidP="004A216B">
            <w:pPr>
              <w:spacing w:after="0" w:line="240" w:lineRule="auto"/>
              <w:rPr>
                <w:rFonts w:eastAsia="Times New Roman" w:cstheme="minorHAnsi"/>
                <w:b/>
                <w:bCs/>
                <w:color w:val="000000"/>
                <w:sz w:val="18"/>
                <w:szCs w:val="18"/>
                <w:lang w:val="pt-BR" w:eastAsia="pt-BR"/>
              </w:rPr>
            </w:pPr>
            <w:r w:rsidRPr="001C1A27">
              <w:rPr>
                <w:rFonts w:eastAsia="Times New Roman" w:cstheme="minorHAnsi"/>
                <w:b/>
                <w:bCs/>
                <w:color w:val="000000"/>
                <w:sz w:val="18"/>
                <w:szCs w:val="18"/>
                <w:lang w:val="pt-BR" w:eastAsia="pt-BR"/>
              </w:rPr>
              <w:t>CM 5. Infrastructure and interconnections</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b/>
                <w:bCs/>
                <w:color w:val="000000"/>
                <w:sz w:val="18"/>
                <w:szCs w:val="18"/>
                <w:lang w:eastAsia="pt-BR"/>
              </w:rPr>
              <w:t>CM 5.1</w:t>
            </w:r>
            <w:r w:rsidRPr="003F6921">
              <w:rPr>
                <w:rFonts w:eastAsia="Times New Roman"/>
                <w:color w:val="000000"/>
                <w:sz w:val="18"/>
                <w:szCs w:val="18"/>
                <w:lang w:eastAsia="pt-BR"/>
              </w:rPr>
              <w:t xml:space="preserve"> Completion of the Trans-European Transport and Energy Networks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color w:val="000000"/>
                <w:sz w:val="18"/>
                <w:szCs w:val="18"/>
                <w:lang w:eastAsia="pt-BR"/>
              </w:rPr>
              <w:t>CM 5.2 Smart charging and refueling stations allowing for cross-border services (among others)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color w:val="000000"/>
                <w:sz w:val="18"/>
                <w:szCs w:val="18"/>
                <w:lang w:eastAsia="pt-BR"/>
              </w:rPr>
              <w:t>CM 5.3 Retrofitting of existing infrastructure can ensure continuous use, while replacing old infrastructure can be compatible with decarbonization objectives.</w:t>
            </w:r>
          </w:p>
        </w:tc>
      </w:tr>
      <w:tr w:rsidR="006A67BC" w:rsidRPr="00CB787E" w:rsidTr="004A216B">
        <w:trPr>
          <w:trHeight w:val="20"/>
        </w:trPr>
        <w:tc>
          <w:tcPr>
            <w:tcW w:w="19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A67BC" w:rsidRPr="009D6DA6" w:rsidRDefault="006A67BC" w:rsidP="004A216B">
            <w:pPr>
              <w:spacing w:after="0" w:line="240" w:lineRule="auto"/>
              <w:rPr>
                <w:rFonts w:eastAsia="Times New Roman"/>
                <w:b/>
                <w:bCs/>
                <w:color w:val="000000" w:themeColor="text1"/>
                <w:sz w:val="18"/>
                <w:szCs w:val="18"/>
                <w:lang w:eastAsia="pt-BR"/>
              </w:rPr>
            </w:pPr>
            <w:r w:rsidRPr="003F6921">
              <w:rPr>
                <w:rFonts w:eastAsia="Times New Roman"/>
                <w:b/>
                <w:bCs/>
                <w:color w:val="000000"/>
                <w:sz w:val="18"/>
                <w:szCs w:val="18"/>
                <w:lang w:eastAsia="pt-BR"/>
              </w:rPr>
              <w:t>CM 6. Bioeconomy and natural carbon sinks</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color w:val="000000"/>
                <w:sz w:val="18"/>
                <w:szCs w:val="18"/>
                <w:lang w:eastAsia="pt-BR"/>
              </w:rPr>
              <w:t>CM 6.1 Agricultural production for bioenergy using efficient and sustainable production methods</w:t>
            </w:r>
          </w:p>
        </w:tc>
      </w:tr>
      <w:tr w:rsidR="006A67BC" w:rsidRPr="00CB787E" w:rsidTr="004A216B">
        <w:trPr>
          <w:trHeight w:val="20"/>
        </w:trPr>
        <w:tc>
          <w:tcPr>
            <w:tcW w:w="1970" w:type="dxa"/>
            <w:vMerge/>
            <w:vAlign w:val="center"/>
            <w:hideMark/>
          </w:tcPr>
          <w:p w:rsidR="006A67BC" w:rsidRPr="001C1A27" w:rsidRDefault="006A67BC" w:rsidP="004A216B">
            <w:pPr>
              <w:spacing w:after="0" w:line="240" w:lineRule="auto"/>
              <w:rPr>
                <w:rFonts w:eastAsia="Times New Roman" w:cstheme="minorHAnsi"/>
                <w:b/>
                <w:bCs/>
                <w:color w:val="000000"/>
                <w:sz w:val="18"/>
                <w:szCs w:val="18"/>
                <w:lang w:eastAsia="pt-BR"/>
              </w:rPr>
            </w:pP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color w:val="000000"/>
                <w:sz w:val="18"/>
                <w:szCs w:val="18"/>
                <w:lang w:eastAsia="pt-BR"/>
              </w:rPr>
              <w:t>CM 6.2 Afforestation and restoration of degraded forest lands and similar ecosystems</w:t>
            </w:r>
          </w:p>
        </w:tc>
      </w:tr>
      <w:tr w:rsidR="006A67BC" w:rsidRPr="00CB787E" w:rsidTr="004A216B">
        <w:trPr>
          <w:trHeight w:val="943"/>
        </w:trPr>
        <w:tc>
          <w:tcPr>
            <w:tcW w:w="1970" w:type="dxa"/>
            <w:tcBorders>
              <w:top w:val="single" w:sz="4" w:space="0" w:color="auto"/>
              <w:left w:val="single" w:sz="4" w:space="0" w:color="auto"/>
              <w:bottom w:val="single" w:sz="4" w:space="0" w:color="auto"/>
              <w:right w:val="single" w:sz="4" w:space="0" w:color="auto"/>
            </w:tcBorders>
            <w:shd w:val="clear" w:color="auto" w:fill="auto"/>
            <w:hideMark/>
          </w:tcPr>
          <w:p w:rsidR="006A67BC" w:rsidRPr="009D6DA6" w:rsidRDefault="006A67BC" w:rsidP="004A216B">
            <w:pPr>
              <w:spacing w:after="0" w:line="240" w:lineRule="auto"/>
              <w:rPr>
                <w:rFonts w:eastAsia="Times New Roman"/>
                <w:b/>
                <w:bCs/>
                <w:color w:val="000000" w:themeColor="text1"/>
                <w:sz w:val="18"/>
                <w:szCs w:val="18"/>
                <w:lang w:eastAsia="pt-BR"/>
              </w:rPr>
            </w:pPr>
            <w:r w:rsidRPr="003F6921">
              <w:rPr>
                <w:rFonts w:eastAsia="Times New Roman"/>
                <w:b/>
                <w:bCs/>
                <w:color w:val="000000"/>
                <w:sz w:val="18"/>
                <w:szCs w:val="18"/>
                <w:lang w:eastAsia="pt-BR"/>
              </w:rPr>
              <w:t>CM 7. Tackling remaining emissions with carbon capture and storage</w:t>
            </w:r>
          </w:p>
        </w:tc>
        <w:tc>
          <w:tcPr>
            <w:tcW w:w="7020" w:type="dxa"/>
            <w:tcBorders>
              <w:top w:val="single" w:sz="4" w:space="0" w:color="auto"/>
              <w:left w:val="single" w:sz="4" w:space="0" w:color="auto"/>
              <w:bottom w:val="single" w:sz="4" w:space="0" w:color="auto"/>
              <w:right w:val="single" w:sz="4" w:space="0" w:color="auto"/>
            </w:tcBorders>
            <w:shd w:val="clear" w:color="auto" w:fill="E2EFDA"/>
            <w:hideMark/>
          </w:tcPr>
          <w:p w:rsidR="006A67BC" w:rsidRPr="009D6DA6" w:rsidRDefault="006A67BC" w:rsidP="004A216B">
            <w:pPr>
              <w:spacing w:after="0" w:line="240" w:lineRule="auto"/>
              <w:rPr>
                <w:rFonts w:eastAsia="Times New Roman"/>
                <w:color w:val="000000" w:themeColor="text1"/>
                <w:sz w:val="18"/>
                <w:szCs w:val="18"/>
                <w:lang w:eastAsia="pt-BR"/>
              </w:rPr>
            </w:pPr>
            <w:r w:rsidRPr="003F6921">
              <w:rPr>
                <w:rFonts w:eastAsia="Times New Roman"/>
                <w:color w:val="000000"/>
                <w:sz w:val="18"/>
                <w:szCs w:val="18"/>
                <w:lang w:eastAsia="pt-BR"/>
              </w:rPr>
              <w:t>CM 7.1 More research, innovation, and demonstration to ensure the successful deployment of CCS</w:t>
            </w:r>
          </w:p>
        </w:tc>
      </w:tr>
    </w:tbl>
    <w:p w:rsidR="006A67BC" w:rsidRDefault="006A67BC" w:rsidP="006A67BC"/>
    <w:p w:rsidR="006A67BC" w:rsidRDefault="006A67BC" w:rsidP="006A67BC">
      <w:r>
        <w:br w:type="page"/>
      </w:r>
    </w:p>
    <w:p w:rsidR="006A67BC" w:rsidRDefault="006A67BC" w:rsidP="006A67BC">
      <w:pPr>
        <w:pStyle w:val="Heading2"/>
        <w:numPr>
          <w:ilvl w:val="0"/>
          <w:numId w:val="0"/>
        </w:numPr>
        <w:rPr>
          <w:lang w:val="en-US"/>
        </w:rPr>
      </w:pPr>
      <w:bookmarkStart w:id="13" w:name="_Ref160789472"/>
      <w:r w:rsidRPr="0C2553E4">
        <w:rPr>
          <w:lang w:val="en-US"/>
        </w:rPr>
        <w:lastRenderedPageBreak/>
        <w:t xml:space="preserve">Annex III – Classification of </w:t>
      </w:r>
      <w:r>
        <w:rPr>
          <w:lang w:val="en-US"/>
        </w:rPr>
        <w:t>d</w:t>
      </w:r>
      <w:r w:rsidRPr="0C2553E4">
        <w:rPr>
          <w:lang w:val="en-US"/>
        </w:rPr>
        <w:t>irectives in the Sample according to EuroVoc Level and publication date</w:t>
      </w:r>
      <w:bookmarkEnd w:id="6"/>
      <w:bookmarkEnd w:id="7"/>
      <w:bookmarkEnd w:id="13"/>
    </w:p>
    <w:p w:rsidR="006A67BC" w:rsidRDefault="006A67BC" w:rsidP="006A67BC">
      <w:pPr>
        <w:pStyle w:val="Caption"/>
      </w:pPr>
      <w:bookmarkStart w:id="14" w:name="_Toc149646115"/>
      <w:r>
        <w:t xml:space="preserve">Table </w:t>
      </w:r>
      <w:r>
        <w:fldChar w:fldCharType="begin"/>
      </w:r>
      <w:r>
        <w:instrText xml:space="preserve"> SEQ Table \* ARABIC </w:instrText>
      </w:r>
      <w:r>
        <w:fldChar w:fldCharType="separate"/>
      </w:r>
      <w:r>
        <w:rPr>
          <w:noProof/>
        </w:rPr>
        <w:t>10</w:t>
      </w:r>
      <w:r>
        <w:fldChar w:fldCharType="end"/>
      </w:r>
      <w:r w:rsidRPr="74D8C384">
        <w:t xml:space="preserve"> - </w:t>
      </w:r>
      <w:r w:rsidRPr="00984720">
        <w:t xml:space="preserve">No. </w:t>
      </w:r>
      <w:r>
        <w:t>d</w:t>
      </w:r>
      <w:r w:rsidRPr="00984720">
        <w:t>irectives classified in each EuroVoc level I</w:t>
      </w:r>
      <w:r>
        <w:t xml:space="preserve"> per publication date</w:t>
      </w:r>
      <w:bookmarkEnd w:id="14"/>
    </w:p>
    <w:tbl>
      <w:tblPr>
        <w:tblW w:w="735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1100"/>
        <w:gridCol w:w="1946"/>
        <w:gridCol w:w="1047"/>
        <w:gridCol w:w="1267"/>
      </w:tblGrid>
      <w:tr w:rsidR="006A67BC" w:rsidRPr="00F10817" w:rsidTr="004A216B">
        <w:trPr>
          <w:trHeight w:val="290"/>
        </w:trPr>
        <w:tc>
          <w:tcPr>
            <w:tcW w:w="1993" w:type="dxa"/>
            <w:vMerge w:val="restart"/>
            <w:shd w:val="clear" w:color="auto" w:fill="FCE4D6"/>
            <w:vAlign w:val="center"/>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Publication date</w:t>
            </w:r>
          </w:p>
        </w:tc>
        <w:tc>
          <w:tcPr>
            <w:tcW w:w="1100" w:type="dxa"/>
            <w:vMerge w:val="restart"/>
            <w:shd w:val="clear" w:color="auto" w:fill="FCE4D6"/>
            <w:vAlign w:val="center"/>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No. Directives</w:t>
            </w:r>
          </w:p>
        </w:tc>
        <w:tc>
          <w:tcPr>
            <w:tcW w:w="4260" w:type="dxa"/>
            <w:gridSpan w:val="3"/>
            <w:shd w:val="clear" w:color="auto" w:fill="FCE4D6"/>
            <w:noWrap/>
            <w:vAlign w:val="bottom"/>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EuroVoc Level 1</w:t>
            </w:r>
          </w:p>
        </w:tc>
      </w:tr>
      <w:tr w:rsidR="006A67BC" w:rsidRPr="00F10817" w:rsidTr="004A216B">
        <w:trPr>
          <w:trHeight w:val="290"/>
        </w:trPr>
        <w:tc>
          <w:tcPr>
            <w:tcW w:w="1993" w:type="dxa"/>
            <w:vMerge/>
            <w:vAlign w:val="center"/>
            <w:hideMark/>
          </w:tcPr>
          <w:p w:rsidR="006A67BC" w:rsidRPr="00F10817" w:rsidRDefault="006A67BC" w:rsidP="004A216B">
            <w:pPr>
              <w:spacing w:after="0" w:line="240" w:lineRule="auto"/>
              <w:rPr>
                <w:rFonts w:ascii="Calibri" w:eastAsia="Times New Roman" w:hAnsi="Calibri" w:cs="Calibri"/>
                <w:b/>
                <w:bCs/>
                <w:color w:val="000000"/>
                <w:sz w:val="20"/>
                <w:szCs w:val="20"/>
              </w:rPr>
            </w:pPr>
          </w:p>
        </w:tc>
        <w:tc>
          <w:tcPr>
            <w:tcW w:w="1100" w:type="dxa"/>
            <w:vMerge/>
            <w:vAlign w:val="center"/>
            <w:hideMark/>
          </w:tcPr>
          <w:p w:rsidR="006A67BC" w:rsidRPr="00F10817" w:rsidRDefault="006A67BC" w:rsidP="004A216B">
            <w:pPr>
              <w:spacing w:after="0" w:line="240" w:lineRule="auto"/>
              <w:rPr>
                <w:rFonts w:ascii="Calibri" w:eastAsia="Times New Roman" w:hAnsi="Calibri" w:cs="Calibri"/>
                <w:b/>
                <w:bCs/>
                <w:color w:val="000000"/>
                <w:sz w:val="20"/>
                <w:szCs w:val="20"/>
              </w:rPr>
            </w:pPr>
          </w:p>
        </w:tc>
        <w:tc>
          <w:tcPr>
            <w:tcW w:w="1946" w:type="dxa"/>
            <w:shd w:val="clear" w:color="auto" w:fill="FCE4D6"/>
            <w:noWrap/>
            <w:vAlign w:val="center"/>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Environment</w:t>
            </w:r>
          </w:p>
        </w:tc>
        <w:tc>
          <w:tcPr>
            <w:tcW w:w="1047" w:type="dxa"/>
            <w:shd w:val="clear" w:color="auto" w:fill="FCE4D6"/>
            <w:noWrap/>
            <w:vAlign w:val="center"/>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Energy</w:t>
            </w:r>
          </w:p>
        </w:tc>
        <w:tc>
          <w:tcPr>
            <w:tcW w:w="1267" w:type="dxa"/>
            <w:shd w:val="clear" w:color="auto" w:fill="FCE4D6"/>
            <w:noWrap/>
            <w:vAlign w:val="center"/>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Industry</w:t>
            </w:r>
          </w:p>
        </w:tc>
      </w:tr>
      <w:tr w:rsidR="006A67BC" w:rsidRPr="00F10817" w:rsidTr="004A216B">
        <w:trPr>
          <w:trHeight w:val="290"/>
        </w:trPr>
        <w:tc>
          <w:tcPr>
            <w:tcW w:w="1993" w:type="dxa"/>
            <w:shd w:val="clear" w:color="auto" w:fill="FBE4D5" w:themeFill="accent2" w:themeFillTint="33"/>
            <w:noWrap/>
            <w:vAlign w:val="bottom"/>
            <w:hideMark/>
          </w:tcPr>
          <w:p w:rsidR="006A67BC" w:rsidRPr="00F10817" w:rsidRDefault="006A67BC" w:rsidP="004A216B">
            <w:pPr>
              <w:spacing w:after="0" w:line="240" w:lineRule="auto"/>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&lt;2000</w:t>
            </w:r>
          </w:p>
        </w:tc>
        <w:tc>
          <w:tcPr>
            <w:tcW w:w="1100"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52</w:t>
            </w:r>
          </w:p>
        </w:tc>
        <w:tc>
          <w:tcPr>
            <w:tcW w:w="1946"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44</w:t>
            </w:r>
          </w:p>
        </w:tc>
        <w:tc>
          <w:tcPr>
            <w:tcW w:w="104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6</w:t>
            </w:r>
          </w:p>
        </w:tc>
        <w:tc>
          <w:tcPr>
            <w:tcW w:w="126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4</w:t>
            </w:r>
          </w:p>
        </w:tc>
      </w:tr>
      <w:tr w:rsidR="006A67BC" w:rsidRPr="00F10817" w:rsidTr="004A216B">
        <w:trPr>
          <w:trHeight w:val="290"/>
        </w:trPr>
        <w:tc>
          <w:tcPr>
            <w:tcW w:w="1993" w:type="dxa"/>
            <w:shd w:val="clear" w:color="auto" w:fill="FBE4D5" w:themeFill="accent2" w:themeFillTint="33"/>
            <w:noWrap/>
            <w:vAlign w:val="bottom"/>
            <w:hideMark/>
          </w:tcPr>
          <w:p w:rsidR="006A67BC" w:rsidRPr="00F10817" w:rsidRDefault="006A67BC" w:rsidP="004A216B">
            <w:pPr>
              <w:spacing w:after="0" w:line="240" w:lineRule="auto"/>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2000-2009</w:t>
            </w:r>
          </w:p>
        </w:tc>
        <w:tc>
          <w:tcPr>
            <w:tcW w:w="1100"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75</w:t>
            </w:r>
          </w:p>
        </w:tc>
        <w:tc>
          <w:tcPr>
            <w:tcW w:w="1946"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69</w:t>
            </w:r>
          </w:p>
        </w:tc>
        <w:tc>
          <w:tcPr>
            <w:tcW w:w="104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7</w:t>
            </w:r>
          </w:p>
        </w:tc>
        <w:tc>
          <w:tcPr>
            <w:tcW w:w="126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6</w:t>
            </w:r>
          </w:p>
        </w:tc>
      </w:tr>
      <w:tr w:rsidR="006A67BC" w:rsidRPr="00F10817" w:rsidTr="004A216B">
        <w:trPr>
          <w:trHeight w:val="290"/>
        </w:trPr>
        <w:tc>
          <w:tcPr>
            <w:tcW w:w="1993" w:type="dxa"/>
            <w:shd w:val="clear" w:color="auto" w:fill="FBE4D5" w:themeFill="accent2" w:themeFillTint="33"/>
            <w:noWrap/>
            <w:vAlign w:val="bottom"/>
            <w:hideMark/>
          </w:tcPr>
          <w:p w:rsidR="006A67BC" w:rsidRPr="00F10817" w:rsidRDefault="006A67BC" w:rsidP="004A216B">
            <w:pPr>
              <w:spacing w:after="0" w:line="240" w:lineRule="auto"/>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2010-2019</w:t>
            </w:r>
          </w:p>
        </w:tc>
        <w:tc>
          <w:tcPr>
            <w:tcW w:w="1100"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65</w:t>
            </w:r>
          </w:p>
        </w:tc>
        <w:tc>
          <w:tcPr>
            <w:tcW w:w="1946"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59</w:t>
            </w:r>
          </w:p>
        </w:tc>
        <w:tc>
          <w:tcPr>
            <w:tcW w:w="104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7</w:t>
            </w:r>
          </w:p>
        </w:tc>
        <w:tc>
          <w:tcPr>
            <w:tcW w:w="126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9</w:t>
            </w:r>
          </w:p>
        </w:tc>
      </w:tr>
      <w:tr w:rsidR="006A67BC" w:rsidRPr="00F10817" w:rsidTr="004A216B">
        <w:trPr>
          <w:trHeight w:val="290"/>
        </w:trPr>
        <w:tc>
          <w:tcPr>
            <w:tcW w:w="1993" w:type="dxa"/>
            <w:shd w:val="clear" w:color="auto" w:fill="FBE4D5" w:themeFill="accent2" w:themeFillTint="33"/>
            <w:noWrap/>
            <w:vAlign w:val="bottom"/>
            <w:hideMark/>
          </w:tcPr>
          <w:p w:rsidR="006A67BC" w:rsidRPr="00F10817" w:rsidRDefault="006A67BC" w:rsidP="004A216B">
            <w:pPr>
              <w:spacing w:after="0" w:line="240" w:lineRule="auto"/>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&gt;2019</w:t>
            </w:r>
          </w:p>
        </w:tc>
        <w:tc>
          <w:tcPr>
            <w:tcW w:w="1100"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5</w:t>
            </w:r>
          </w:p>
        </w:tc>
        <w:tc>
          <w:tcPr>
            <w:tcW w:w="1946"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4</w:t>
            </w:r>
          </w:p>
        </w:tc>
        <w:tc>
          <w:tcPr>
            <w:tcW w:w="104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1</w:t>
            </w:r>
          </w:p>
        </w:tc>
        <w:tc>
          <w:tcPr>
            <w:tcW w:w="126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color w:val="000000"/>
                <w:sz w:val="20"/>
                <w:szCs w:val="20"/>
              </w:rPr>
            </w:pPr>
            <w:r w:rsidRPr="00F10817">
              <w:rPr>
                <w:rFonts w:ascii="Calibri" w:eastAsia="Times New Roman" w:hAnsi="Calibri" w:cs="Calibri"/>
                <w:color w:val="000000"/>
                <w:sz w:val="20"/>
                <w:szCs w:val="20"/>
              </w:rPr>
              <w:t>2</w:t>
            </w:r>
          </w:p>
        </w:tc>
      </w:tr>
      <w:tr w:rsidR="006A67BC" w:rsidRPr="00F10817" w:rsidTr="004A216B">
        <w:trPr>
          <w:trHeight w:val="290"/>
        </w:trPr>
        <w:tc>
          <w:tcPr>
            <w:tcW w:w="1993" w:type="dxa"/>
            <w:shd w:val="clear" w:color="auto" w:fill="FBE4D5" w:themeFill="accent2" w:themeFillTint="33"/>
            <w:noWrap/>
            <w:vAlign w:val="bottom"/>
            <w:hideMark/>
          </w:tcPr>
          <w:p w:rsidR="006A67BC" w:rsidRPr="00F10817" w:rsidRDefault="006A67BC" w:rsidP="004A216B">
            <w:pPr>
              <w:spacing w:after="0" w:line="240" w:lineRule="auto"/>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Total</w:t>
            </w:r>
          </w:p>
        </w:tc>
        <w:tc>
          <w:tcPr>
            <w:tcW w:w="1100"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197</w:t>
            </w:r>
          </w:p>
        </w:tc>
        <w:tc>
          <w:tcPr>
            <w:tcW w:w="1946"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176</w:t>
            </w:r>
          </w:p>
        </w:tc>
        <w:tc>
          <w:tcPr>
            <w:tcW w:w="104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21</w:t>
            </w:r>
          </w:p>
        </w:tc>
        <w:tc>
          <w:tcPr>
            <w:tcW w:w="1267" w:type="dxa"/>
            <w:shd w:val="clear" w:color="auto" w:fill="auto"/>
            <w:noWrap/>
            <w:vAlign w:val="bottom"/>
            <w:hideMark/>
          </w:tcPr>
          <w:p w:rsidR="006A67BC" w:rsidRPr="00F10817" w:rsidRDefault="006A67BC" w:rsidP="004A216B">
            <w:pPr>
              <w:spacing w:after="0" w:line="240" w:lineRule="auto"/>
              <w:jc w:val="center"/>
              <w:rPr>
                <w:rFonts w:ascii="Calibri" w:eastAsia="Times New Roman" w:hAnsi="Calibri" w:cs="Calibri"/>
                <w:b/>
                <w:bCs/>
                <w:color w:val="000000"/>
                <w:sz w:val="20"/>
                <w:szCs w:val="20"/>
              </w:rPr>
            </w:pPr>
            <w:r w:rsidRPr="00F10817">
              <w:rPr>
                <w:rFonts w:ascii="Calibri" w:eastAsia="Times New Roman" w:hAnsi="Calibri" w:cs="Calibri"/>
                <w:b/>
                <w:bCs/>
                <w:color w:val="000000"/>
                <w:sz w:val="20"/>
                <w:szCs w:val="20"/>
              </w:rPr>
              <w:t>21</w:t>
            </w:r>
          </w:p>
        </w:tc>
      </w:tr>
    </w:tbl>
    <w:p w:rsidR="006A67BC" w:rsidRDefault="006A67BC" w:rsidP="006A67BC"/>
    <w:p w:rsidR="006A67BC" w:rsidRDefault="006A67BC" w:rsidP="006A67BC">
      <w:pPr>
        <w:pStyle w:val="Caption"/>
      </w:pPr>
      <w:bookmarkStart w:id="15" w:name="_Toc149646116"/>
      <w:r>
        <w:t xml:space="preserve">Table </w:t>
      </w:r>
      <w:r>
        <w:fldChar w:fldCharType="begin"/>
      </w:r>
      <w:r>
        <w:instrText xml:space="preserve"> SEQ Table \* ARABIC </w:instrText>
      </w:r>
      <w:r>
        <w:fldChar w:fldCharType="separate"/>
      </w:r>
      <w:r>
        <w:rPr>
          <w:noProof/>
        </w:rPr>
        <w:t>11</w:t>
      </w:r>
      <w:r>
        <w:fldChar w:fldCharType="end"/>
      </w:r>
      <w:r w:rsidRPr="74D8C384">
        <w:t xml:space="preserve"> - </w:t>
      </w:r>
      <w:r w:rsidRPr="00984720">
        <w:t xml:space="preserve">No. </w:t>
      </w:r>
      <w:r>
        <w:t>d</w:t>
      </w:r>
      <w:r w:rsidRPr="00984720">
        <w:t>irectives classified in each EuroVoc level II</w:t>
      </w:r>
      <w:r>
        <w:t xml:space="preserve"> per publication date</w:t>
      </w:r>
      <w:bookmarkEnd w:id="1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1016"/>
        <w:gridCol w:w="1237"/>
        <w:gridCol w:w="1366"/>
        <w:gridCol w:w="1329"/>
        <w:gridCol w:w="1329"/>
      </w:tblGrid>
      <w:tr w:rsidR="006A67BC" w:rsidRPr="00F8248E" w:rsidTr="004A216B">
        <w:trPr>
          <w:trHeight w:val="290"/>
        </w:trPr>
        <w:tc>
          <w:tcPr>
            <w:tcW w:w="3083" w:type="dxa"/>
            <w:shd w:val="clear" w:color="auto" w:fill="FCE4D6"/>
            <w:vAlign w:val="bottom"/>
            <w:hideMark/>
          </w:tcPr>
          <w:p w:rsidR="006A67BC" w:rsidRPr="00F8248E" w:rsidRDefault="006A67BC" w:rsidP="004A216B">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Eurovoc Level II /</w:t>
            </w:r>
            <w:r w:rsidRPr="00F8248E">
              <w:rPr>
                <w:rFonts w:ascii="Calibri" w:eastAsia="Times New Roman" w:hAnsi="Calibri" w:cs="Calibri"/>
                <w:b/>
                <w:bCs/>
                <w:color w:val="000000"/>
                <w:sz w:val="20"/>
                <w:szCs w:val="20"/>
              </w:rPr>
              <w:t>Publication date</w:t>
            </w:r>
          </w:p>
        </w:tc>
        <w:tc>
          <w:tcPr>
            <w:tcW w:w="1016" w:type="dxa"/>
            <w:shd w:val="clear" w:color="auto" w:fill="FCE4D6"/>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&lt;2000</w:t>
            </w:r>
          </w:p>
        </w:tc>
        <w:tc>
          <w:tcPr>
            <w:tcW w:w="1237" w:type="dxa"/>
            <w:shd w:val="clear" w:color="auto" w:fill="FCE4D6"/>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2000-2009</w:t>
            </w:r>
          </w:p>
        </w:tc>
        <w:tc>
          <w:tcPr>
            <w:tcW w:w="1366" w:type="dxa"/>
            <w:shd w:val="clear" w:color="auto" w:fill="FCE4D6"/>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2010-2019</w:t>
            </w:r>
          </w:p>
        </w:tc>
        <w:tc>
          <w:tcPr>
            <w:tcW w:w="1329" w:type="dxa"/>
            <w:shd w:val="clear" w:color="auto" w:fill="FCE4D6"/>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&gt;2019</w:t>
            </w:r>
          </w:p>
        </w:tc>
        <w:tc>
          <w:tcPr>
            <w:tcW w:w="1329" w:type="dxa"/>
            <w:shd w:val="clear" w:color="auto" w:fill="FCE4D6"/>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Total</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environmental policy</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24</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50</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36</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3</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113</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natural environment</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6</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4</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2</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12</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deterioration of the environment</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14</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16</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19</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49</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energy policy</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4</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5</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4</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13</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industrial structures and policy</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3</w:t>
            </w:r>
          </w:p>
        </w:tc>
      </w:tr>
      <w:tr w:rsidR="006A67BC" w:rsidRPr="00CB787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iron, steel and other metal industries</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building and public works</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2</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wood industry</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1</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1</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miscellaneous industries</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2</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2</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r w:rsidRPr="00F8248E">
              <w:rPr>
                <w:rFonts w:ascii="Calibri" w:eastAsia="Times New Roman" w:hAnsi="Calibri" w:cs="Calibri"/>
                <w:color w:val="000000"/>
                <w:sz w:val="20"/>
                <w:szCs w:val="20"/>
              </w:rPr>
              <w:t>0</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4</w:t>
            </w: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economic policy</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color w:val="000000"/>
                <w:sz w:val="20"/>
                <w:szCs w:val="20"/>
              </w:rPr>
            </w:pPr>
            <w:r w:rsidRPr="00F8248E">
              <w:rPr>
                <w:rFonts w:ascii="Calibri" w:eastAsia="Times New Roman" w:hAnsi="Calibri" w:cs="Calibri"/>
                <w:color w:val="000000"/>
                <w:sz w:val="20"/>
                <w:szCs w:val="20"/>
              </w:rPr>
              <w:t>technology and technical regulations</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color w:val="000000"/>
                <w:sz w:val="20"/>
                <w:szCs w:val="20"/>
              </w:rPr>
            </w:pP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p>
        </w:tc>
      </w:tr>
      <w:tr w:rsidR="006A67BC" w:rsidRPr="00F8248E" w:rsidTr="004A216B">
        <w:trPr>
          <w:trHeight w:val="290"/>
        </w:trPr>
        <w:tc>
          <w:tcPr>
            <w:tcW w:w="3083" w:type="dxa"/>
            <w:shd w:val="clear" w:color="auto" w:fill="FCE4D6"/>
            <w:noWrap/>
            <w:vAlign w:val="bottom"/>
            <w:hideMark/>
          </w:tcPr>
          <w:p w:rsidR="006A67BC" w:rsidRPr="00F8248E" w:rsidRDefault="006A67BC" w:rsidP="004A216B">
            <w:pPr>
              <w:spacing w:after="0" w:line="240" w:lineRule="auto"/>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Total</w:t>
            </w:r>
          </w:p>
        </w:tc>
        <w:tc>
          <w:tcPr>
            <w:tcW w:w="101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52</w:t>
            </w:r>
          </w:p>
        </w:tc>
        <w:tc>
          <w:tcPr>
            <w:tcW w:w="1237"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75</w:t>
            </w:r>
          </w:p>
        </w:tc>
        <w:tc>
          <w:tcPr>
            <w:tcW w:w="1366"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65</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5</w:t>
            </w:r>
          </w:p>
        </w:tc>
        <w:tc>
          <w:tcPr>
            <w:tcW w:w="1329" w:type="dxa"/>
            <w:shd w:val="clear" w:color="auto" w:fill="auto"/>
            <w:noWrap/>
            <w:vAlign w:val="bottom"/>
            <w:hideMark/>
          </w:tcPr>
          <w:p w:rsidR="006A67BC" w:rsidRPr="00F8248E" w:rsidRDefault="006A67BC" w:rsidP="004A216B">
            <w:pPr>
              <w:spacing w:after="0" w:line="240" w:lineRule="auto"/>
              <w:jc w:val="center"/>
              <w:rPr>
                <w:rFonts w:ascii="Calibri" w:eastAsia="Times New Roman" w:hAnsi="Calibri" w:cs="Calibri"/>
                <w:b/>
                <w:bCs/>
                <w:color w:val="000000"/>
                <w:sz w:val="20"/>
                <w:szCs w:val="20"/>
              </w:rPr>
            </w:pPr>
            <w:r w:rsidRPr="00F8248E">
              <w:rPr>
                <w:rFonts w:ascii="Calibri" w:eastAsia="Times New Roman" w:hAnsi="Calibri" w:cs="Calibri"/>
                <w:b/>
                <w:bCs/>
                <w:color w:val="000000"/>
                <w:sz w:val="20"/>
                <w:szCs w:val="20"/>
              </w:rPr>
              <w:t>197</w:t>
            </w:r>
          </w:p>
        </w:tc>
      </w:tr>
    </w:tbl>
    <w:p w:rsidR="006A67BC" w:rsidRDefault="006A67BC" w:rsidP="006A67BC"/>
    <w:p w:rsidR="006A67BC" w:rsidRDefault="006A67BC" w:rsidP="006A67BC">
      <w:pPr>
        <w:pStyle w:val="Caption"/>
      </w:pPr>
      <w:bookmarkStart w:id="16" w:name="_Toc149646117"/>
      <w:r>
        <w:t xml:space="preserve">Table </w:t>
      </w:r>
      <w:r>
        <w:fldChar w:fldCharType="begin"/>
      </w:r>
      <w:r>
        <w:instrText xml:space="preserve"> SEQ Table \* ARABIC </w:instrText>
      </w:r>
      <w:r>
        <w:fldChar w:fldCharType="separate"/>
      </w:r>
      <w:r>
        <w:rPr>
          <w:noProof/>
        </w:rPr>
        <w:t>12</w:t>
      </w:r>
      <w:r>
        <w:fldChar w:fldCharType="end"/>
      </w:r>
      <w:r w:rsidRPr="74D8C384">
        <w:t xml:space="preserve"> - </w:t>
      </w:r>
      <w:r w:rsidRPr="00984720">
        <w:t xml:space="preserve">No. </w:t>
      </w:r>
      <w:r>
        <w:t>d</w:t>
      </w:r>
      <w:r w:rsidRPr="00984720">
        <w:t>irectives classified in each EuroVoc level III</w:t>
      </w:r>
      <w:r>
        <w:t xml:space="preserve"> per publication date</w:t>
      </w:r>
      <w:bookmarkEnd w:id="16"/>
    </w:p>
    <w:tbl>
      <w:tblPr>
        <w:tblW w:w="9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031"/>
        <w:gridCol w:w="1255"/>
        <w:gridCol w:w="1386"/>
        <w:gridCol w:w="1130"/>
        <w:gridCol w:w="1349"/>
      </w:tblGrid>
      <w:tr w:rsidR="006A67BC" w:rsidRPr="001E33BE" w:rsidTr="004A216B">
        <w:trPr>
          <w:cantSplit/>
          <w:trHeight w:val="290"/>
          <w:tblHeader/>
        </w:trPr>
        <w:tc>
          <w:tcPr>
            <w:tcW w:w="3397" w:type="dxa"/>
            <w:shd w:val="clear" w:color="auto" w:fill="FCE4D6"/>
            <w:vAlign w:val="bottom"/>
            <w:hideMark/>
          </w:tcPr>
          <w:p w:rsidR="006A67BC" w:rsidRPr="001E33BE" w:rsidRDefault="006A67BC" w:rsidP="004A216B">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EuroVoc Level III / Publication Date</w:t>
            </w:r>
          </w:p>
        </w:tc>
        <w:tc>
          <w:tcPr>
            <w:tcW w:w="1031" w:type="dxa"/>
            <w:shd w:val="clear" w:color="auto" w:fill="FCE4D6"/>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&lt;2000</w:t>
            </w:r>
          </w:p>
        </w:tc>
        <w:tc>
          <w:tcPr>
            <w:tcW w:w="1255" w:type="dxa"/>
            <w:shd w:val="clear" w:color="auto" w:fill="FCE4D6"/>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2000-2009</w:t>
            </w:r>
          </w:p>
        </w:tc>
        <w:tc>
          <w:tcPr>
            <w:tcW w:w="1386" w:type="dxa"/>
            <w:shd w:val="clear" w:color="auto" w:fill="FCE4D6"/>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2010-2019</w:t>
            </w:r>
          </w:p>
        </w:tc>
        <w:tc>
          <w:tcPr>
            <w:tcW w:w="1130" w:type="dxa"/>
            <w:shd w:val="clear" w:color="auto" w:fill="FCE4D6"/>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&gt;2019</w:t>
            </w:r>
          </w:p>
        </w:tc>
        <w:tc>
          <w:tcPr>
            <w:tcW w:w="1349" w:type="dxa"/>
            <w:shd w:val="clear" w:color="auto" w:fill="FCE4D6"/>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Total</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waste management</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4</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pollution control measures</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5</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6</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14</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environmental policy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9</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14</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9</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33</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environmental protection</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8</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23</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12</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44</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climate change policy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5</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9</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16</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water policy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2</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geophysical environment</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3</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Wildlife</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4</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5</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natural resources</w:t>
            </w:r>
          </w:p>
        </w:tc>
        <w:tc>
          <w:tcPr>
            <w:tcW w:w="1031" w:type="dxa"/>
            <w:shd w:val="clear" w:color="auto" w:fill="auto"/>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p>
        </w:tc>
        <w:tc>
          <w:tcPr>
            <w:tcW w:w="1255"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86"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130"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49"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b/>
                <w:bCs/>
                <w:sz w:val="20"/>
                <w:szCs w:val="20"/>
              </w:rPr>
            </w:pP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Climate</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3</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physical environment</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Nuisance</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13</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14</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19</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46</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Pollution</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Waste</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lastRenderedPageBreak/>
              <w:t>degradation of the environment</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energy policy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9</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energy industry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4</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industrial policy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industrial production</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iron and steel industry</w:t>
            </w:r>
          </w:p>
        </w:tc>
        <w:tc>
          <w:tcPr>
            <w:tcW w:w="1031" w:type="dxa"/>
            <w:shd w:val="clear" w:color="auto" w:fill="auto"/>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p>
        </w:tc>
        <w:tc>
          <w:tcPr>
            <w:tcW w:w="1255"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86"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130"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49"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building industry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building services</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wood industry</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miscellaneous industries</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2</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3</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Ceramics</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0</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color w:val="000000"/>
                <w:sz w:val="20"/>
                <w:szCs w:val="20"/>
              </w:rPr>
            </w:pPr>
            <w:r w:rsidRPr="001E33BE">
              <w:rPr>
                <w:rFonts w:ascii="Calibri" w:eastAsia="Times New Roman" w:hAnsi="Calibri" w:cs="Calibri"/>
                <w:color w:val="000000"/>
                <w:sz w:val="20"/>
                <w:szCs w:val="20"/>
              </w:rPr>
              <w:t>1</w:t>
            </w: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economic policy (circular economy)</w:t>
            </w:r>
          </w:p>
        </w:tc>
        <w:tc>
          <w:tcPr>
            <w:tcW w:w="1031" w:type="dxa"/>
            <w:shd w:val="clear" w:color="auto" w:fill="auto"/>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p>
        </w:tc>
        <w:tc>
          <w:tcPr>
            <w:tcW w:w="1255"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86"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130"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49"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r w:rsidRPr="001E33BE">
              <w:rPr>
                <w:rFonts w:ascii="Calibri" w:eastAsia="Times New Roman" w:hAnsi="Calibri" w:cs="Calibri"/>
                <w:color w:val="000000"/>
                <w:sz w:val="20"/>
                <w:szCs w:val="20"/>
              </w:rPr>
              <w:t>technology (recycling technology)</w:t>
            </w:r>
          </w:p>
        </w:tc>
        <w:tc>
          <w:tcPr>
            <w:tcW w:w="1031" w:type="dxa"/>
            <w:shd w:val="clear" w:color="auto" w:fill="auto"/>
            <w:noWrap/>
            <w:vAlign w:val="bottom"/>
            <w:hideMark/>
          </w:tcPr>
          <w:p w:rsidR="006A67BC" w:rsidRPr="001E33BE" w:rsidRDefault="006A67BC" w:rsidP="004A216B">
            <w:pPr>
              <w:spacing w:after="0" w:line="240" w:lineRule="auto"/>
              <w:rPr>
                <w:rFonts w:ascii="Calibri" w:eastAsia="Times New Roman" w:hAnsi="Calibri" w:cs="Calibri"/>
                <w:color w:val="000000"/>
                <w:sz w:val="20"/>
                <w:szCs w:val="20"/>
              </w:rPr>
            </w:pPr>
          </w:p>
        </w:tc>
        <w:tc>
          <w:tcPr>
            <w:tcW w:w="1255"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86"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130"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c>
          <w:tcPr>
            <w:tcW w:w="1349" w:type="dxa"/>
            <w:shd w:val="clear" w:color="auto" w:fill="auto"/>
            <w:noWrap/>
            <w:vAlign w:val="bottom"/>
            <w:hideMark/>
          </w:tcPr>
          <w:p w:rsidR="006A67BC" w:rsidRPr="001E33BE" w:rsidRDefault="006A67BC" w:rsidP="004A216B">
            <w:pPr>
              <w:spacing w:after="0" w:line="240" w:lineRule="auto"/>
              <w:jc w:val="center"/>
              <w:rPr>
                <w:rFonts w:ascii="Times New Roman" w:eastAsia="Times New Roman" w:hAnsi="Times New Roman" w:cs="Times New Roman"/>
                <w:sz w:val="20"/>
                <w:szCs w:val="20"/>
              </w:rPr>
            </w:pPr>
          </w:p>
        </w:tc>
      </w:tr>
      <w:tr w:rsidR="006A67BC" w:rsidRPr="001E33BE" w:rsidTr="004A216B">
        <w:trPr>
          <w:trHeight w:val="290"/>
        </w:trPr>
        <w:tc>
          <w:tcPr>
            <w:tcW w:w="3397" w:type="dxa"/>
            <w:shd w:val="clear" w:color="auto" w:fill="FCE4D6"/>
            <w:noWrap/>
            <w:vAlign w:val="bottom"/>
            <w:hideMark/>
          </w:tcPr>
          <w:p w:rsidR="006A67BC" w:rsidRPr="001E33BE" w:rsidRDefault="006A67BC" w:rsidP="004A216B">
            <w:pPr>
              <w:spacing w:after="0" w:line="240" w:lineRule="auto"/>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Total</w:t>
            </w:r>
          </w:p>
        </w:tc>
        <w:tc>
          <w:tcPr>
            <w:tcW w:w="1031"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52</w:t>
            </w:r>
          </w:p>
        </w:tc>
        <w:tc>
          <w:tcPr>
            <w:tcW w:w="1255"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75</w:t>
            </w:r>
          </w:p>
        </w:tc>
        <w:tc>
          <w:tcPr>
            <w:tcW w:w="1386"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65</w:t>
            </w:r>
          </w:p>
        </w:tc>
        <w:tc>
          <w:tcPr>
            <w:tcW w:w="1130"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5</w:t>
            </w:r>
          </w:p>
        </w:tc>
        <w:tc>
          <w:tcPr>
            <w:tcW w:w="1349" w:type="dxa"/>
            <w:shd w:val="clear" w:color="auto" w:fill="auto"/>
            <w:noWrap/>
            <w:vAlign w:val="bottom"/>
            <w:hideMark/>
          </w:tcPr>
          <w:p w:rsidR="006A67BC" w:rsidRPr="001E33BE" w:rsidRDefault="006A67BC" w:rsidP="004A216B">
            <w:pPr>
              <w:spacing w:after="0" w:line="240" w:lineRule="auto"/>
              <w:jc w:val="center"/>
              <w:rPr>
                <w:rFonts w:ascii="Calibri" w:eastAsia="Times New Roman" w:hAnsi="Calibri" w:cs="Calibri"/>
                <w:b/>
                <w:bCs/>
                <w:color w:val="000000"/>
                <w:sz w:val="20"/>
                <w:szCs w:val="20"/>
              </w:rPr>
            </w:pPr>
            <w:r w:rsidRPr="001E33BE">
              <w:rPr>
                <w:rFonts w:ascii="Calibri" w:eastAsia="Times New Roman" w:hAnsi="Calibri" w:cs="Calibri"/>
                <w:b/>
                <w:bCs/>
                <w:color w:val="000000"/>
                <w:sz w:val="20"/>
                <w:szCs w:val="20"/>
              </w:rPr>
              <w:t>197</w:t>
            </w:r>
          </w:p>
        </w:tc>
      </w:tr>
    </w:tbl>
    <w:p w:rsidR="006A67BC" w:rsidRDefault="006A67BC" w:rsidP="006A67BC"/>
    <w:p w:rsidR="006A67BC" w:rsidRDefault="006A67BC" w:rsidP="006A67BC">
      <w:r>
        <w:br w:type="page"/>
      </w:r>
    </w:p>
    <w:p w:rsidR="006A67BC" w:rsidRDefault="006A67BC" w:rsidP="006A67BC">
      <w:pPr>
        <w:pStyle w:val="Heading2"/>
        <w:numPr>
          <w:ilvl w:val="0"/>
          <w:numId w:val="0"/>
        </w:numPr>
        <w:rPr>
          <w:lang w:val="en-US"/>
        </w:rPr>
      </w:pPr>
      <w:bookmarkStart w:id="17" w:name="_Toc149646339"/>
      <w:bookmarkStart w:id="18" w:name="_Toc149661659"/>
      <w:r w:rsidRPr="0C2553E4">
        <w:rPr>
          <w:lang w:val="en-US"/>
        </w:rPr>
        <w:lastRenderedPageBreak/>
        <w:t>Annex IV - Detailed analysis of synergies and antagonisms per policy objective</w:t>
      </w:r>
      <w:bookmarkEnd w:id="8"/>
      <w:bookmarkEnd w:id="17"/>
      <w:bookmarkEnd w:id="18"/>
    </w:p>
    <w:p w:rsidR="006A67BC" w:rsidRDefault="006A67BC" w:rsidP="006A67BC"/>
    <w:p w:rsidR="006A67BC" w:rsidRDefault="006A67BC" w:rsidP="006A67BC">
      <w:pPr>
        <w:jc w:val="center"/>
      </w:pPr>
      <w:r>
        <w:rPr>
          <w:noProof/>
        </w:rPr>
        <w:drawing>
          <wp:inline distT="0" distB="0" distL="0" distR="0" wp14:anchorId="0CC09297" wp14:editId="52C46141">
            <wp:extent cx="4647824" cy="7474226"/>
            <wp:effectExtent l="0" t="0" r="635" b="0"/>
            <wp:docPr id="1099928548" name="Imagem 1099928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51399" cy="7479975"/>
                    </a:xfrm>
                    <a:prstGeom prst="rect">
                      <a:avLst/>
                    </a:prstGeom>
                    <a:noFill/>
                  </pic:spPr>
                </pic:pic>
              </a:graphicData>
            </a:graphic>
          </wp:inline>
        </w:drawing>
      </w:r>
    </w:p>
    <w:p w:rsidR="006A67BC" w:rsidRDefault="006A67BC" w:rsidP="006A67BC">
      <w:pPr>
        <w:pStyle w:val="Caption"/>
      </w:pPr>
      <w:bookmarkStart w:id="19" w:name="_Toc149645516"/>
      <w:r>
        <w:t xml:space="preserve">Figure </w:t>
      </w:r>
      <w:r>
        <w:fldChar w:fldCharType="begin"/>
      </w:r>
      <w:r>
        <w:instrText xml:space="preserve"> SEQ Figure \* ARABIC </w:instrText>
      </w:r>
      <w:r>
        <w:fldChar w:fldCharType="separate"/>
      </w:r>
      <w:r>
        <w:rPr>
          <w:noProof/>
        </w:rPr>
        <w:t>6</w:t>
      </w:r>
      <w:r>
        <w:fldChar w:fldCharType="end"/>
      </w:r>
      <w:r>
        <w:t xml:space="preserve"> – Detailed analysis of synergies (values of “1”), antagonisms (values of “-1) and no interaction (values of “0”) per CM and CE policy objective for EU Directives of Industry, Energy and Environment policy domains. The values in the xx axis refer to the share of the total key sample of 47 directives that score -1, 1 or 0 with each policy objective</w:t>
      </w:r>
      <w:bookmarkEnd w:id="19"/>
    </w:p>
    <w:p w:rsidR="006A67BC" w:rsidRDefault="006A67BC" w:rsidP="006A67BC">
      <w:pPr>
        <w:pStyle w:val="Caption"/>
      </w:pPr>
    </w:p>
    <w:p w:rsidR="006A67BC" w:rsidRPr="002E7AC9" w:rsidRDefault="006A67BC" w:rsidP="006A67BC">
      <w:pPr>
        <w:pStyle w:val="Caption"/>
      </w:pPr>
      <w:r>
        <w:lastRenderedPageBreak/>
        <w:t xml:space="preserve">Table </w:t>
      </w:r>
      <w:r>
        <w:fldChar w:fldCharType="begin"/>
      </w:r>
      <w:r>
        <w:instrText xml:space="preserve"> SEQ Table \* ARABIC </w:instrText>
      </w:r>
      <w:r>
        <w:fldChar w:fldCharType="separate"/>
      </w:r>
      <w:r>
        <w:rPr>
          <w:noProof/>
        </w:rPr>
        <w:t>13</w:t>
      </w:r>
      <w:r>
        <w:fldChar w:fldCharType="end"/>
      </w:r>
      <w:r>
        <w:t xml:space="preserve"> - Directives distributed by value chain phase</w:t>
      </w:r>
    </w:p>
    <w:tbl>
      <w:tblPr>
        <w:tblW w:w="1416" w:type="dxa"/>
        <w:jc w:val="center"/>
        <w:tblLook w:val="04A0" w:firstRow="1" w:lastRow="0" w:firstColumn="1" w:lastColumn="0" w:noHBand="0" w:noVBand="1"/>
      </w:tblPr>
      <w:tblGrid>
        <w:gridCol w:w="1087"/>
        <w:gridCol w:w="1080"/>
        <w:gridCol w:w="914"/>
        <w:gridCol w:w="914"/>
        <w:gridCol w:w="914"/>
        <w:gridCol w:w="914"/>
      </w:tblGrid>
      <w:tr w:rsidR="006A67BC" w:rsidRPr="002E7AC9" w:rsidTr="004A216B">
        <w:trPr>
          <w:trHeight w:val="20"/>
          <w:jc w:val="center"/>
        </w:trPr>
        <w:tc>
          <w:tcPr>
            <w:tcW w:w="236" w:type="dxa"/>
            <w:tcBorders>
              <w:top w:val="single" w:sz="4" w:space="0" w:color="auto"/>
              <w:left w:val="single" w:sz="4" w:space="0" w:color="auto"/>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Transportation</w:t>
            </w:r>
          </w:p>
        </w:tc>
        <w:tc>
          <w:tcPr>
            <w:tcW w:w="236" w:type="dxa"/>
            <w:tcBorders>
              <w:top w:val="single" w:sz="4" w:space="0" w:color="auto"/>
              <w:left w:val="nil"/>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Manufacturing</w:t>
            </w:r>
          </w:p>
        </w:tc>
        <w:tc>
          <w:tcPr>
            <w:tcW w:w="236" w:type="dxa"/>
            <w:tcBorders>
              <w:top w:val="single" w:sz="4" w:space="0" w:color="auto"/>
              <w:left w:val="nil"/>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Raw materials</w:t>
            </w:r>
          </w:p>
        </w:tc>
        <w:tc>
          <w:tcPr>
            <w:tcW w:w="236" w:type="dxa"/>
            <w:tcBorders>
              <w:top w:val="single" w:sz="4" w:space="0" w:color="auto"/>
              <w:left w:val="nil"/>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Energy</w:t>
            </w:r>
          </w:p>
        </w:tc>
        <w:tc>
          <w:tcPr>
            <w:tcW w:w="236" w:type="dxa"/>
            <w:tcBorders>
              <w:top w:val="single" w:sz="4" w:space="0" w:color="auto"/>
              <w:left w:val="nil"/>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Buildings</w:t>
            </w:r>
          </w:p>
        </w:tc>
        <w:tc>
          <w:tcPr>
            <w:tcW w:w="236" w:type="dxa"/>
            <w:tcBorders>
              <w:top w:val="single" w:sz="4" w:space="0" w:color="auto"/>
              <w:left w:val="nil"/>
              <w:bottom w:val="single" w:sz="4" w:space="0" w:color="auto"/>
              <w:right w:val="single" w:sz="4" w:space="0" w:color="auto"/>
            </w:tcBorders>
            <w:shd w:val="clear" w:color="000000" w:fill="E2EFDA"/>
            <w:vAlign w:val="center"/>
            <w:hideMark/>
          </w:tcPr>
          <w:p w:rsidR="006A67BC" w:rsidRPr="002E7AC9" w:rsidRDefault="006A67BC" w:rsidP="004A216B">
            <w:pPr>
              <w:spacing w:after="0" w:line="240" w:lineRule="auto"/>
              <w:rPr>
                <w:rFonts w:ascii="Calibri" w:eastAsia="Times New Roman" w:hAnsi="Calibri" w:cs="Calibri"/>
                <w:b/>
                <w:bCs/>
                <w:color w:val="000000"/>
                <w:sz w:val="14"/>
                <w:szCs w:val="14"/>
              </w:rPr>
            </w:pPr>
            <w:r w:rsidRPr="002E7AC9">
              <w:rPr>
                <w:rFonts w:ascii="Calibri" w:eastAsia="Times New Roman" w:hAnsi="Calibri" w:cs="Calibri"/>
                <w:b/>
                <w:bCs/>
                <w:color w:val="000000"/>
                <w:sz w:val="14"/>
                <w:szCs w:val="14"/>
              </w:rPr>
              <w:t>Waste</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32018L0844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32011L0092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31992L0043</w:t>
            </w:r>
          </w:p>
        </w:tc>
        <w:tc>
          <w:tcPr>
            <w:tcW w:w="236" w:type="dxa"/>
            <w:tcBorders>
              <w:top w:val="nil"/>
              <w:left w:val="nil"/>
              <w:bottom w:val="single" w:sz="4" w:space="0" w:color="auto"/>
              <w:right w:val="single" w:sz="4" w:space="0" w:color="auto"/>
            </w:tcBorders>
            <w:shd w:val="clear" w:color="auto" w:fill="auto"/>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32018L0844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31987L0217</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32010L0031</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32012L0027</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32000L0060</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32004L0035</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32000L0060</w:t>
            </w:r>
          </w:p>
        </w:tc>
        <w:tc>
          <w:tcPr>
            <w:tcW w:w="236" w:type="dxa"/>
            <w:tcBorders>
              <w:top w:val="nil"/>
              <w:left w:val="nil"/>
              <w:bottom w:val="single" w:sz="4" w:space="0" w:color="auto"/>
              <w:right w:val="single" w:sz="4" w:space="0" w:color="auto"/>
            </w:tcBorders>
            <w:shd w:val="clear" w:color="auto" w:fill="auto"/>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32018L0844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32008L0028</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32003L0096</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32015L2193</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32008L0050</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32009L0119</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32010L0031</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31994L0062</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sz w:val="14"/>
                <w:szCs w:val="14"/>
              </w:rPr>
            </w:pPr>
            <w:r w:rsidRPr="002E7AC9">
              <w:rPr>
                <w:rFonts w:ascii="Calibri" w:eastAsia="Times New Roman" w:hAnsi="Calibri" w:cs="Calibri"/>
                <w:sz w:val="14"/>
                <w:szCs w:val="14"/>
              </w:rPr>
              <w:t>32003L0087</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32008L0112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32011L0092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32014L0094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32018L2001</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32012L0019</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32010L0075</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31992L0042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32000L0060</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32009L0031</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32011L0065</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31999L0094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32016L2284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sz w:val="14"/>
                <w:szCs w:val="14"/>
              </w:rPr>
            </w:pPr>
            <w:r w:rsidRPr="002E7AC9">
              <w:rPr>
                <w:rFonts w:ascii="Calibri" w:eastAsia="Times New Roman" w:hAnsi="Calibri" w:cs="Calibri"/>
                <w:sz w:val="14"/>
                <w:szCs w:val="14"/>
              </w:rPr>
              <w:t>32003L0087</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32015L2193</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32019L0904</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32006L0040</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32012L0027</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32010L0075</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32016L2284</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32009L0125</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32007L0034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32003L0096</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32012L0027</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32006L0066</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32009L0033</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32014L0027</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32003L0096</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32005L0064</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32022L0362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32008L0028</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sz w:val="14"/>
                <w:szCs w:val="14"/>
              </w:rPr>
            </w:pPr>
            <w:r w:rsidRPr="002E7AC9">
              <w:rPr>
                <w:rFonts w:ascii="Calibri" w:eastAsia="Times New Roman" w:hAnsi="Calibri" w:cs="Calibri"/>
                <w:sz w:val="14"/>
                <w:szCs w:val="14"/>
              </w:rPr>
              <w:t>32003L0087</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32018L0849</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32009L0030</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31994L0062</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32010L0075</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32000L0053</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32009L0126</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32012L0019</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32018L2001</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32008L0098</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32018L2001</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32011L0065</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32015L1513</w:t>
            </w: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31999L0031</w:t>
            </w: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32015L1513</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32019L0904</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32016L0802</w:t>
            </w: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32016L0802</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32009L0125</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32006L0066</w:t>
            </w: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32006L0066</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sz w:val="14"/>
                <w:szCs w:val="14"/>
              </w:rPr>
            </w:pPr>
            <w:r w:rsidRPr="002E7AC9">
              <w:rPr>
                <w:rFonts w:ascii="Calibri" w:eastAsia="Times New Roman" w:hAnsi="Calibri" w:cs="Calibri"/>
                <w:sz w:val="14"/>
                <w:szCs w:val="14"/>
              </w:rPr>
              <w:t>32003L0087</w:t>
            </w: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Calibri" w:eastAsia="Times New Roman" w:hAnsi="Calibri" w:cs="Calibri"/>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32005L0064</w:t>
            </w:r>
          </w:p>
        </w:tc>
        <w:tc>
          <w:tcPr>
            <w:tcW w:w="236" w:type="dxa"/>
            <w:tcBorders>
              <w:top w:val="nil"/>
              <w:left w:val="nil"/>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32010L0075</w:t>
            </w: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32018L0849</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nil"/>
              <w:right w:val="single" w:sz="4" w:space="0" w:color="auto"/>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r w:rsidRPr="002E7AC9">
              <w:rPr>
                <w:rFonts w:ascii="Calibri" w:eastAsia="Times New Roman" w:hAnsi="Calibri" w:cs="Calibri"/>
                <w:color w:val="000000"/>
                <w:sz w:val="14"/>
                <w:szCs w:val="14"/>
              </w:rPr>
              <w:t>32000L0053</w:t>
            </w: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vAlign w:val="bottom"/>
            <w:hideMark/>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hideMark/>
          </w:tcPr>
          <w:p w:rsidR="006A67BC" w:rsidRPr="002E7AC9" w:rsidRDefault="006A67BC" w:rsidP="004A216B">
            <w:pPr>
              <w:keepNext/>
              <w:spacing w:after="0" w:line="240" w:lineRule="auto"/>
              <w:rPr>
                <w:rFonts w:ascii="Times New Roman" w:eastAsia="Times New Roman" w:hAnsi="Times New Roman" w:cs="Times New Roman"/>
                <w:sz w:val="14"/>
                <w:szCs w:val="14"/>
              </w:rPr>
            </w:pPr>
          </w:p>
        </w:tc>
      </w:tr>
      <w:tr w:rsidR="006A67BC" w:rsidRPr="002E7AC9" w:rsidTr="004A216B">
        <w:trPr>
          <w:trHeight w:val="20"/>
          <w:jc w:val="center"/>
        </w:trPr>
        <w:tc>
          <w:tcPr>
            <w:tcW w:w="236" w:type="dxa"/>
            <w:tcBorders>
              <w:top w:val="nil"/>
              <w:left w:val="single" w:sz="4" w:space="0" w:color="auto"/>
              <w:bottom w:val="single" w:sz="4" w:space="0" w:color="auto"/>
              <w:right w:val="single" w:sz="4" w:space="0" w:color="auto"/>
            </w:tcBorders>
            <w:shd w:val="clear" w:color="auto" w:fill="auto"/>
            <w:noWrap/>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tcPr>
          <w:p w:rsidR="006A67BC" w:rsidRPr="002E7AC9" w:rsidRDefault="006A67BC" w:rsidP="004A216B">
            <w:pPr>
              <w:spacing w:after="0" w:line="240" w:lineRule="auto"/>
              <w:rPr>
                <w:rFonts w:ascii="Calibri" w:eastAsia="Times New Roman" w:hAnsi="Calibri" w:cs="Calibri"/>
                <w:color w:val="000000"/>
                <w:sz w:val="14"/>
                <w:szCs w:val="14"/>
              </w:rPr>
            </w:pPr>
          </w:p>
        </w:tc>
        <w:tc>
          <w:tcPr>
            <w:tcW w:w="236" w:type="dxa"/>
            <w:tcBorders>
              <w:top w:val="nil"/>
              <w:left w:val="nil"/>
              <w:bottom w:val="nil"/>
              <w:right w:val="nil"/>
            </w:tcBorders>
            <w:shd w:val="clear" w:color="auto" w:fill="auto"/>
            <w:noWrap/>
            <w:vAlign w:val="bottom"/>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vAlign w:val="bottom"/>
          </w:tcPr>
          <w:p w:rsidR="006A67BC" w:rsidRPr="002E7AC9" w:rsidRDefault="006A67BC" w:rsidP="004A216B">
            <w:pPr>
              <w:spacing w:after="0" w:line="240" w:lineRule="auto"/>
              <w:rPr>
                <w:rFonts w:ascii="Times New Roman" w:eastAsia="Times New Roman" w:hAnsi="Times New Roman" w:cs="Times New Roman"/>
                <w:sz w:val="14"/>
                <w:szCs w:val="14"/>
              </w:rPr>
            </w:pPr>
          </w:p>
        </w:tc>
        <w:tc>
          <w:tcPr>
            <w:tcW w:w="236" w:type="dxa"/>
            <w:tcBorders>
              <w:top w:val="nil"/>
              <w:left w:val="nil"/>
              <w:bottom w:val="nil"/>
              <w:right w:val="nil"/>
            </w:tcBorders>
            <w:shd w:val="clear" w:color="auto" w:fill="auto"/>
            <w:noWrap/>
          </w:tcPr>
          <w:p w:rsidR="006A67BC" w:rsidRPr="002E7AC9" w:rsidRDefault="006A67BC" w:rsidP="004A216B">
            <w:pPr>
              <w:keepNext/>
              <w:spacing w:after="0" w:line="240" w:lineRule="auto"/>
              <w:rPr>
                <w:rFonts w:ascii="Times New Roman" w:eastAsia="Times New Roman" w:hAnsi="Times New Roman" w:cs="Times New Roman"/>
                <w:sz w:val="14"/>
                <w:szCs w:val="14"/>
              </w:rPr>
            </w:pPr>
          </w:p>
        </w:tc>
      </w:tr>
    </w:tbl>
    <w:p w:rsidR="006A67BC" w:rsidRDefault="006A67BC" w:rsidP="006A67BC">
      <w:pPr>
        <w:jc w:val="center"/>
      </w:pPr>
    </w:p>
    <w:p w:rsidR="006A67BC" w:rsidRDefault="006A67BC" w:rsidP="006A67BC">
      <w:r>
        <w:br w:type="page"/>
      </w:r>
    </w:p>
    <w:p w:rsidR="006A67BC" w:rsidRDefault="006A67BC" w:rsidP="006A67BC">
      <w:pPr>
        <w:jc w:val="center"/>
        <w:sectPr w:rsidR="006A67BC" w:rsidSect="006A67BC">
          <w:pgSz w:w="11906" w:h="16838"/>
          <w:pgMar w:top="1440" w:right="1440" w:bottom="1440" w:left="1440" w:header="708" w:footer="708" w:gutter="0"/>
          <w:cols w:space="708"/>
          <w:docGrid w:linePitch="360"/>
        </w:sectPr>
      </w:pPr>
    </w:p>
    <w:p w:rsidR="006A67BC" w:rsidRDefault="006A67BC" w:rsidP="006A67BC">
      <w:pPr>
        <w:jc w:val="center"/>
      </w:pPr>
      <w:r>
        <w:rPr>
          <w:noProof/>
        </w:rPr>
        <w:lastRenderedPageBreak/>
        <w:drawing>
          <wp:inline distT="0" distB="0" distL="0" distR="0" wp14:anchorId="52D3CF82" wp14:editId="22CC805A">
            <wp:extent cx="6840000" cy="5040000"/>
            <wp:effectExtent l="0" t="0" r="18415" b="8255"/>
            <wp:docPr id="1872878385"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A67BC" w:rsidRDefault="006A67BC" w:rsidP="006A67BC">
      <w:pPr>
        <w:pStyle w:val="Caption"/>
      </w:pPr>
      <w:bookmarkStart w:id="20" w:name="_Toc149645517"/>
      <w:r>
        <w:t xml:space="preserve">Figure </w:t>
      </w:r>
      <w:r>
        <w:fldChar w:fldCharType="begin"/>
      </w:r>
      <w:r>
        <w:instrText xml:space="preserve"> SEQ Figure \* ARABIC </w:instrText>
      </w:r>
      <w:r>
        <w:fldChar w:fldCharType="separate"/>
      </w:r>
      <w:r>
        <w:rPr>
          <w:noProof/>
        </w:rPr>
        <w:t>7</w:t>
      </w:r>
      <w:r>
        <w:fldChar w:fldCharType="end"/>
      </w:r>
      <w:r>
        <w:t xml:space="preserve"> - % of synergies across 197 Directive sample and policy objectives - Raw materials extraction</w:t>
      </w:r>
      <w:bookmarkEnd w:id="20"/>
    </w:p>
    <w:p w:rsidR="006A67BC" w:rsidRDefault="006A67BC" w:rsidP="006A67BC">
      <w:pPr>
        <w:jc w:val="center"/>
      </w:pPr>
      <w:r>
        <w:rPr>
          <w:noProof/>
        </w:rPr>
        <w:lastRenderedPageBreak/>
        <w:drawing>
          <wp:inline distT="0" distB="0" distL="0" distR="0" wp14:anchorId="1A64B32C" wp14:editId="243A547C">
            <wp:extent cx="6840000" cy="5040000"/>
            <wp:effectExtent l="0" t="0" r="18415" b="8255"/>
            <wp:docPr id="831696821"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6A67BC" w:rsidRDefault="006A67BC" w:rsidP="006A67BC">
      <w:pPr>
        <w:pStyle w:val="Caption"/>
      </w:pPr>
      <w:bookmarkStart w:id="21" w:name="_Toc149645518"/>
      <w:r>
        <w:t xml:space="preserve">Figure </w:t>
      </w:r>
      <w:r>
        <w:fldChar w:fldCharType="begin"/>
      </w:r>
      <w:r>
        <w:instrText xml:space="preserve"> SEQ Figure \* ARABIC </w:instrText>
      </w:r>
      <w:r>
        <w:fldChar w:fldCharType="separate"/>
      </w:r>
      <w:r>
        <w:rPr>
          <w:noProof/>
        </w:rPr>
        <w:t>8</w:t>
      </w:r>
      <w:r>
        <w:fldChar w:fldCharType="end"/>
      </w:r>
      <w:r>
        <w:t xml:space="preserve"> – % of synergies across 197 Directive sample and policy objectives - Manufacturing of construction materials</w:t>
      </w:r>
      <w:bookmarkEnd w:id="21"/>
    </w:p>
    <w:p w:rsidR="006A67BC" w:rsidRDefault="006A67BC" w:rsidP="006A67BC">
      <w:pPr>
        <w:jc w:val="center"/>
      </w:pPr>
      <w:r>
        <w:rPr>
          <w:noProof/>
        </w:rPr>
        <w:lastRenderedPageBreak/>
        <w:drawing>
          <wp:inline distT="0" distB="0" distL="0" distR="0" wp14:anchorId="6CC7E70B" wp14:editId="4BF79492">
            <wp:extent cx="6840000" cy="5040000"/>
            <wp:effectExtent l="0" t="0" r="18415" b="8255"/>
            <wp:docPr id="605702330"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A67BC" w:rsidRDefault="006A67BC" w:rsidP="006A67BC">
      <w:pPr>
        <w:pStyle w:val="Caption"/>
      </w:pPr>
      <w:bookmarkStart w:id="22" w:name="_Toc149645519"/>
      <w:r>
        <w:t xml:space="preserve">Figure </w:t>
      </w:r>
      <w:r>
        <w:fldChar w:fldCharType="begin"/>
      </w:r>
      <w:r>
        <w:instrText xml:space="preserve"> SEQ Figure \* ARABIC </w:instrText>
      </w:r>
      <w:r>
        <w:fldChar w:fldCharType="separate"/>
      </w:r>
      <w:r>
        <w:rPr>
          <w:noProof/>
        </w:rPr>
        <w:t>9</w:t>
      </w:r>
      <w:r>
        <w:fldChar w:fldCharType="end"/>
      </w:r>
      <w:r>
        <w:t xml:space="preserve"> – % of synergies across 197 Directive sample and policy objectives - Transportation</w:t>
      </w:r>
      <w:bookmarkEnd w:id="22"/>
    </w:p>
    <w:p w:rsidR="006A67BC" w:rsidRDefault="006A67BC" w:rsidP="006A67BC"/>
    <w:p w:rsidR="006A67BC" w:rsidRDefault="006A67BC" w:rsidP="006A67BC">
      <w:pPr>
        <w:jc w:val="center"/>
      </w:pPr>
      <w:r>
        <w:rPr>
          <w:noProof/>
        </w:rPr>
        <w:lastRenderedPageBreak/>
        <w:drawing>
          <wp:inline distT="0" distB="0" distL="0" distR="0" wp14:anchorId="740B7D60" wp14:editId="77D5D1FE">
            <wp:extent cx="6840000" cy="5040000"/>
            <wp:effectExtent l="0" t="0" r="18415" b="8255"/>
            <wp:docPr id="707699826"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A67BC" w:rsidRDefault="006A67BC" w:rsidP="006A67BC">
      <w:pPr>
        <w:pStyle w:val="Caption"/>
      </w:pPr>
      <w:bookmarkStart w:id="23" w:name="_Toc149645520"/>
      <w:r>
        <w:t xml:space="preserve">Figure </w:t>
      </w:r>
      <w:r>
        <w:fldChar w:fldCharType="begin"/>
      </w:r>
      <w:r>
        <w:instrText xml:space="preserve"> SEQ Figure \* ARABIC </w:instrText>
      </w:r>
      <w:r>
        <w:fldChar w:fldCharType="separate"/>
      </w:r>
      <w:r>
        <w:rPr>
          <w:noProof/>
        </w:rPr>
        <w:t>10</w:t>
      </w:r>
      <w:r>
        <w:fldChar w:fldCharType="end"/>
      </w:r>
      <w:r>
        <w:t>-% of synergies across 197 Directive sample and policy objectives - Buildings construction and use</w:t>
      </w:r>
      <w:bookmarkEnd w:id="23"/>
    </w:p>
    <w:p w:rsidR="006A67BC" w:rsidRDefault="006A67BC" w:rsidP="006A67BC">
      <w:pPr>
        <w:jc w:val="center"/>
      </w:pPr>
      <w:r>
        <w:rPr>
          <w:noProof/>
        </w:rPr>
        <w:lastRenderedPageBreak/>
        <w:drawing>
          <wp:inline distT="0" distB="0" distL="0" distR="0" wp14:anchorId="60E602DE" wp14:editId="7308F9C1">
            <wp:extent cx="6840000" cy="5040000"/>
            <wp:effectExtent l="0" t="0" r="18415" b="8255"/>
            <wp:docPr id="877845577"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A67BC" w:rsidRDefault="006A67BC" w:rsidP="006A67BC">
      <w:pPr>
        <w:pStyle w:val="Caption"/>
      </w:pPr>
      <w:bookmarkStart w:id="24" w:name="_Toc149645521"/>
      <w:r>
        <w:t xml:space="preserve">Figure </w:t>
      </w:r>
      <w:r>
        <w:fldChar w:fldCharType="begin"/>
      </w:r>
      <w:r>
        <w:instrText xml:space="preserve"> SEQ Figure \* ARABIC </w:instrText>
      </w:r>
      <w:r>
        <w:fldChar w:fldCharType="separate"/>
      </w:r>
      <w:r>
        <w:rPr>
          <w:noProof/>
        </w:rPr>
        <w:t>11</w:t>
      </w:r>
      <w:r>
        <w:fldChar w:fldCharType="end"/>
      </w:r>
      <w:r>
        <w:t xml:space="preserve"> – % of synergies across 197 Directive sample and policy objectives - Renewable offshore energy construction and use</w:t>
      </w:r>
      <w:bookmarkEnd w:id="24"/>
    </w:p>
    <w:p w:rsidR="006A67BC" w:rsidRDefault="006A67BC" w:rsidP="006A67BC"/>
    <w:p w:rsidR="006A67BC" w:rsidRDefault="006A67BC" w:rsidP="006A67BC">
      <w:pPr>
        <w:jc w:val="center"/>
      </w:pPr>
      <w:r>
        <w:rPr>
          <w:noProof/>
        </w:rPr>
        <w:lastRenderedPageBreak/>
        <w:drawing>
          <wp:inline distT="0" distB="0" distL="0" distR="0" wp14:anchorId="3A624BA9" wp14:editId="67FD779F">
            <wp:extent cx="6839585" cy="5282746"/>
            <wp:effectExtent l="0" t="0" r="18415" b="13335"/>
            <wp:docPr id="1275874096" name="Gráfico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428FE48-5341-C0FC-631A-488A13FBA9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87A00" w:rsidRDefault="006A67BC" w:rsidP="006A67BC">
      <w:pPr>
        <w:pStyle w:val="Caption"/>
      </w:pPr>
      <w:bookmarkStart w:id="25" w:name="_Toc149645522"/>
      <w:r>
        <w:t xml:space="preserve">Figure </w:t>
      </w:r>
      <w:r>
        <w:fldChar w:fldCharType="begin"/>
      </w:r>
      <w:r>
        <w:instrText xml:space="preserve"> SEQ Figure \* ARABIC </w:instrText>
      </w:r>
      <w:r>
        <w:fldChar w:fldCharType="separate"/>
      </w:r>
      <w:r>
        <w:rPr>
          <w:noProof/>
        </w:rPr>
        <w:t>12</w:t>
      </w:r>
      <w:r>
        <w:fldChar w:fldCharType="end"/>
      </w:r>
      <w:r>
        <w:t xml:space="preserve"> – % of synergies across 197 Directive sample and policy objectives - Waste management</w:t>
      </w:r>
      <w:bookmarkStart w:id="26" w:name="_GoBack"/>
      <w:bookmarkEnd w:id="25"/>
      <w:bookmarkEnd w:id="26"/>
    </w:p>
    <w:sectPr w:rsidR="00187A00" w:rsidSect="003F282F">
      <w:footerReference w:type="default" r:id="rId12"/>
      <w:type w:val="continuous"/>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053763"/>
      <w:docPartObj>
        <w:docPartGallery w:val="Page Numbers (Bottom of Page)"/>
        <w:docPartUnique/>
      </w:docPartObj>
    </w:sdtPr>
    <w:sdtEndPr>
      <w:rPr>
        <w:noProof/>
        <w:sz w:val="16"/>
        <w:szCs w:val="16"/>
      </w:rPr>
    </w:sdtEndPr>
    <w:sdtContent>
      <w:p w:rsidR="00B33672" w:rsidRPr="00C83BA3" w:rsidRDefault="006A67BC" w:rsidP="00C220C1">
        <w:pPr>
          <w:pStyle w:val="Footer"/>
          <w:jc w:val="right"/>
          <w:rPr>
            <w:sz w:val="16"/>
            <w:szCs w:val="16"/>
          </w:rPr>
        </w:pPr>
        <w:r w:rsidRPr="00C83BA3">
          <w:rPr>
            <w:sz w:val="16"/>
            <w:szCs w:val="16"/>
          </w:rPr>
          <w:fldChar w:fldCharType="begin"/>
        </w:r>
        <w:r w:rsidRPr="00C83BA3">
          <w:rPr>
            <w:sz w:val="16"/>
            <w:szCs w:val="16"/>
          </w:rPr>
          <w:instrText xml:space="preserve"> PAGE   \* MERGEFORMAT </w:instrText>
        </w:r>
        <w:r w:rsidRPr="00C83BA3">
          <w:rPr>
            <w:sz w:val="16"/>
            <w:szCs w:val="16"/>
          </w:rPr>
          <w:fldChar w:fldCharType="separate"/>
        </w:r>
        <w:r>
          <w:rPr>
            <w:noProof/>
            <w:sz w:val="16"/>
            <w:szCs w:val="16"/>
          </w:rPr>
          <w:t>14</w:t>
        </w:r>
        <w:r w:rsidRPr="00C83BA3">
          <w:rPr>
            <w:noProof/>
            <w:sz w:val="16"/>
            <w:szCs w:val="16"/>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65342D"/>
    <w:multiLevelType w:val="multilevel"/>
    <w:tmpl w:val="AEA8DDC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7BC"/>
    <w:rsid w:val="00000D44"/>
    <w:rsid w:val="00001415"/>
    <w:rsid w:val="00001AAF"/>
    <w:rsid w:val="0000233C"/>
    <w:rsid w:val="00002CC2"/>
    <w:rsid w:val="00003922"/>
    <w:rsid w:val="00004B6B"/>
    <w:rsid w:val="00004D54"/>
    <w:rsid w:val="00005187"/>
    <w:rsid w:val="00005349"/>
    <w:rsid w:val="00006C89"/>
    <w:rsid w:val="00006D26"/>
    <w:rsid w:val="00006D9C"/>
    <w:rsid w:val="00007501"/>
    <w:rsid w:val="000111BB"/>
    <w:rsid w:val="00011433"/>
    <w:rsid w:val="0001172D"/>
    <w:rsid w:val="00011D83"/>
    <w:rsid w:val="00013870"/>
    <w:rsid w:val="00015574"/>
    <w:rsid w:val="00015DC2"/>
    <w:rsid w:val="0001616C"/>
    <w:rsid w:val="0002002E"/>
    <w:rsid w:val="00020D08"/>
    <w:rsid w:val="00021839"/>
    <w:rsid w:val="00021A37"/>
    <w:rsid w:val="00021D09"/>
    <w:rsid w:val="000226D4"/>
    <w:rsid w:val="00023147"/>
    <w:rsid w:val="000234E6"/>
    <w:rsid w:val="000241A7"/>
    <w:rsid w:val="00024635"/>
    <w:rsid w:val="00024834"/>
    <w:rsid w:val="0002504C"/>
    <w:rsid w:val="00027602"/>
    <w:rsid w:val="000301A0"/>
    <w:rsid w:val="00030705"/>
    <w:rsid w:val="00030952"/>
    <w:rsid w:val="00031122"/>
    <w:rsid w:val="00031382"/>
    <w:rsid w:val="00031EAA"/>
    <w:rsid w:val="000322CA"/>
    <w:rsid w:val="00032752"/>
    <w:rsid w:val="00033C12"/>
    <w:rsid w:val="00033DC5"/>
    <w:rsid w:val="00033F71"/>
    <w:rsid w:val="0003425C"/>
    <w:rsid w:val="00034327"/>
    <w:rsid w:val="0003445E"/>
    <w:rsid w:val="0003462C"/>
    <w:rsid w:val="000348A1"/>
    <w:rsid w:val="000348BD"/>
    <w:rsid w:val="000348E2"/>
    <w:rsid w:val="000350AC"/>
    <w:rsid w:val="0003517C"/>
    <w:rsid w:val="000353A0"/>
    <w:rsid w:val="00035794"/>
    <w:rsid w:val="00035F9D"/>
    <w:rsid w:val="00036A11"/>
    <w:rsid w:val="00040133"/>
    <w:rsid w:val="0004184B"/>
    <w:rsid w:val="00041F56"/>
    <w:rsid w:val="0004250A"/>
    <w:rsid w:val="00042B0A"/>
    <w:rsid w:val="00042FA0"/>
    <w:rsid w:val="000431CE"/>
    <w:rsid w:val="0004379E"/>
    <w:rsid w:val="00044020"/>
    <w:rsid w:val="000443F1"/>
    <w:rsid w:val="0004453D"/>
    <w:rsid w:val="00044B4B"/>
    <w:rsid w:val="00045443"/>
    <w:rsid w:val="00045883"/>
    <w:rsid w:val="000460BC"/>
    <w:rsid w:val="00046296"/>
    <w:rsid w:val="000465D2"/>
    <w:rsid w:val="00046F8D"/>
    <w:rsid w:val="0004704F"/>
    <w:rsid w:val="000474B1"/>
    <w:rsid w:val="00047D76"/>
    <w:rsid w:val="000500F5"/>
    <w:rsid w:val="000525D9"/>
    <w:rsid w:val="00052FE1"/>
    <w:rsid w:val="00054121"/>
    <w:rsid w:val="000541D4"/>
    <w:rsid w:val="00055D75"/>
    <w:rsid w:val="000569F3"/>
    <w:rsid w:val="00061288"/>
    <w:rsid w:val="00062716"/>
    <w:rsid w:val="00062F08"/>
    <w:rsid w:val="00063854"/>
    <w:rsid w:val="00064910"/>
    <w:rsid w:val="00064C53"/>
    <w:rsid w:val="00065529"/>
    <w:rsid w:val="00065A34"/>
    <w:rsid w:val="0006626F"/>
    <w:rsid w:val="00066278"/>
    <w:rsid w:val="0006778A"/>
    <w:rsid w:val="00067B82"/>
    <w:rsid w:val="000707CB"/>
    <w:rsid w:val="00071133"/>
    <w:rsid w:val="00071668"/>
    <w:rsid w:val="00071B5C"/>
    <w:rsid w:val="000734E5"/>
    <w:rsid w:val="000743A8"/>
    <w:rsid w:val="00074BA6"/>
    <w:rsid w:val="00074BC6"/>
    <w:rsid w:val="00075843"/>
    <w:rsid w:val="00075D20"/>
    <w:rsid w:val="000765DF"/>
    <w:rsid w:val="00076A38"/>
    <w:rsid w:val="0007730A"/>
    <w:rsid w:val="0007731C"/>
    <w:rsid w:val="00077699"/>
    <w:rsid w:val="00077780"/>
    <w:rsid w:val="00077CD3"/>
    <w:rsid w:val="00080EFB"/>
    <w:rsid w:val="00081672"/>
    <w:rsid w:val="00081B54"/>
    <w:rsid w:val="00081C4E"/>
    <w:rsid w:val="000821F9"/>
    <w:rsid w:val="000840D9"/>
    <w:rsid w:val="0008561C"/>
    <w:rsid w:val="00085785"/>
    <w:rsid w:val="000857C0"/>
    <w:rsid w:val="00085A57"/>
    <w:rsid w:val="00085A8E"/>
    <w:rsid w:val="00085C2E"/>
    <w:rsid w:val="0008671D"/>
    <w:rsid w:val="00086992"/>
    <w:rsid w:val="00086BDD"/>
    <w:rsid w:val="000877E4"/>
    <w:rsid w:val="00091045"/>
    <w:rsid w:val="0009130D"/>
    <w:rsid w:val="00091DE6"/>
    <w:rsid w:val="00092D05"/>
    <w:rsid w:val="00093015"/>
    <w:rsid w:val="00093684"/>
    <w:rsid w:val="000936D4"/>
    <w:rsid w:val="00094FBC"/>
    <w:rsid w:val="00095BB3"/>
    <w:rsid w:val="00096287"/>
    <w:rsid w:val="0009633D"/>
    <w:rsid w:val="000963D7"/>
    <w:rsid w:val="0009664D"/>
    <w:rsid w:val="00096D73"/>
    <w:rsid w:val="00097016"/>
    <w:rsid w:val="00097A44"/>
    <w:rsid w:val="00097B31"/>
    <w:rsid w:val="00097DDB"/>
    <w:rsid w:val="00097EE5"/>
    <w:rsid w:val="000A025A"/>
    <w:rsid w:val="000A048A"/>
    <w:rsid w:val="000A0941"/>
    <w:rsid w:val="000A1D83"/>
    <w:rsid w:val="000A4676"/>
    <w:rsid w:val="000A5E1B"/>
    <w:rsid w:val="000A6A0A"/>
    <w:rsid w:val="000A6DA3"/>
    <w:rsid w:val="000A73BB"/>
    <w:rsid w:val="000A76F3"/>
    <w:rsid w:val="000A7D82"/>
    <w:rsid w:val="000B075D"/>
    <w:rsid w:val="000B0F43"/>
    <w:rsid w:val="000B1B8A"/>
    <w:rsid w:val="000B1C8D"/>
    <w:rsid w:val="000B22AD"/>
    <w:rsid w:val="000B2CCE"/>
    <w:rsid w:val="000B2DFE"/>
    <w:rsid w:val="000B3CD8"/>
    <w:rsid w:val="000B480F"/>
    <w:rsid w:val="000B5DBE"/>
    <w:rsid w:val="000B6B26"/>
    <w:rsid w:val="000B6D60"/>
    <w:rsid w:val="000B7327"/>
    <w:rsid w:val="000B791F"/>
    <w:rsid w:val="000B79CA"/>
    <w:rsid w:val="000B7D2E"/>
    <w:rsid w:val="000C0082"/>
    <w:rsid w:val="000C01BE"/>
    <w:rsid w:val="000C03E4"/>
    <w:rsid w:val="000C1D18"/>
    <w:rsid w:val="000C1E80"/>
    <w:rsid w:val="000C1ED4"/>
    <w:rsid w:val="000C1F7E"/>
    <w:rsid w:val="000C2B1B"/>
    <w:rsid w:val="000C3018"/>
    <w:rsid w:val="000C354A"/>
    <w:rsid w:val="000C36FB"/>
    <w:rsid w:val="000C3F7D"/>
    <w:rsid w:val="000C403D"/>
    <w:rsid w:val="000C4517"/>
    <w:rsid w:val="000C529E"/>
    <w:rsid w:val="000C577B"/>
    <w:rsid w:val="000C5850"/>
    <w:rsid w:val="000C5959"/>
    <w:rsid w:val="000C68FC"/>
    <w:rsid w:val="000C6F79"/>
    <w:rsid w:val="000C77D6"/>
    <w:rsid w:val="000C7874"/>
    <w:rsid w:val="000C7B86"/>
    <w:rsid w:val="000C7C09"/>
    <w:rsid w:val="000C7EF0"/>
    <w:rsid w:val="000D0039"/>
    <w:rsid w:val="000D0A8B"/>
    <w:rsid w:val="000D0A92"/>
    <w:rsid w:val="000D12AF"/>
    <w:rsid w:val="000D1DFB"/>
    <w:rsid w:val="000D2AAE"/>
    <w:rsid w:val="000D2B78"/>
    <w:rsid w:val="000D2C1B"/>
    <w:rsid w:val="000D34F4"/>
    <w:rsid w:val="000D3775"/>
    <w:rsid w:val="000D3921"/>
    <w:rsid w:val="000D3994"/>
    <w:rsid w:val="000D3A17"/>
    <w:rsid w:val="000D42C6"/>
    <w:rsid w:val="000D691A"/>
    <w:rsid w:val="000D6EC6"/>
    <w:rsid w:val="000D7324"/>
    <w:rsid w:val="000D7844"/>
    <w:rsid w:val="000D7A13"/>
    <w:rsid w:val="000E0F6E"/>
    <w:rsid w:val="000E0FEA"/>
    <w:rsid w:val="000E11C0"/>
    <w:rsid w:val="000E1EB1"/>
    <w:rsid w:val="000E206C"/>
    <w:rsid w:val="000E20CD"/>
    <w:rsid w:val="000E390D"/>
    <w:rsid w:val="000E44AD"/>
    <w:rsid w:val="000E46EA"/>
    <w:rsid w:val="000E4A7A"/>
    <w:rsid w:val="000E517B"/>
    <w:rsid w:val="000E54E7"/>
    <w:rsid w:val="000E5E31"/>
    <w:rsid w:val="000E62A7"/>
    <w:rsid w:val="000E6432"/>
    <w:rsid w:val="000E653D"/>
    <w:rsid w:val="000E7F0F"/>
    <w:rsid w:val="000F2591"/>
    <w:rsid w:val="000F2D77"/>
    <w:rsid w:val="000F33E0"/>
    <w:rsid w:val="000F3D09"/>
    <w:rsid w:val="000F4806"/>
    <w:rsid w:val="000F4EF6"/>
    <w:rsid w:val="000F5B10"/>
    <w:rsid w:val="000F6204"/>
    <w:rsid w:val="000F6484"/>
    <w:rsid w:val="000F6CCC"/>
    <w:rsid w:val="000F6F4A"/>
    <w:rsid w:val="000F7892"/>
    <w:rsid w:val="000F7ACD"/>
    <w:rsid w:val="000F7C00"/>
    <w:rsid w:val="00100539"/>
    <w:rsid w:val="00100A14"/>
    <w:rsid w:val="00100CC7"/>
    <w:rsid w:val="001020BA"/>
    <w:rsid w:val="001025C7"/>
    <w:rsid w:val="00102B5D"/>
    <w:rsid w:val="00102D4D"/>
    <w:rsid w:val="001037D5"/>
    <w:rsid w:val="001039E7"/>
    <w:rsid w:val="001039F4"/>
    <w:rsid w:val="00104B72"/>
    <w:rsid w:val="00104F01"/>
    <w:rsid w:val="00104F43"/>
    <w:rsid w:val="00105191"/>
    <w:rsid w:val="00105568"/>
    <w:rsid w:val="001058B3"/>
    <w:rsid w:val="001061B5"/>
    <w:rsid w:val="00106628"/>
    <w:rsid w:val="00106A62"/>
    <w:rsid w:val="00107B88"/>
    <w:rsid w:val="0011053F"/>
    <w:rsid w:val="00111034"/>
    <w:rsid w:val="00111244"/>
    <w:rsid w:val="00111356"/>
    <w:rsid w:val="001118A3"/>
    <w:rsid w:val="00111C45"/>
    <w:rsid w:val="00113703"/>
    <w:rsid w:val="00113945"/>
    <w:rsid w:val="001140A4"/>
    <w:rsid w:val="00114715"/>
    <w:rsid w:val="001154BB"/>
    <w:rsid w:val="001156AE"/>
    <w:rsid w:val="00115DEC"/>
    <w:rsid w:val="00116791"/>
    <w:rsid w:val="00116876"/>
    <w:rsid w:val="00116D61"/>
    <w:rsid w:val="0011718A"/>
    <w:rsid w:val="00117521"/>
    <w:rsid w:val="00117AAD"/>
    <w:rsid w:val="00117CAE"/>
    <w:rsid w:val="00117E0D"/>
    <w:rsid w:val="00120530"/>
    <w:rsid w:val="001216C5"/>
    <w:rsid w:val="00123143"/>
    <w:rsid w:val="0012323A"/>
    <w:rsid w:val="001232C1"/>
    <w:rsid w:val="00123401"/>
    <w:rsid w:val="001237D3"/>
    <w:rsid w:val="00123820"/>
    <w:rsid w:val="00123EF4"/>
    <w:rsid w:val="001247EC"/>
    <w:rsid w:val="00125FB6"/>
    <w:rsid w:val="0012693B"/>
    <w:rsid w:val="00127830"/>
    <w:rsid w:val="00130C45"/>
    <w:rsid w:val="00131408"/>
    <w:rsid w:val="00131C7A"/>
    <w:rsid w:val="00131E95"/>
    <w:rsid w:val="00131F85"/>
    <w:rsid w:val="00132A42"/>
    <w:rsid w:val="00132FDB"/>
    <w:rsid w:val="0013436D"/>
    <w:rsid w:val="00134A10"/>
    <w:rsid w:val="00134C54"/>
    <w:rsid w:val="0013509A"/>
    <w:rsid w:val="00135FC3"/>
    <w:rsid w:val="00136776"/>
    <w:rsid w:val="00136815"/>
    <w:rsid w:val="00137058"/>
    <w:rsid w:val="001372A8"/>
    <w:rsid w:val="00137951"/>
    <w:rsid w:val="00137D97"/>
    <w:rsid w:val="00140562"/>
    <w:rsid w:val="00140672"/>
    <w:rsid w:val="00140ED8"/>
    <w:rsid w:val="001413F6"/>
    <w:rsid w:val="001421E4"/>
    <w:rsid w:val="0014339C"/>
    <w:rsid w:val="001437C9"/>
    <w:rsid w:val="00143860"/>
    <w:rsid w:val="001440EF"/>
    <w:rsid w:val="00144967"/>
    <w:rsid w:val="001449D3"/>
    <w:rsid w:val="001459B3"/>
    <w:rsid w:val="001472D1"/>
    <w:rsid w:val="00147428"/>
    <w:rsid w:val="00150E43"/>
    <w:rsid w:val="00150FD5"/>
    <w:rsid w:val="00151154"/>
    <w:rsid w:val="001514D7"/>
    <w:rsid w:val="00151A0E"/>
    <w:rsid w:val="00151ABD"/>
    <w:rsid w:val="00152033"/>
    <w:rsid w:val="00152A18"/>
    <w:rsid w:val="00152E76"/>
    <w:rsid w:val="00153B53"/>
    <w:rsid w:val="00154A24"/>
    <w:rsid w:val="00154DFC"/>
    <w:rsid w:val="00155013"/>
    <w:rsid w:val="001554E4"/>
    <w:rsid w:val="0015591C"/>
    <w:rsid w:val="00155C3C"/>
    <w:rsid w:val="0015637F"/>
    <w:rsid w:val="00156883"/>
    <w:rsid w:val="00156916"/>
    <w:rsid w:val="00156B2E"/>
    <w:rsid w:val="0015764A"/>
    <w:rsid w:val="00161460"/>
    <w:rsid w:val="001614C6"/>
    <w:rsid w:val="001624FB"/>
    <w:rsid w:val="001658B6"/>
    <w:rsid w:val="001667D3"/>
    <w:rsid w:val="00166860"/>
    <w:rsid w:val="00166F9D"/>
    <w:rsid w:val="00167298"/>
    <w:rsid w:val="00167EEA"/>
    <w:rsid w:val="001700C8"/>
    <w:rsid w:val="0017081F"/>
    <w:rsid w:val="001716F5"/>
    <w:rsid w:val="00171D3E"/>
    <w:rsid w:val="00171F61"/>
    <w:rsid w:val="00172196"/>
    <w:rsid w:val="00172D6F"/>
    <w:rsid w:val="00173019"/>
    <w:rsid w:val="00173107"/>
    <w:rsid w:val="001738BA"/>
    <w:rsid w:val="00174111"/>
    <w:rsid w:val="0017579E"/>
    <w:rsid w:val="00175AF6"/>
    <w:rsid w:val="00176326"/>
    <w:rsid w:val="00176720"/>
    <w:rsid w:val="00176881"/>
    <w:rsid w:val="0017695F"/>
    <w:rsid w:val="00176B97"/>
    <w:rsid w:val="00177C52"/>
    <w:rsid w:val="00177E55"/>
    <w:rsid w:val="00177F2D"/>
    <w:rsid w:val="00180276"/>
    <w:rsid w:val="00180F33"/>
    <w:rsid w:val="001814CD"/>
    <w:rsid w:val="001815F8"/>
    <w:rsid w:val="0018188E"/>
    <w:rsid w:val="0018221D"/>
    <w:rsid w:val="00182DCC"/>
    <w:rsid w:val="00184538"/>
    <w:rsid w:val="00184606"/>
    <w:rsid w:val="00184B54"/>
    <w:rsid w:val="00184D51"/>
    <w:rsid w:val="00185033"/>
    <w:rsid w:val="001852C0"/>
    <w:rsid w:val="0018562A"/>
    <w:rsid w:val="00186591"/>
    <w:rsid w:val="00187A00"/>
    <w:rsid w:val="001900E6"/>
    <w:rsid w:val="001902E5"/>
    <w:rsid w:val="00190633"/>
    <w:rsid w:val="001906CC"/>
    <w:rsid w:val="00191068"/>
    <w:rsid w:val="001917DB"/>
    <w:rsid w:val="001918BE"/>
    <w:rsid w:val="00191EE0"/>
    <w:rsid w:val="00192196"/>
    <w:rsid w:val="001921F8"/>
    <w:rsid w:val="001926B3"/>
    <w:rsid w:val="00192F8F"/>
    <w:rsid w:val="00193655"/>
    <w:rsid w:val="00193846"/>
    <w:rsid w:val="00193D1C"/>
    <w:rsid w:val="00193E0A"/>
    <w:rsid w:val="00194BA2"/>
    <w:rsid w:val="0019525C"/>
    <w:rsid w:val="001958F1"/>
    <w:rsid w:val="00196284"/>
    <w:rsid w:val="0019687D"/>
    <w:rsid w:val="00196E8F"/>
    <w:rsid w:val="00197468"/>
    <w:rsid w:val="001A0141"/>
    <w:rsid w:val="001A0547"/>
    <w:rsid w:val="001A13D6"/>
    <w:rsid w:val="001A2622"/>
    <w:rsid w:val="001A2DF3"/>
    <w:rsid w:val="001A2F76"/>
    <w:rsid w:val="001A3573"/>
    <w:rsid w:val="001A36C3"/>
    <w:rsid w:val="001A3DB0"/>
    <w:rsid w:val="001A502D"/>
    <w:rsid w:val="001A5DFA"/>
    <w:rsid w:val="001A6575"/>
    <w:rsid w:val="001A6836"/>
    <w:rsid w:val="001A69A9"/>
    <w:rsid w:val="001A6E6E"/>
    <w:rsid w:val="001B0C3E"/>
    <w:rsid w:val="001B0DC3"/>
    <w:rsid w:val="001B1686"/>
    <w:rsid w:val="001B16F4"/>
    <w:rsid w:val="001B2124"/>
    <w:rsid w:val="001B33FB"/>
    <w:rsid w:val="001B3AA6"/>
    <w:rsid w:val="001B3EF2"/>
    <w:rsid w:val="001B5C8E"/>
    <w:rsid w:val="001B5D4F"/>
    <w:rsid w:val="001B6271"/>
    <w:rsid w:val="001B6EFD"/>
    <w:rsid w:val="001B74D8"/>
    <w:rsid w:val="001C0160"/>
    <w:rsid w:val="001C21B7"/>
    <w:rsid w:val="001C2259"/>
    <w:rsid w:val="001C2B41"/>
    <w:rsid w:val="001C30FA"/>
    <w:rsid w:val="001C4C5B"/>
    <w:rsid w:val="001C53D6"/>
    <w:rsid w:val="001C580E"/>
    <w:rsid w:val="001C5FB1"/>
    <w:rsid w:val="001C6084"/>
    <w:rsid w:val="001C71F8"/>
    <w:rsid w:val="001C7212"/>
    <w:rsid w:val="001C72F5"/>
    <w:rsid w:val="001D0901"/>
    <w:rsid w:val="001D0ED2"/>
    <w:rsid w:val="001D11C7"/>
    <w:rsid w:val="001D1CA8"/>
    <w:rsid w:val="001D1F3C"/>
    <w:rsid w:val="001D208F"/>
    <w:rsid w:val="001D2D3A"/>
    <w:rsid w:val="001D32C5"/>
    <w:rsid w:val="001D372C"/>
    <w:rsid w:val="001D38C9"/>
    <w:rsid w:val="001D3CF7"/>
    <w:rsid w:val="001D4775"/>
    <w:rsid w:val="001D4806"/>
    <w:rsid w:val="001D568A"/>
    <w:rsid w:val="001D6FBB"/>
    <w:rsid w:val="001D7199"/>
    <w:rsid w:val="001D77CF"/>
    <w:rsid w:val="001E013A"/>
    <w:rsid w:val="001E2499"/>
    <w:rsid w:val="001E2C3A"/>
    <w:rsid w:val="001E2CF0"/>
    <w:rsid w:val="001E366B"/>
    <w:rsid w:val="001E426C"/>
    <w:rsid w:val="001E553C"/>
    <w:rsid w:val="001E6F6C"/>
    <w:rsid w:val="001F07B6"/>
    <w:rsid w:val="001F0F40"/>
    <w:rsid w:val="001F10B7"/>
    <w:rsid w:val="001F1969"/>
    <w:rsid w:val="001F1D7B"/>
    <w:rsid w:val="001F2CB7"/>
    <w:rsid w:val="001F3A14"/>
    <w:rsid w:val="001F40AB"/>
    <w:rsid w:val="001F4413"/>
    <w:rsid w:val="001F6CB9"/>
    <w:rsid w:val="001F7962"/>
    <w:rsid w:val="001F7E79"/>
    <w:rsid w:val="002002DB"/>
    <w:rsid w:val="00200FE1"/>
    <w:rsid w:val="002015B1"/>
    <w:rsid w:val="002015F3"/>
    <w:rsid w:val="002028AE"/>
    <w:rsid w:val="00202BF7"/>
    <w:rsid w:val="00202FD7"/>
    <w:rsid w:val="00203E8F"/>
    <w:rsid w:val="00204779"/>
    <w:rsid w:val="0020682B"/>
    <w:rsid w:val="00206D5A"/>
    <w:rsid w:val="00210CE6"/>
    <w:rsid w:val="00211645"/>
    <w:rsid w:val="00212917"/>
    <w:rsid w:val="0021367A"/>
    <w:rsid w:val="002138C3"/>
    <w:rsid w:val="00213BC1"/>
    <w:rsid w:val="00216169"/>
    <w:rsid w:val="002163EE"/>
    <w:rsid w:val="00220A50"/>
    <w:rsid w:val="00220D47"/>
    <w:rsid w:val="00220D48"/>
    <w:rsid w:val="00220FB3"/>
    <w:rsid w:val="0022181D"/>
    <w:rsid w:val="00222FD6"/>
    <w:rsid w:val="00224BEE"/>
    <w:rsid w:val="00224DB2"/>
    <w:rsid w:val="00225183"/>
    <w:rsid w:val="002252C1"/>
    <w:rsid w:val="00225698"/>
    <w:rsid w:val="00225F12"/>
    <w:rsid w:val="002260D0"/>
    <w:rsid w:val="00226AA8"/>
    <w:rsid w:val="00226FC7"/>
    <w:rsid w:val="00227DCD"/>
    <w:rsid w:val="00227FC7"/>
    <w:rsid w:val="002307DE"/>
    <w:rsid w:val="00230B73"/>
    <w:rsid w:val="00230BC4"/>
    <w:rsid w:val="00230E64"/>
    <w:rsid w:val="00230F9C"/>
    <w:rsid w:val="00231813"/>
    <w:rsid w:val="00231CBE"/>
    <w:rsid w:val="00232C50"/>
    <w:rsid w:val="0023335F"/>
    <w:rsid w:val="0023390A"/>
    <w:rsid w:val="0023393D"/>
    <w:rsid w:val="00233B6F"/>
    <w:rsid w:val="00233BDC"/>
    <w:rsid w:val="00234249"/>
    <w:rsid w:val="0023453E"/>
    <w:rsid w:val="002349BE"/>
    <w:rsid w:val="002351CB"/>
    <w:rsid w:val="00235D3A"/>
    <w:rsid w:val="00236243"/>
    <w:rsid w:val="002364DB"/>
    <w:rsid w:val="00236D05"/>
    <w:rsid w:val="002370CA"/>
    <w:rsid w:val="002374E9"/>
    <w:rsid w:val="00237F70"/>
    <w:rsid w:val="002401E2"/>
    <w:rsid w:val="00240518"/>
    <w:rsid w:val="0024068A"/>
    <w:rsid w:val="00240CDA"/>
    <w:rsid w:val="00240E43"/>
    <w:rsid w:val="00240FC3"/>
    <w:rsid w:val="002415B2"/>
    <w:rsid w:val="00242AFB"/>
    <w:rsid w:val="00242CE9"/>
    <w:rsid w:val="00242D1C"/>
    <w:rsid w:val="002432B0"/>
    <w:rsid w:val="002440E4"/>
    <w:rsid w:val="00245FA3"/>
    <w:rsid w:val="00246785"/>
    <w:rsid w:val="00246F53"/>
    <w:rsid w:val="00247530"/>
    <w:rsid w:val="00250AC3"/>
    <w:rsid w:val="00250B8C"/>
    <w:rsid w:val="00250EF9"/>
    <w:rsid w:val="00251430"/>
    <w:rsid w:val="002514CD"/>
    <w:rsid w:val="00252575"/>
    <w:rsid w:val="0025299B"/>
    <w:rsid w:val="00252C62"/>
    <w:rsid w:val="00252E3E"/>
    <w:rsid w:val="00253775"/>
    <w:rsid w:val="00253ABC"/>
    <w:rsid w:val="00254938"/>
    <w:rsid w:val="002549DC"/>
    <w:rsid w:val="00255720"/>
    <w:rsid w:val="002567D7"/>
    <w:rsid w:val="00257479"/>
    <w:rsid w:val="00257626"/>
    <w:rsid w:val="00257F27"/>
    <w:rsid w:val="00261205"/>
    <w:rsid w:val="0026157C"/>
    <w:rsid w:val="002622A8"/>
    <w:rsid w:val="002629A9"/>
    <w:rsid w:val="002629AC"/>
    <w:rsid w:val="00265C0B"/>
    <w:rsid w:val="002666AF"/>
    <w:rsid w:val="00266A04"/>
    <w:rsid w:val="00266BDA"/>
    <w:rsid w:val="00266D01"/>
    <w:rsid w:val="00270253"/>
    <w:rsid w:val="00270903"/>
    <w:rsid w:val="00272904"/>
    <w:rsid w:val="00273D50"/>
    <w:rsid w:val="0027411A"/>
    <w:rsid w:val="002746B5"/>
    <w:rsid w:val="00274944"/>
    <w:rsid w:val="00274F99"/>
    <w:rsid w:val="00275364"/>
    <w:rsid w:val="00276A5C"/>
    <w:rsid w:val="0028014E"/>
    <w:rsid w:val="002802D7"/>
    <w:rsid w:val="002807AB"/>
    <w:rsid w:val="002808A6"/>
    <w:rsid w:val="0028393B"/>
    <w:rsid w:val="00283E54"/>
    <w:rsid w:val="00283FF9"/>
    <w:rsid w:val="00285F8D"/>
    <w:rsid w:val="00286949"/>
    <w:rsid w:val="00286A9A"/>
    <w:rsid w:val="002914D9"/>
    <w:rsid w:val="00291576"/>
    <w:rsid w:val="00292289"/>
    <w:rsid w:val="00293182"/>
    <w:rsid w:val="00293251"/>
    <w:rsid w:val="002936AF"/>
    <w:rsid w:val="00293D54"/>
    <w:rsid w:val="002942EC"/>
    <w:rsid w:val="00294399"/>
    <w:rsid w:val="00294701"/>
    <w:rsid w:val="00294C79"/>
    <w:rsid w:val="00295746"/>
    <w:rsid w:val="002958DC"/>
    <w:rsid w:val="00296D57"/>
    <w:rsid w:val="00296E80"/>
    <w:rsid w:val="00296F6F"/>
    <w:rsid w:val="00297D9F"/>
    <w:rsid w:val="00297E0A"/>
    <w:rsid w:val="002A1203"/>
    <w:rsid w:val="002A12F2"/>
    <w:rsid w:val="002A1AE0"/>
    <w:rsid w:val="002A222C"/>
    <w:rsid w:val="002A2552"/>
    <w:rsid w:val="002A30E1"/>
    <w:rsid w:val="002A3C8E"/>
    <w:rsid w:val="002A5A26"/>
    <w:rsid w:val="002A65F9"/>
    <w:rsid w:val="002A67B4"/>
    <w:rsid w:val="002A764F"/>
    <w:rsid w:val="002A775A"/>
    <w:rsid w:val="002A7772"/>
    <w:rsid w:val="002B0071"/>
    <w:rsid w:val="002B0B9E"/>
    <w:rsid w:val="002B0F19"/>
    <w:rsid w:val="002B1009"/>
    <w:rsid w:val="002B1697"/>
    <w:rsid w:val="002B20D7"/>
    <w:rsid w:val="002B215A"/>
    <w:rsid w:val="002B2720"/>
    <w:rsid w:val="002B2985"/>
    <w:rsid w:val="002B3C6E"/>
    <w:rsid w:val="002B47AA"/>
    <w:rsid w:val="002B4825"/>
    <w:rsid w:val="002B493B"/>
    <w:rsid w:val="002B515A"/>
    <w:rsid w:val="002B53D0"/>
    <w:rsid w:val="002B5B73"/>
    <w:rsid w:val="002B7901"/>
    <w:rsid w:val="002B79DD"/>
    <w:rsid w:val="002C017F"/>
    <w:rsid w:val="002C03AF"/>
    <w:rsid w:val="002C051F"/>
    <w:rsid w:val="002C0F3A"/>
    <w:rsid w:val="002C1832"/>
    <w:rsid w:val="002C3A4B"/>
    <w:rsid w:val="002C3C11"/>
    <w:rsid w:val="002C427E"/>
    <w:rsid w:val="002C5AD1"/>
    <w:rsid w:val="002C5B7D"/>
    <w:rsid w:val="002C5BB8"/>
    <w:rsid w:val="002C62EB"/>
    <w:rsid w:val="002C7014"/>
    <w:rsid w:val="002C71E0"/>
    <w:rsid w:val="002C73E1"/>
    <w:rsid w:val="002C7692"/>
    <w:rsid w:val="002C7801"/>
    <w:rsid w:val="002D0DF5"/>
    <w:rsid w:val="002D14AA"/>
    <w:rsid w:val="002D16E2"/>
    <w:rsid w:val="002D1744"/>
    <w:rsid w:val="002D20D0"/>
    <w:rsid w:val="002D2707"/>
    <w:rsid w:val="002D2980"/>
    <w:rsid w:val="002D48A6"/>
    <w:rsid w:val="002D4CAD"/>
    <w:rsid w:val="002D60C8"/>
    <w:rsid w:val="002D674B"/>
    <w:rsid w:val="002D7C09"/>
    <w:rsid w:val="002E0366"/>
    <w:rsid w:val="002E042E"/>
    <w:rsid w:val="002E04B8"/>
    <w:rsid w:val="002E11E7"/>
    <w:rsid w:val="002E1EC0"/>
    <w:rsid w:val="002E2C3B"/>
    <w:rsid w:val="002E2D34"/>
    <w:rsid w:val="002E382C"/>
    <w:rsid w:val="002E4817"/>
    <w:rsid w:val="002E56F9"/>
    <w:rsid w:val="002E6159"/>
    <w:rsid w:val="002E7990"/>
    <w:rsid w:val="002E7B6A"/>
    <w:rsid w:val="002F0F04"/>
    <w:rsid w:val="002F16E4"/>
    <w:rsid w:val="002F1F4A"/>
    <w:rsid w:val="002F28EC"/>
    <w:rsid w:val="002F2D95"/>
    <w:rsid w:val="002F2E3C"/>
    <w:rsid w:val="002F32BC"/>
    <w:rsid w:val="002F352E"/>
    <w:rsid w:val="002F38CF"/>
    <w:rsid w:val="002F4667"/>
    <w:rsid w:val="002F5D52"/>
    <w:rsid w:val="002F5D84"/>
    <w:rsid w:val="002F6A51"/>
    <w:rsid w:val="002F75D3"/>
    <w:rsid w:val="002F77D0"/>
    <w:rsid w:val="002F785E"/>
    <w:rsid w:val="002F7ADF"/>
    <w:rsid w:val="002F7FA7"/>
    <w:rsid w:val="00300C2B"/>
    <w:rsid w:val="0030100A"/>
    <w:rsid w:val="0030125A"/>
    <w:rsid w:val="003013B6"/>
    <w:rsid w:val="003014B3"/>
    <w:rsid w:val="00301886"/>
    <w:rsid w:val="00301A57"/>
    <w:rsid w:val="00301DB6"/>
    <w:rsid w:val="00301FFC"/>
    <w:rsid w:val="003029E4"/>
    <w:rsid w:val="00302E07"/>
    <w:rsid w:val="00302FB0"/>
    <w:rsid w:val="003031A4"/>
    <w:rsid w:val="0030320A"/>
    <w:rsid w:val="00303275"/>
    <w:rsid w:val="00303278"/>
    <w:rsid w:val="0030575F"/>
    <w:rsid w:val="00305860"/>
    <w:rsid w:val="0030634E"/>
    <w:rsid w:val="00306745"/>
    <w:rsid w:val="003069EA"/>
    <w:rsid w:val="00307E6B"/>
    <w:rsid w:val="0031002D"/>
    <w:rsid w:val="00310667"/>
    <w:rsid w:val="00311EE9"/>
    <w:rsid w:val="00312182"/>
    <w:rsid w:val="003122AD"/>
    <w:rsid w:val="0031240F"/>
    <w:rsid w:val="00312510"/>
    <w:rsid w:val="00312E5E"/>
    <w:rsid w:val="00313083"/>
    <w:rsid w:val="00313227"/>
    <w:rsid w:val="00313DBE"/>
    <w:rsid w:val="00313FD3"/>
    <w:rsid w:val="00314734"/>
    <w:rsid w:val="00314ACD"/>
    <w:rsid w:val="00314B37"/>
    <w:rsid w:val="003157DF"/>
    <w:rsid w:val="003166CA"/>
    <w:rsid w:val="003167C9"/>
    <w:rsid w:val="00316E32"/>
    <w:rsid w:val="0032054E"/>
    <w:rsid w:val="00320743"/>
    <w:rsid w:val="003211C0"/>
    <w:rsid w:val="00322E6F"/>
    <w:rsid w:val="0032375A"/>
    <w:rsid w:val="00324E87"/>
    <w:rsid w:val="003257D8"/>
    <w:rsid w:val="00325D61"/>
    <w:rsid w:val="00326A4C"/>
    <w:rsid w:val="003301AA"/>
    <w:rsid w:val="00330652"/>
    <w:rsid w:val="00330666"/>
    <w:rsid w:val="00331A5A"/>
    <w:rsid w:val="00331B65"/>
    <w:rsid w:val="00331BC9"/>
    <w:rsid w:val="00332860"/>
    <w:rsid w:val="00332D6F"/>
    <w:rsid w:val="00333EA9"/>
    <w:rsid w:val="00333F51"/>
    <w:rsid w:val="0033424D"/>
    <w:rsid w:val="003349B8"/>
    <w:rsid w:val="003349DE"/>
    <w:rsid w:val="003354C1"/>
    <w:rsid w:val="00335FFE"/>
    <w:rsid w:val="003362D9"/>
    <w:rsid w:val="00337169"/>
    <w:rsid w:val="00337678"/>
    <w:rsid w:val="00337D07"/>
    <w:rsid w:val="00340BB9"/>
    <w:rsid w:val="003410C2"/>
    <w:rsid w:val="0034270D"/>
    <w:rsid w:val="0034293A"/>
    <w:rsid w:val="00343A43"/>
    <w:rsid w:val="00343B71"/>
    <w:rsid w:val="00344634"/>
    <w:rsid w:val="00345201"/>
    <w:rsid w:val="00345D57"/>
    <w:rsid w:val="00347168"/>
    <w:rsid w:val="0034780D"/>
    <w:rsid w:val="00347D09"/>
    <w:rsid w:val="00350270"/>
    <w:rsid w:val="00351117"/>
    <w:rsid w:val="003511B2"/>
    <w:rsid w:val="00351901"/>
    <w:rsid w:val="00352546"/>
    <w:rsid w:val="003531A0"/>
    <w:rsid w:val="003533D4"/>
    <w:rsid w:val="003537AA"/>
    <w:rsid w:val="00353806"/>
    <w:rsid w:val="00355269"/>
    <w:rsid w:val="00356AE0"/>
    <w:rsid w:val="00356C56"/>
    <w:rsid w:val="00360427"/>
    <w:rsid w:val="00360D1E"/>
    <w:rsid w:val="003612C7"/>
    <w:rsid w:val="003614CB"/>
    <w:rsid w:val="00362150"/>
    <w:rsid w:val="003627A4"/>
    <w:rsid w:val="003628F0"/>
    <w:rsid w:val="00362A4B"/>
    <w:rsid w:val="0036405A"/>
    <w:rsid w:val="003641E5"/>
    <w:rsid w:val="00365A44"/>
    <w:rsid w:val="00365BF0"/>
    <w:rsid w:val="00365DFC"/>
    <w:rsid w:val="00366A66"/>
    <w:rsid w:val="00367545"/>
    <w:rsid w:val="003676F8"/>
    <w:rsid w:val="003679C4"/>
    <w:rsid w:val="003700DA"/>
    <w:rsid w:val="003703C1"/>
    <w:rsid w:val="003704B9"/>
    <w:rsid w:val="0037061D"/>
    <w:rsid w:val="00370725"/>
    <w:rsid w:val="00370987"/>
    <w:rsid w:val="003709C0"/>
    <w:rsid w:val="003716F2"/>
    <w:rsid w:val="00371960"/>
    <w:rsid w:val="00371C7C"/>
    <w:rsid w:val="00372070"/>
    <w:rsid w:val="00372259"/>
    <w:rsid w:val="00372446"/>
    <w:rsid w:val="00372DD7"/>
    <w:rsid w:val="003742AC"/>
    <w:rsid w:val="003744D8"/>
    <w:rsid w:val="003747F7"/>
    <w:rsid w:val="003749BA"/>
    <w:rsid w:val="003751F4"/>
    <w:rsid w:val="0037546D"/>
    <w:rsid w:val="00375CC5"/>
    <w:rsid w:val="00375D2C"/>
    <w:rsid w:val="003767A9"/>
    <w:rsid w:val="00376A07"/>
    <w:rsid w:val="00376C5B"/>
    <w:rsid w:val="00376FC9"/>
    <w:rsid w:val="00383A44"/>
    <w:rsid w:val="00384476"/>
    <w:rsid w:val="00384856"/>
    <w:rsid w:val="003858C5"/>
    <w:rsid w:val="00385BD0"/>
    <w:rsid w:val="0038608E"/>
    <w:rsid w:val="00386C85"/>
    <w:rsid w:val="00387024"/>
    <w:rsid w:val="003873AD"/>
    <w:rsid w:val="00390BC6"/>
    <w:rsid w:val="00390CE9"/>
    <w:rsid w:val="0039205A"/>
    <w:rsid w:val="003926A4"/>
    <w:rsid w:val="00392D31"/>
    <w:rsid w:val="00393327"/>
    <w:rsid w:val="003937ED"/>
    <w:rsid w:val="00393830"/>
    <w:rsid w:val="003946E7"/>
    <w:rsid w:val="00394BC3"/>
    <w:rsid w:val="00394C81"/>
    <w:rsid w:val="003951E8"/>
    <w:rsid w:val="003966D6"/>
    <w:rsid w:val="0039695C"/>
    <w:rsid w:val="00396BB2"/>
    <w:rsid w:val="00396FE7"/>
    <w:rsid w:val="00397028"/>
    <w:rsid w:val="0039787A"/>
    <w:rsid w:val="00397908"/>
    <w:rsid w:val="00397D24"/>
    <w:rsid w:val="00397F0F"/>
    <w:rsid w:val="003A099D"/>
    <w:rsid w:val="003A0A2B"/>
    <w:rsid w:val="003A0C1B"/>
    <w:rsid w:val="003A14A0"/>
    <w:rsid w:val="003A1F7F"/>
    <w:rsid w:val="003A23D3"/>
    <w:rsid w:val="003A27DD"/>
    <w:rsid w:val="003A392B"/>
    <w:rsid w:val="003A45B9"/>
    <w:rsid w:val="003A53FC"/>
    <w:rsid w:val="003A5883"/>
    <w:rsid w:val="003A59AC"/>
    <w:rsid w:val="003A604C"/>
    <w:rsid w:val="003A7D57"/>
    <w:rsid w:val="003B02C7"/>
    <w:rsid w:val="003B0783"/>
    <w:rsid w:val="003B0E1E"/>
    <w:rsid w:val="003B1456"/>
    <w:rsid w:val="003B22BF"/>
    <w:rsid w:val="003B289D"/>
    <w:rsid w:val="003B2B32"/>
    <w:rsid w:val="003B2DDD"/>
    <w:rsid w:val="003B3534"/>
    <w:rsid w:val="003B453B"/>
    <w:rsid w:val="003B4D5C"/>
    <w:rsid w:val="003B58AF"/>
    <w:rsid w:val="003B5B9A"/>
    <w:rsid w:val="003B75D9"/>
    <w:rsid w:val="003C01B9"/>
    <w:rsid w:val="003C06A9"/>
    <w:rsid w:val="003C1305"/>
    <w:rsid w:val="003C1325"/>
    <w:rsid w:val="003C2B88"/>
    <w:rsid w:val="003C2BA6"/>
    <w:rsid w:val="003C2FF3"/>
    <w:rsid w:val="003C35F0"/>
    <w:rsid w:val="003C3A44"/>
    <w:rsid w:val="003C4946"/>
    <w:rsid w:val="003C68E5"/>
    <w:rsid w:val="003C6C08"/>
    <w:rsid w:val="003C6CE9"/>
    <w:rsid w:val="003C6FF2"/>
    <w:rsid w:val="003D024E"/>
    <w:rsid w:val="003D084E"/>
    <w:rsid w:val="003D0D97"/>
    <w:rsid w:val="003D1F77"/>
    <w:rsid w:val="003D206E"/>
    <w:rsid w:val="003D23F2"/>
    <w:rsid w:val="003D2992"/>
    <w:rsid w:val="003D44EA"/>
    <w:rsid w:val="003D4CDD"/>
    <w:rsid w:val="003D5830"/>
    <w:rsid w:val="003D747F"/>
    <w:rsid w:val="003D77CE"/>
    <w:rsid w:val="003D7990"/>
    <w:rsid w:val="003D7C3F"/>
    <w:rsid w:val="003D7D69"/>
    <w:rsid w:val="003D7D82"/>
    <w:rsid w:val="003E0685"/>
    <w:rsid w:val="003E0A57"/>
    <w:rsid w:val="003E0BEC"/>
    <w:rsid w:val="003E0F3D"/>
    <w:rsid w:val="003E12A8"/>
    <w:rsid w:val="003E15D2"/>
    <w:rsid w:val="003E30D6"/>
    <w:rsid w:val="003E3497"/>
    <w:rsid w:val="003E373B"/>
    <w:rsid w:val="003E37E1"/>
    <w:rsid w:val="003E3995"/>
    <w:rsid w:val="003E4302"/>
    <w:rsid w:val="003E46DB"/>
    <w:rsid w:val="003E4827"/>
    <w:rsid w:val="003E5AEC"/>
    <w:rsid w:val="003E5E6C"/>
    <w:rsid w:val="003E67E0"/>
    <w:rsid w:val="003E758D"/>
    <w:rsid w:val="003E76CE"/>
    <w:rsid w:val="003E77E1"/>
    <w:rsid w:val="003E79DC"/>
    <w:rsid w:val="003F00EB"/>
    <w:rsid w:val="003F06C8"/>
    <w:rsid w:val="003F09B9"/>
    <w:rsid w:val="003F148E"/>
    <w:rsid w:val="003F22A7"/>
    <w:rsid w:val="003F2A25"/>
    <w:rsid w:val="003F3318"/>
    <w:rsid w:val="003F3E54"/>
    <w:rsid w:val="003F46CB"/>
    <w:rsid w:val="003F4925"/>
    <w:rsid w:val="003F616C"/>
    <w:rsid w:val="003F6394"/>
    <w:rsid w:val="003F643E"/>
    <w:rsid w:val="003F6C62"/>
    <w:rsid w:val="003F6EB8"/>
    <w:rsid w:val="003F7421"/>
    <w:rsid w:val="0040016E"/>
    <w:rsid w:val="00401051"/>
    <w:rsid w:val="004010C2"/>
    <w:rsid w:val="004013B4"/>
    <w:rsid w:val="00401830"/>
    <w:rsid w:val="0040188D"/>
    <w:rsid w:val="00402A62"/>
    <w:rsid w:val="00402A70"/>
    <w:rsid w:val="00402C3B"/>
    <w:rsid w:val="00402ED0"/>
    <w:rsid w:val="0040380A"/>
    <w:rsid w:val="00404821"/>
    <w:rsid w:val="004071DC"/>
    <w:rsid w:val="00407D0A"/>
    <w:rsid w:val="00410574"/>
    <w:rsid w:val="004112CA"/>
    <w:rsid w:val="0041139D"/>
    <w:rsid w:val="0041176C"/>
    <w:rsid w:val="004123F7"/>
    <w:rsid w:val="00413008"/>
    <w:rsid w:val="004131DD"/>
    <w:rsid w:val="0041332E"/>
    <w:rsid w:val="00413985"/>
    <w:rsid w:val="0041410A"/>
    <w:rsid w:val="0041411A"/>
    <w:rsid w:val="004143C7"/>
    <w:rsid w:val="004147FD"/>
    <w:rsid w:val="0041618C"/>
    <w:rsid w:val="0041741B"/>
    <w:rsid w:val="00417433"/>
    <w:rsid w:val="00417A92"/>
    <w:rsid w:val="0042010E"/>
    <w:rsid w:val="0042127B"/>
    <w:rsid w:val="00421658"/>
    <w:rsid w:val="00421E44"/>
    <w:rsid w:val="004227C2"/>
    <w:rsid w:val="0042282F"/>
    <w:rsid w:val="0042376F"/>
    <w:rsid w:val="0042388A"/>
    <w:rsid w:val="00423E7C"/>
    <w:rsid w:val="0042470F"/>
    <w:rsid w:val="004251E7"/>
    <w:rsid w:val="00425244"/>
    <w:rsid w:val="00426574"/>
    <w:rsid w:val="0042749E"/>
    <w:rsid w:val="00427554"/>
    <w:rsid w:val="00427708"/>
    <w:rsid w:val="00427889"/>
    <w:rsid w:val="00430289"/>
    <w:rsid w:val="0043086E"/>
    <w:rsid w:val="004309B8"/>
    <w:rsid w:val="004313A0"/>
    <w:rsid w:val="004313DB"/>
    <w:rsid w:val="0043168A"/>
    <w:rsid w:val="00432617"/>
    <w:rsid w:val="00432CCB"/>
    <w:rsid w:val="00432CE6"/>
    <w:rsid w:val="004345E7"/>
    <w:rsid w:val="00435BB7"/>
    <w:rsid w:val="00435D63"/>
    <w:rsid w:val="00435DB8"/>
    <w:rsid w:val="004365E5"/>
    <w:rsid w:val="00436BE6"/>
    <w:rsid w:val="0043746A"/>
    <w:rsid w:val="0043774C"/>
    <w:rsid w:val="004379C2"/>
    <w:rsid w:val="00437F08"/>
    <w:rsid w:val="00440D3E"/>
    <w:rsid w:val="00440DD9"/>
    <w:rsid w:val="004415FF"/>
    <w:rsid w:val="00442EE0"/>
    <w:rsid w:val="00445943"/>
    <w:rsid w:val="00445FE9"/>
    <w:rsid w:val="00446D5A"/>
    <w:rsid w:val="00446D93"/>
    <w:rsid w:val="004479F1"/>
    <w:rsid w:val="00450020"/>
    <w:rsid w:val="0045038F"/>
    <w:rsid w:val="00450521"/>
    <w:rsid w:val="00450E9B"/>
    <w:rsid w:val="004517BC"/>
    <w:rsid w:val="00451BC3"/>
    <w:rsid w:val="0045361B"/>
    <w:rsid w:val="00453C34"/>
    <w:rsid w:val="00454672"/>
    <w:rsid w:val="00454AC0"/>
    <w:rsid w:val="0045554F"/>
    <w:rsid w:val="00455932"/>
    <w:rsid w:val="00456416"/>
    <w:rsid w:val="0045660F"/>
    <w:rsid w:val="00460277"/>
    <w:rsid w:val="00461603"/>
    <w:rsid w:val="00461BC6"/>
    <w:rsid w:val="00461E79"/>
    <w:rsid w:val="00462526"/>
    <w:rsid w:val="00462986"/>
    <w:rsid w:val="004629B8"/>
    <w:rsid w:val="00463908"/>
    <w:rsid w:val="00465038"/>
    <w:rsid w:val="004650BC"/>
    <w:rsid w:val="004650CB"/>
    <w:rsid w:val="004651BC"/>
    <w:rsid w:val="004653BD"/>
    <w:rsid w:val="00465709"/>
    <w:rsid w:val="004666E2"/>
    <w:rsid w:val="00466877"/>
    <w:rsid w:val="004668C0"/>
    <w:rsid w:val="00466BA8"/>
    <w:rsid w:val="00466BCE"/>
    <w:rsid w:val="00467C18"/>
    <w:rsid w:val="00467C71"/>
    <w:rsid w:val="00467FE4"/>
    <w:rsid w:val="00470CA2"/>
    <w:rsid w:val="00471563"/>
    <w:rsid w:val="00471CDB"/>
    <w:rsid w:val="00472675"/>
    <w:rsid w:val="00472892"/>
    <w:rsid w:val="00472F90"/>
    <w:rsid w:val="004730FC"/>
    <w:rsid w:val="00473B9B"/>
    <w:rsid w:val="00473C53"/>
    <w:rsid w:val="0047439B"/>
    <w:rsid w:val="00474F9D"/>
    <w:rsid w:val="0047577C"/>
    <w:rsid w:val="00476C95"/>
    <w:rsid w:val="00476D31"/>
    <w:rsid w:val="00476DD2"/>
    <w:rsid w:val="0048015F"/>
    <w:rsid w:val="0048057B"/>
    <w:rsid w:val="00481797"/>
    <w:rsid w:val="004822D3"/>
    <w:rsid w:val="004824E9"/>
    <w:rsid w:val="004836F5"/>
    <w:rsid w:val="004840CD"/>
    <w:rsid w:val="00484506"/>
    <w:rsid w:val="00484BC5"/>
    <w:rsid w:val="00485670"/>
    <w:rsid w:val="0048580F"/>
    <w:rsid w:val="0048702E"/>
    <w:rsid w:val="00487B44"/>
    <w:rsid w:val="00490164"/>
    <w:rsid w:val="004906BA"/>
    <w:rsid w:val="0049084B"/>
    <w:rsid w:val="00490ABE"/>
    <w:rsid w:val="00491C2E"/>
    <w:rsid w:val="004927A6"/>
    <w:rsid w:val="0049283E"/>
    <w:rsid w:val="00494592"/>
    <w:rsid w:val="00496818"/>
    <w:rsid w:val="004A0FA3"/>
    <w:rsid w:val="004A1ED3"/>
    <w:rsid w:val="004A1FF0"/>
    <w:rsid w:val="004A25FF"/>
    <w:rsid w:val="004A2F19"/>
    <w:rsid w:val="004A3841"/>
    <w:rsid w:val="004A3ADC"/>
    <w:rsid w:val="004A4EA4"/>
    <w:rsid w:val="004A565B"/>
    <w:rsid w:val="004A5793"/>
    <w:rsid w:val="004A5A1F"/>
    <w:rsid w:val="004A5FCB"/>
    <w:rsid w:val="004A73C5"/>
    <w:rsid w:val="004A7554"/>
    <w:rsid w:val="004A794A"/>
    <w:rsid w:val="004B005A"/>
    <w:rsid w:val="004B0B74"/>
    <w:rsid w:val="004B1523"/>
    <w:rsid w:val="004B1619"/>
    <w:rsid w:val="004B1763"/>
    <w:rsid w:val="004B215C"/>
    <w:rsid w:val="004B21C0"/>
    <w:rsid w:val="004B3205"/>
    <w:rsid w:val="004B3301"/>
    <w:rsid w:val="004B3720"/>
    <w:rsid w:val="004B39CD"/>
    <w:rsid w:val="004B3B19"/>
    <w:rsid w:val="004B3CDD"/>
    <w:rsid w:val="004B597E"/>
    <w:rsid w:val="004B6013"/>
    <w:rsid w:val="004B6833"/>
    <w:rsid w:val="004B7005"/>
    <w:rsid w:val="004B7347"/>
    <w:rsid w:val="004B7615"/>
    <w:rsid w:val="004B7E75"/>
    <w:rsid w:val="004C0768"/>
    <w:rsid w:val="004C0D86"/>
    <w:rsid w:val="004C124D"/>
    <w:rsid w:val="004C2184"/>
    <w:rsid w:val="004C286D"/>
    <w:rsid w:val="004C4C0D"/>
    <w:rsid w:val="004C4E70"/>
    <w:rsid w:val="004C6067"/>
    <w:rsid w:val="004C6D9D"/>
    <w:rsid w:val="004C7403"/>
    <w:rsid w:val="004D02DD"/>
    <w:rsid w:val="004D089C"/>
    <w:rsid w:val="004D101D"/>
    <w:rsid w:val="004D14D0"/>
    <w:rsid w:val="004D1859"/>
    <w:rsid w:val="004D1CB3"/>
    <w:rsid w:val="004D211B"/>
    <w:rsid w:val="004D30AF"/>
    <w:rsid w:val="004D32BE"/>
    <w:rsid w:val="004D32CE"/>
    <w:rsid w:val="004D3786"/>
    <w:rsid w:val="004D4079"/>
    <w:rsid w:val="004D46E5"/>
    <w:rsid w:val="004D4B08"/>
    <w:rsid w:val="004D5A4D"/>
    <w:rsid w:val="004D5E38"/>
    <w:rsid w:val="004D6966"/>
    <w:rsid w:val="004D6F96"/>
    <w:rsid w:val="004D7153"/>
    <w:rsid w:val="004D773E"/>
    <w:rsid w:val="004E00CD"/>
    <w:rsid w:val="004E0633"/>
    <w:rsid w:val="004E0BAD"/>
    <w:rsid w:val="004E0EAE"/>
    <w:rsid w:val="004E12DA"/>
    <w:rsid w:val="004E17BC"/>
    <w:rsid w:val="004E1B3F"/>
    <w:rsid w:val="004E3CBF"/>
    <w:rsid w:val="004E4B3F"/>
    <w:rsid w:val="004E5AFD"/>
    <w:rsid w:val="004E6026"/>
    <w:rsid w:val="004E60C6"/>
    <w:rsid w:val="004E673D"/>
    <w:rsid w:val="004E6996"/>
    <w:rsid w:val="004E6AE7"/>
    <w:rsid w:val="004E6B51"/>
    <w:rsid w:val="004E6E73"/>
    <w:rsid w:val="004E78BB"/>
    <w:rsid w:val="004F01FC"/>
    <w:rsid w:val="004F0816"/>
    <w:rsid w:val="004F0EDA"/>
    <w:rsid w:val="004F1186"/>
    <w:rsid w:val="004F1321"/>
    <w:rsid w:val="004F17CA"/>
    <w:rsid w:val="004F21FB"/>
    <w:rsid w:val="004F22CB"/>
    <w:rsid w:val="004F2CAD"/>
    <w:rsid w:val="004F3C4F"/>
    <w:rsid w:val="004F5201"/>
    <w:rsid w:val="004F5880"/>
    <w:rsid w:val="004F5C06"/>
    <w:rsid w:val="004F61F1"/>
    <w:rsid w:val="004F62AB"/>
    <w:rsid w:val="004F6A40"/>
    <w:rsid w:val="004F6F4A"/>
    <w:rsid w:val="004F7867"/>
    <w:rsid w:val="004F7A9F"/>
    <w:rsid w:val="004F7D7D"/>
    <w:rsid w:val="004F7E70"/>
    <w:rsid w:val="004F7E85"/>
    <w:rsid w:val="004F7EF8"/>
    <w:rsid w:val="00500080"/>
    <w:rsid w:val="005003B4"/>
    <w:rsid w:val="005006A1"/>
    <w:rsid w:val="00500DAA"/>
    <w:rsid w:val="0050103A"/>
    <w:rsid w:val="005014E1"/>
    <w:rsid w:val="005020BE"/>
    <w:rsid w:val="00502DDE"/>
    <w:rsid w:val="00504674"/>
    <w:rsid w:val="00505451"/>
    <w:rsid w:val="005060EF"/>
    <w:rsid w:val="005070AD"/>
    <w:rsid w:val="00510008"/>
    <w:rsid w:val="00510A5C"/>
    <w:rsid w:val="00510EDE"/>
    <w:rsid w:val="0051133E"/>
    <w:rsid w:val="005149CA"/>
    <w:rsid w:val="00514C16"/>
    <w:rsid w:val="00515222"/>
    <w:rsid w:val="005156A9"/>
    <w:rsid w:val="005157FC"/>
    <w:rsid w:val="00515AD4"/>
    <w:rsid w:val="00515EDE"/>
    <w:rsid w:val="00516258"/>
    <w:rsid w:val="005167C9"/>
    <w:rsid w:val="00516D8B"/>
    <w:rsid w:val="005174C1"/>
    <w:rsid w:val="00517D4A"/>
    <w:rsid w:val="005202DD"/>
    <w:rsid w:val="00520D21"/>
    <w:rsid w:val="00521F39"/>
    <w:rsid w:val="00522120"/>
    <w:rsid w:val="00522FB6"/>
    <w:rsid w:val="005231D6"/>
    <w:rsid w:val="00523624"/>
    <w:rsid w:val="00524009"/>
    <w:rsid w:val="005253A5"/>
    <w:rsid w:val="00525E2D"/>
    <w:rsid w:val="00527253"/>
    <w:rsid w:val="00527ACF"/>
    <w:rsid w:val="00527BD7"/>
    <w:rsid w:val="00527DB2"/>
    <w:rsid w:val="00530008"/>
    <w:rsid w:val="00530026"/>
    <w:rsid w:val="0053131A"/>
    <w:rsid w:val="00531D21"/>
    <w:rsid w:val="00532371"/>
    <w:rsid w:val="0053272E"/>
    <w:rsid w:val="00535E99"/>
    <w:rsid w:val="00536598"/>
    <w:rsid w:val="005366A8"/>
    <w:rsid w:val="00537660"/>
    <w:rsid w:val="0053771A"/>
    <w:rsid w:val="005379C6"/>
    <w:rsid w:val="0054053A"/>
    <w:rsid w:val="00540C38"/>
    <w:rsid w:val="00540E18"/>
    <w:rsid w:val="0054173D"/>
    <w:rsid w:val="005420C9"/>
    <w:rsid w:val="0054349D"/>
    <w:rsid w:val="00544F31"/>
    <w:rsid w:val="00545472"/>
    <w:rsid w:val="0054567C"/>
    <w:rsid w:val="00546012"/>
    <w:rsid w:val="00546076"/>
    <w:rsid w:val="0054683B"/>
    <w:rsid w:val="00546D07"/>
    <w:rsid w:val="005470C5"/>
    <w:rsid w:val="00547ADA"/>
    <w:rsid w:val="00547B7E"/>
    <w:rsid w:val="00550252"/>
    <w:rsid w:val="0055251C"/>
    <w:rsid w:val="00552837"/>
    <w:rsid w:val="00553518"/>
    <w:rsid w:val="00553DF3"/>
    <w:rsid w:val="00554DB5"/>
    <w:rsid w:val="00555414"/>
    <w:rsid w:val="00555465"/>
    <w:rsid w:val="0055565A"/>
    <w:rsid w:val="00556EEE"/>
    <w:rsid w:val="0055728E"/>
    <w:rsid w:val="005576FE"/>
    <w:rsid w:val="00557F88"/>
    <w:rsid w:val="0056008D"/>
    <w:rsid w:val="00560547"/>
    <w:rsid w:val="005606C1"/>
    <w:rsid w:val="005608F8"/>
    <w:rsid w:val="00560D2B"/>
    <w:rsid w:val="00561207"/>
    <w:rsid w:val="00561B56"/>
    <w:rsid w:val="00562908"/>
    <w:rsid w:val="00562D3C"/>
    <w:rsid w:val="0056408D"/>
    <w:rsid w:val="005643B5"/>
    <w:rsid w:val="005662FE"/>
    <w:rsid w:val="0056731F"/>
    <w:rsid w:val="0057019A"/>
    <w:rsid w:val="00570508"/>
    <w:rsid w:val="00571D27"/>
    <w:rsid w:val="00571DC8"/>
    <w:rsid w:val="005735D2"/>
    <w:rsid w:val="00573677"/>
    <w:rsid w:val="0057398D"/>
    <w:rsid w:val="00573CEE"/>
    <w:rsid w:val="0057406B"/>
    <w:rsid w:val="0057406F"/>
    <w:rsid w:val="005748FB"/>
    <w:rsid w:val="00574D98"/>
    <w:rsid w:val="00574F3A"/>
    <w:rsid w:val="0057532F"/>
    <w:rsid w:val="00575CC2"/>
    <w:rsid w:val="00575EE7"/>
    <w:rsid w:val="005764ED"/>
    <w:rsid w:val="005769C9"/>
    <w:rsid w:val="00576B25"/>
    <w:rsid w:val="00577964"/>
    <w:rsid w:val="00580192"/>
    <w:rsid w:val="00580AC4"/>
    <w:rsid w:val="00580DD8"/>
    <w:rsid w:val="00581549"/>
    <w:rsid w:val="00581A0A"/>
    <w:rsid w:val="00581F1E"/>
    <w:rsid w:val="00582408"/>
    <w:rsid w:val="005824E8"/>
    <w:rsid w:val="005826DC"/>
    <w:rsid w:val="00582784"/>
    <w:rsid w:val="005829A9"/>
    <w:rsid w:val="00582C13"/>
    <w:rsid w:val="0058313A"/>
    <w:rsid w:val="00583BAE"/>
    <w:rsid w:val="00585095"/>
    <w:rsid w:val="005857C6"/>
    <w:rsid w:val="00586ABC"/>
    <w:rsid w:val="00586B01"/>
    <w:rsid w:val="00586E11"/>
    <w:rsid w:val="00586ECE"/>
    <w:rsid w:val="00587784"/>
    <w:rsid w:val="00590468"/>
    <w:rsid w:val="00590579"/>
    <w:rsid w:val="00591478"/>
    <w:rsid w:val="0059159E"/>
    <w:rsid w:val="00591713"/>
    <w:rsid w:val="005920EC"/>
    <w:rsid w:val="00592307"/>
    <w:rsid w:val="0059234D"/>
    <w:rsid w:val="005926C7"/>
    <w:rsid w:val="00592B0E"/>
    <w:rsid w:val="0059318C"/>
    <w:rsid w:val="0059412B"/>
    <w:rsid w:val="00595098"/>
    <w:rsid w:val="00595A1F"/>
    <w:rsid w:val="00595D4C"/>
    <w:rsid w:val="00595FAE"/>
    <w:rsid w:val="00596269"/>
    <w:rsid w:val="005962CC"/>
    <w:rsid w:val="005963B7"/>
    <w:rsid w:val="00596CCB"/>
    <w:rsid w:val="00596D93"/>
    <w:rsid w:val="005A07B6"/>
    <w:rsid w:val="005A0F59"/>
    <w:rsid w:val="005A14D4"/>
    <w:rsid w:val="005A17A5"/>
    <w:rsid w:val="005A1F11"/>
    <w:rsid w:val="005A21CC"/>
    <w:rsid w:val="005A384C"/>
    <w:rsid w:val="005A3AC4"/>
    <w:rsid w:val="005A40EA"/>
    <w:rsid w:val="005A42A2"/>
    <w:rsid w:val="005A45FC"/>
    <w:rsid w:val="005A4FA0"/>
    <w:rsid w:val="005A5119"/>
    <w:rsid w:val="005A524E"/>
    <w:rsid w:val="005A5AA3"/>
    <w:rsid w:val="005A6326"/>
    <w:rsid w:val="005A63F9"/>
    <w:rsid w:val="005A7D3A"/>
    <w:rsid w:val="005A7E2F"/>
    <w:rsid w:val="005B004E"/>
    <w:rsid w:val="005B0CFE"/>
    <w:rsid w:val="005B1DDB"/>
    <w:rsid w:val="005B264C"/>
    <w:rsid w:val="005B26D6"/>
    <w:rsid w:val="005B2B51"/>
    <w:rsid w:val="005B326E"/>
    <w:rsid w:val="005B3B36"/>
    <w:rsid w:val="005B3B6D"/>
    <w:rsid w:val="005B3F07"/>
    <w:rsid w:val="005B427A"/>
    <w:rsid w:val="005B4A4A"/>
    <w:rsid w:val="005B50E3"/>
    <w:rsid w:val="005B5349"/>
    <w:rsid w:val="005B63DB"/>
    <w:rsid w:val="005B6D78"/>
    <w:rsid w:val="005B7DC6"/>
    <w:rsid w:val="005C0286"/>
    <w:rsid w:val="005C1A82"/>
    <w:rsid w:val="005C1B44"/>
    <w:rsid w:val="005C3561"/>
    <w:rsid w:val="005C36E8"/>
    <w:rsid w:val="005C3DE4"/>
    <w:rsid w:val="005C3E77"/>
    <w:rsid w:val="005C4741"/>
    <w:rsid w:val="005C5BBB"/>
    <w:rsid w:val="005C64BC"/>
    <w:rsid w:val="005C75DE"/>
    <w:rsid w:val="005C7C15"/>
    <w:rsid w:val="005C7FC7"/>
    <w:rsid w:val="005D011C"/>
    <w:rsid w:val="005D0262"/>
    <w:rsid w:val="005D174C"/>
    <w:rsid w:val="005D21D3"/>
    <w:rsid w:val="005D2BC1"/>
    <w:rsid w:val="005D2EC3"/>
    <w:rsid w:val="005D3758"/>
    <w:rsid w:val="005D37CE"/>
    <w:rsid w:val="005D440C"/>
    <w:rsid w:val="005D4601"/>
    <w:rsid w:val="005D463A"/>
    <w:rsid w:val="005D4F73"/>
    <w:rsid w:val="005D585D"/>
    <w:rsid w:val="005D63F6"/>
    <w:rsid w:val="005D7211"/>
    <w:rsid w:val="005D7901"/>
    <w:rsid w:val="005E04EC"/>
    <w:rsid w:val="005E0A4D"/>
    <w:rsid w:val="005E1440"/>
    <w:rsid w:val="005E2175"/>
    <w:rsid w:val="005E25B5"/>
    <w:rsid w:val="005E32CD"/>
    <w:rsid w:val="005E6646"/>
    <w:rsid w:val="005E6778"/>
    <w:rsid w:val="005E6E2A"/>
    <w:rsid w:val="005E7E6A"/>
    <w:rsid w:val="005F0CC0"/>
    <w:rsid w:val="005F14DF"/>
    <w:rsid w:val="005F1680"/>
    <w:rsid w:val="005F16F5"/>
    <w:rsid w:val="005F183F"/>
    <w:rsid w:val="005F286C"/>
    <w:rsid w:val="005F31D3"/>
    <w:rsid w:val="005F3C1C"/>
    <w:rsid w:val="005F4E19"/>
    <w:rsid w:val="005F4EB6"/>
    <w:rsid w:val="005F50D0"/>
    <w:rsid w:val="005F5F1F"/>
    <w:rsid w:val="005F6508"/>
    <w:rsid w:val="005F6577"/>
    <w:rsid w:val="005F6EB2"/>
    <w:rsid w:val="005F74C6"/>
    <w:rsid w:val="00600525"/>
    <w:rsid w:val="00600B3C"/>
    <w:rsid w:val="0060101C"/>
    <w:rsid w:val="0060156E"/>
    <w:rsid w:val="00601CF4"/>
    <w:rsid w:val="00603B3F"/>
    <w:rsid w:val="006041B6"/>
    <w:rsid w:val="00604977"/>
    <w:rsid w:val="00605179"/>
    <w:rsid w:val="00605B23"/>
    <w:rsid w:val="00606864"/>
    <w:rsid w:val="00606F19"/>
    <w:rsid w:val="006100CF"/>
    <w:rsid w:val="006101E1"/>
    <w:rsid w:val="0061053D"/>
    <w:rsid w:val="00610599"/>
    <w:rsid w:val="0061081C"/>
    <w:rsid w:val="00610BED"/>
    <w:rsid w:val="00610ED7"/>
    <w:rsid w:val="00610FDC"/>
    <w:rsid w:val="00611408"/>
    <w:rsid w:val="00611D4D"/>
    <w:rsid w:val="00612239"/>
    <w:rsid w:val="00613C19"/>
    <w:rsid w:val="006140D7"/>
    <w:rsid w:val="0061457C"/>
    <w:rsid w:val="006154A5"/>
    <w:rsid w:val="00615643"/>
    <w:rsid w:val="00615CCB"/>
    <w:rsid w:val="006160BB"/>
    <w:rsid w:val="00617A98"/>
    <w:rsid w:val="00620986"/>
    <w:rsid w:val="00621202"/>
    <w:rsid w:val="00621593"/>
    <w:rsid w:val="00621595"/>
    <w:rsid w:val="006216BB"/>
    <w:rsid w:val="0062496A"/>
    <w:rsid w:val="00624B88"/>
    <w:rsid w:val="006250A1"/>
    <w:rsid w:val="00625A24"/>
    <w:rsid w:val="00626502"/>
    <w:rsid w:val="0062650C"/>
    <w:rsid w:val="00626A97"/>
    <w:rsid w:val="006274F6"/>
    <w:rsid w:val="006278E0"/>
    <w:rsid w:val="00627F49"/>
    <w:rsid w:val="0063057D"/>
    <w:rsid w:val="006312A8"/>
    <w:rsid w:val="00631AA3"/>
    <w:rsid w:val="00631B54"/>
    <w:rsid w:val="0063207F"/>
    <w:rsid w:val="0063615E"/>
    <w:rsid w:val="00637A96"/>
    <w:rsid w:val="00637C37"/>
    <w:rsid w:val="00637D2B"/>
    <w:rsid w:val="00637D78"/>
    <w:rsid w:val="00640A24"/>
    <w:rsid w:val="00640CB8"/>
    <w:rsid w:val="0064172D"/>
    <w:rsid w:val="0064213C"/>
    <w:rsid w:val="006421EF"/>
    <w:rsid w:val="00642F51"/>
    <w:rsid w:val="00644524"/>
    <w:rsid w:val="00644DF4"/>
    <w:rsid w:val="006464DC"/>
    <w:rsid w:val="00646925"/>
    <w:rsid w:val="00646A71"/>
    <w:rsid w:val="006470EA"/>
    <w:rsid w:val="00647F00"/>
    <w:rsid w:val="00650A49"/>
    <w:rsid w:val="00651007"/>
    <w:rsid w:val="006514A4"/>
    <w:rsid w:val="00652A63"/>
    <w:rsid w:val="00652CE5"/>
    <w:rsid w:val="00653ADC"/>
    <w:rsid w:val="00654512"/>
    <w:rsid w:val="0065574F"/>
    <w:rsid w:val="00655A0F"/>
    <w:rsid w:val="00655BD8"/>
    <w:rsid w:val="00655E1F"/>
    <w:rsid w:val="00656678"/>
    <w:rsid w:val="00657089"/>
    <w:rsid w:val="00657168"/>
    <w:rsid w:val="00657BD7"/>
    <w:rsid w:val="006600C0"/>
    <w:rsid w:val="0066183F"/>
    <w:rsid w:val="006620DB"/>
    <w:rsid w:val="0066306D"/>
    <w:rsid w:val="006632F5"/>
    <w:rsid w:val="00665C3F"/>
    <w:rsid w:val="00666F88"/>
    <w:rsid w:val="006672A9"/>
    <w:rsid w:val="006674ED"/>
    <w:rsid w:val="0067035E"/>
    <w:rsid w:val="006704AC"/>
    <w:rsid w:val="006710FB"/>
    <w:rsid w:val="0067152A"/>
    <w:rsid w:val="00671855"/>
    <w:rsid w:val="00671932"/>
    <w:rsid w:val="00671B33"/>
    <w:rsid w:val="00671D03"/>
    <w:rsid w:val="0067208B"/>
    <w:rsid w:val="00672957"/>
    <w:rsid w:val="00672F75"/>
    <w:rsid w:val="006745B4"/>
    <w:rsid w:val="0067529E"/>
    <w:rsid w:val="00675E5B"/>
    <w:rsid w:val="00676597"/>
    <w:rsid w:val="006766C9"/>
    <w:rsid w:val="00677895"/>
    <w:rsid w:val="006778F8"/>
    <w:rsid w:val="00677E4D"/>
    <w:rsid w:val="00681402"/>
    <w:rsid w:val="00681E0D"/>
    <w:rsid w:val="006830CA"/>
    <w:rsid w:val="00683540"/>
    <w:rsid w:val="00683E9B"/>
    <w:rsid w:val="006843A0"/>
    <w:rsid w:val="00684678"/>
    <w:rsid w:val="00684A59"/>
    <w:rsid w:val="00684A63"/>
    <w:rsid w:val="00684F23"/>
    <w:rsid w:val="00684FD6"/>
    <w:rsid w:val="00685430"/>
    <w:rsid w:val="00685576"/>
    <w:rsid w:val="00685B00"/>
    <w:rsid w:val="006868E9"/>
    <w:rsid w:val="00686DD2"/>
    <w:rsid w:val="00686EDC"/>
    <w:rsid w:val="006915FC"/>
    <w:rsid w:val="00694380"/>
    <w:rsid w:val="00694AB6"/>
    <w:rsid w:val="00696044"/>
    <w:rsid w:val="006961D1"/>
    <w:rsid w:val="00696484"/>
    <w:rsid w:val="00696F4B"/>
    <w:rsid w:val="006975C3"/>
    <w:rsid w:val="00697A3B"/>
    <w:rsid w:val="00697F06"/>
    <w:rsid w:val="006A077E"/>
    <w:rsid w:val="006A0B37"/>
    <w:rsid w:val="006A0C47"/>
    <w:rsid w:val="006A150B"/>
    <w:rsid w:val="006A19F1"/>
    <w:rsid w:val="006A1A42"/>
    <w:rsid w:val="006A1E5F"/>
    <w:rsid w:val="006A21D5"/>
    <w:rsid w:val="006A26EB"/>
    <w:rsid w:val="006A3DE2"/>
    <w:rsid w:val="006A5D27"/>
    <w:rsid w:val="006A67BC"/>
    <w:rsid w:val="006A6BDD"/>
    <w:rsid w:val="006A6D90"/>
    <w:rsid w:val="006A7887"/>
    <w:rsid w:val="006B027C"/>
    <w:rsid w:val="006B111B"/>
    <w:rsid w:val="006B11AE"/>
    <w:rsid w:val="006B11FC"/>
    <w:rsid w:val="006B1B50"/>
    <w:rsid w:val="006B2028"/>
    <w:rsid w:val="006B250D"/>
    <w:rsid w:val="006B2C9D"/>
    <w:rsid w:val="006B2DDA"/>
    <w:rsid w:val="006B3545"/>
    <w:rsid w:val="006B384A"/>
    <w:rsid w:val="006B4507"/>
    <w:rsid w:val="006B4ACE"/>
    <w:rsid w:val="006B4E32"/>
    <w:rsid w:val="006B5039"/>
    <w:rsid w:val="006B55E3"/>
    <w:rsid w:val="006B56BB"/>
    <w:rsid w:val="006B61CE"/>
    <w:rsid w:val="006B7545"/>
    <w:rsid w:val="006B7695"/>
    <w:rsid w:val="006B7DCE"/>
    <w:rsid w:val="006C0201"/>
    <w:rsid w:val="006C11CF"/>
    <w:rsid w:val="006C19D5"/>
    <w:rsid w:val="006C1E61"/>
    <w:rsid w:val="006C21BC"/>
    <w:rsid w:val="006C2B08"/>
    <w:rsid w:val="006C348B"/>
    <w:rsid w:val="006C4A66"/>
    <w:rsid w:val="006C5240"/>
    <w:rsid w:val="006C5259"/>
    <w:rsid w:val="006C5A42"/>
    <w:rsid w:val="006C5D9D"/>
    <w:rsid w:val="006C5FFB"/>
    <w:rsid w:val="006C6CA5"/>
    <w:rsid w:val="006C7E8F"/>
    <w:rsid w:val="006D1D91"/>
    <w:rsid w:val="006D1FB5"/>
    <w:rsid w:val="006D266E"/>
    <w:rsid w:val="006D3978"/>
    <w:rsid w:val="006D3E46"/>
    <w:rsid w:val="006D506A"/>
    <w:rsid w:val="006D56CB"/>
    <w:rsid w:val="006D5BBD"/>
    <w:rsid w:val="006D5C72"/>
    <w:rsid w:val="006D5EFD"/>
    <w:rsid w:val="006D5F1C"/>
    <w:rsid w:val="006D5FC3"/>
    <w:rsid w:val="006D62DD"/>
    <w:rsid w:val="006D6F2A"/>
    <w:rsid w:val="006D7C98"/>
    <w:rsid w:val="006D7E1B"/>
    <w:rsid w:val="006E021A"/>
    <w:rsid w:val="006E1782"/>
    <w:rsid w:val="006E1D06"/>
    <w:rsid w:val="006E2066"/>
    <w:rsid w:val="006E27F9"/>
    <w:rsid w:val="006E2AD9"/>
    <w:rsid w:val="006E33F8"/>
    <w:rsid w:val="006E35C9"/>
    <w:rsid w:val="006E3A06"/>
    <w:rsid w:val="006E5232"/>
    <w:rsid w:val="006E5848"/>
    <w:rsid w:val="006E59AA"/>
    <w:rsid w:val="006E647C"/>
    <w:rsid w:val="006E6BA5"/>
    <w:rsid w:val="006E711B"/>
    <w:rsid w:val="006E7270"/>
    <w:rsid w:val="006E7A8A"/>
    <w:rsid w:val="006E7F7C"/>
    <w:rsid w:val="006F04EE"/>
    <w:rsid w:val="006F06E8"/>
    <w:rsid w:val="006F0BBC"/>
    <w:rsid w:val="006F13AC"/>
    <w:rsid w:val="006F161E"/>
    <w:rsid w:val="006F1803"/>
    <w:rsid w:val="006F1972"/>
    <w:rsid w:val="006F203E"/>
    <w:rsid w:val="006F2059"/>
    <w:rsid w:val="006F281B"/>
    <w:rsid w:val="006F2FAB"/>
    <w:rsid w:val="006F3CB3"/>
    <w:rsid w:val="006F46C8"/>
    <w:rsid w:val="006F47C3"/>
    <w:rsid w:val="006F4AFC"/>
    <w:rsid w:val="006F4E50"/>
    <w:rsid w:val="006F55EA"/>
    <w:rsid w:val="006F6D49"/>
    <w:rsid w:val="006F6D52"/>
    <w:rsid w:val="006F7305"/>
    <w:rsid w:val="006F7665"/>
    <w:rsid w:val="006F7900"/>
    <w:rsid w:val="007009A6"/>
    <w:rsid w:val="00700AEE"/>
    <w:rsid w:val="0070134A"/>
    <w:rsid w:val="007019A7"/>
    <w:rsid w:val="00701B9B"/>
    <w:rsid w:val="00701D2F"/>
    <w:rsid w:val="00701ECD"/>
    <w:rsid w:val="0070291A"/>
    <w:rsid w:val="00702AE2"/>
    <w:rsid w:val="00702BD3"/>
    <w:rsid w:val="00702EE5"/>
    <w:rsid w:val="00703E21"/>
    <w:rsid w:val="00704171"/>
    <w:rsid w:val="007046D7"/>
    <w:rsid w:val="00705645"/>
    <w:rsid w:val="00705898"/>
    <w:rsid w:val="007058F3"/>
    <w:rsid w:val="00705BD7"/>
    <w:rsid w:val="00706286"/>
    <w:rsid w:val="007069A1"/>
    <w:rsid w:val="00706C11"/>
    <w:rsid w:val="00707C23"/>
    <w:rsid w:val="00707F66"/>
    <w:rsid w:val="00710081"/>
    <w:rsid w:val="0071151F"/>
    <w:rsid w:val="007118A2"/>
    <w:rsid w:val="00712165"/>
    <w:rsid w:val="0071253D"/>
    <w:rsid w:val="0071275B"/>
    <w:rsid w:val="007131D6"/>
    <w:rsid w:val="00713563"/>
    <w:rsid w:val="0071359A"/>
    <w:rsid w:val="0071367E"/>
    <w:rsid w:val="00713CA5"/>
    <w:rsid w:val="00714035"/>
    <w:rsid w:val="0071499D"/>
    <w:rsid w:val="00714B64"/>
    <w:rsid w:val="007151CE"/>
    <w:rsid w:val="007154B7"/>
    <w:rsid w:val="00715906"/>
    <w:rsid w:val="00716752"/>
    <w:rsid w:val="007173FE"/>
    <w:rsid w:val="0071748E"/>
    <w:rsid w:val="00720139"/>
    <w:rsid w:val="0072056A"/>
    <w:rsid w:val="0072125B"/>
    <w:rsid w:val="00721989"/>
    <w:rsid w:val="00721E04"/>
    <w:rsid w:val="007223EF"/>
    <w:rsid w:val="0072310E"/>
    <w:rsid w:val="0072322C"/>
    <w:rsid w:val="007232DE"/>
    <w:rsid w:val="00723708"/>
    <w:rsid w:val="00723D15"/>
    <w:rsid w:val="007245C1"/>
    <w:rsid w:val="007245F3"/>
    <w:rsid w:val="0072490B"/>
    <w:rsid w:val="00724CA5"/>
    <w:rsid w:val="00726598"/>
    <w:rsid w:val="00726A4F"/>
    <w:rsid w:val="00726B91"/>
    <w:rsid w:val="00726F3F"/>
    <w:rsid w:val="00730785"/>
    <w:rsid w:val="00730E57"/>
    <w:rsid w:val="00731123"/>
    <w:rsid w:val="007312CA"/>
    <w:rsid w:val="00731B8E"/>
    <w:rsid w:val="00731BF0"/>
    <w:rsid w:val="007323C0"/>
    <w:rsid w:val="00733249"/>
    <w:rsid w:val="007332A7"/>
    <w:rsid w:val="00733A11"/>
    <w:rsid w:val="00733EDF"/>
    <w:rsid w:val="00736BC8"/>
    <w:rsid w:val="00737060"/>
    <w:rsid w:val="007400AE"/>
    <w:rsid w:val="00740130"/>
    <w:rsid w:val="00740144"/>
    <w:rsid w:val="0074098F"/>
    <w:rsid w:val="007411D1"/>
    <w:rsid w:val="0074198D"/>
    <w:rsid w:val="00741993"/>
    <w:rsid w:val="00742A73"/>
    <w:rsid w:val="007434F7"/>
    <w:rsid w:val="00743E6A"/>
    <w:rsid w:val="007446F6"/>
    <w:rsid w:val="00744A64"/>
    <w:rsid w:val="0074592D"/>
    <w:rsid w:val="00745B06"/>
    <w:rsid w:val="007468CF"/>
    <w:rsid w:val="00746BC8"/>
    <w:rsid w:val="00746CCF"/>
    <w:rsid w:val="00746F2D"/>
    <w:rsid w:val="00750D38"/>
    <w:rsid w:val="00750FC7"/>
    <w:rsid w:val="007526A7"/>
    <w:rsid w:val="00752A6C"/>
    <w:rsid w:val="00752D1D"/>
    <w:rsid w:val="00752FFB"/>
    <w:rsid w:val="00753571"/>
    <w:rsid w:val="007535E2"/>
    <w:rsid w:val="00753708"/>
    <w:rsid w:val="00753746"/>
    <w:rsid w:val="00753C54"/>
    <w:rsid w:val="00753DA6"/>
    <w:rsid w:val="007549E0"/>
    <w:rsid w:val="007552FF"/>
    <w:rsid w:val="00756130"/>
    <w:rsid w:val="0075676C"/>
    <w:rsid w:val="007570B0"/>
    <w:rsid w:val="00757283"/>
    <w:rsid w:val="007573D2"/>
    <w:rsid w:val="0076091F"/>
    <w:rsid w:val="00760AB3"/>
    <w:rsid w:val="00760F35"/>
    <w:rsid w:val="0076192E"/>
    <w:rsid w:val="00761D85"/>
    <w:rsid w:val="00762B1C"/>
    <w:rsid w:val="00764024"/>
    <w:rsid w:val="007642A4"/>
    <w:rsid w:val="0076485B"/>
    <w:rsid w:val="00764F5F"/>
    <w:rsid w:val="00765A59"/>
    <w:rsid w:val="00765D5F"/>
    <w:rsid w:val="00765DB1"/>
    <w:rsid w:val="0076615F"/>
    <w:rsid w:val="0076643B"/>
    <w:rsid w:val="00766C85"/>
    <w:rsid w:val="007676A0"/>
    <w:rsid w:val="0076789D"/>
    <w:rsid w:val="00771541"/>
    <w:rsid w:val="007722A4"/>
    <w:rsid w:val="007728B4"/>
    <w:rsid w:val="00772A05"/>
    <w:rsid w:val="0077320F"/>
    <w:rsid w:val="00773365"/>
    <w:rsid w:val="00773AD0"/>
    <w:rsid w:val="00774854"/>
    <w:rsid w:val="0077498A"/>
    <w:rsid w:val="00775755"/>
    <w:rsid w:val="0077578F"/>
    <w:rsid w:val="00776B8B"/>
    <w:rsid w:val="007771B7"/>
    <w:rsid w:val="007772DF"/>
    <w:rsid w:val="007778F2"/>
    <w:rsid w:val="007779E8"/>
    <w:rsid w:val="00777ADF"/>
    <w:rsid w:val="00780888"/>
    <w:rsid w:val="00780964"/>
    <w:rsid w:val="00780C2E"/>
    <w:rsid w:val="00781295"/>
    <w:rsid w:val="00781750"/>
    <w:rsid w:val="007823CB"/>
    <w:rsid w:val="00782886"/>
    <w:rsid w:val="007831D4"/>
    <w:rsid w:val="0078327E"/>
    <w:rsid w:val="00784B9E"/>
    <w:rsid w:val="00785167"/>
    <w:rsid w:val="00785313"/>
    <w:rsid w:val="007855ED"/>
    <w:rsid w:val="00785A82"/>
    <w:rsid w:val="00785BFF"/>
    <w:rsid w:val="00785F66"/>
    <w:rsid w:val="00786068"/>
    <w:rsid w:val="00787795"/>
    <w:rsid w:val="007879D9"/>
    <w:rsid w:val="00787A87"/>
    <w:rsid w:val="00787C00"/>
    <w:rsid w:val="00787DE0"/>
    <w:rsid w:val="00787E7F"/>
    <w:rsid w:val="00790B19"/>
    <w:rsid w:val="00791251"/>
    <w:rsid w:val="007921A8"/>
    <w:rsid w:val="00792B09"/>
    <w:rsid w:val="007932DD"/>
    <w:rsid w:val="00793678"/>
    <w:rsid w:val="007936C2"/>
    <w:rsid w:val="00794529"/>
    <w:rsid w:val="0079539E"/>
    <w:rsid w:val="00796BF1"/>
    <w:rsid w:val="00796EA4"/>
    <w:rsid w:val="0079761D"/>
    <w:rsid w:val="00797A34"/>
    <w:rsid w:val="007A04EB"/>
    <w:rsid w:val="007A0A7F"/>
    <w:rsid w:val="007A1399"/>
    <w:rsid w:val="007A1DE3"/>
    <w:rsid w:val="007A2759"/>
    <w:rsid w:val="007A2EFA"/>
    <w:rsid w:val="007A38BA"/>
    <w:rsid w:val="007A435A"/>
    <w:rsid w:val="007A4364"/>
    <w:rsid w:val="007A4F04"/>
    <w:rsid w:val="007A609A"/>
    <w:rsid w:val="007A7033"/>
    <w:rsid w:val="007A715B"/>
    <w:rsid w:val="007A7F7E"/>
    <w:rsid w:val="007B187F"/>
    <w:rsid w:val="007B19ED"/>
    <w:rsid w:val="007B2BA1"/>
    <w:rsid w:val="007B2C02"/>
    <w:rsid w:val="007B311F"/>
    <w:rsid w:val="007B3685"/>
    <w:rsid w:val="007B36C3"/>
    <w:rsid w:val="007B3D78"/>
    <w:rsid w:val="007B47F6"/>
    <w:rsid w:val="007B48EC"/>
    <w:rsid w:val="007B4955"/>
    <w:rsid w:val="007B4A5B"/>
    <w:rsid w:val="007B500E"/>
    <w:rsid w:val="007B7886"/>
    <w:rsid w:val="007C0579"/>
    <w:rsid w:val="007C16B9"/>
    <w:rsid w:val="007C1A17"/>
    <w:rsid w:val="007C1ADE"/>
    <w:rsid w:val="007C20CD"/>
    <w:rsid w:val="007C2373"/>
    <w:rsid w:val="007C24F1"/>
    <w:rsid w:val="007C2E15"/>
    <w:rsid w:val="007C371B"/>
    <w:rsid w:val="007C4523"/>
    <w:rsid w:val="007C4537"/>
    <w:rsid w:val="007C4C98"/>
    <w:rsid w:val="007C553A"/>
    <w:rsid w:val="007C6FB0"/>
    <w:rsid w:val="007C7508"/>
    <w:rsid w:val="007C77B2"/>
    <w:rsid w:val="007C7C01"/>
    <w:rsid w:val="007D0454"/>
    <w:rsid w:val="007D21FE"/>
    <w:rsid w:val="007D24A0"/>
    <w:rsid w:val="007D254F"/>
    <w:rsid w:val="007D44D5"/>
    <w:rsid w:val="007D4621"/>
    <w:rsid w:val="007D5BFF"/>
    <w:rsid w:val="007D6B3D"/>
    <w:rsid w:val="007D6E6E"/>
    <w:rsid w:val="007D7067"/>
    <w:rsid w:val="007D7A49"/>
    <w:rsid w:val="007D7E9F"/>
    <w:rsid w:val="007E05A0"/>
    <w:rsid w:val="007E090E"/>
    <w:rsid w:val="007E0B57"/>
    <w:rsid w:val="007E0B7A"/>
    <w:rsid w:val="007E1624"/>
    <w:rsid w:val="007E1F28"/>
    <w:rsid w:val="007E1F99"/>
    <w:rsid w:val="007E27E5"/>
    <w:rsid w:val="007E45F5"/>
    <w:rsid w:val="007E4DD9"/>
    <w:rsid w:val="007E5484"/>
    <w:rsid w:val="007E5626"/>
    <w:rsid w:val="007E710E"/>
    <w:rsid w:val="007E7993"/>
    <w:rsid w:val="007E7D0A"/>
    <w:rsid w:val="007F1026"/>
    <w:rsid w:val="007F11C1"/>
    <w:rsid w:val="007F1330"/>
    <w:rsid w:val="007F1E1D"/>
    <w:rsid w:val="007F258B"/>
    <w:rsid w:val="007F272B"/>
    <w:rsid w:val="007F3FDD"/>
    <w:rsid w:val="007F4797"/>
    <w:rsid w:val="007F4AFB"/>
    <w:rsid w:val="007F623C"/>
    <w:rsid w:val="007F680E"/>
    <w:rsid w:val="007F72D6"/>
    <w:rsid w:val="007F7691"/>
    <w:rsid w:val="007F787A"/>
    <w:rsid w:val="007F79E8"/>
    <w:rsid w:val="007F7B3E"/>
    <w:rsid w:val="00800874"/>
    <w:rsid w:val="00800BAA"/>
    <w:rsid w:val="00800DD9"/>
    <w:rsid w:val="00800F05"/>
    <w:rsid w:val="00801153"/>
    <w:rsid w:val="0080188F"/>
    <w:rsid w:val="008022CF"/>
    <w:rsid w:val="0080277A"/>
    <w:rsid w:val="008043EC"/>
    <w:rsid w:val="008050E5"/>
    <w:rsid w:val="008052C0"/>
    <w:rsid w:val="00805984"/>
    <w:rsid w:val="00805FF7"/>
    <w:rsid w:val="008063DC"/>
    <w:rsid w:val="00806B0B"/>
    <w:rsid w:val="00806D83"/>
    <w:rsid w:val="00807431"/>
    <w:rsid w:val="008077F2"/>
    <w:rsid w:val="0080789E"/>
    <w:rsid w:val="00807D54"/>
    <w:rsid w:val="00807DF3"/>
    <w:rsid w:val="0081004C"/>
    <w:rsid w:val="008104C7"/>
    <w:rsid w:val="00810670"/>
    <w:rsid w:val="00810793"/>
    <w:rsid w:val="00811304"/>
    <w:rsid w:val="00811FFD"/>
    <w:rsid w:val="008126E8"/>
    <w:rsid w:val="00812B43"/>
    <w:rsid w:val="00813338"/>
    <w:rsid w:val="008138BB"/>
    <w:rsid w:val="00814C74"/>
    <w:rsid w:val="00815407"/>
    <w:rsid w:val="00820B6F"/>
    <w:rsid w:val="008214CA"/>
    <w:rsid w:val="00821BB2"/>
    <w:rsid w:val="008220E1"/>
    <w:rsid w:val="00822645"/>
    <w:rsid w:val="00822E47"/>
    <w:rsid w:val="008230BA"/>
    <w:rsid w:val="008233B3"/>
    <w:rsid w:val="00823C87"/>
    <w:rsid w:val="00824A93"/>
    <w:rsid w:val="00825A41"/>
    <w:rsid w:val="00825FCB"/>
    <w:rsid w:val="00826140"/>
    <w:rsid w:val="00826484"/>
    <w:rsid w:val="00826750"/>
    <w:rsid w:val="00826A3A"/>
    <w:rsid w:val="00826C0C"/>
    <w:rsid w:val="00826F59"/>
    <w:rsid w:val="00827200"/>
    <w:rsid w:val="008274E2"/>
    <w:rsid w:val="00827E66"/>
    <w:rsid w:val="00827F70"/>
    <w:rsid w:val="00830711"/>
    <w:rsid w:val="008308C0"/>
    <w:rsid w:val="008311C5"/>
    <w:rsid w:val="0083155D"/>
    <w:rsid w:val="0083190B"/>
    <w:rsid w:val="00831AF3"/>
    <w:rsid w:val="00831C7A"/>
    <w:rsid w:val="00833C12"/>
    <w:rsid w:val="00833C5A"/>
    <w:rsid w:val="00834079"/>
    <w:rsid w:val="00835CC7"/>
    <w:rsid w:val="00835F60"/>
    <w:rsid w:val="00836519"/>
    <w:rsid w:val="0083677D"/>
    <w:rsid w:val="00837008"/>
    <w:rsid w:val="0083736C"/>
    <w:rsid w:val="0083744B"/>
    <w:rsid w:val="00837482"/>
    <w:rsid w:val="00837886"/>
    <w:rsid w:val="00837E12"/>
    <w:rsid w:val="00837FC6"/>
    <w:rsid w:val="00840030"/>
    <w:rsid w:val="0084069B"/>
    <w:rsid w:val="00840702"/>
    <w:rsid w:val="00840751"/>
    <w:rsid w:val="00840AAC"/>
    <w:rsid w:val="00840CE4"/>
    <w:rsid w:val="00840D95"/>
    <w:rsid w:val="0084144D"/>
    <w:rsid w:val="008420AD"/>
    <w:rsid w:val="0084220B"/>
    <w:rsid w:val="0084271A"/>
    <w:rsid w:val="00843FA6"/>
    <w:rsid w:val="00844302"/>
    <w:rsid w:val="00844412"/>
    <w:rsid w:val="008449AD"/>
    <w:rsid w:val="00844DCF"/>
    <w:rsid w:val="008454A4"/>
    <w:rsid w:val="00845EF1"/>
    <w:rsid w:val="00846269"/>
    <w:rsid w:val="00846A1A"/>
    <w:rsid w:val="00846F2E"/>
    <w:rsid w:val="008470CE"/>
    <w:rsid w:val="008500D5"/>
    <w:rsid w:val="00850F01"/>
    <w:rsid w:val="0085119C"/>
    <w:rsid w:val="008512FB"/>
    <w:rsid w:val="008514D5"/>
    <w:rsid w:val="00852DF6"/>
    <w:rsid w:val="0085303F"/>
    <w:rsid w:val="00854AC7"/>
    <w:rsid w:val="0085562D"/>
    <w:rsid w:val="008557FD"/>
    <w:rsid w:val="008563D6"/>
    <w:rsid w:val="008564C0"/>
    <w:rsid w:val="00856B63"/>
    <w:rsid w:val="008574C1"/>
    <w:rsid w:val="008577A1"/>
    <w:rsid w:val="00860CBF"/>
    <w:rsid w:val="00861E67"/>
    <w:rsid w:val="0086263A"/>
    <w:rsid w:val="00862F3A"/>
    <w:rsid w:val="008652AB"/>
    <w:rsid w:val="008655F9"/>
    <w:rsid w:val="00865630"/>
    <w:rsid w:val="00866064"/>
    <w:rsid w:val="00866890"/>
    <w:rsid w:val="00866CDA"/>
    <w:rsid w:val="008672CE"/>
    <w:rsid w:val="00867C98"/>
    <w:rsid w:val="008705C2"/>
    <w:rsid w:val="00871119"/>
    <w:rsid w:val="00871284"/>
    <w:rsid w:val="00871336"/>
    <w:rsid w:val="0087169E"/>
    <w:rsid w:val="008716E1"/>
    <w:rsid w:val="0087190D"/>
    <w:rsid w:val="00872F4C"/>
    <w:rsid w:val="0087383F"/>
    <w:rsid w:val="00874024"/>
    <w:rsid w:val="00874317"/>
    <w:rsid w:val="00874CB4"/>
    <w:rsid w:val="00874F80"/>
    <w:rsid w:val="00875839"/>
    <w:rsid w:val="00875B7B"/>
    <w:rsid w:val="00875EBC"/>
    <w:rsid w:val="0087624E"/>
    <w:rsid w:val="0087714F"/>
    <w:rsid w:val="00877B13"/>
    <w:rsid w:val="00880261"/>
    <w:rsid w:val="008807E1"/>
    <w:rsid w:val="008810E2"/>
    <w:rsid w:val="008818A9"/>
    <w:rsid w:val="00881E02"/>
    <w:rsid w:val="0088257B"/>
    <w:rsid w:val="00882DCA"/>
    <w:rsid w:val="008839A1"/>
    <w:rsid w:val="008839AC"/>
    <w:rsid w:val="00883C5F"/>
    <w:rsid w:val="00883DC8"/>
    <w:rsid w:val="008843CE"/>
    <w:rsid w:val="00884999"/>
    <w:rsid w:val="00884B32"/>
    <w:rsid w:val="00884DB8"/>
    <w:rsid w:val="00884DBA"/>
    <w:rsid w:val="008851A0"/>
    <w:rsid w:val="00885C2B"/>
    <w:rsid w:val="00885C5B"/>
    <w:rsid w:val="00886908"/>
    <w:rsid w:val="00887F4A"/>
    <w:rsid w:val="00890BE4"/>
    <w:rsid w:val="00892CC1"/>
    <w:rsid w:val="00896D43"/>
    <w:rsid w:val="00897EB4"/>
    <w:rsid w:val="008A0067"/>
    <w:rsid w:val="008A140B"/>
    <w:rsid w:val="008A2F21"/>
    <w:rsid w:val="008A317E"/>
    <w:rsid w:val="008A48CF"/>
    <w:rsid w:val="008A51B9"/>
    <w:rsid w:val="008A5CE4"/>
    <w:rsid w:val="008A7958"/>
    <w:rsid w:val="008B0741"/>
    <w:rsid w:val="008B115C"/>
    <w:rsid w:val="008B1907"/>
    <w:rsid w:val="008B1E1A"/>
    <w:rsid w:val="008B20AD"/>
    <w:rsid w:val="008B27A4"/>
    <w:rsid w:val="008B2F02"/>
    <w:rsid w:val="008B3E8C"/>
    <w:rsid w:val="008B5961"/>
    <w:rsid w:val="008B5A03"/>
    <w:rsid w:val="008B5AA9"/>
    <w:rsid w:val="008B61F8"/>
    <w:rsid w:val="008B69D4"/>
    <w:rsid w:val="008B6CFB"/>
    <w:rsid w:val="008B6F0B"/>
    <w:rsid w:val="008B73EF"/>
    <w:rsid w:val="008B7970"/>
    <w:rsid w:val="008C028D"/>
    <w:rsid w:val="008C03D7"/>
    <w:rsid w:val="008C0EEE"/>
    <w:rsid w:val="008C2049"/>
    <w:rsid w:val="008C34BE"/>
    <w:rsid w:val="008C3774"/>
    <w:rsid w:val="008C37B5"/>
    <w:rsid w:val="008C3B55"/>
    <w:rsid w:val="008C3DBE"/>
    <w:rsid w:val="008C4070"/>
    <w:rsid w:val="008C40E0"/>
    <w:rsid w:val="008C43C0"/>
    <w:rsid w:val="008C446C"/>
    <w:rsid w:val="008C476E"/>
    <w:rsid w:val="008C4CCC"/>
    <w:rsid w:val="008C511D"/>
    <w:rsid w:val="008C533E"/>
    <w:rsid w:val="008C5CBF"/>
    <w:rsid w:val="008C5D69"/>
    <w:rsid w:val="008C5D82"/>
    <w:rsid w:val="008C648F"/>
    <w:rsid w:val="008C6CA5"/>
    <w:rsid w:val="008C74D6"/>
    <w:rsid w:val="008C752B"/>
    <w:rsid w:val="008D06D0"/>
    <w:rsid w:val="008D0EBF"/>
    <w:rsid w:val="008D1766"/>
    <w:rsid w:val="008D1971"/>
    <w:rsid w:val="008D2634"/>
    <w:rsid w:val="008D5AAA"/>
    <w:rsid w:val="008D5F86"/>
    <w:rsid w:val="008D619D"/>
    <w:rsid w:val="008D673D"/>
    <w:rsid w:val="008D7894"/>
    <w:rsid w:val="008E014A"/>
    <w:rsid w:val="008E017C"/>
    <w:rsid w:val="008E0F78"/>
    <w:rsid w:val="008E1C2E"/>
    <w:rsid w:val="008E2094"/>
    <w:rsid w:val="008E22B0"/>
    <w:rsid w:val="008E2586"/>
    <w:rsid w:val="008E2AD2"/>
    <w:rsid w:val="008E2CDB"/>
    <w:rsid w:val="008E4F42"/>
    <w:rsid w:val="008E5071"/>
    <w:rsid w:val="008E564B"/>
    <w:rsid w:val="008E56BA"/>
    <w:rsid w:val="008E62CB"/>
    <w:rsid w:val="008E70F2"/>
    <w:rsid w:val="008E7445"/>
    <w:rsid w:val="008E771C"/>
    <w:rsid w:val="008E7908"/>
    <w:rsid w:val="008E79A6"/>
    <w:rsid w:val="008F08FF"/>
    <w:rsid w:val="008F0990"/>
    <w:rsid w:val="008F0D51"/>
    <w:rsid w:val="008F1141"/>
    <w:rsid w:val="008F1308"/>
    <w:rsid w:val="008F1354"/>
    <w:rsid w:val="008F174E"/>
    <w:rsid w:val="008F1FB8"/>
    <w:rsid w:val="008F2B9F"/>
    <w:rsid w:val="008F4511"/>
    <w:rsid w:val="008F62D1"/>
    <w:rsid w:val="008F70B5"/>
    <w:rsid w:val="008F7ADD"/>
    <w:rsid w:val="008F7B38"/>
    <w:rsid w:val="008F7C8C"/>
    <w:rsid w:val="008F7FC9"/>
    <w:rsid w:val="00900513"/>
    <w:rsid w:val="00900D8A"/>
    <w:rsid w:val="00901BD6"/>
    <w:rsid w:val="00901EEE"/>
    <w:rsid w:val="00902748"/>
    <w:rsid w:val="00902D16"/>
    <w:rsid w:val="00902E02"/>
    <w:rsid w:val="00902E8E"/>
    <w:rsid w:val="00902F4E"/>
    <w:rsid w:val="00903325"/>
    <w:rsid w:val="009035F2"/>
    <w:rsid w:val="0090363C"/>
    <w:rsid w:val="00903DBC"/>
    <w:rsid w:val="00904AC3"/>
    <w:rsid w:val="00905BEF"/>
    <w:rsid w:val="00905CD4"/>
    <w:rsid w:val="00906368"/>
    <w:rsid w:val="009069D7"/>
    <w:rsid w:val="009100E9"/>
    <w:rsid w:val="0091067E"/>
    <w:rsid w:val="00910DD0"/>
    <w:rsid w:val="00911819"/>
    <w:rsid w:val="00912FB7"/>
    <w:rsid w:val="009133F1"/>
    <w:rsid w:val="00913410"/>
    <w:rsid w:val="0091392B"/>
    <w:rsid w:val="00913E76"/>
    <w:rsid w:val="0091419B"/>
    <w:rsid w:val="00914668"/>
    <w:rsid w:val="00914F9C"/>
    <w:rsid w:val="00915838"/>
    <w:rsid w:val="00915F65"/>
    <w:rsid w:val="00916892"/>
    <w:rsid w:val="00916933"/>
    <w:rsid w:val="009169E4"/>
    <w:rsid w:val="009170A2"/>
    <w:rsid w:val="00917D8D"/>
    <w:rsid w:val="00920406"/>
    <w:rsid w:val="00921A71"/>
    <w:rsid w:val="00921DC2"/>
    <w:rsid w:val="00921F65"/>
    <w:rsid w:val="009224A4"/>
    <w:rsid w:val="009224E2"/>
    <w:rsid w:val="00923BE6"/>
    <w:rsid w:val="00923E4A"/>
    <w:rsid w:val="00924514"/>
    <w:rsid w:val="009245A2"/>
    <w:rsid w:val="0092476B"/>
    <w:rsid w:val="00924C3E"/>
    <w:rsid w:val="0092597D"/>
    <w:rsid w:val="009263F8"/>
    <w:rsid w:val="009264CB"/>
    <w:rsid w:val="00926FFF"/>
    <w:rsid w:val="0092709C"/>
    <w:rsid w:val="009270F7"/>
    <w:rsid w:val="009278D7"/>
    <w:rsid w:val="009300CE"/>
    <w:rsid w:val="009306FA"/>
    <w:rsid w:val="00932E40"/>
    <w:rsid w:val="00933F0D"/>
    <w:rsid w:val="00935397"/>
    <w:rsid w:val="009355D9"/>
    <w:rsid w:val="00935BC8"/>
    <w:rsid w:val="00935C0D"/>
    <w:rsid w:val="00936D5A"/>
    <w:rsid w:val="00937F18"/>
    <w:rsid w:val="00940183"/>
    <w:rsid w:val="0094073C"/>
    <w:rsid w:val="0094091A"/>
    <w:rsid w:val="009420F0"/>
    <w:rsid w:val="00943D0F"/>
    <w:rsid w:val="00943D8A"/>
    <w:rsid w:val="009448FF"/>
    <w:rsid w:val="00944ADB"/>
    <w:rsid w:val="00944BF9"/>
    <w:rsid w:val="00945141"/>
    <w:rsid w:val="009457E9"/>
    <w:rsid w:val="00945B7D"/>
    <w:rsid w:val="00950206"/>
    <w:rsid w:val="00950372"/>
    <w:rsid w:val="0095085A"/>
    <w:rsid w:val="00950A3E"/>
    <w:rsid w:val="00950A58"/>
    <w:rsid w:val="00950A8A"/>
    <w:rsid w:val="009519E5"/>
    <w:rsid w:val="0095217A"/>
    <w:rsid w:val="0095237F"/>
    <w:rsid w:val="0095242C"/>
    <w:rsid w:val="00952DD7"/>
    <w:rsid w:val="009534A5"/>
    <w:rsid w:val="00953531"/>
    <w:rsid w:val="009537C5"/>
    <w:rsid w:val="00953AA6"/>
    <w:rsid w:val="00953F45"/>
    <w:rsid w:val="00955899"/>
    <w:rsid w:val="00955EE2"/>
    <w:rsid w:val="00956300"/>
    <w:rsid w:val="009602C9"/>
    <w:rsid w:val="00960416"/>
    <w:rsid w:val="00960A72"/>
    <w:rsid w:val="00960B0E"/>
    <w:rsid w:val="00960E70"/>
    <w:rsid w:val="00961B4F"/>
    <w:rsid w:val="00962713"/>
    <w:rsid w:val="00962B4E"/>
    <w:rsid w:val="00962F39"/>
    <w:rsid w:val="00963AE7"/>
    <w:rsid w:val="00963CF3"/>
    <w:rsid w:val="0096401E"/>
    <w:rsid w:val="00964387"/>
    <w:rsid w:val="0096442C"/>
    <w:rsid w:val="009647B1"/>
    <w:rsid w:val="00964889"/>
    <w:rsid w:val="009649D7"/>
    <w:rsid w:val="009658B1"/>
    <w:rsid w:val="009659BA"/>
    <w:rsid w:val="00965B19"/>
    <w:rsid w:val="00966018"/>
    <w:rsid w:val="00966661"/>
    <w:rsid w:val="00967A7A"/>
    <w:rsid w:val="00971376"/>
    <w:rsid w:val="0097166A"/>
    <w:rsid w:val="00971A0C"/>
    <w:rsid w:val="0097202A"/>
    <w:rsid w:val="00973350"/>
    <w:rsid w:val="00975671"/>
    <w:rsid w:val="00975B47"/>
    <w:rsid w:val="00975E0C"/>
    <w:rsid w:val="00976968"/>
    <w:rsid w:val="00976DCE"/>
    <w:rsid w:val="00977735"/>
    <w:rsid w:val="00980363"/>
    <w:rsid w:val="00981902"/>
    <w:rsid w:val="00982392"/>
    <w:rsid w:val="00983AEE"/>
    <w:rsid w:val="0098416A"/>
    <w:rsid w:val="009846BD"/>
    <w:rsid w:val="00984869"/>
    <w:rsid w:val="0098501A"/>
    <w:rsid w:val="009851EF"/>
    <w:rsid w:val="00985595"/>
    <w:rsid w:val="00985B5E"/>
    <w:rsid w:val="00985C05"/>
    <w:rsid w:val="009864C0"/>
    <w:rsid w:val="0098722C"/>
    <w:rsid w:val="00987700"/>
    <w:rsid w:val="00987C02"/>
    <w:rsid w:val="00990853"/>
    <w:rsid w:val="00990B3C"/>
    <w:rsid w:val="00991192"/>
    <w:rsid w:val="00992953"/>
    <w:rsid w:val="00993272"/>
    <w:rsid w:val="00993964"/>
    <w:rsid w:val="00993EBD"/>
    <w:rsid w:val="009942E3"/>
    <w:rsid w:val="00994951"/>
    <w:rsid w:val="0099507C"/>
    <w:rsid w:val="009950D7"/>
    <w:rsid w:val="00995775"/>
    <w:rsid w:val="00995806"/>
    <w:rsid w:val="00995BD0"/>
    <w:rsid w:val="0099722A"/>
    <w:rsid w:val="009A0657"/>
    <w:rsid w:val="009A25F5"/>
    <w:rsid w:val="009A2D8C"/>
    <w:rsid w:val="009A30E6"/>
    <w:rsid w:val="009A36DB"/>
    <w:rsid w:val="009A3917"/>
    <w:rsid w:val="009A40B8"/>
    <w:rsid w:val="009A43D4"/>
    <w:rsid w:val="009A46D2"/>
    <w:rsid w:val="009A4E1A"/>
    <w:rsid w:val="009A4F4B"/>
    <w:rsid w:val="009A5870"/>
    <w:rsid w:val="009A6F76"/>
    <w:rsid w:val="009A75B7"/>
    <w:rsid w:val="009A79FE"/>
    <w:rsid w:val="009B053F"/>
    <w:rsid w:val="009B0D88"/>
    <w:rsid w:val="009B1018"/>
    <w:rsid w:val="009B1395"/>
    <w:rsid w:val="009B175D"/>
    <w:rsid w:val="009B190E"/>
    <w:rsid w:val="009B2B6F"/>
    <w:rsid w:val="009B327D"/>
    <w:rsid w:val="009B39D2"/>
    <w:rsid w:val="009B40AF"/>
    <w:rsid w:val="009B4342"/>
    <w:rsid w:val="009B4DF9"/>
    <w:rsid w:val="009B5DA9"/>
    <w:rsid w:val="009B619C"/>
    <w:rsid w:val="009B719C"/>
    <w:rsid w:val="009B7CE2"/>
    <w:rsid w:val="009C03DF"/>
    <w:rsid w:val="009C1016"/>
    <w:rsid w:val="009C119E"/>
    <w:rsid w:val="009C11E4"/>
    <w:rsid w:val="009C14BF"/>
    <w:rsid w:val="009C1830"/>
    <w:rsid w:val="009C2432"/>
    <w:rsid w:val="009C2B95"/>
    <w:rsid w:val="009C30DF"/>
    <w:rsid w:val="009C3533"/>
    <w:rsid w:val="009C387E"/>
    <w:rsid w:val="009C3B5D"/>
    <w:rsid w:val="009C3BF7"/>
    <w:rsid w:val="009C3C1A"/>
    <w:rsid w:val="009C3F8E"/>
    <w:rsid w:val="009C440A"/>
    <w:rsid w:val="009C50ED"/>
    <w:rsid w:val="009C5BDB"/>
    <w:rsid w:val="009C5E78"/>
    <w:rsid w:val="009C64C7"/>
    <w:rsid w:val="009C65B1"/>
    <w:rsid w:val="009C66E6"/>
    <w:rsid w:val="009C69FC"/>
    <w:rsid w:val="009C7ECB"/>
    <w:rsid w:val="009D0393"/>
    <w:rsid w:val="009D0489"/>
    <w:rsid w:val="009D0A19"/>
    <w:rsid w:val="009D111F"/>
    <w:rsid w:val="009D228B"/>
    <w:rsid w:val="009D2524"/>
    <w:rsid w:val="009D2A88"/>
    <w:rsid w:val="009D421C"/>
    <w:rsid w:val="009D46E3"/>
    <w:rsid w:val="009D4E43"/>
    <w:rsid w:val="009D594D"/>
    <w:rsid w:val="009D618D"/>
    <w:rsid w:val="009D6231"/>
    <w:rsid w:val="009D6512"/>
    <w:rsid w:val="009D6ACF"/>
    <w:rsid w:val="009D79B0"/>
    <w:rsid w:val="009D7C19"/>
    <w:rsid w:val="009D7E85"/>
    <w:rsid w:val="009E044D"/>
    <w:rsid w:val="009E15E5"/>
    <w:rsid w:val="009E1B66"/>
    <w:rsid w:val="009E1E57"/>
    <w:rsid w:val="009E2074"/>
    <w:rsid w:val="009E2A28"/>
    <w:rsid w:val="009E2CE9"/>
    <w:rsid w:val="009E410F"/>
    <w:rsid w:val="009E41FE"/>
    <w:rsid w:val="009E47A2"/>
    <w:rsid w:val="009E5AAA"/>
    <w:rsid w:val="009E6883"/>
    <w:rsid w:val="009E70A2"/>
    <w:rsid w:val="009E7ED4"/>
    <w:rsid w:val="009F00E9"/>
    <w:rsid w:val="009F0526"/>
    <w:rsid w:val="009F0DC3"/>
    <w:rsid w:val="009F1A6F"/>
    <w:rsid w:val="009F2BDD"/>
    <w:rsid w:val="009F3CA7"/>
    <w:rsid w:val="009F3E3A"/>
    <w:rsid w:val="009F4800"/>
    <w:rsid w:val="009F6995"/>
    <w:rsid w:val="009F6CB7"/>
    <w:rsid w:val="009F6E05"/>
    <w:rsid w:val="009F740C"/>
    <w:rsid w:val="009F79C1"/>
    <w:rsid w:val="00A00167"/>
    <w:rsid w:val="00A003CA"/>
    <w:rsid w:val="00A01106"/>
    <w:rsid w:val="00A01750"/>
    <w:rsid w:val="00A01E55"/>
    <w:rsid w:val="00A0233E"/>
    <w:rsid w:val="00A02E64"/>
    <w:rsid w:val="00A02F96"/>
    <w:rsid w:val="00A03FBE"/>
    <w:rsid w:val="00A0467E"/>
    <w:rsid w:val="00A04AC0"/>
    <w:rsid w:val="00A05879"/>
    <w:rsid w:val="00A05CF3"/>
    <w:rsid w:val="00A061DB"/>
    <w:rsid w:val="00A06215"/>
    <w:rsid w:val="00A063F8"/>
    <w:rsid w:val="00A0683C"/>
    <w:rsid w:val="00A11C9B"/>
    <w:rsid w:val="00A12660"/>
    <w:rsid w:val="00A12FA1"/>
    <w:rsid w:val="00A1359B"/>
    <w:rsid w:val="00A13971"/>
    <w:rsid w:val="00A13AF0"/>
    <w:rsid w:val="00A147F4"/>
    <w:rsid w:val="00A14F71"/>
    <w:rsid w:val="00A15751"/>
    <w:rsid w:val="00A15759"/>
    <w:rsid w:val="00A15E2C"/>
    <w:rsid w:val="00A15F00"/>
    <w:rsid w:val="00A16110"/>
    <w:rsid w:val="00A16308"/>
    <w:rsid w:val="00A17689"/>
    <w:rsid w:val="00A1787B"/>
    <w:rsid w:val="00A17D1F"/>
    <w:rsid w:val="00A17DA6"/>
    <w:rsid w:val="00A2096C"/>
    <w:rsid w:val="00A20E03"/>
    <w:rsid w:val="00A23375"/>
    <w:rsid w:val="00A24A45"/>
    <w:rsid w:val="00A24E26"/>
    <w:rsid w:val="00A25700"/>
    <w:rsid w:val="00A2688B"/>
    <w:rsid w:val="00A270A0"/>
    <w:rsid w:val="00A27C82"/>
    <w:rsid w:val="00A307B8"/>
    <w:rsid w:val="00A30D4E"/>
    <w:rsid w:val="00A31013"/>
    <w:rsid w:val="00A31DA6"/>
    <w:rsid w:val="00A32761"/>
    <w:rsid w:val="00A32C62"/>
    <w:rsid w:val="00A334AF"/>
    <w:rsid w:val="00A33EA5"/>
    <w:rsid w:val="00A3453A"/>
    <w:rsid w:val="00A3495F"/>
    <w:rsid w:val="00A3529F"/>
    <w:rsid w:val="00A35655"/>
    <w:rsid w:val="00A371BD"/>
    <w:rsid w:val="00A378F3"/>
    <w:rsid w:val="00A40234"/>
    <w:rsid w:val="00A40C7A"/>
    <w:rsid w:val="00A40FCE"/>
    <w:rsid w:val="00A41189"/>
    <w:rsid w:val="00A41E13"/>
    <w:rsid w:val="00A42240"/>
    <w:rsid w:val="00A425C3"/>
    <w:rsid w:val="00A43F74"/>
    <w:rsid w:val="00A447FB"/>
    <w:rsid w:val="00A44C31"/>
    <w:rsid w:val="00A453BB"/>
    <w:rsid w:val="00A45EA3"/>
    <w:rsid w:val="00A46520"/>
    <w:rsid w:val="00A501F3"/>
    <w:rsid w:val="00A506F4"/>
    <w:rsid w:val="00A50B93"/>
    <w:rsid w:val="00A5124D"/>
    <w:rsid w:val="00A5131D"/>
    <w:rsid w:val="00A5247B"/>
    <w:rsid w:val="00A526FF"/>
    <w:rsid w:val="00A52B7C"/>
    <w:rsid w:val="00A53304"/>
    <w:rsid w:val="00A5375C"/>
    <w:rsid w:val="00A551FB"/>
    <w:rsid w:val="00A55267"/>
    <w:rsid w:val="00A5541A"/>
    <w:rsid w:val="00A55B33"/>
    <w:rsid w:val="00A55D90"/>
    <w:rsid w:val="00A560ED"/>
    <w:rsid w:val="00A563E4"/>
    <w:rsid w:val="00A57919"/>
    <w:rsid w:val="00A606DD"/>
    <w:rsid w:val="00A6246E"/>
    <w:rsid w:val="00A6259C"/>
    <w:rsid w:val="00A62F03"/>
    <w:rsid w:val="00A631FF"/>
    <w:rsid w:val="00A63655"/>
    <w:rsid w:val="00A63B9F"/>
    <w:rsid w:val="00A63E5B"/>
    <w:rsid w:val="00A6404C"/>
    <w:rsid w:val="00A64D9B"/>
    <w:rsid w:val="00A65378"/>
    <w:rsid w:val="00A658C7"/>
    <w:rsid w:val="00A661A5"/>
    <w:rsid w:val="00A66290"/>
    <w:rsid w:val="00A66848"/>
    <w:rsid w:val="00A6698F"/>
    <w:rsid w:val="00A66A9F"/>
    <w:rsid w:val="00A6753A"/>
    <w:rsid w:val="00A6763F"/>
    <w:rsid w:val="00A67678"/>
    <w:rsid w:val="00A70418"/>
    <w:rsid w:val="00A707E5"/>
    <w:rsid w:val="00A70832"/>
    <w:rsid w:val="00A71CAF"/>
    <w:rsid w:val="00A71D25"/>
    <w:rsid w:val="00A72471"/>
    <w:rsid w:val="00A72699"/>
    <w:rsid w:val="00A72CEF"/>
    <w:rsid w:val="00A72EA0"/>
    <w:rsid w:val="00A72FA2"/>
    <w:rsid w:val="00A73741"/>
    <w:rsid w:val="00A73F66"/>
    <w:rsid w:val="00A74A03"/>
    <w:rsid w:val="00A74A05"/>
    <w:rsid w:val="00A74EE4"/>
    <w:rsid w:val="00A75512"/>
    <w:rsid w:val="00A7560F"/>
    <w:rsid w:val="00A75769"/>
    <w:rsid w:val="00A76D9C"/>
    <w:rsid w:val="00A80747"/>
    <w:rsid w:val="00A80C8B"/>
    <w:rsid w:val="00A81612"/>
    <w:rsid w:val="00A8162B"/>
    <w:rsid w:val="00A8180A"/>
    <w:rsid w:val="00A81B8D"/>
    <w:rsid w:val="00A8289B"/>
    <w:rsid w:val="00A83235"/>
    <w:rsid w:val="00A8358D"/>
    <w:rsid w:val="00A83F8B"/>
    <w:rsid w:val="00A851E4"/>
    <w:rsid w:val="00A85D91"/>
    <w:rsid w:val="00A85E11"/>
    <w:rsid w:val="00A86361"/>
    <w:rsid w:val="00A87675"/>
    <w:rsid w:val="00A90506"/>
    <w:rsid w:val="00A9079D"/>
    <w:rsid w:val="00A90F8C"/>
    <w:rsid w:val="00A92408"/>
    <w:rsid w:val="00A92C2A"/>
    <w:rsid w:val="00A930ED"/>
    <w:rsid w:val="00A933B4"/>
    <w:rsid w:val="00A93668"/>
    <w:rsid w:val="00A95201"/>
    <w:rsid w:val="00A95CA7"/>
    <w:rsid w:val="00A96E1E"/>
    <w:rsid w:val="00A96EE1"/>
    <w:rsid w:val="00A977EF"/>
    <w:rsid w:val="00A97F62"/>
    <w:rsid w:val="00AA0207"/>
    <w:rsid w:val="00AA04B8"/>
    <w:rsid w:val="00AA087B"/>
    <w:rsid w:val="00AA16A2"/>
    <w:rsid w:val="00AA174D"/>
    <w:rsid w:val="00AA28DA"/>
    <w:rsid w:val="00AA2F59"/>
    <w:rsid w:val="00AA3021"/>
    <w:rsid w:val="00AA383B"/>
    <w:rsid w:val="00AA457B"/>
    <w:rsid w:val="00AA4B8C"/>
    <w:rsid w:val="00AA4F12"/>
    <w:rsid w:val="00AA5B07"/>
    <w:rsid w:val="00AA60A4"/>
    <w:rsid w:val="00AA65FB"/>
    <w:rsid w:val="00AA6C73"/>
    <w:rsid w:val="00AA6DB1"/>
    <w:rsid w:val="00AA7D8B"/>
    <w:rsid w:val="00AB01B3"/>
    <w:rsid w:val="00AB05A4"/>
    <w:rsid w:val="00AB0E81"/>
    <w:rsid w:val="00AB1508"/>
    <w:rsid w:val="00AB1956"/>
    <w:rsid w:val="00AB2CD6"/>
    <w:rsid w:val="00AB2E99"/>
    <w:rsid w:val="00AB40BC"/>
    <w:rsid w:val="00AB4ACF"/>
    <w:rsid w:val="00AB4AE0"/>
    <w:rsid w:val="00AB538E"/>
    <w:rsid w:val="00AB57A2"/>
    <w:rsid w:val="00AB5A82"/>
    <w:rsid w:val="00AB79E3"/>
    <w:rsid w:val="00AB7E68"/>
    <w:rsid w:val="00AC083D"/>
    <w:rsid w:val="00AC1AC6"/>
    <w:rsid w:val="00AC2352"/>
    <w:rsid w:val="00AC26DF"/>
    <w:rsid w:val="00AC2932"/>
    <w:rsid w:val="00AC2ECF"/>
    <w:rsid w:val="00AC31F1"/>
    <w:rsid w:val="00AC339F"/>
    <w:rsid w:val="00AC3D7F"/>
    <w:rsid w:val="00AC4005"/>
    <w:rsid w:val="00AC498A"/>
    <w:rsid w:val="00AC5327"/>
    <w:rsid w:val="00AC564D"/>
    <w:rsid w:val="00AC5906"/>
    <w:rsid w:val="00AC69C1"/>
    <w:rsid w:val="00AC6FFA"/>
    <w:rsid w:val="00AC7396"/>
    <w:rsid w:val="00AC7628"/>
    <w:rsid w:val="00AC7C8F"/>
    <w:rsid w:val="00AC7D33"/>
    <w:rsid w:val="00AD033E"/>
    <w:rsid w:val="00AD0CEE"/>
    <w:rsid w:val="00AD0D23"/>
    <w:rsid w:val="00AD1577"/>
    <w:rsid w:val="00AD1B9B"/>
    <w:rsid w:val="00AD1CA2"/>
    <w:rsid w:val="00AD1D20"/>
    <w:rsid w:val="00AD1E7E"/>
    <w:rsid w:val="00AD21A7"/>
    <w:rsid w:val="00AD2D77"/>
    <w:rsid w:val="00AD45DE"/>
    <w:rsid w:val="00AD4918"/>
    <w:rsid w:val="00AD50A9"/>
    <w:rsid w:val="00AD50D5"/>
    <w:rsid w:val="00AD627C"/>
    <w:rsid w:val="00AD6D77"/>
    <w:rsid w:val="00AD731D"/>
    <w:rsid w:val="00AE0F43"/>
    <w:rsid w:val="00AE1336"/>
    <w:rsid w:val="00AE256E"/>
    <w:rsid w:val="00AE2942"/>
    <w:rsid w:val="00AE2FCC"/>
    <w:rsid w:val="00AE6CB2"/>
    <w:rsid w:val="00AE6CC3"/>
    <w:rsid w:val="00AE7E1F"/>
    <w:rsid w:val="00AF054F"/>
    <w:rsid w:val="00AF083B"/>
    <w:rsid w:val="00AF08D7"/>
    <w:rsid w:val="00AF0D99"/>
    <w:rsid w:val="00AF166E"/>
    <w:rsid w:val="00AF16C4"/>
    <w:rsid w:val="00AF2033"/>
    <w:rsid w:val="00AF29CB"/>
    <w:rsid w:val="00AF2A71"/>
    <w:rsid w:val="00AF2B67"/>
    <w:rsid w:val="00AF32A1"/>
    <w:rsid w:val="00AF3913"/>
    <w:rsid w:val="00AF43B9"/>
    <w:rsid w:val="00AF5160"/>
    <w:rsid w:val="00AF542A"/>
    <w:rsid w:val="00AF5515"/>
    <w:rsid w:val="00AF5926"/>
    <w:rsid w:val="00AF6985"/>
    <w:rsid w:val="00AF6D60"/>
    <w:rsid w:val="00AF7398"/>
    <w:rsid w:val="00AF777E"/>
    <w:rsid w:val="00AF787D"/>
    <w:rsid w:val="00B00010"/>
    <w:rsid w:val="00B0079A"/>
    <w:rsid w:val="00B00AE0"/>
    <w:rsid w:val="00B0296D"/>
    <w:rsid w:val="00B02C2C"/>
    <w:rsid w:val="00B0463B"/>
    <w:rsid w:val="00B04728"/>
    <w:rsid w:val="00B054F0"/>
    <w:rsid w:val="00B06DED"/>
    <w:rsid w:val="00B070B1"/>
    <w:rsid w:val="00B07595"/>
    <w:rsid w:val="00B07788"/>
    <w:rsid w:val="00B07B40"/>
    <w:rsid w:val="00B117FD"/>
    <w:rsid w:val="00B122EC"/>
    <w:rsid w:val="00B12947"/>
    <w:rsid w:val="00B12DAC"/>
    <w:rsid w:val="00B12E87"/>
    <w:rsid w:val="00B13AD4"/>
    <w:rsid w:val="00B143BC"/>
    <w:rsid w:val="00B14522"/>
    <w:rsid w:val="00B14874"/>
    <w:rsid w:val="00B148BD"/>
    <w:rsid w:val="00B14BE5"/>
    <w:rsid w:val="00B157E2"/>
    <w:rsid w:val="00B159BE"/>
    <w:rsid w:val="00B17C5D"/>
    <w:rsid w:val="00B200C4"/>
    <w:rsid w:val="00B2120D"/>
    <w:rsid w:val="00B2167C"/>
    <w:rsid w:val="00B2170D"/>
    <w:rsid w:val="00B21A36"/>
    <w:rsid w:val="00B21BD0"/>
    <w:rsid w:val="00B21EB5"/>
    <w:rsid w:val="00B22231"/>
    <w:rsid w:val="00B22FBC"/>
    <w:rsid w:val="00B231A6"/>
    <w:rsid w:val="00B23215"/>
    <w:rsid w:val="00B23532"/>
    <w:rsid w:val="00B23A5E"/>
    <w:rsid w:val="00B23FC2"/>
    <w:rsid w:val="00B248C6"/>
    <w:rsid w:val="00B26018"/>
    <w:rsid w:val="00B26923"/>
    <w:rsid w:val="00B26C15"/>
    <w:rsid w:val="00B26CE2"/>
    <w:rsid w:val="00B26F2E"/>
    <w:rsid w:val="00B274FF"/>
    <w:rsid w:val="00B30CE3"/>
    <w:rsid w:val="00B30E93"/>
    <w:rsid w:val="00B31834"/>
    <w:rsid w:val="00B3264F"/>
    <w:rsid w:val="00B32B51"/>
    <w:rsid w:val="00B330C0"/>
    <w:rsid w:val="00B342B9"/>
    <w:rsid w:val="00B342FD"/>
    <w:rsid w:val="00B34D3B"/>
    <w:rsid w:val="00B3596E"/>
    <w:rsid w:val="00B36597"/>
    <w:rsid w:val="00B36A44"/>
    <w:rsid w:val="00B36B14"/>
    <w:rsid w:val="00B377C6"/>
    <w:rsid w:val="00B37B9B"/>
    <w:rsid w:val="00B4061F"/>
    <w:rsid w:val="00B40773"/>
    <w:rsid w:val="00B408B8"/>
    <w:rsid w:val="00B40C88"/>
    <w:rsid w:val="00B41926"/>
    <w:rsid w:val="00B41B86"/>
    <w:rsid w:val="00B41CB4"/>
    <w:rsid w:val="00B41DF5"/>
    <w:rsid w:val="00B41EF0"/>
    <w:rsid w:val="00B42C3B"/>
    <w:rsid w:val="00B4328B"/>
    <w:rsid w:val="00B4329B"/>
    <w:rsid w:val="00B433BF"/>
    <w:rsid w:val="00B435C0"/>
    <w:rsid w:val="00B43BA4"/>
    <w:rsid w:val="00B443F7"/>
    <w:rsid w:val="00B44DCC"/>
    <w:rsid w:val="00B4512A"/>
    <w:rsid w:val="00B45363"/>
    <w:rsid w:val="00B45955"/>
    <w:rsid w:val="00B463D1"/>
    <w:rsid w:val="00B469E2"/>
    <w:rsid w:val="00B46B11"/>
    <w:rsid w:val="00B47257"/>
    <w:rsid w:val="00B47822"/>
    <w:rsid w:val="00B47843"/>
    <w:rsid w:val="00B47CB5"/>
    <w:rsid w:val="00B507DA"/>
    <w:rsid w:val="00B50A62"/>
    <w:rsid w:val="00B51589"/>
    <w:rsid w:val="00B527D5"/>
    <w:rsid w:val="00B53A90"/>
    <w:rsid w:val="00B53DEA"/>
    <w:rsid w:val="00B54194"/>
    <w:rsid w:val="00B541D8"/>
    <w:rsid w:val="00B543FB"/>
    <w:rsid w:val="00B5474C"/>
    <w:rsid w:val="00B54E4D"/>
    <w:rsid w:val="00B55455"/>
    <w:rsid w:val="00B55CFE"/>
    <w:rsid w:val="00B60400"/>
    <w:rsid w:val="00B60C5E"/>
    <w:rsid w:val="00B610A7"/>
    <w:rsid w:val="00B6193A"/>
    <w:rsid w:val="00B624ED"/>
    <w:rsid w:val="00B62851"/>
    <w:rsid w:val="00B63DA3"/>
    <w:rsid w:val="00B64E6B"/>
    <w:rsid w:val="00B676A7"/>
    <w:rsid w:val="00B677F1"/>
    <w:rsid w:val="00B67BF2"/>
    <w:rsid w:val="00B67D36"/>
    <w:rsid w:val="00B67EA2"/>
    <w:rsid w:val="00B71117"/>
    <w:rsid w:val="00B71200"/>
    <w:rsid w:val="00B7130F"/>
    <w:rsid w:val="00B735C6"/>
    <w:rsid w:val="00B73E95"/>
    <w:rsid w:val="00B74441"/>
    <w:rsid w:val="00B74B6B"/>
    <w:rsid w:val="00B76855"/>
    <w:rsid w:val="00B77F81"/>
    <w:rsid w:val="00B809C0"/>
    <w:rsid w:val="00B80ABC"/>
    <w:rsid w:val="00B80E25"/>
    <w:rsid w:val="00B80E28"/>
    <w:rsid w:val="00B812C4"/>
    <w:rsid w:val="00B8142C"/>
    <w:rsid w:val="00B8171F"/>
    <w:rsid w:val="00B81D03"/>
    <w:rsid w:val="00B823BA"/>
    <w:rsid w:val="00B8245A"/>
    <w:rsid w:val="00B82DF9"/>
    <w:rsid w:val="00B83076"/>
    <w:rsid w:val="00B830E7"/>
    <w:rsid w:val="00B836D6"/>
    <w:rsid w:val="00B83EDA"/>
    <w:rsid w:val="00B8435C"/>
    <w:rsid w:val="00B85243"/>
    <w:rsid w:val="00B85B56"/>
    <w:rsid w:val="00B85E26"/>
    <w:rsid w:val="00B863D8"/>
    <w:rsid w:val="00B86576"/>
    <w:rsid w:val="00B865CB"/>
    <w:rsid w:val="00B86E57"/>
    <w:rsid w:val="00B9021E"/>
    <w:rsid w:val="00B90DC8"/>
    <w:rsid w:val="00B90F29"/>
    <w:rsid w:val="00B91A74"/>
    <w:rsid w:val="00B91EAB"/>
    <w:rsid w:val="00B92129"/>
    <w:rsid w:val="00B9221F"/>
    <w:rsid w:val="00B926F3"/>
    <w:rsid w:val="00B931F9"/>
    <w:rsid w:val="00B93461"/>
    <w:rsid w:val="00B941BB"/>
    <w:rsid w:val="00B9428E"/>
    <w:rsid w:val="00B94BF0"/>
    <w:rsid w:val="00B950D0"/>
    <w:rsid w:val="00B95315"/>
    <w:rsid w:val="00B95BD4"/>
    <w:rsid w:val="00B96264"/>
    <w:rsid w:val="00B96629"/>
    <w:rsid w:val="00B96D6C"/>
    <w:rsid w:val="00B971B3"/>
    <w:rsid w:val="00BA0F1A"/>
    <w:rsid w:val="00BA148E"/>
    <w:rsid w:val="00BA192C"/>
    <w:rsid w:val="00BA24C9"/>
    <w:rsid w:val="00BA31E4"/>
    <w:rsid w:val="00BA31E5"/>
    <w:rsid w:val="00BA4A9E"/>
    <w:rsid w:val="00BA4C91"/>
    <w:rsid w:val="00BA52A2"/>
    <w:rsid w:val="00BA59EC"/>
    <w:rsid w:val="00BA5B36"/>
    <w:rsid w:val="00BA64EC"/>
    <w:rsid w:val="00BA64FE"/>
    <w:rsid w:val="00BA658E"/>
    <w:rsid w:val="00BA69AA"/>
    <w:rsid w:val="00BA6A29"/>
    <w:rsid w:val="00BA793B"/>
    <w:rsid w:val="00BB0A38"/>
    <w:rsid w:val="00BB1EA7"/>
    <w:rsid w:val="00BB2898"/>
    <w:rsid w:val="00BB2AA8"/>
    <w:rsid w:val="00BB3742"/>
    <w:rsid w:val="00BB3815"/>
    <w:rsid w:val="00BB3FB7"/>
    <w:rsid w:val="00BB3FFC"/>
    <w:rsid w:val="00BB41EE"/>
    <w:rsid w:val="00BB6600"/>
    <w:rsid w:val="00BB662B"/>
    <w:rsid w:val="00BB681A"/>
    <w:rsid w:val="00BB7201"/>
    <w:rsid w:val="00BC0433"/>
    <w:rsid w:val="00BC0AB4"/>
    <w:rsid w:val="00BC18A0"/>
    <w:rsid w:val="00BC25C0"/>
    <w:rsid w:val="00BC2877"/>
    <w:rsid w:val="00BC3308"/>
    <w:rsid w:val="00BC4642"/>
    <w:rsid w:val="00BC4DB3"/>
    <w:rsid w:val="00BC515D"/>
    <w:rsid w:val="00BC54F1"/>
    <w:rsid w:val="00BC5600"/>
    <w:rsid w:val="00BC588A"/>
    <w:rsid w:val="00BC6297"/>
    <w:rsid w:val="00BC6AC7"/>
    <w:rsid w:val="00BC6E42"/>
    <w:rsid w:val="00BC70D7"/>
    <w:rsid w:val="00BD0935"/>
    <w:rsid w:val="00BD09FE"/>
    <w:rsid w:val="00BD0C6D"/>
    <w:rsid w:val="00BD121A"/>
    <w:rsid w:val="00BD1808"/>
    <w:rsid w:val="00BD2436"/>
    <w:rsid w:val="00BD2975"/>
    <w:rsid w:val="00BD3134"/>
    <w:rsid w:val="00BD327B"/>
    <w:rsid w:val="00BD3DBE"/>
    <w:rsid w:val="00BD410D"/>
    <w:rsid w:val="00BD44DF"/>
    <w:rsid w:val="00BD5933"/>
    <w:rsid w:val="00BD70D3"/>
    <w:rsid w:val="00BD729E"/>
    <w:rsid w:val="00BD7411"/>
    <w:rsid w:val="00BE02E6"/>
    <w:rsid w:val="00BE0B40"/>
    <w:rsid w:val="00BE1111"/>
    <w:rsid w:val="00BE1F52"/>
    <w:rsid w:val="00BE3487"/>
    <w:rsid w:val="00BE36EE"/>
    <w:rsid w:val="00BE435C"/>
    <w:rsid w:val="00BE4A23"/>
    <w:rsid w:val="00BE4C5B"/>
    <w:rsid w:val="00BE5104"/>
    <w:rsid w:val="00BE51A0"/>
    <w:rsid w:val="00BE5561"/>
    <w:rsid w:val="00BE5893"/>
    <w:rsid w:val="00BE5B99"/>
    <w:rsid w:val="00BE60A1"/>
    <w:rsid w:val="00BE62C6"/>
    <w:rsid w:val="00BE756F"/>
    <w:rsid w:val="00BE7F48"/>
    <w:rsid w:val="00BF11BE"/>
    <w:rsid w:val="00BF13E2"/>
    <w:rsid w:val="00BF23FA"/>
    <w:rsid w:val="00BF25F9"/>
    <w:rsid w:val="00BF3678"/>
    <w:rsid w:val="00BF3A84"/>
    <w:rsid w:val="00BF3AA9"/>
    <w:rsid w:val="00BF4DBA"/>
    <w:rsid w:val="00BF50C9"/>
    <w:rsid w:val="00BF552E"/>
    <w:rsid w:val="00BF553A"/>
    <w:rsid w:val="00BF59EC"/>
    <w:rsid w:val="00BF5E89"/>
    <w:rsid w:val="00BF7F2B"/>
    <w:rsid w:val="00C01011"/>
    <w:rsid w:val="00C021BD"/>
    <w:rsid w:val="00C02260"/>
    <w:rsid w:val="00C02F66"/>
    <w:rsid w:val="00C033DB"/>
    <w:rsid w:val="00C03A30"/>
    <w:rsid w:val="00C03DFA"/>
    <w:rsid w:val="00C04A46"/>
    <w:rsid w:val="00C04E44"/>
    <w:rsid w:val="00C057CE"/>
    <w:rsid w:val="00C060D7"/>
    <w:rsid w:val="00C060F4"/>
    <w:rsid w:val="00C0646B"/>
    <w:rsid w:val="00C064BD"/>
    <w:rsid w:val="00C06C88"/>
    <w:rsid w:val="00C071ED"/>
    <w:rsid w:val="00C07A97"/>
    <w:rsid w:val="00C10B75"/>
    <w:rsid w:val="00C11B8A"/>
    <w:rsid w:val="00C121F8"/>
    <w:rsid w:val="00C12FD9"/>
    <w:rsid w:val="00C133B0"/>
    <w:rsid w:val="00C135B2"/>
    <w:rsid w:val="00C139F7"/>
    <w:rsid w:val="00C13C84"/>
    <w:rsid w:val="00C14048"/>
    <w:rsid w:val="00C14580"/>
    <w:rsid w:val="00C15332"/>
    <w:rsid w:val="00C15ED5"/>
    <w:rsid w:val="00C161E1"/>
    <w:rsid w:val="00C17428"/>
    <w:rsid w:val="00C207A5"/>
    <w:rsid w:val="00C20B1C"/>
    <w:rsid w:val="00C21751"/>
    <w:rsid w:val="00C21812"/>
    <w:rsid w:val="00C219D8"/>
    <w:rsid w:val="00C21DCF"/>
    <w:rsid w:val="00C2248D"/>
    <w:rsid w:val="00C2280D"/>
    <w:rsid w:val="00C244EE"/>
    <w:rsid w:val="00C24597"/>
    <w:rsid w:val="00C25176"/>
    <w:rsid w:val="00C26556"/>
    <w:rsid w:val="00C26EB9"/>
    <w:rsid w:val="00C273C4"/>
    <w:rsid w:val="00C27A95"/>
    <w:rsid w:val="00C304C1"/>
    <w:rsid w:val="00C309C5"/>
    <w:rsid w:val="00C309C7"/>
    <w:rsid w:val="00C326A8"/>
    <w:rsid w:val="00C32721"/>
    <w:rsid w:val="00C32F30"/>
    <w:rsid w:val="00C3303F"/>
    <w:rsid w:val="00C334CB"/>
    <w:rsid w:val="00C33C01"/>
    <w:rsid w:val="00C343E8"/>
    <w:rsid w:val="00C34597"/>
    <w:rsid w:val="00C3612D"/>
    <w:rsid w:val="00C3781E"/>
    <w:rsid w:val="00C40104"/>
    <w:rsid w:val="00C40EAC"/>
    <w:rsid w:val="00C412D7"/>
    <w:rsid w:val="00C4165A"/>
    <w:rsid w:val="00C432B4"/>
    <w:rsid w:val="00C4340C"/>
    <w:rsid w:val="00C4382C"/>
    <w:rsid w:val="00C44910"/>
    <w:rsid w:val="00C44D4F"/>
    <w:rsid w:val="00C450A9"/>
    <w:rsid w:val="00C456B9"/>
    <w:rsid w:val="00C46B18"/>
    <w:rsid w:val="00C47039"/>
    <w:rsid w:val="00C47E3C"/>
    <w:rsid w:val="00C503CB"/>
    <w:rsid w:val="00C506B4"/>
    <w:rsid w:val="00C50AFD"/>
    <w:rsid w:val="00C5101F"/>
    <w:rsid w:val="00C52CE9"/>
    <w:rsid w:val="00C52DC5"/>
    <w:rsid w:val="00C530D5"/>
    <w:rsid w:val="00C53BD7"/>
    <w:rsid w:val="00C54924"/>
    <w:rsid w:val="00C5497C"/>
    <w:rsid w:val="00C54B44"/>
    <w:rsid w:val="00C54F15"/>
    <w:rsid w:val="00C55470"/>
    <w:rsid w:val="00C554EA"/>
    <w:rsid w:val="00C55A95"/>
    <w:rsid w:val="00C55F09"/>
    <w:rsid w:val="00C5661C"/>
    <w:rsid w:val="00C5778C"/>
    <w:rsid w:val="00C60EC4"/>
    <w:rsid w:val="00C61EC7"/>
    <w:rsid w:val="00C62FFF"/>
    <w:rsid w:val="00C6320B"/>
    <w:rsid w:val="00C63581"/>
    <w:rsid w:val="00C642E4"/>
    <w:rsid w:val="00C643D9"/>
    <w:rsid w:val="00C64DD6"/>
    <w:rsid w:val="00C65272"/>
    <w:rsid w:val="00C65D99"/>
    <w:rsid w:val="00C66F95"/>
    <w:rsid w:val="00C674D8"/>
    <w:rsid w:val="00C72C60"/>
    <w:rsid w:val="00C74C3D"/>
    <w:rsid w:val="00C7508E"/>
    <w:rsid w:val="00C75473"/>
    <w:rsid w:val="00C75517"/>
    <w:rsid w:val="00C767ED"/>
    <w:rsid w:val="00C7685D"/>
    <w:rsid w:val="00C76E94"/>
    <w:rsid w:val="00C777BB"/>
    <w:rsid w:val="00C80463"/>
    <w:rsid w:val="00C806A3"/>
    <w:rsid w:val="00C80BC5"/>
    <w:rsid w:val="00C81304"/>
    <w:rsid w:val="00C822BB"/>
    <w:rsid w:val="00C8250E"/>
    <w:rsid w:val="00C8368E"/>
    <w:rsid w:val="00C83826"/>
    <w:rsid w:val="00C838B2"/>
    <w:rsid w:val="00C83AA4"/>
    <w:rsid w:val="00C85209"/>
    <w:rsid w:val="00C859E0"/>
    <w:rsid w:val="00C859EB"/>
    <w:rsid w:val="00C85F36"/>
    <w:rsid w:val="00C86112"/>
    <w:rsid w:val="00C8671A"/>
    <w:rsid w:val="00C86EDD"/>
    <w:rsid w:val="00C87156"/>
    <w:rsid w:val="00C87721"/>
    <w:rsid w:val="00C91087"/>
    <w:rsid w:val="00C9197D"/>
    <w:rsid w:val="00C92449"/>
    <w:rsid w:val="00C92C9E"/>
    <w:rsid w:val="00C93178"/>
    <w:rsid w:val="00C932B8"/>
    <w:rsid w:val="00C9333E"/>
    <w:rsid w:val="00C937D8"/>
    <w:rsid w:val="00C93E5B"/>
    <w:rsid w:val="00C9419B"/>
    <w:rsid w:val="00C94E59"/>
    <w:rsid w:val="00C957FE"/>
    <w:rsid w:val="00C95DB2"/>
    <w:rsid w:val="00C95E7E"/>
    <w:rsid w:val="00C97394"/>
    <w:rsid w:val="00C9751D"/>
    <w:rsid w:val="00CA15EC"/>
    <w:rsid w:val="00CA24DD"/>
    <w:rsid w:val="00CA2A3C"/>
    <w:rsid w:val="00CA2A9C"/>
    <w:rsid w:val="00CA3422"/>
    <w:rsid w:val="00CA4138"/>
    <w:rsid w:val="00CA4D3D"/>
    <w:rsid w:val="00CA5770"/>
    <w:rsid w:val="00CA7126"/>
    <w:rsid w:val="00CA7256"/>
    <w:rsid w:val="00CA728E"/>
    <w:rsid w:val="00CA78C0"/>
    <w:rsid w:val="00CA7CB0"/>
    <w:rsid w:val="00CA7F9D"/>
    <w:rsid w:val="00CB2AFD"/>
    <w:rsid w:val="00CB3015"/>
    <w:rsid w:val="00CB310A"/>
    <w:rsid w:val="00CB40A0"/>
    <w:rsid w:val="00CB421E"/>
    <w:rsid w:val="00CB4A2C"/>
    <w:rsid w:val="00CB4AA6"/>
    <w:rsid w:val="00CB602C"/>
    <w:rsid w:val="00CB638E"/>
    <w:rsid w:val="00CB63D7"/>
    <w:rsid w:val="00CB67C1"/>
    <w:rsid w:val="00CB6F3F"/>
    <w:rsid w:val="00CB7C10"/>
    <w:rsid w:val="00CC035D"/>
    <w:rsid w:val="00CC1205"/>
    <w:rsid w:val="00CC28A1"/>
    <w:rsid w:val="00CC312C"/>
    <w:rsid w:val="00CC3AA8"/>
    <w:rsid w:val="00CC488F"/>
    <w:rsid w:val="00CC4BB6"/>
    <w:rsid w:val="00CC4D23"/>
    <w:rsid w:val="00CC5D2A"/>
    <w:rsid w:val="00CC5DD4"/>
    <w:rsid w:val="00CC6391"/>
    <w:rsid w:val="00CC6D70"/>
    <w:rsid w:val="00CC7B5F"/>
    <w:rsid w:val="00CC7E1B"/>
    <w:rsid w:val="00CD15AB"/>
    <w:rsid w:val="00CD1C72"/>
    <w:rsid w:val="00CD1E2F"/>
    <w:rsid w:val="00CD2C39"/>
    <w:rsid w:val="00CD3845"/>
    <w:rsid w:val="00CD3BD6"/>
    <w:rsid w:val="00CD4CCC"/>
    <w:rsid w:val="00CD58B0"/>
    <w:rsid w:val="00CD5E2D"/>
    <w:rsid w:val="00CD5F23"/>
    <w:rsid w:val="00CD7626"/>
    <w:rsid w:val="00CD7B0D"/>
    <w:rsid w:val="00CD7CF3"/>
    <w:rsid w:val="00CE02E3"/>
    <w:rsid w:val="00CE079A"/>
    <w:rsid w:val="00CE0A68"/>
    <w:rsid w:val="00CE127D"/>
    <w:rsid w:val="00CE1301"/>
    <w:rsid w:val="00CE15AB"/>
    <w:rsid w:val="00CE2091"/>
    <w:rsid w:val="00CE20B2"/>
    <w:rsid w:val="00CE2CF3"/>
    <w:rsid w:val="00CE339B"/>
    <w:rsid w:val="00CE3470"/>
    <w:rsid w:val="00CE3496"/>
    <w:rsid w:val="00CE373F"/>
    <w:rsid w:val="00CE43D6"/>
    <w:rsid w:val="00CE4982"/>
    <w:rsid w:val="00CE4A51"/>
    <w:rsid w:val="00CE5195"/>
    <w:rsid w:val="00CE6200"/>
    <w:rsid w:val="00CE716E"/>
    <w:rsid w:val="00CE72E1"/>
    <w:rsid w:val="00CE7C6E"/>
    <w:rsid w:val="00CF168C"/>
    <w:rsid w:val="00CF1B25"/>
    <w:rsid w:val="00CF23CE"/>
    <w:rsid w:val="00CF456E"/>
    <w:rsid w:val="00CF45D0"/>
    <w:rsid w:val="00CF56C2"/>
    <w:rsid w:val="00CF6145"/>
    <w:rsid w:val="00CF709A"/>
    <w:rsid w:val="00CF738F"/>
    <w:rsid w:val="00CF7452"/>
    <w:rsid w:val="00CF760A"/>
    <w:rsid w:val="00D01802"/>
    <w:rsid w:val="00D03785"/>
    <w:rsid w:val="00D03A9E"/>
    <w:rsid w:val="00D03CC8"/>
    <w:rsid w:val="00D0596D"/>
    <w:rsid w:val="00D0665B"/>
    <w:rsid w:val="00D067FE"/>
    <w:rsid w:val="00D068BD"/>
    <w:rsid w:val="00D0730E"/>
    <w:rsid w:val="00D075CF"/>
    <w:rsid w:val="00D07D0E"/>
    <w:rsid w:val="00D103AF"/>
    <w:rsid w:val="00D10DFB"/>
    <w:rsid w:val="00D10EC8"/>
    <w:rsid w:val="00D1116D"/>
    <w:rsid w:val="00D117ED"/>
    <w:rsid w:val="00D11C9D"/>
    <w:rsid w:val="00D1235D"/>
    <w:rsid w:val="00D13157"/>
    <w:rsid w:val="00D140E9"/>
    <w:rsid w:val="00D145D6"/>
    <w:rsid w:val="00D14DF2"/>
    <w:rsid w:val="00D15745"/>
    <w:rsid w:val="00D158EB"/>
    <w:rsid w:val="00D15CD5"/>
    <w:rsid w:val="00D15F3D"/>
    <w:rsid w:val="00D16229"/>
    <w:rsid w:val="00D163E3"/>
    <w:rsid w:val="00D171D6"/>
    <w:rsid w:val="00D177A8"/>
    <w:rsid w:val="00D17B67"/>
    <w:rsid w:val="00D2013E"/>
    <w:rsid w:val="00D20165"/>
    <w:rsid w:val="00D205E0"/>
    <w:rsid w:val="00D20983"/>
    <w:rsid w:val="00D21BB4"/>
    <w:rsid w:val="00D22CE8"/>
    <w:rsid w:val="00D23B6A"/>
    <w:rsid w:val="00D24EA4"/>
    <w:rsid w:val="00D24F39"/>
    <w:rsid w:val="00D252A3"/>
    <w:rsid w:val="00D256E7"/>
    <w:rsid w:val="00D25718"/>
    <w:rsid w:val="00D263F2"/>
    <w:rsid w:val="00D266DA"/>
    <w:rsid w:val="00D2764D"/>
    <w:rsid w:val="00D279F5"/>
    <w:rsid w:val="00D301C3"/>
    <w:rsid w:val="00D31645"/>
    <w:rsid w:val="00D31667"/>
    <w:rsid w:val="00D32E93"/>
    <w:rsid w:val="00D33ACE"/>
    <w:rsid w:val="00D33ED8"/>
    <w:rsid w:val="00D34243"/>
    <w:rsid w:val="00D359F6"/>
    <w:rsid w:val="00D35A13"/>
    <w:rsid w:val="00D35BB0"/>
    <w:rsid w:val="00D363EE"/>
    <w:rsid w:val="00D36BCC"/>
    <w:rsid w:val="00D36CC8"/>
    <w:rsid w:val="00D37712"/>
    <w:rsid w:val="00D377DC"/>
    <w:rsid w:val="00D40DAC"/>
    <w:rsid w:val="00D40ED1"/>
    <w:rsid w:val="00D4135F"/>
    <w:rsid w:val="00D41A66"/>
    <w:rsid w:val="00D425DC"/>
    <w:rsid w:val="00D429DB"/>
    <w:rsid w:val="00D42E73"/>
    <w:rsid w:val="00D4378F"/>
    <w:rsid w:val="00D439F2"/>
    <w:rsid w:val="00D43A28"/>
    <w:rsid w:val="00D43F37"/>
    <w:rsid w:val="00D4461B"/>
    <w:rsid w:val="00D45884"/>
    <w:rsid w:val="00D461E6"/>
    <w:rsid w:val="00D4698C"/>
    <w:rsid w:val="00D47AD5"/>
    <w:rsid w:val="00D47CAF"/>
    <w:rsid w:val="00D507A7"/>
    <w:rsid w:val="00D50D5A"/>
    <w:rsid w:val="00D510F0"/>
    <w:rsid w:val="00D51287"/>
    <w:rsid w:val="00D51C1A"/>
    <w:rsid w:val="00D520BE"/>
    <w:rsid w:val="00D521EC"/>
    <w:rsid w:val="00D5245A"/>
    <w:rsid w:val="00D52D31"/>
    <w:rsid w:val="00D533BD"/>
    <w:rsid w:val="00D55DFD"/>
    <w:rsid w:val="00D5666B"/>
    <w:rsid w:val="00D60935"/>
    <w:rsid w:val="00D6123B"/>
    <w:rsid w:val="00D61604"/>
    <w:rsid w:val="00D622E5"/>
    <w:rsid w:val="00D6276C"/>
    <w:rsid w:val="00D62964"/>
    <w:rsid w:val="00D63304"/>
    <w:rsid w:val="00D633F8"/>
    <w:rsid w:val="00D64253"/>
    <w:rsid w:val="00D64DA3"/>
    <w:rsid w:val="00D6507A"/>
    <w:rsid w:val="00D658C8"/>
    <w:rsid w:val="00D6653A"/>
    <w:rsid w:val="00D6770D"/>
    <w:rsid w:val="00D67B93"/>
    <w:rsid w:val="00D70A97"/>
    <w:rsid w:val="00D7121E"/>
    <w:rsid w:val="00D71418"/>
    <w:rsid w:val="00D714BE"/>
    <w:rsid w:val="00D723C5"/>
    <w:rsid w:val="00D729DE"/>
    <w:rsid w:val="00D72CA6"/>
    <w:rsid w:val="00D7334B"/>
    <w:rsid w:val="00D73618"/>
    <w:rsid w:val="00D73F5A"/>
    <w:rsid w:val="00D7435A"/>
    <w:rsid w:val="00D74B56"/>
    <w:rsid w:val="00D75958"/>
    <w:rsid w:val="00D75AF8"/>
    <w:rsid w:val="00D75B59"/>
    <w:rsid w:val="00D75BB4"/>
    <w:rsid w:val="00D77A39"/>
    <w:rsid w:val="00D8035E"/>
    <w:rsid w:val="00D81C2F"/>
    <w:rsid w:val="00D81C59"/>
    <w:rsid w:val="00D82499"/>
    <w:rsid w:val="00D825EA"/>
    <w:rsid w:val="00D83393"/>
    <w:rsid w:val="00D83F8E"/>
    <w:rsid w:val="00D8432B"/>
    <w:rsid w:val="00D84E8B"/>
    <w:rsid w:val="00D863EE"/>
    <w:rsid w:val="00D86422"/>
    <w:rsid w:val="00D86BC6"/>
    <w:rsid w:val="00D87744"/>
    <w:rsid w:val="00D87E25"/>
    <w:rsid w:val="00D90279"/>
    <w:rsid w:val="00D90A5D"/>
    <w:rsid w:val="00D90C29"/>
    <w:rsid w:val="00D90CD0"/>
    <w:rsid w:val="00D90D2C"/>
    <w:rsid w:val="00D90FE3"/>
    <w:rsid w:val="00D92082"/>
    <w:rsid w:val="00D920B3"/>
    <w:rsid w:val="00D9214D"/>
    <w:rsid w:val="00D94256"/>
    <w:rsid w:val="00D95D5D"/>
    <w:rsid w:val="00D974B6"/>
    <w:rsid w:val="00D97F9F"/>
    <w:rsid w:val="00DA0137"/>
    <w:rsid w:val="00DA0743"/>
    <w:rsid w:val="00DA13AD"/>
    <w:rsid w:val="00DA38BF"/>
    <w:rsid w:val="00DA38EA"/>
    <w:rsid w:val="00DA3D27"/>
    <w:rsid w:val="00DA40F1"/>
    <w:rsid w:val="00DA4399"/>
    <w:rsid w:val="00DA4619"/>
    <w:rsid w:val="00DA487B"/>
    <w:rsid w:val="00DA572B"/>
    <w:rsid w:val="00DA5DC8"/>
    <w:rsid w:val="00DA7109"/>
    <w:rsid w:val="00DB03D1"/>
    <w:rsid w:val="00DB1465"/>
    <w:rsid w:val="00DB1547"/>
    <w:rsid w:val="00DB2CE5"/>
    <w:rsid w:val="00DB37E0"/>
    <w:rsid w:val="00DB39FD"/>
    <w:rsid w:val="00DB4292"/>
    <w:rsid w:val="00DB4732"/>
    <w:rsid w:val="00DB4E30"/>
    <w:rsid w:val="00DB56CB"/>
    <w:rsid w:val="00DB6309"/>
    <w:rsid w:val="00DB7BB0"/>
    <w:rsid w:val="00DC05E3"/>
    <w:rsid w:val="00DC08B8"/>
    <w:rsid w:val="00DC0C03"/>
    <w:rsid w:val="00DC1269"/>
    <w:rsid w:val="00DC1337"/>
    <w:rsid w:val="00DC1CBC"/>
    <w:rsid w:val="00DC210B"/>
    <w:rsid w:val="00DC2995"/>
    <w:rsid w:val="00DC4B46"/>
    <w:rsid w:val="00DC4FA0"/>
    <w:rsid w:val="00DC55D3"/>
    <w:rsid w:val="00DC5B4B"/>
    <w:rsid w:val="00DC617E"/>
    <w:rsid w:val="00DC6627"/>
    <w:rsid w:val="00DC707B"/>
    <w:rsid w:val="00DD02DE"/>
    <w:rsid w:val="00DD0328"/>
    <w:rsid w:val="00DD04DF"/>
    <w:rsid w:val="00DD0643"/>
    <w:rsid w:val="00DD1D67"/>
    <w:rsid w:val="00DD2512"/>
    <w:rsid w:val="00DD301D"/>
    <w:rsid w:val="00DD399F"/>
    <w:rsid w:val="00DD3F5A"/>
    <w:rsid w:val="00DD40E7"/>
    <w:rsid w:val="00DD4ADF"/>
    <w:rsid w:val="00DD5D19"/>
    <w:rsid w:val="00DD72A1"/>
    <w:rsid w:val="00DD7582"/>
    <w:rsid w:val="00DD779B"/>
    <w:rsid w:val="00DE12BA"/>
    <w:rsid w:val="00DE1744"/>
    <w:rsid w:val="00DE2CD3"/>
    <w:rsid w:val="00DE4B48"/>
    <w:rsid w:val="00DE52D4"/>
    <w:rsid w:val="00DE5871"/>
    <w:rsid w:val="00DE73AB"/>
    <w:rsid w:val="00DE7ADF"/>
    <w:rsid w:val="00DE7C89"/>
    <w:rsid w:val="00DF0A14"/>
    <w:rsid w:val="00DF136A"/>
    <w:rsid w:val="00DF29C0"/>
    <w:rsid w:val="00DF3545"/>
    <w:rsid w:val="00DF4736"/>
    <w:rsid w:val="00DF55CF"/>
    <w:rsid w:val="00DF7867"/>
    <w:rsid w:val="00DF7EA7"/>
    <w:rsid w:val="00E0000C"/>
    <w:rsid w:val="00E007FB"/>
    <w:rsid w:val="00E00BC0"/>
    <w:rsid w:val="00E01F47"/>
    <w:rsid w:val="00E023BE"/>
    <w:rsid w:val="00E024B1"/>
    <w:rsid w:val="00E049FF"/>
    <w:rsid w:val="00E06FD3"/>
    <w:rsid w:val="00E07060"/>
    <w:rsid w:val="00E071C9"/>
    <w:rsid w:val="00E072FA"/>
    <w:rsid w:val="00E07C3A"/>
    <w:rsid w:val="00E110C6"/>
    <w:rsid w:val="00E1181B"/>
    <w:rsid w:val="00E119E1"/>
    <w:rsid w:val="00E12423"/>
    <w:rsid w:val="00E1244D"/>
    <w:rsid w:val="00E12BE3"/>
    <w:rsid w:val="00E138FA"/>
    <w:rsid w:val="00E13915"/>
    <w:rsid w:val="00E13C5F"/>
    <w:rsid w:val="00E14212"/>
    <w:rsid w:val="00E148D2"/>
    <w:rsid w:val="00E14C96"/>
    <w:rsid w:val="00E151C3"/>
    <w:rsid w:val="00E15691"/>
    <w:rsid w:val="00E15784"/>
    <w:rsid w:val="00E15D70"/>
    <w:rsid w:val="00E1653B"/>
    <w:rsid w:val="00E16B43"/>
    <w:rsid w:val="00E16DAF"/>
    <w:rsid w:val="00E17B76"/>
    <w:rsid w:val="00E17BBA"/>
    <w:rsid w:val="00E20627"/>
    <w:rsid w:val="00E20954"/>
    <w:rsid w:val="00E215C1"/>
    <w:rsid w:val="00E21911"/>
    <w:rsid w:val="00E23306"/>
    <w:rsid w:val="00E23F03"/>
    <w:rsid w:val="00E2456F"/>
    <w:rsid w:val="00E24CE4"/>
    <w:rsid w:val="00E25415"/>
    <w:rsid w:val="00E257F4"/>
    <w:rsid w:val="00E26B24"/>
    <w:rsid w:val="00E2705E"/>
    <w:rsid w:val="00E30149"/>
    <w:rsid w:val="00E3025F"/>
    <w:rsid w:val="00E30672"/>
    <w:rsid w:val="00E30B09"/>
    <w:rsid w:val="00E312D8"/>
    <w:rsid w:val="00E3339A"/>
    <w:rsid w:val="00E333AD"/>
    <w:rsid w:val="00E3358A"/>
    <w:rsid w:val="00E3362C"/>
    <w:rsid w:val="00E3395F"/>
    <w:rsid w:val="00E33BA1"/>
    <w:rsid w:val="00E33FA5"/>
    <w:rsid w:val="00E33FE9"/>
    <w:rsid w:val="00E34309"/>
    <w:rsid w:val="00E34EA0"/>
    <w:rsid w:val="00E3501A"/>
    <w:rsid w:val="00E3529C"/>
    <w:rsid w:val="00E355F1"/>
    <w:rsid w:val="00E35F3E"/>
    <w:rsid w:val="00E363DA"/>
    <w:rsid w:val="00E3672C"/>
    <w:rsid w:val="00E36766"/>
    <w:rsid w:val="00E36C14"/>
    <w:rsid w:val="00E36E06"/>
    <w:rsid w:val="00E370C7"/>
    <w:rsid w:val="00E379D2"/>
    <w:rsid w:val="00E37BDF"/>
    <w:rsid w:val="00E40247"/>
    <w:rsid w:val="00E405FE"/>
    <w:rsid w:val="00E407C9"/>
    <w:rsid w:val="00E41819"/>
    <w:rsid w:val="00E41F88"/>
    <w:rsid w:val="00E42D0C"/>
    <w:rsid w:val="00E439D7"/>
    <w:rsid w:val="00E4511C"/>
    <w:rsid w:val="00E45709"/>
    <w:rsid w:val="00E466E7"/>
    <w:rsid w:val="00E46A77"/>
    <w:rsid w:val="00E47010"/>
    <w:rsid w:val="00E47FBF"/>
    <w:rsid w:val="00E50113"/>
    <w:rsid w:val="00E51057"/>
    <w:rsid w:val="00E512AB"/>
    <w:rsid w:val="00E51B8A"/>
    <w:rsid w:val="00E51CBA"/>
    <w:rsid w:val="00E521B2"/>
    <w:rsid w:val="00E52424"/>
    <w:rsid w:val="00E52512"/>
    <w:rsid w:val="00E52EC5"/>
    <w:rsid w:val="00E535DF"/>
    <w:rsid w:val="00E53FD3"/>
    <w:rsid w:val="00E544F9"/>
    <w:rsid w:val="00E54AF9"/>
    <w:rsid w:val="00E5527C"/>
    <w:rsid w:val="00E55420"/>
    <w:rsid w:val="00E5573B"/>
    <w:rsid w:val="00E55B4C"/>
    <w:rsid w:val="00E55B6C"/>
    <w:rsid w:val="00E573F9"/>
    <w:rsid w:val="00E5743D"/>
    <w:rsid w:val="00E60230"/>
    <w:rsid w:val="00E60268"/>
    <w:rsid w:val="00E6046E"/>
    <w:rsid w:val="00E60B2B"/>
    <w:rsid w:val="00E61554"/>
    <w:rsid w:val="00E624AE"/>
    <w:rsid w:val="00E62B9B"/>
    <w:rsid w:val="00E631E7"/>
    <w:rsid w:val="00E639B7"/>
    <w:rsid w:val="00E63A57"/>
    <w:rsid w:val="00E63AED"/>
    <w:rsid w:val="00E63C22"/>
    <w:rsid w:val="00E63E42"/>
    <w:rsid w:val="00E643D3"/>
    <w:rsid w:val="00E648E2"/>
    <w:rsid w:val="00E64CA9"/>
    <w:rsid w:val="00E64DEB"/>
    <w:rsid w:val="00E64DF9"/>
    <w:rsid w:val="00E65651"/>
    <w:rsid w:val="00E65D24"/>
    <w:rsid w:val="00E661BE"/>
    <w:rsid w:val="00E666BA"/>
    <w:rsid w:val="00E66934"/>
    <w:rsid w:val="00E67664"/>
    <w:rsid w:val="00E67D64"/>
    <w:rsid w:val="00E71D08"/>
    <w:rsid w:val="00E720E5"/>
    <w:rsid w:val="00E72904"/>
    <w:rsid w:val="00E73481"/>
    <w:rsid w:val="00E73525"/>
    <w:rsid w:val="00E73BC5"/>
    <w:rsid w:val="00E73F9D"/>
    <w:rsid w:val="00E74AFE"/>
    <w:rsid w:val="00E74BCC"/>
    <w:rsid w:val="00E75195"/>
    <w:rsid w:val="00E75413"/>
    <w:rsid w:val="00E77AA8"/>
    <w:rsid w:val="00E805AD"/>
    <w:rsid w:val="00E809C4"/>
    <w:rsid w:val="00E81127"/>
    <w:rsid w:val="00E8117F"/>
    <w:rsid w:val="00E81738"/>
    <w:rsid w:val="00E81E9A"/>
    <w:rsid w:val="00E825FD"/>
    <w:rsid w:val="00E82A10"/>
    <w:rsid w:val="00E82ACD"/>
    <w:rsid w:val="00E82DEF"/>
    <w:rsid w:val="00E83222"/>
    <w:rsid w:val="00E83728"/>
    <w:rsid w:val="00E83F81"/>
    <w:rsid w:val="00E843E3"/>
    <w:rsid w:val="00E8521C"/>
    <w:rsid w:val="00E857F1"/>
    <w:rsid w:val="00E86141"/>
    <w:rsid w:val="00E870B5"/>
    <w:rsid w:val="00E92005"/>
    <w:rsid w:val="00E92CCA"/>
    <w:rsid w:val="00E930BA"/>
    <w:rsid w:val="00E93B22"/>
    <w:rsid w:val="00E944C4"/>
    <w:rsid w:val="00E9496C"/>
    <w:rsid w:val="00E95611"/>
    <w:rsid w:val="00E963E9"/>
    <w:rsid w:val="00E965AB"/>
    <w:rsid w:val="00E977DE"/>
    <w:rsid w:val="00E97E82"/>
    <w:rsid w:val="00EA06C2"/>
    <w:rsid w:val="00EA0F53"/>
    <w:rsid w:val="00EA12A8"/>
    <w:rsid w:val="00EA175B"/>
    <w:rsid w:val="00EA1959"/>
    <w:rsid w:val="00EA1C9C"/>
    <w:rsid w:val="00EA2063"/>
    <w:rsid w:val="00EA2A97"/>
    <w:rsid w:val="00EA40C0"/>
    <w:rsid w:val="00EA4738"/>
    <w:rsid w:val="00EA5139"/>
    <w:rsid w:val="00EA5625"/>
    <w:rsid w:val="00EA5D40"/>
    <w:rsid w:val="00EA6A3F"/>
    <w:rsid w:val="00EA7C6F"/>
    <w:rsid w:val="00EB0232"/>
    <w:rsid w:val="00EB0727"/>
    <w:rsid w:val="00EB1DCF"/>
    <w:rsid w:val="00EB23FB"/>
    <w:rsid w:val="00EB2DF3"/>
    <w:rsid w:val="00EB308D"/>
    <w:rsid w:val="00EB32F9"/>
    <w:rsid w:val="00EB3E2A"/>
    <w:rsid w:val="00EB4F4D"/>
    <w:rsid w:val="00EB4F68"/>
    <w:rsid w:val="00EB566F"/>
    <w:rsid w:val="00EB5DDB"/>
    <w:rsid w:val="00EB62AE"/>
    <w:rsid w:val="00EB6314"/>
    <w:rsid w:val="00EB67F5"/>
    <w:rsid w:val="00EB6AFD"/>
    <w:rsid w:val="00EB6F56"/>
    <w:rsid w:val="00EB6FCE"/>
    <w:rsid w:val="00EB79F1"/>
    <w:rsid w:val="00EB7B9C"/>
    <w:rsid w:val="00EB7BF7"/>
    <w:rsid w:val="00EB7C17"/>
    <w:rsid w:val="00EC07A4"/>
    <w:rsid w:val="00EC0A18"/>
    <w:rsid w:val="00EC0B3D"/>
    <w:rsid w:val="00EC11AA"/>
    <w:rsid w:val="00EC12BF"/>
    <w:rsid w:val="00EC17F7"/>
    <w:rsid w:val="00EC23E6"/>
    <w:rsid w:val="00EC3111"/>
    <w:rsid w:val="00EC3C3A"/>
    <w:rsid w:val="00EC44D3"/>
    <w:rsid w:val="00EC45D2"/>
    <w:rsid w:val="00EC4EA4"/>
    <w:rsid w:val="00EC5742"/>
    <w:rsid w:val="00EC5AB5"/>
    <w:rsid w:val="00EC5BA7"/>
    <w:rsid w:val="00EC77CB"/>
    <w:rsid w:val="00EC791E"/>
    <w:rsid w:val="00EC7C08"/>
    <w:rsid w:val="00EC7E08"/>
    <w:rsid w:val="00ED0850"/>
    <w:rsid w:val="00ED0B78"/>
    <w:rsid w:val="00ED31E3"/>
    <w:rsid w:val="00ED32B0"/>
    <w:rsid w:val="00ED371A"/>
    <w:rsid w:val="00ED40D1"/>
    <w:rsid w:val="00ED44B0"/>
    <w:rsid w:val="00ED5809"/>
    <w:rsid w:val="00ED6015"/>
    <w:rsid w:val="00ED6C4E"/>
    <w:rsid w:val="00ED6DF7"/>
    <w:rsid w:val="00ED6F26"/>
    <w:rsid w:val="00ED757D"/>
    <w:rsid w:val="00ED75C8"/>
    <w:rsid w:val="00EE06C9"/>
    <w:rsid w:val="00EE070C"/>
    <w:rsid w:val="00EE0AA6"/>
    <w:rsid w:val="00EE0CCA"/>
    <w:rsid w:val="00EE0F24"/>
    <w:rsid w:val="00EE1FC6"/>
    <w:rsid w:val="00EE242B"/>
    <w:rsid w:val="00EE325A"/>
    <w:rsid w:val="00EE3557"/>
    <w:rsid w:val="00EE43A7"/>
    <w:rsid w:val="00EE588F"/>
    <w:rsid w:val="00EE6146"/>
    <w:rsid w:val="00EE6818"/>
    <w:rsid w:val="00EE6AD2"/>
    <w:rsid w:val="00EE762A"/>
    <w:rsid w:val="00EE77D8"/>
    <w:rsid w:val="00EF0248"/>
    <w:rsid w:val="00EF0EDB"/>
    <w:rsid w:val="00EF1D6D"/>
    <w:rsid w:val="00EF265C"/>
    <w:rsid w:val="00EF2D44"/>
    <w:rsid w:val="00EF3942"/>
    <w:rsid w:val="00EF3EDB"/>
    <w:rsid w:val="00EF4345"/>
    <w:rsid w:val="00EF4D14"/>
    <w:rsid w:val="00EF50A7"/>
    <w:rsid w:val="00EF5627"/>
    <w:rsid w:val="00EF56FF"/>
    <w:rsid w:val="00EF665D"/>
    <w:rsid w:val="00EF680B"/>
    <w:rsid w:val="00EF6DDA"/>
    <w:rsid w:val="00EF731C"/>
    <w:rsid w:val="00F01AA2"/>
    <w:rsid w:val="00F01B32"/>
    <w:rsid w:val="00F02745"/>
    <w:rsid w:val="00F03246"/>
    <w:rsid w:val="00F035D8"/>
    <w:rsid w:val="00F03898"/>
    <w:rsid w:val="00F03F89"/>
    <w:rsid w:val="00F040BA"/>
    <w:rsid w:val="00F043BD"/>
    <w:rsid w:val="00F05397"/>
    <w:rsid w:val="00F06B1E"/>
    <w:rsid w:val="00F07667"/>
    <w:rsid w:val="00F07E90"/>
    <w:rsid w:val="00F106A3"/>
    <w:rsid w:val="00F112D5"/>
    <w:rsid w:val="00F12502"/>
    <w:rsid w:val="00F1266E"/>
    <w:rsid w:val="00F12868"/>
    <w:rsid w:val="00F135C9"/>
    <w:rsid w:val="00F13753"/>
    <w:rsid w:val="00F1402C"/>
    <w:rsid w:val="00F14698"/>
    <w:rsid w:val="00F154FD"/>
    <w:rsid w:val="00F16C3B"/>
    <w:rsid w:val="00F1782A"/>
    <w:rsid w:val="00F17886"/>
    <w:rsid w:val="00F17A65"/>
    <w:rsid w:val="00F2021C"/>
    <w:rsid w:val="00F20609"/>
    <w:rsid w:val="00F20F68"/>
    <w:rsid w:val="00F22A3E"/>
    <w:rsid w:val="00F22B93"/>
    <w:rsid w:val="00F24110"/>
    <w:rsid w:val="00F25386"/>
    <w:rsid w:val="00F257EB"/>
    <w:rsid w:val="00F2583F"/>
    <w:rsid w:val="00F25B1F"/>
    <w:rsid w:val="00F25B69"/>
    <w:rsid w:val="00F2643C"/>
    <w:rsid w:val="00F26476"/>
    <w:rsid w:val="00F26901"/>
    <w:rsid w:val="00F26CAD"/>
    <w:rsid w:val="00F26F8D"/>
    <w:rsid w:val="00F30102"/>
    <w:rsid w:val="00F30740"/>
    <w:rsid w:val="00F30C12"/>
    <w:rsid w:val="00F30C82"/>
    <w:rsid w:val="00F30E90"/>
    <w:rsid w:val="00F31299"/>
    <w:rsid w:val="00F31370"/>
    <w:rsid w:val="00F32284"/>
    <w:rsid w:val="00F32326"/>
    <w:rsid w:val="00F32928"/>
    <w:rsid w:val="00F3297D"/>
    <w:rsid w:val="00F32E40"/>
    <w:rsid w:val="00F33976"/>
    <w:rsid w:val="00F35A33"/>
    <w:rsid w:val="00F36331"/>
    <w:rsid w:val="00F368FF"/>
    <w:rsid w:val="00F36C54"/>
    <w:rsid w:val="00F375AD"/>
    <w:rsid w:val="00F40772"/>
    <w:rsid w:val="00F4155B"/>
    <w:rsid w:val="00F4275C"/>
    <w:rsid w:val="00F430FF"/>
    <w:rsid w:val="00F442F7"/>
    <w:rsid w:val="00F44C51"/>
    <w:rsid w:val="00F4502B"/>
    <w:rsid w:val="00F45F13"/>
    <w:rsid w:val="00F46052"/>
    <w:rsid w:val="00F4710F"/>
    <w:rsid w:val="00F47473"/>
    <w:rsid w:val="00F50038"/>
    <w:rsid w:val="00F50A7C"/>
    <w:rsid w:val="00F50D0A"/>
    <w:rsid w:val="00F50E60"/>
    <w:rsid w:val="00F519C4"/>
    <w:rsid w:val="00F52786"/>
    <w:rsid w:val="00F52870"/>
    <w:rsid w:val="00F52BD2"/>
    <w:rsid w:val="00F537BB"/>
    <w:rsid w:val="00F53A55"/>
    <w:rsid w:val="00F54AAB"/>
    <w:rsid w:val="00F54DD7"/>
    <w:rsid w:val="00F55C4A"/>
    <w:rsid w:val="00F561C8"/>
    <w:rsid w:val="00F578FC"/>
    <w:rsid w:val="00F57D42"/>
    <w:rsid w:val="00F60185"/>
    <w:rsid w:val="00F615ED"/>
    <w:rsid w:val="00F61BFC"/>
    <w:rsid w:val="00F62542"/>
    <w:rsid w:val="00F631CE"/>
    <w:rsid w:val="00F63528"/>
    <w:rsid w:val="00F63999"/>
    <w:rsid w:val="00F63A23"/>
    <w:rsid w:val="00F6410B"/>
    <w:rsid w:val="00F64734"/>
    <w:rsid w:val="00F64CBB"/>
    <w:rsid w:val="00F64D8D"/>
    <w:rsid w:val="00F6520F"/>
    <w:rsid w:val="00F6526E"/>
    <w:rsid w:val="00F6526F"/>
    <w:rsid w:val="00F658A7"/>
    <w:rsid w:val="00F66DC9"/>
    <w:rsid w:val="00F67F26"/>
    <w:rsid w:val="00F70E83"/>
    <w:rsid w:val="00F71439"/>
    <w:rsid w:val="00F73AE8"/>
    <w:rsid w:val="00F73DFD"/>
    <w:rsid w:val="00F752E8"/>
    <w:rsid w:val="00F762AE"/>
    <w:rsid w:val="00F76319"/>
    <w:rsid w:val="00F80C3A"/>
    <w:rsid w:val="00F8112E"/>
    <w:rsid w:val="00F8369A"/>
    <w:rsid w:val="00F83CE1"/>
    <w:rsid w:val="00F85020"/>
    <w:rsid w:val="00F854BA"/>
    <w:rsid w:val="00F85866"/>
    <w:rsid w:val="00F85F7F"/>
    <w:rsid w:val="00F86408"/>
    <w:rsid w:val="00F8746A"/>
    <w:rsid w:val="00F87ED3"/>
    <w:rsid w:val="00F90EB6"/>
    <w:rsid w:val="00F916CE"/>
    <w:rsid w:val="00F91810"/>
    <w:rsid w:val="00F91A6F"/>
    <w:rsid w:val="00F91E04"/>
    <w:rsid w:val="00F91FE4"/>
    <w:rsid w:val="00F924E4"/>
    <w:rsid w:val="00F92C44"/>
    <w:rsid w:val="00F94C5B"/>
    <w:rsid w:val="00F9553D"/>
    <w:rsid w:val="00F96A74"/>
    <w:rsid w:val="00F97718"/>
    <w:rsid w:val="00F97CCB"/>
    <w:rsid w:val="00F97F3A"/>
    <w:rsid w:val="00FA0007"/>
    <w:rsid w:val="00FA1034"/>
    <w:rsid w:val="00FA1A5F"/>
    <w:rsid w:val="00FA340C"/>
    <w:rsid w:val="00FA3AD1"/>
    <w:rsid w:val="00FA3E02"/>
    <w:rsid w:val="00FA6CFE"/>
    <w:rsid w:val="00FA6D58"/>
    <w:rsid w:val="00FA7418"/>
    <w:rsid w:val="00FB02C9"/>
    <w:rsid w:val="00FB0B9F"/>
    <w:rsid w:val="00FB107E"/>
    <w:rsid w:val="00FB185F"/>
    <w:rsid w:val="00FB19F2"/>
    <w:rsid w:val="00FB1AFE"/>
    <w:rsid w:val="00FB1FFD"/>
    <w:rsid w:val="00FB25FA"/>
    <w:rsid w:val="00FB319A"/>
    <w:rsid w:val="00FB3360"/>
    <w:rsid w:val="00FB38E4"/>
    <w:rsid w:val="00FB3CE7"/>
    <w:rsid w:val="00FB41DB"/>
    <w:rsid w:val="00FB4BB4"/>
    <w:rsid w:val="00FB4D89"/>
    <w:rsid w:val="00FB5CDC"/>
    <w:rsid w:val="00FB69BB"/>
    <w:rsid w:val="00FB6CD3"/>
    <w:rsid w:val="00FB7C13"/>
    <w:rsid w:val="00FB7DBB"/>
    <w:rsid w:val="00FB7E1E"/>
    <w:rsid w:val="00FC002B"/>
    <w:rsid w:val="00FC1289"/>
    <w:rsid w:val="00FC17F4"/>
    <w:rsid w:val="00FC1AC6"/>
    <w:rsid w:val="00FC1C03"/>
    <w:rsid w:val="00FC1C1A"/>
    <w:rsid w:val="00FC1C93"/>
    <w:rsid w:val="00FC2CBF"/>
    <w:rsid w:val="00FC3457"/>
    <w:rsid w:val="00FC377F"/>
    <w:rsid w:val="00FC46F6"/>
    <w:rsid w:val="00FC4CB9"/>
    <w:rsid w:val="00FC5771"/>
    <w:rsid w:val="00FC7028"/>
    <w:rsid w:val="00FC70CA"/>
    <w:rsid w:val="00FC73BD"/>
    <w:rsid w:val="00FC7C6B"/>
    <w:rsid w:val="00FD0993"/>
    <w:rsid w:val="00FD0A4C"/>
    <w:rsid w:val="00FD2083"/>
    <w:rsid w:val="00FD23F4"/>
    <w:rsid w:val="00FD24D0"/>
    <w:rsid w:val="00FD2D97"/>
    <w:rsid w:val="00FD2E49"/>
    <w:rsid w:val="00FD3C2F"/>
    <w:rsid w:val="00FD41D7"/>
    <w:rsid w:val="00FD478D"/>
    <w:rsid w:val="00FD4BAA"/>
    <w:rsid w:val="00FD4F9D"/>
    <w:rsid w:val="00FD565F"/>
    <w:rsid w:val="00FD5677"/>
    <w:rsid w:val="00FD62EF"/>
    <w:rsid w:val="00FD65E3"/>
    <w:rsid w:val="00FD6F91"/>
    <w:rsid w:val="00FD7409"/>
    <w:rsid w:val="00FE0642"/>
    <w:rsid w:val="00FE070E"/>
    <w:rsid w:val="00FE222F"/>
    <w:rsid w:val="00FE2C4B"/>
    <w:rsid w:val="00FE3609"/>
    <w:rsid w:val="00FE3B8E"/>
    <w:rsid w:val="00FE3CE0"/>
    <w:rsid w:val="00FE3EB7"/>
    <w:rsid w:val="00FE4260"/>
    <w:rsid w:val="00FE4DAF"/>
    <w:rsid w:val="00FE4E92"/>
    <w:rsid w:val="00FE51F2"/>
    <w:rsid w:val="00FE5503"/>
    <w:rsid w:val="00FE555E"/>
    <w:rsid w:val="00FE5B7F"/>
    <w:rsid w:val="00FE5E1E"/>
    <w:rsid w:val="00FE6C79"/>
    <w:rsid w:val="00FE7B98"/>
    <w:rsid w:val="00FF1168"/>
    <w:rsid w:val="00FF166F"/>
    <w:rsid w:val="00FF1AA7"/>
    <w:rsid w:val="00FF1F3B"/>
    <w:rsid w:val="00FF1F79"/>
    <w:rsid w:val="00FF298B"/>
    <w:rsid w:val="00FF32C5"/>
    <w:rsid w:val="00FF4841"/>
    <w:rsid w:val="00FF4DCF"/>
    <w:rsid w:val="00FF4DE0"/>
    <w:rsid w:val="00FF5716"/>
    <w:rsid w:val="00FF5B50"/>
    <w:rsid w:val="00FF60AC"/>
    <w:rsid w:val="00FF61A6"/>
    <w:rsid w:val="00FF7908"/>
    <w:rsid w:val="00FF791D"/>
    <w:rsid w:val="00FF7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145589-38C6-4593-973C-BCA57803A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67BC"/>
    <w:pPr>
      <w:keepNext/>
      <w:keepLines/>
      <w:numPr>
        <w:numId w:val="1"/>
      </w:numPr>
      <w:spacing w:before="240" w:after="120" w:line="240" w:lineRule="auto"/>
      <w:ind w:left="431" w:hanging="431"/>
      <w:jc w:val="both"/>
      <w:outlineLvl w:val="0"/>
    </w:pPr>
    <w:rPr>
      <w:rFonts w:asciiTheme="majorHAnsi" w:eastAsiaTheme="majorEastAsia" w:hAnsiTheme="majorHAnsi" w:cstheme="majorBidi"/>
      <w:b/>
      <w:color w:val="000000" w:themeColor="text1"/>
      <w:sz w:val="32"/>
      <w:szCs w:val="32"/>
      <w:lang w:val="da-DK"/>
    </w:rPr>
  </w:style>
  <w:style w:type="paragraph" w:styleId="Heading2">
    <w:name w:val="heading 2"/>
    <w:basedOn w:val="Normal"/>
    <w:next w:val="Normal"/>
    <w:link w:val="Heading2Char"/>
    <w:uiPriority w:val="9"/>
    <w:unhideWhenUsed/>
    <w:qFormat/>
    <w:rsid w:val="006A67BC"/>
    <w:pPr>
      <w:keepNext/>
      <w:keepLines/>
      <w:numPr>
        <w:ilvl w:val="1"/>
        <w:numId w:val="1"/>
      </w:numPr>
      <w:spacing w:before="120" w:after="120"/>
      <w:ind w:left="578" w:hanging="578"/>
      <w:jc w:val="both"/>
      <w:outlineLvl w:val="1"/>
    </w:pPr>
    <w:rPr>
      <w:rFonts w:asciiTheme="majorHAnsi" w:eastAsiaTheme="majorEastAsia" w:hAnsiTheme="majorHAnsi" w:cstheme="majorBidi"/>
      <w:b/>
      <w:sz w:val="24"/>
      <w:szCs w:val="26"/>
      <w:lang w:val="da-DK"/>
    </w:rPr>
  </w:style>
  <w:style w:type="paragraph" w:styleId="Heading3">
    <w:name w:val="heading 3"/>
    <w:basedOn w:val="Normal"/>
    <w:next w:val="Normal"/>
    <w:link w:val="Heading3Char"/>
    <w:uiPriority w:val="9"/>
    <w:unhideWhenUsed/>
    <w:qFormat/>
    <w:rsid w:val="006A67BC"/>
    <w:pPr>
      <w:keepNext/>
      <w:keepLines/>
      <w:numPr>
        <w:ilvl w:val="2"/>
        <w:numId w:val="1"/>
      </w:numPr>
      <w:spacing w:before="120" w:after="120" w:line="240" w:lineRule="auto"/>
      <w:jc w:val="both"/>
      <w:outlineLvl w:val="2"/>
    </w:pPr>
    <w:rPr>
      <w:rFonts w:asciiTheme="majorHAnsi" w:eastAsiaTheme="majorEastAsia" w:hAnsiTheme="majorHAnsi" w:cstheme="majorBidi"/>
      <w:i/>
      <w:sz w:val="24"/>
      <w:szCs w:val="24"/>
      <w:lang w:val="da-DK"/>
    </w:rPr>
  </w:style>
  <w:style w:type="paragraph" w:styleId="Heading4">
    <w:name w:val="heading 4"/>
    <w:basedOn w:val="Normal"/>
    <w:next w:val="Normal"/>
    <w:link w:val="Heading4Char"/>
    <w:uiPriority w:val="9"/>
    <w:semiHidden/>
    <w:unhideWhenUsed/>
    <w:qFormat/>
    <w:rsid w:val="006A67BC"/>
    <w:pPr>
      <w:keepNext/>
      <w:keepLines/>
      <w:numPr>
        <w:ilvl w:val="3"/>
        <w:numId w:val="1"/>
      </w:numPr>
      <w:spacing w:before="40" w:after="0"/>
      <w:jc w:val="both"/>
      <w:outlineLvl w:val="3"/>
    </w:pPr>
    <w:rPr>
      <w:rFonts w:asciiTheme="majorHAnsi" w:eastAsiaTheme="majorEastAsia" w:hAnsiTheme="majorHAnsi" w:cstheme="majorBidi"/>
      <w:i/>
      <w:iCs/>
      <w:color w:val="2E74B5" w:themeColor="accent1" w:themeShade="BF"/>
      <w:lang w:val="da-DK"/>
    </w:rPr>
  </w:style>
  <w:style w:type="paragraph" w:styleId="Heading5">
    <w:name w:val="heading 5"/>
    <w:basedOn w:val="Normal"/>
    <w:next w:val="Normal"/>
    <w:link w:val="Heading5Char"/>
    <w:uiPriority w:val="9"/>
    <w:semiHidden/>
    <w:unhideWhenUsed/>
    <w:qFormat/>
    <w:rsid w:val="006A67BC"/>
    <w:pPr>
      <w:keepNext/>
      <w:keepLines/>
      <w:numPr>
        <w:ilvl w:val="4"/>
        <w:numId w:val="1"/>
      </w:numPr>
      <w:spacing w:before="40" w:after="0"/>
      <w:jc w:val="both"/>
      <w:outlineLvl w:val="4"/>
    </w:pPr>
    <w:rPr>
      <w:rFonts w:asciiTheme="majorHAnsi" w:eastAsiaTheme="majorEastAsia" w:hAnsiTheme="majorHAnsi" w:cstheme="majorBidi"/>
      <w:color w:val="2E74B5" w:themeColor="accent1" w:themeShade="BF"/>
      <w:lang w:val="da-DK"/>
    </w:rPr>
  </w:style>
  <w:style w:type="paragraph" w:styleId="Heading6">
    <w:name w:val="heading 6"/>
    <w:basedOn w:val="Normal"/>
    <w:next w:val="Normal"/>
    <w:link w:val="Heading6Char"/>
    <w:uiPriority w:val="9"/>
    <w:semiHidden/>
    <w:unhideWhenUsed/>
    <w:qFormat/>
    <w:rsid w:val="006A67BC"/>
    <w:pPr>
      <w:keepNext/>
      <w:keepLines/>
      <w:numPr>
        <w:ilvl w:val="5"/>
        <w:numId w:val="1"/>
      </w:numPr>
      <w:spacing w:before="40" w:after="0"/>
      <w:jc w:val="both"/>
      <w:outlineLvl w:val="5"/>
    </w:pPr>
    <w:rPr>
      <w:rFonts w:asciiTheme="majorHAnsi" w:eastAsiaTheme="majorEastAsia" w:hAnsiTheme="majorHAnsi" w:cstheme="majorBidi"/>
      <w:color w:val="1F4D78" w:themeColor="accent1" w:themeShade="7F"/>
      <w:lang w:val="da-DK"/>
    </w:rPr>
  </w:style>
  <w:style w:type="paragraph" w:styleId="Heading7">
    <w:name w:val="heading 7"/>
    <w:basedOn w:val="Normal"/>
    <w:next w:val="Normal"/>
    <w:link w:val="Heading7Char"/>
    <w:uiPriority w:val="9"/>
    <w:semiHidden/>
    <w:unhideWhenUsed/>
    <w:qFormat/>
    <w:rsid w:val="006A67BC"/>
    <w:pPr>
      <w:keepNext/>
      <w:keepLines/>
      <w:numPr>
        <w:ilvl w:val="6"/>
        <w:numId w:val="1"/>
      </w:numPr>
      <w:spacing w:before="40" w:after="0"/>
      <w:jc w:val="both"/>
      <w:outlineLvl w:val="6"/>
    </w:pPr>
    <w:rPr>
      <w:rFonts w:asciiTheme="majorHAnsi" w:eastAsiaTheme="majorEastAsia" w:hAnsiTheme="majorHAnsi" w:cstheme="majorBidi"/>
      <w:i/>
      <w:iCs/>
      <w:color w:val="1F4D78" w:themeColor="accent1" w:themeShade="7F"/>
      <w:lang w:val="da-DK"/>
    </w:rPr>
  </w:style>
  <w:style w:type="paragraph" w:styleId="Heading8">
    <w:name w:val="heading 8"/>
    <w:basedOn w:val="Normal"/>
    <w:next w:val="Normal"/>
    <w:link w:val="Heading8Char"/>
    <w:uiPriority w:val="9"/>
    <w:semiHidden/>
    <w:unhideWhenUsed/>
    <w:qFormat/>
    <w:rsid w:val="006A67BC"/>
    <w:pPr>
      <w:keepNext/>
      <w:keepLines/>
      <w:numPr>
        <w:ilvl w:val="7"/>
        <w:numId w:val="1"/>
      </w:numPr>
      <w:spacing w:before="40" w:after="0"/>
      <w:jc w:val="both"/>
      <w:outlineLvl w:val="7"/>
    </w:pPr>
    <w:rPr>
      <w:rFonts w:asciiTheme="majorHAnsi" w:eastAsiaTheme="majorEastAsia" w:hAnsiTheme="majorHAnsi" w:cstheme="majorBidi"/>
      <w:color w:val="272727" w:themeColor="text1" w:themeTint="D8"/>
      <w:sz w:val="21"/>
      <w:szCs w:val="21"/>
      <w:lang w:val="da-DK"/>
    </w:rPr>
  </w:style>
  <w:style w:type="paragraph" w:styleId="Heading9">
    <w:name w:val="heading 9"/>
    <w:basedOn w:val="Normal"/>
    <w:next w:val="Normal"/>
    <w:link w:val="Heading9Char"/>
    <w:uiPriority w:val="9"/>
    <w:semiHidden/>
    <w:unhideWhenUsed/>
    <w:qFormat/>
    <w:rsid w:val="006A67BC"/>
    <w:pPr>
      <w:keepNext/>
      <w:keepLines/>
      <w:numPr>
        <w:ilvl w:val="8"/>
        <w:numId w:val="1"/>
      </w:numPr>
      <w:spacing w:before="40" w:after="0"/>
      <w:jc w:val="both"/>
      <w:outlineLvl w:val="8"/>
    </w:pPr>
    <w:rPr>
      <w:rFonts w:asciiTheme="majorHAnsi" w:eastAsiaTheme="majorEastAsia" w:hAnsiTheme="majorHAnsi" w:cstheme="majorBidi"/>
      <w:i/>
      <w:iCs/>
      <w:color w:val="272727" w:themeColor="text1" w:themeTint="D8"/>
      <w:sz w:val="21"/>
      <w:szCs w:val="21"/>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67BC"/>
    <w:rPr>
      <w:rFonts w:asciiTheme="majorHAnsi" w:eastAsiaTheme="majorEastAsia" w:hAnsiTheme="majorHAnsi" w:cstheme="majorBidi"/>
      <w:b/>
      <w:color w:val="000000" w:themeColor="text1"/>
      <w:sz w:val="32"/>
      <w:szCs w:val="32"/>
      <w:lang w:val="da-DK"/>
    </w:rPr>
  </w:style>
  <w:style w:type="character" w:customStyle="1" w:styleId="Heading2Char">
    <w:name w:val="Heading 2 Char"/>
    <w:basedOn w:val="DefaultParagraphFont"/>
    <w:link w:val="Heading2"/>
    <w:uiPriority w:val="9"/>
    <w:rsid w:val="006A67BC"/>
    <w:rPr>
      <w:rFonts w:asciiTheme="majorHAnsi" w:eastAsiaTheme="majorEastAsia" w:hAnsiTheme="majorHAnsi" w:cstheme="majorBidi"/>
      <w:b/>
      <w:sz w:val="24"/>
      <w:szCs w:val="26"/>
      <w:lang w:val="da-DK"/>
    </w:rPr>
  </w:style>
  <w:style w:type="character" w:customStyle="1" w:styleId="Heading3Char">
    <w:name w:val="Heading 3 Char"/>
    <w:basedOn w:val="DefaultParagraphFont"/>
    <w:link w:val="Heading3"/>
    <w:uiPriority w:val="9"/>
    <w:rsid w:val="006A67BC"/>
    <w:rPr>
      <w:rFonts w:asciiTheme="majorHAnsi" w:eastAsiaTheme="majorEastAsia" w:hAnsiTheme="majorHAnsi" w:cstheme="majorBidi"/>
      <w:i/>
      <w:sz w:val="24"/>
      <w:szCs w:val="24"/>
      <w:lang w:val="da-DK"/>
    </w:rPr>
  </w:style>
  <w:style w:type="character" w:customStyle="1" w:styleId="Heading4Char">
    <w:name w:val="Heading 4 Char"/>
    <w:basedOn w:val="DefaultParagraphFont"/>
    <w:link w:val="Heading4"/>
    <w:uiPriority w:val="9"/>
    <w:semiHidden/>
    <w:rsid w:val="006A67BC"/>
    <w:rPr>
      <w:rFonts w:asciiTheme="majorHAnsi" w:eastAsiaTheme="majorEastAsia" w:hAnsiTheme="majorHAnsi" w:cstheme="majorBidi"/>
      <w:i/>
      <w:iCs/>
      <w:color w:val="2E74B5" w:themeColor="accent1" w:themeShade="BF"/>
      <w:lang w:val="da-DK"/>
    </w:rPr>
  </w:style>
  <w:style w:type="character" w:customStyle="1" w:styleId="Heading5Char">
    <w:name w:val="Heading 5 Char"/>
    <w:basedOn w:val="DefaultParagraphFont"/>
    <w:link w:val="Heading5"/>
    <w:uiPriority w:val="9"/>
    <w:semiHidden/>
    <w:rsid w:val="006A67BC"/>
    <w:rPr>
      <w:rFonts w:asciiTheme="majorHAnsi" w:eastAsiaTheme="majorEastAsia" w:hAnsiTheme="majorHAnsi" w:cstheme="majorBidi"/>
      <w:color w:val="2E74B5" w:themeColor="accent1" w:themeShade="BF"/>
      <w:lang w:val="da-DK"/>
    </w:rPr>
  </w:style>
  <w:style w:type="character" w:customStyle="1" w:styleId="Heading6Char">
    <w:name w:val="Heading 6 Char"/>
    <w:basedOn w:val="DefaultParagraphFont"/>
    <w:link w:val="Heading6"/>
    <w:uiPriority w:val="9"/>
    <w:semiHidden/>
    <w:rsid w:val="006A67BC"/>
    <w:rPr>
      <w:rFonts w:asciiTheme="majorHAnsi" w:eastAsiaTheme="majorEastAsia" w:hAnsiTheme="majorHAnsi" w:cstheme="majorBidi"/>
      <w:color w:val="1F4D78" w:themeColor="accent1" w:themeShade="7F"/>
      <w:lang w:val="da-DK"/>
    </w:rPr>
  </w:style>
  <w:style w:type="character" w:customStyle="1" w:styleId="Heading7Char">
    <w:name w:val="Heading 7 Char"/>
    <w:basedOn w:val="DefaultParagraphFont"/>
    <w:link w:val="Heading7"/>
    <w:uiPriority w:val="9"/>
    <w:semiHidden/>
    <w:rsid w:val="006A67BC"/>
    <w:rPr>
      <w:rFonts w:asciiTheme="majorHAnsi" w:eastAsiaTheme="majorEastAsia" w:hAnsiTheme="majorHAnsi" w:cstheme="majorBidi"/>
      <w:i/>
      <w:iCs/>
      <w:color w:val="1F4D78" w:themeColor="accent1" w:themeShade="7F"/>
      <w:lang w:val="da-DK"/>
    </w:rPr>
  </w:style>
  <w:style w:type="character" w:customStyle="1" w:styleId="Heading8Char">
    <w:name w:val="Heading 8 Char"/>
    <w:basedOn w:val="DefaultParagraphFont"/>
    <w:link w:val="Heading8"/>
    <w:uiPriority w:val="9"/>
    <w:semiHidden/>
    <w:rsid w:val="006A67BC"/>
    <w:rPr>
      <w:rFonts w:asciiTheme="majorHAnsi" w:eastAsiaTheme="majorEastAsia" w:hAnsiTheme="majorHAnsi" w:cstheme="majorBidi"/>
      <w:color w:val="272727" w:themeColor="text1" w:themeTint="D8"/>
      <w:sz w:val="21"/>
      <w:szCs w:val="21"/>
      <w:lang w:val="da-DK"/>
    </w:rPr>
  </w:style>
  <w:style w:type="character" w:customStyle="1" w:styleId="Heading9Char">
    <w:name w:val="Heading 9 Char"/>
    <w:basedOn w:val="DefaultParagraphFont"/>
    <w:link w:val="Heading9"/>
    <w:uiPriority w:val="9"/>
    <w:semiHidden/>
    <w:rsid w:val="006A67BC"/>
    <w:rPr>
      <w:rFonts w:asciiTheme="majorHAnsi" w:eastAsiaTheme="majorEastAsia" w:hAnsiTheme="majorHAnsi" w:cstheme="majorBidi"/>
      <w:i/>
      <w:iCs/>
      <w:color w:val="272727" w:themeColor="text1" w:themeTint="D8"/>
      <w:sz w:val="21"/>
      <w:szCs w:val="21"/>
      <w:lang w:val="da-DK"/>
    </w:rPr>
  </w:style>
  <w:style w:type="table" w:styleId="TableGrid">
    <w:name w:val="Table Grid"/>
    <w:basedOn w:val="TableNormal"/>
    <w:uiPriority w:val="39"/>
    <w:rsid w:val="006A67BC"/>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6A67BC"/>
    <w:pPr>
      <w:outlineLvl w:val="9"/>
    </w:pPr>
    <w:rPr>
      <w:b w:val="0"/>
      <w:color w:val="2E74B5" w:themeColor="accent1" w:themeShade="BF"/>
      <w:lang w:val="en-US"/>
    </w:rPr>
  </w:style>
  <w:style w:type="paragraph" w:styleId="TOC2">
    <w:name w:val="toc 2"/>
    <w:basedOn w:val="Normal"/>
    <w:next w:val="Normal"/>
    <w:autoRedefine/>
    <w:uiPriority w:val="39"/>
    <w:unhideWhenUsed/>
    <w:rsid w:val="006A67BC"/>
    <w:pPr>
      <w:spacing w:after="100"/>
      <w:ind w:left="220"/>
      <w:jc w:val="both"/>
    </w:pPr>
    <w:rPr>
      <w:rFonts w:eastAsiaTheme="minorEastAsia" w:cs="Times New Roman"/>
    </w:rPr>
  </w:style>
  <w:style w:type="paragraph" w:styleId="TOC1">
    <w:name w:val="toc 1"/>
    <w:basedOn w:val="Normal"/>
    <w:next w:val="Normal"/>
    <w:autoRedefine/>
    <w:uiPriority w:val="39"/>
    <w:unhideWhenUsed/>
    <w:rsid w:val="006A67BC"/>
    <w:pPr>
      <w:spacing w:after="100"/>
      <w:jc w:val="both"/>
    </w:pPr>
    <w:rPr>
      <w:rFonts w:eastAsiaTheme="minorEastAsia" w:cs="Times New Roman"/>
    </w:rPr>
  </w:style>
  <w:style w:type="paragraph" w:styleId="TOC3">
    <w:name w:val="toc 3"/>
    <w:basedOn w:val="Normal"/>
    <w:next w:val="Normal"/>
    <w:autoRedefine/>
    <w:uiPriority w:val="39"/>
    <w:unhideWhenUsed/>
    <w:rsid w:val="006A67BC"/>
    <w:pPr>
      <w:spacing w:after="100"/>
      <w:ind w:left="440"/>
      <w:jc w:val="both"/>
    </w:pPr>
    <w:rPr>
      <w:rFonts w:eastAsiaTheme="minorEastAsia" w:cs="Times New Roman"/>
    </w:rPr>
  </w:style>
  <w:style w:type="paragraph" w:styleId="ListParagraph">
    <w:name w:val="List Paragraph"/>
    <w:basedOn w:val="Normal"/>
    <w:uiPriority w:val="34"/>
    <w:qFormat/>
    <w:rsid w:val="006A67BC"/>
    <w:pPr>
      <w:ind w:left="720"/>
      <w:contextualSpacing/>
      <w:jc w:val="both"/>
    </w:pPr>
    <w:rPr>
      <w:lang w:val="da-DK"/>
    </w:rPr>
  </w:style>
  <w:style w:type="paragraph" w:styleId="NoSpacing">
    <w:name w:val="No Spacing"/>
    <w:uiPriority w:val="1"/>
    <w:qFormat/>
    <w:rsid w:val="006A67BC"/>
    <w:pPr>
      <w:spacing w:after="0" w:line="240" w:lineRule="auto"/>
    </w:pPr>
    <w:rPr>
      <w:lang w:val="da-DK"/>
    </w:rPr>
  </w:style>
  <w:style w:type="character" w:styleId="Hyperlink">
    <w:name w:val="Hyperlink"/>
    <w:basedOn w:val="DefaultParagraphFont"/>
    <w:uiPriority w:val="99"/>
    <w:unhideWhenUsed/>
    <w:rsid w:val="006A67BC"/>
    <w:rPr>
      <w:color w:val="0563C1" w:themeColor="hyperlink"/>
      <w:u w:val="single"/>
    </w:rPr>
  </w:style>
  <w:style w:type="character" w:customStyle="1" w:styleId="UnresolvedMention1">
    <w:name w:val="Unresolved Mention1"/>
    <w:basedOn w:val="DefaultParagraphFont"/>
    <w:uiPriority w:val="99"/>
    <w:semiHidden/>
    <w:unhideWhenUsed/>
    <w:rsid w:val="006A67BC"/>
    <w:rPr>
      <w:color w:val="605E5C"/>
      <w:shd w:val="clear" w:color="auto" w:fill="E1DFDD"/>
    </w:rPr>
  </w:style>
  <w:style w:type="paragraph" w:styleId="HTMLPreformatted">
    <w:name w:val="HTML Preformatted"/>
    <w:basedOn w:val="Normal"/>
    <w:link w:val="HTMLPreformattedChar"/>
    <w:uiPriority w:val="99"/>
    <w:semiHidden/>
    <w:unhideWhenUsed/>
    <w:rsid w:val="006A67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6A67BC"/>
    <w:rPr>
      <w:rFonts w:ascii="Courier New" w:eastAsia="Times New Roman" w:hAnsi="Courier New" w:cs="Courier New"/>
      <w:sz w:val="20"/>
      <w:szCs w:val="20"/>
      <w:lang w:val="da-DK" w:eastAsia="da-DK"/>
    </w:rPr>
  </w:style>
  <w:style w:type="character" w:customStyle="1" w:styleId="y2iqfc">
    <w:name w:val="y2iqfc"/>
    <w:basedOn w:val="DefaultParagraphFont"/>
    <w:rsid w:val="006A67BC"/>
  </w:style>
  <w:style w:type="paragraph" w:styleId="Header">
    <w:name w:val="header"/>
    <w:basedOn w:val="Normal"/>
    <w:link w:val="HeaderChar"/>
    <w:uiPriority w:val="99"/>
    <w:unhideWhenUsed/>
    <w:rsid w:val="006A67BC"/>
    <w:pPr>
      <w:tabs>
        <w:tab w:val="center" w:pos="4513"/>
        <w:tab w:val="right" w:pos="9026"/>
      </w:tabs>
      <w:spacing w:after="0" w:line="240" w:lineRule="auto"/>
      <w:jc w:val="both"/>
    </w:pPr>
    <w:rPr>
      <w:lang w:val="da-DK"/>
    </w:rPr>
  </w:style>
  <w:style w:type="character" w:customStyle="1" w:styleId="HeaderChar">
    <w:name w:val="Header Char"/>
    <w:basedOn w:val="DefaultParagraphFont"/>
    <w:link w:val="Header"/>
    <w:uiPriority w:val="99"/>
    <w:rsid w:val="006A67BC"/>
    <w:rPr>
      <w:lang w:val="da-DK"/>
    </w:rPr>
  </w:style>
  <w:style w:type="paragraph" w:styleId="Footer">
    <w:name w:val="footer"/>
    <w:basedOn w:val="Normal"/>
    <w:link w:val="FooterChar"/>
    <w:uiPriority w:val="99"/>
    <w:unhideWhenUsed/>
    <w:rsid w:val="006A67BC"/>
    <w:pPr>
      <w:tabs>
        <w:tab w:val="center" w:pos="4513"/>
        <w:tab w:val="right" w:pos="9026"/>
      </w:tabs>
      <w:spacing w:after="0" w:line="240" w:lineRule="auto"/>
      <w:jc w:val="both"/>
    </w:pPr>
    <w:rPr>
      <w:lang w:val="da-DK"/>
    </w:rPr>
  </w:style>
  <w:style w:type="character" w:customStyle="1" w:styleId="FooterChar">
    <w:name w:val="Footer Char"/>
    <w:basedOn w:val="DefaultParagraphFont"/>
    <w:link w:val="Footer"/>
    <w:uiPriority w:val="99"/>
    <w:rsid w:val="006A67BC"/>
    <w:rPr>
      <w:lang w:val="da-DK"/>
    </w:rPr>
  </w:style>
  <w:style w:type="character" w:styleId="CommentReference">
    <w:name w:val="annotation reference"/>
    <w:basedOn w:val="DefaultParagraphFont"/>
    <w:uiPriority w:val="99"/>
    <w:semiHidden/>
    <w:unhideWhenUsed/>
    <w:rsid w:val="006A67BC"/>
    <w:rPr>
      <w:sz w:val="16"/>
      <w:szCs w:val="16"/>
    </w:rPr>
  </w:style>
  <w:style w:type="paragraph" w:styleId="CommentText">
    <w:name w:val="annotation text"/>
    <w:basedOn w:val="Normal"/>
    <w:link w:val="CommentTextChar"/>
    <w:uiPriority w:val="99"/>
    <w:unhideWhenUsed/>
    <w:rsid w:val="006A67BC"/>
    <w:pPr>
      <w:spacing w:line="240" w:lineRule="auto"/>
      <w:jc w:val="both"/>
    </w:pPr>
    <w:rPr>
      <w:sz w:val="20"/>
      <w:szCs w:val="20"/>
      <w:lang w:val="da-DK"/>
    </w:rPr>
  </w:style>
  <w:style w:type="character" w:customStyle="1" w:styleId="CommentTextChar">
    <w:name w:val="Comment Text Char"/>
    <w:basedOn w:val="DefaultParagraphFont"/>
    <w:link w:val="CommentText"/>
    <w:uiPriority w:val="99"/>
    <w:rsid w:val="006A67BC"/>
    <w:rPr>
      <w:sz w:val="20"/>
      <w:szCs w:val="20"/>
      <w:lang w:val="da-DK"/>
    </w:rPr>
  </w:style>
  <w:style w:type="paragraph" w:styleId="CommentSubject">
    <w:name w:val="annotation subject"/>
    <w:basedOn w:val="CommentText"/>
    <w:next w:val="CommentText"/>
    <w:link w:val="CommentSubjectChar"/>
    <w:uiPriority w:val="99"/>
    <w:semiHidden/>
    <w:unhideWhenUsed/>
    <w:rsid w:val="006A67BC"/>
    <w:rPr>
      <w:b/>
      <w:bCs/>
    </w:rPr>
  </w:style>
  <w:style w:type="character" w:customStyle="1" w:styleId="CommentSubjectChar">
    <w:name w:val="Comment Subject Char"/>
    <w:basedOn w:val="CommentTextChar"/>
    <w:link w:val="CommentSubject"/>
    <w:uiPriority w:val="99"/>
    <w:semiHidden/>
    <w:rsid w:val="006A67BC"/>
    <w:rPr>
      <w:b/>
      <w:bCs/>
      <w:sz w:val="20"/>
      <w:szCs w:val="20"/>
      <w:lang w:val="da-DK"/>
    </w:rPr>
  </w:style>
  <w:style w:type="paragraph" w:styleId="Revision">
    <w:name w:val="Revision"/>
    <w:hidden/>
    <w:uiPriority w:val="99"/>
    <w:semiHidden/>
    <w:rsid w:val="006A67BC"/>
    <w:pPr>
      <w:spacing w:after="0" w:line="240" w:lineRule="auto"/>
    </w:pPr>
    <w:rPr>
      <w:lang w:val="da-DK"/>
    </w:rPr>
  </w:style>
  <w:style w:type="paragraph" w:styleId="Caption">
    <w:name w:val="caption"/>
    <w:basedOn w:val="Normal"/>
    <w:next w:val="Normal"/>
    <w:uiPriority w:val="35"/>
    <w:unhideWhenUsed/>
    <w:qFormat/>
    <w:rsid w:val="006A67BC"/>
    <w:pPr>
      <w:spacing w:after="200" w:line="240" w:lineRule="auto"/>
      <w:jc w:val="center"/>
    </w:pPr>
    <w:rPr>
      <w:b/>
      <w:iCs/>
      <w:color w:val="000000" w:themeColor="text1"/>
      <w:kern w:val="2"/>
      <w:sz w:val="18"/>
      <w:szCs w:val="18"/>
      <w14:ligatures w14:val="standardContextual"/>
    </w:rPr>
  </w:style>
  <w:style w:type="character" w:styleId="FollowedHyperlink">
    <w:name w:val="FollowedHyperlink"/>
    <w:basedOn w:val="DefaultParagraphFont"/>
    <w:uiPriority w:val="99"/>
    <w:semiHidden/>
    <w:unhideWhenUsed/>
    <w:rsid w:val="006A67BC"/>
    <w:rPr>
      <w:color w:val="954F72" w:themeColor="followedHyperlink"/>
      <w:u w:val="single"/>
    </w:rPr>
  </w:style>
  <w:style w:type="paragraph" w:styleId="FootnoteText">
    <w:name w:val="footnote text"/>
    <w:basedOn w:val="Normal"/>
    <w:link w:val="FootnoteTextChar"/>
    <w:uiPriority w:val="99"/>
    <w:semiHidden/>
    <w:unhideWhenUsed/>
    <w:rsid w:val="006A67BC"/>
    <w:pPr>
      <w:spacing w:after="0" w:line="240" w:lineRule="auto"/>
      <w:jc w:val="both"/>
    </w:pPr>
    <w:rPr>
      <w:sz w:val="20"/>
      <w:szCs w:val="20"/>
      <w:lang w:val="da-DK"/>
    </w:rPr>
  </w:style>
  <w:style w:type="character" w:customStyle="1" w:styleId="FootnoteTextChar">
    <w:name w:val="Footnote Text Char"/>
    <w:basedOn w:val="DefaultParagraphFont"/>
    <w:link w:val="FootnoteText"/>
    <w:uiPriority w:val="99"/>
    <w:semiHidden/>
    <w:rsid w:val="006A67BC"/>
    <w:rPr>
      <w:sz w:val="20"/>
      <w:szCs w:val="20"/>
      <w:lang w:val="da-DK"/>
    </w:rPr>
  </w:style>
  <w:style w:type="character" w:styleId="FootnoteReference">
    <w:name w:val="footnote reference"/>
    <w:basedOn w:val="DefaultParagraphFont"/>
    <w:uiPriority w:val="99"/>
    <w:semiHidden/>
    <w:unhideWhenUsed/>
    <w:rsid w:val="006A67BC"/>
    <w:rPr>
      <w:vertAlign w:val="superscript"/>
    </w:rPr>
  </w:style>
  <w:style w:type="paragraph" w:customStyle="1" w:styleId="Default">
    <w:name w:val="Default"/>
    <w:rsid w:val="006A67B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gkelc">
    <w:name w:val="hgkelc"/>
    <w:basedOn w:val="DefaultParagraphFont"/>
    <w:rsid w:val="006A67BC"/>
  </w:style>
  <w:style w:type="paragraph" w:styleId="TableofFigures">
    <w:name w:val="table of figures"/>
    <w:basedOn w:val="Normal"/>
    <w:next w:val="Normal"/>
    <w:uiPriority w:val="99"/>
    <w:unhideWhenUsed/>
    <w:rsid w:val="006A67BC"/>
    <w:pPr>
      <w:spacing w:after="0"/>
      <w:jc w:val="both"/>
    </w:pPr>
    <w:rPr>
      <w:lang w:val="da-DK"/>
    </w:rPr>
  </w:style>
  <w:style w:type="character" w:styleId="EndnoteReference">
    <w:name w:val="endnote reference"/>
    <w:basedOn w:val="DefaultParagraphFont"/>
    <w:uiPriority w:val="99"/>
    <w:semiHidden/>
    <w:unhideWhenUsed/>
    <w:rsid w:val="006A67BC"/>
    <w:rPr>
      <w:vertAlign w:val="superscript"/>
    </w:rPr>
  </w:style>
  <w:style w:type="character" w:customStyle="1" w:styleId="ui-provider">
    <w:name w:val="ui-provider"/>
    <w:basedOn w:val="DefaultParagraphFont"/>
    <w:rsid w:val="006A67BC"/>
  </w:style>
  <w:style w:type="paragraph" w:styleId="BalloonText">
    <w:name w:val="Balloon Text"/>
    <w:basedOn w:val="Normal"/>
    <w:link w:val="BalloonTextChar"/>
    <w:uiPriority w:val="99"/>
    <w:semiHidden/>
    <w:unhideWhenUsed/>
    <w:rsid w:val="006A67BC"/>
    <w:pPr>
      <w:spacing w:after="0" w:line="240" w:lineRule="auto"/>
      <w:jc w:val="both"/>
    </w:pPr>
    <w:rPr>
      <w:rFonts w:ascii="Tahoma" w:hAnsi="Tahoma" w:cs="Tahoma"/>
      <w:sz w:val="16"/>
      <w:szCs w:val="16"/>
      <w:lang w:val="da-DK"/>
    </w:rPr>
  </w:style>
  <w:style w:type="character" w:customStyle="1" w:styleId="BalloonTextChar">
    <w:name w:val="Balloon Text Char"/>
    <w:basedOn w:val="DefaultParagraphFont"/>
    <w:link w:val="BalloonText"/>
    <w:uiPriority w:val="99"/>
    <w:semiHidden/>
    <w:rsid w:val="006A67BC"/>
    <w:rPr>
      <w:rFonts w:ascii="Tahoma" w:hAnsi="Tahoma" w:cs="Tahoma"/>
      <w:sz w:val="16"/>
      <w:szCs w:val="16"/>
      <w:lang w:val="da-DK"/>
    </w:rPr>
  </w:style>
  <w:style w:type="character" w:styleId="Strong">
    <w:name w:val="Strong"/>
    <w:basedOn w:val="DefaultParagraphFont"/>
    <w:uiPriority w:val="22"/>
    <w:qFormat/>
    <w:rsid w:val="006A67BC"/>
    <w:rPr>
      <w:b/>
      <w:bCs/>
    </w:rPr>
  </w:style>
  <w:style w:type="paragraph" w:customStyle="1" w:styleId="pf0">
    <w:name w:val="pf0"/>
    <w:basedOn w:val="Normal"/>
    <w:rsid w:val="006A67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A67BC"/>
    <w:rPr>
      <w:rFonts w:ascii="Segoe UI" w:hAnsi="Segoe UI" w:cs="Segoe UI" w:hint="default"/>
      <w:sz w:val="18"/>
      <w:szCs w:val="18"/>
    </w:rPr>
  </w:style>
  <w:style w:type="paragraph" w:styleId="NormalWeb">
    <w:name w:val="Normal (Web)"/>
    <w:basedOn w:val="Normal"/>
    <w:uiPriority w:val="99"/>
    <w:semiHidden/>
    <w:unhideWhenUsed/>
    <w:rsid w:val="006A67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6A67BC"/>
    <w:rPr>
      <w:color w:val="605E5C"/>
      <w:shd w:val="clear" w:color="auto" w:fill="E1DFDD"/>
    </w:rPr>
  </w:style>
  <w:style w:type="paragraph" w:styleId="Title">
    <w:name w:val="Title"/>
    <w:basedOn w:val="Normal"/>
    <w:next w:val="Normal"/>
    <w:link w:val="TitleChar"/>
    <w:uiPriority w:val="10"/>
    <w:qFormat/>
    <w:rsid w:val="006A67B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A67BC"/>
    <w:rPr>
      <w:rFonts w:asciiTheme="majorHAnsi" w:eastAsiaTheme="majorEastAsia" w:hAnsiTheme="majorHAnsi" w:cstheme="majorBidi"/>
      <w:spacing w:val="-10"/>
      <w:kern w:val="28"/>
      <w:sz w:val="56"/>
      <w:szCs w:val="56"/>
      <w14:ligatures w14:val="standardContextual"/>
    </w:rPr>
  </w:style>
  <w:style w:type="character" w:styleId="PlaceholderText">
    <w:name w:val="Placeholder Text"/>
    <w:basedOn w:val="DefaultParagraphFont"/>
    <w:uiPriority w:val="99"/>
    <w:semiHidden/>
    <w:rsid w:val="006A67B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image" Target="media/image1.png"/><Relationship Id="rId10" Type="http://schemas.openxmlformats.org/officeDocument/2006/relationships/chart" Target="charts/chart5.xml"/><Relationship Id="rId4" Type="http://schemas.openxmlformats.org/officeDocument/2006/relationships/webSettings" Target="webSettings.xml"/><Relationship Id="rId9" Type="http://schemas.openxmlformats.org/officeDocument/2006/relationships/chart" Target="charts/chart4.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embeddings/oleObject5.bin"/></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lneg-my.sharepoint.com/personal/sofia_simoes_lneg_pt/Documents/002_CO2NSTRUCT/004_WorkingPackages/02_WP2/ANALYSIS%20DIRECTIVES_com_a%20moda%20e%20frequenci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139752631190342"/>
          <c:y val="0.14637137536842795"/>
          <c:w val="0.40832740582944727"/>
          <c:h val="0.66736633667295309"/>
        </c:manualLayout>
      </c:layout>
      <c:radarChart>
        <c:radarStyle val="marker"/>
        <c:varyColors val="0"/>
        <c:ser>
          <c:idx val="0"/>
          <c:order val="0"/>
          <c:tx>
            <c:strRef>
              <c:f>'[ANALYSIS DIRECTIVES_com_a moda e frequencia.xlsx]total'!$B$1</c:f>
              <c:strCache>
                <c:ptCount val="1"/>
                <c:pt idx="0">
                  <c:v>Raw materials</c:v>
                </c:pt>
              </c:strCache>
            </c:strRef>
          </c:tx>
          <c:spPr>
            <a:ln w="28575" cap="rnd">
              <a:solidFill>
                <a:schemeClr val="accent6"/>
              </a:solidFill>
              <a:round/>
            </a:ln>
            <a:effectLst/>
          </c:spPr>
          <c:marker>
            <c:symbol val="none"/>
          </c:marker>
          <c:cat>
            <c:strRef>
              <c:f>'[ANALYSIS DIRECTIVES_com_a moda e frequencia.xlsx]total'!$A$2:$A$56</c:f>
              <c:strCache>
                <c:ptCount val="18"/>
                <c:pt idx="0">
                  <c:v>CE 1.2 Addressing the presence of hazardous chemicals in products</c:v>
                </c:pt>
                <c:pt idx="1">
                  <c:v>CE 1.3 Increasing products energy  efficiency</c:v>
                </c:pt>
                <c:pt idx="2">
                  <c:v>CE 1.7 Reducing  environmental footprints (not including carbon)
</c:v>
                </c:pt>
                <c:pt idx="3">
                  <c:v>CE 1.8 Reducing the carbon footprint</c:v>
                </c:pt>
                <c:pt idx="4">
                  <c:v> 1.12 Rewarding products based on their different sustainability performance, including by linking high 
performance levels to incentives</c:v>
                </c:pt>
                <c:pt idx="5">
                  <c:v>CE 3.1 Promoting circularity in industrial processes in the context of the review 
of the Industrial Emissions Directive, including the integration of circular economy practices in 
upcoming Best Available Techniques</c:v>
                </c:pt>
                <c:pt idx="6">
                  <c:v>CE 4.5 Construction and buildings</c:v>
                </c:pt>
                <c:pt idx="7">
                  <c:v>CE 7.2 Getting the economics right</c:v>
                </c:pt>
                <c:pt idx="8">
                  <c:v>CE 8.1 Leading efforts at global level</c:v>
                </c:pt>
                <c:pt idx="9">
                  <c:v>CM 1.1 Energy efficiency for the decarbonision of industrial processes 
</c:v>
                </c:pt>
                <c:pt idx="10">
                  <c:v>CM 2.1  Increasing the share of renewables thereby improving security of supply and reducing dependence from imports</c:v>
                </c:pt>
                <c:pt idx="11">
                  <c:v>CM 2.2 Increase electricity production from renewables
and promote decentralised, smart and flexible power system 
</c:v>
                </c:pt>
                <c:pt idx="12">
                  <c:v>CM 3.1 Low or zero-emission vehicles with efficient alternative powertrains</c:v>
                </c:pt>
                <c:pt idx="13">
                  <c:v>CM 4.1 Promoting a more resource-efficient industrial production  (such as steel, glass and plastics)
</c:v>
                </c:pt>
                <c:pt idx="14">
                  <c:v>CM 4.2 Promoting a less emission-intensive industrial production  (such as steel, glass and plastics)</c:v>
                </c:pt>
                <c:pt idx="15">
                  <c:v>CM 4.4 Innovation and modernisation of industrial processes, new technologies </c:v>
                </c:pt>
                <c:pt idx="16">
                  <c:v>CM 6.2 Afforestation and restoration of degraded forest lands and similar ecosystems</c:v>
                </c:pt>
                <c:pt idx="17">
                  <c:v>CM 7.1 More research, innovation and demonstration to ensure the successful deployment of CCS
</c:v>
                </c:pt>
              </c:strCache>
            </c:strRef>
          </c:cat>
          <c:val>
            <c:numRef>
              <c:f>'[ANALYSIS DIRECTIVES_com_a moda e frequencia.xlsx]total'!$B$2:$B$56</c:f>
              <c:numCache>
                <c:formatCode>General</c:formatCode>
                <c:ptCount val="18"/>
                <c:pt idx="0">
                  <c:v>1</c:v>
                </c:pt>
                <c:pt idx="1">
                  <c:v>1</c:v>
                </c:pt>
                <c:pt idx="2">
                  <c:v>5</c:v>
                </c:pt>
                <c:pt idx="3">
                  <c:v>3</c:v>
                </c:pt>
                <c:pt idx="4">
                  <c:v>1</c:v>
                </c:pt>
                <c:pt idx="5">
                  <c:v>1</c:v>
                </c:pt>
                <c:pt idx="6">
                  <c:v>1</c:v>
                </c:pt>
                <c:pt idx="7">
                  <c:v>1</c:v>
                </c:pt>
                <c:pt idx="8">
                  <c:v>1</c:v>
                </c:pt>
                <c:pt idx="9">
                  <c:v>2</c:v>
                </c:pt>
                <c:pt idx="10">
                  <c:v>1</c:v>
                </c:pt>
                <c:pt idx="11">
                  <c:v>1</c:v>
                </c:pt>
                <c:pt idx="12">
                  <c:v>1</c:v>
                </c:pt>
                <c:pt idx="13">
                  <c:v>1</c:v>
                </c:pt>
                <c:pt idx="14">
                  <c:v>2</c:v>
                </c:pt>
                <c:pt idx="15">
                  <c:v>2</c:v>
                </c:pt>
                <c:pt idx="16">
                  <c:v>2</c:v>
                </c:pt>
                <c:pt idx="17">
                  <c:v>1</c:v>
                </c:pt>
              </c:numCache>
            </c:numRef>
          </c:val>
          <c:extLst xmlns="http://schemas.openxmlformats.org/drawingml/2006/chart" xmlns:c16r2="http://schemas.microsoft.com/office/drawing/2015/06/chart">
            <c:ext xmlns:c16="http://schemas.microsoft.com/office/drawing/2014/chart" uri="{C3380CC4-5D6E-409C-BE32-E72D297353CC}">
              <c16:uniqueId val="{00000000-46D7-4DFD-8180-C5F5937AAD84}"/>
            </c:ext>
          </c:extLst>
        </c:ser>
        <c:dLbls>
          <c:showLegendKey val="0"/>
          <c:showVal val="0"/>
          <c:showCatName val="0"/>
          <c:showSerName val="0"/>
          <c:showPercent val="0"/>
          <c:showBubbleSize val="0"/>
        </c:dLbls>
        <c:axId val="850585288"/>
        <c:axId val="850582152"/>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'[ANALYSIS DIRECTIVES_com_a moda e frequencia.xlsx]total'!$C$1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'[ANALYSIS DIRECTIVES_com_a moda e frequencia.xlsx]total'!$A$2:$A$56</c15:sqref>
                        </c15:formulaRef>
                      </c:ext>
                    </c:extLst>
                    <c:strCache>
                      <c:ptCount val="18"/>
                      <c:pt idx="0">
                        <c:v>CE 1.2 Addressing the presence of hazardous chemicals in products</c:v>
                      </c:pt>
                      <c:pt idx="1">
                        <c:v>CE 1.3 Increasing products energy  efficiency</c:v>
                      </c:pt>
                      <c:pt idx="2">
                        <c:v>CE 1.7 Reducing  environmental footprints (not including carbon)
</c:v>
                      </c:pt>
                      <c:pt idx="3">
                        <c:v>CE 1.8 Reducing the carbon footprint</c:v>
                      </c:pt>
                      <c:pt idx="4">
                        <c:v> 1.12 Rewarding products based on their different sustainability performance, including by linking high 
performance levels to incentives</c:v>
                      </c:pt>
                      <c:pt idx="5">
                        <c:v>CE 3.1 Promoting circularity in industrial processes in the context of the review 
of the Industrial Emissions Directive, including the integration of circular economy practices in 
upcoming Best Available Techniques</c:v>
                      </c:pt>
                      <c:pt idx="6">
                        <c:v>CE 4.5 Construction and buildings</c:v>
                      </c:pt>
                      <c:pt idx="7">
                        <c:v>CE 7.2 Getting the economics right</c:v>
                      </c:pt>
                      <c:pt idx="8">
                        <c:v>CE 8.1 Leading efforts at global level</c:v>
                      </c:pt>
                      <c:pt idx="9">
                        <c:v>CM 1.1 Energy efficiency for the decarbonision of industrial processes 
</c:v>
                      </c:pt>
                      <c:pt idx="10">
                        <c:v>CM 2.1  Increasing the share of renewables thereby improving security of supply and reducing dependence from imports</c:v>
                      </c:pt>
                      <c:pt idx="11">
                        <c:v>CM 2.2 Increase electricity production from renewables
and promote decentralised, smart and flexible power system 
</c:v>
                      </c:pt>
                      <c:pt idx="12">
                        <c:v>CM 3.1 Low or zero-emission vehicles with efficient alternative powertrains</c:v>
                      </c:pt>
                      <c:pt idx="13">
                        <c:v>CM 4.1 Promoting a more resource-efficient industrial production  (such as steel, glass and plastics)
</c:v>
                      </c:pt>
                      <c:pt idx="14">
                        <c:v>CM 4.2 Promoting a less emission-intensive industrial production  (such as steel, glass and plastics)</c:v>
                      </c:pt>
                      <c:pt idx="15">
                        <c:v>CM 4.4 Innovation and modernisation of industrial processes, new technologies </c:v>
                      </c:pt>
                      <c:pt idx="16">
                        <c:v>CM 6.2 Afforestation and restoration of degraded forest lands and similar ecosystems</c:v>
                      </c:pt>
                      <c:pt idx="17">
                        <c:v>CM 7.1 More research, innovation and demonstration to ensure the successful deployment of CCS
</c:v>
                      </c:pt>
                    </c:strCache>
                  </c:strRef>
                </c:cat>
                <c:val>
                  <c:numRef>
                    <c:extLst xmlns="http://schemas.openxmlformats.org/drawingml/2006/chart" xmlns:c16r2="http://schemas.microsoft.com/office/drawing/2015/06/chart">
                      <c:ext uri="{02D57815-91ED-43cb-92C2-25804820EDAC}">
                        <c15:formulaRef>
                          <c15:sqref>'[ANALYSIS DIRECTIVES_com_a moda e frequencia.xlsx]total'!$C$2:$C$56</c15:sqref>
                        </c15:formulaRef>
                      </c:ext>
                    </c:extLst>
                    <c:numCache>
                      <c:formatCode>General</c:formatCode>
                      <c:ptCount val="18"/>
                      <c:pt idx="0">
                        <c:v>8</c:v>
                      </c:pt>
                      <c:pt idx="1">
                        <c:v>6</c:v>
                      </c:pt>
                      <c:pt idx="2">
                        <c:v>12</c:v>
                      </c:pt>
                      <c:pt idx="3">
                        <c:v>9</c:v>
                      </c:pt>
                      <c:pt idx="4">
                        <c:v>1</c:v>
                      </c:pt>
                      <c:pt idx="5">
                        <c:v>1</c:v>
                      </c:pt>
                      <c:pt idx="6">
                        <c:v>5</c:v>
                      </c:pt>
                      <c:pt idx="7">
                        <c:v>2</c:v>
                      </c:pt>
                      <c:pt idx="8">
                        <c:v>1</c:v>
                      </c:pt>
                      <c:pt idx="9">
                        <c:v>7</c:v>
                      </c:pt>
                      <c:pt idx="10">
                        <c:v>3</c:v>
                      </c:pt>
                      <c:pt idx="11">
                        <c:v>3</c:v>
                      </c:pt>
                      <c:pt idx="12">
                        <c:v>0</c:v>
                      </c:pt>
                      <c:pt idx="13">
                        <c:v>4</c:v>
                      </c:pt>
                      <c:pt idx="14">
                        <c:v>5</c:v>
                      </c:pt>
                      <c:pt idx="15">
                        <c:v>3</c:v>
                      </c:pt>
                      <c:pt idx="16">
                        <c:v>0</c:v>
                      </c:pt>
                      <c:pt idx="17">
                        <c:v>1</c:v>
                      </c:pt>
                    </c:numCache>
                  </c:numRef>
                </c:val>
                <c:extLst xmlns="http://schemas.openxmlformats.org/drawingml/2006/chart" xmlns:c16r2="http://schemas.microsoft.com/office/drawing/2015/06/chart">
                  <c:ext xmlns:c16="http://schemas.microsoft.com/office/drawing/2014/chart" uri="{C3380CC4-5D6E-409C-BE32-E72D297353CC}">
                    <c16:uniqueId val="{00000001-46D7-4DFD-8180-C5F5937AAD84}"/>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8"/>
                      <c:pt idx="0">
                        <c:v>CE 1.2 Addressing the presence of hazardous chemicals in products</c:v>
                      </c:pt>
                      <c:pt idx="1">
                        <c:v>CE 1.3 Increasing products energy  efficiency</c:v>
                      </c:pt>
                      <c:pt idx="2">
                        <c:v>CE 1.7 Reducing  environmental footprints (not including carbon)
</c:v>
                      </c:pt>
                      <c:pt idx="3">
                        <c:v>CE 1.8 Reducing the carbon footprint</c:v>
                      </c:pt>
                      <c:pt idx="4">
                        <c:v> 1.12 Rewarding products based on their different sustainability performance, including by linking high 
performance levels to incentives</c:v>
                      </c:pt>
                      <c:pt idx="5">
                        <c:v>CE 3.1 Promoting circularity in industrial processes in the context of the review 
of the Industrial Emissions Directive, including the integration of circular economy practices in 
upcoming Best Available Techniques</c:v>
                      </c:pt>
                      <c:pt idx="6">
                        <c:v>CE 4.5 Construction and buildings</c:v>
                      </c:pt>
                      <c:pt idx="7">
                        <c:v>CE 7.2 Getting the economics right</c:v>
                      </c:pt>
                      <c:pt idx="8">
                        <c:v>CE 8.1 Leading efforts at global level</c:v>
                      </c:pt>
                      <c:pt idx="9">
                        <c:v>CM 1.1 Energy efficiency for the decarbonision of industrial processes 
</c:v>
                      </c:pt>
                      <c:pt idx="10">
                        <c:v>CM 2.1  Increasing the share of renewables thereby improving security of supply and reducing dependence from imports</c:v>
                      </c:pt>
                      <c:pt idx="11">
                        <c:v>CM 2.2 Increase electricity production from renewables
and promote decentralised, smart and flexible power system 
</c:v>
                      </c:pt>
                      <c:pt idx="12">
                        <c:v>CM 3.1 Low or zero-emission vehicles with efficient alternative powertrains</c:v>
                      </c:pt>
                      <c:pt idx="13">
                        <c:v>CM 4.1 Promoting a more resource-efficient industrial production  (such as steel, glass and plastics)
</c:v>
                      </c:pt>
                      <c:pt idx="14">
                        <c:v>CM 4.2 Promoting a less emission-intensive industrial production  (such as steel, glass and plastics)</c:v>
                      </c:pt>
                      <c:pt idx="15">
                        <c:v>CM 4.4 Innovation and modernisation of industrial processes, new technologies </c:v>
                      </c:pt>
                      <c:pt idx="16">
                        <c:v>CM 6.2 Afforestation and restoration of degraded forest lands and similar ecosystems</c:v>
                      </c:pt>
                      <c:pt idx="17">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frequencia.xlsx]total'!$D$2:$D$56</c15:sqref>
                        </c15:formulaRef>
                      </c:ext>
                    </c:extLst>
                    <c:numCache>
                      <c:formatCode>General</c:formatCode>
                      <c:ptCount val="18"/>
                      <c:pt idx="0">
                        <c:v>9</c:v>
                      </c:pt>
                      <c:pt idx="1">
                        <c:v>6</c:v>
                      </c:pt>
                      <c:pt idx="2">
                        <c:v>12</c:v>
                      </c:pt>
                      <c:pt idx="3">
                        <c:v>14</c:v>
                      </c:pt>
                      <c:pt idx="4">
                        <c:v>4</c:v>
                      </c:pt>
                      <c:pt idx="5">
                        <c:v>5</c:v>
                      </c:pt>
                      <c:pt idx="6">
                        <c:v>3</c:v>
                      </c:pt>
                      <c:pt idx="7">
                        <c:v>3</c:v>
                      </c:pt>
                      <c:pt idx="8">
                        <c:v>2</c:v>
                      </c:pt>
                      <c:pt idx="9">
                        <c:v>5</c:v>
                      </c:pt>
                      <c:pt idx="10">
                        <c:v>6</c:v>
                      </c:pt>
                      <c:pt idx="11">
                        <c:v>5</c:v>
                      </c:pt>
                      <c:pt idx="12">
                        <c:v>6</c:v>
                      </c:pt>
                      <c:pt idx="13">
                        <c:v>3</c:v>
                      </c:pt>
                      <c:pt idx="14">
                        <c:v>5</c:v>
                      </c:pt>
                      <c:pt idx="15">
                        <c:v>3</c:v>
                      </c:pt>
                      <c:pt idx="16">
                        <c:v>0</c:v>
                      </c:pt>
                      <c:pt idx="17">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46D7-4DFD-8180-C5F5937AAD84}"/>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8"/>
                      <c:pt idx="0">
                        <c:v>CE 1.2 Addressing the presence of hazardous chemicals in products</c:v>
                      </c:pt>
                      <c:pt idx="1">
                        <c:v>CE 1.3 Increasing products energy  efficiency</c:v>
                      </c:pt>
                      <c:pt idx="2">
                        <c:v>CE 1.7 Reducing  environmental footprints (not including carbon)
</c:v>
                      </c:pt>
                      <c:pt idx="3">
                        <c:v>CE 1.8 Reducing the carbon footprint</c:v>
                      </c:pt>
                      <c:pt idx="4">
                        <c:v> 1.12 Rewarding products based on their different sustainability performance, including by linking high 
performance levels to incentives</c:v>
                      </c:pt>
                      <c:pt idx="5">
                        <c:v>CE 3.1 Promoting circularity in industrial processes in the context of the review 
of the Industrial Emissions Directive, including the integration of circular economy practices in 
upcoming Best Available Techniques</c:v>
                      </c:pt>
                      <c:pt idx="6">
                        <c:v>CE 4.5 Construction and buildings</c:v>
                      </c:pt>
                      <c:pt idx="7">
                        <c:v>CE 7.2 Getting the economics right</c:v>
                      </c:pt>
                      <c:pt idx="8">
                        <c:v>CE 8.1 Leading efforts at global level</c:v>
                      </c:pt>
                      <c:pt idx="9">
                        <c:v>CM 1.1 Energy efficiency for the decarbonision of industrial processes 
</c:v>
                      </c:pt>
                      <c:pt idx="10">
                        <c:v>CM 2.1  Increasing the share of renewables thereby improving security of supply and reducing dependence from imports</c:v>
                      </c:pt>
                      <c:pt idx="11">
                        <c:v>CM 2.2 Increase electricity production from renewables
and promote decentralised, smart and flexible power system 
</c:v>
                      </c:pt>
                      <c:pt idx="12">
                        <c:v>CM 3.1 Low or zero-emission vehicles with efficient alternative powertrains</c:v>
                      </c:pt>
                      <c:pt idx="13">
                        <c:v>CM 4.1 Promoting a more resource-efficient industrial production  (such as steel, glass and plastics)
</c:v>
                      </c:pt>
                      <c:pt idx="14">
                        <c:v>CM 4.2 Promoting a less emission-intensive industrial production  (such as steel, glass and plastics)</c:v>
                      </c:pt>
                      <c:pt idx="15">
                        <c:v>CM 4.4 Innovation and modernisation of industrial processes, new technologies </c:v>
                      </c:pt>
                      <c:pt idx="16">
                        <c:v>CM 6.2 Afforestation and restoration of degraded forest lands and similar ecosystems</c:v>
                      </c:pt>
                      <c:pt idx="17">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frequencia.xlsx]total'!$E$2:$E$56</c15:sqref>
                        </c15:formulaRef>
                      </c:ext>
                    </c:extLst>
                    <c:numCache>
                      <c:formatCode>General</c:formatCode>
                      <c:ptCount val="18"/>
                      <c:pt idx="0">
                        <c:v>5</c:v>
                      </c:pt>
                      <c:pt idx="1">
                        <c:v>4</c:v>
                      </c:pt>
                      <c:pt idx="2">
                        <c:v>8</c:v>
                      </c:pt>
                      <c:pt idx="3">
                        <c:v>10</c:v>
                      </c:pt>
                      <c:pt idx="4">
                        <c:v>2</c:v>
                      </c:pt>
                      <c:pt idx="5">
                        <c:v>2</c:v>
                      </c:pt>
                      <c:pt idx="6">
                        <c:v>3</c:v>
                      </c:pt>
                      <c:pt idx="7">
                        <c:v>2</c:v>
                      </c:pt>
                      <c:pt idx="8">
                        <c:v>2</c:v>
                      </c:pt>
                      <c:pt idx="9">
                        <c:v>6</c:v>
                      </c:pt>
                      <c:pt idx="10">
                        <c:v>7</c:v>
                      </c:pt>
                      <c:pt idx="11">
                        <c:v>6</c:v>
                      </c:pt>
                      <c:pt idx="12">
                        <c:v>3</c:v>
                      </c:pt>
                      <c:pt idx="13">
                        <c:v>1</c:v>
                      </c:pt>
                      <c:pt idx="14">
                        <c:v>5</c:v>
                      </c:pt>
                      <c:pt idx="15">
                        <c:v>3</c:v>
                      </c:pt>
                      <c:pt idx="16">
                        <c:v>0</c:v>
                      </c:pt>
                      <c:pt idx="17">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46D7-4DFD-8180-C5F5937AAD84}"/>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8"/>
                      <c:pt idx="0">
                        <c:v>CE 1.2 Addressing the presence of hazardous chemicals in products</c:v>
                      </c:pt>
                      <c:pt idx="1">
                        <c:v>CE 1.3 Increasing products energy  efficiency</c:v>
                      </c:pt>
                      <c:pt idx="2">
                        <c:v>CE 1.7 Reducing  environmental footprints (not including carbon)
</c:v>
                      </c:pt>
                      <c:pt idx="3">
                        <c:v>CE 1.8 Reducing the carbon footprint</c:v>
                      </c:pt>
                      <c:pt idx="4">
                        <c:v> 1.12 Rewarding products based on their different sustainability performance, including by linking high 
performance levels to incentives</c:v>
                      </c:pt>
                      <c:pt idx="5">
                        <c:v>CE 3.1 Promoting circularity in industrial processes in the context of the review 
of the Industrial Emissions Directive, including the integration of circular economy practices in 
upcoming Best Available Techniques</c:v>
                      </c:pt>
                      <c:pt idx="6">
                        <c:v>CE 4.5 Construction and buildings</c:v>
                      </c:pt>
                      <c:pt idx="7">
                        <c:v>CE 7.2 Getting the economics right</c:v>
                      </c:pt>
                      <c:pt idx="8">
                        <c:v>CE 8.1 Leading efforts at global level</c:v>
                      </c:pt>
                      <c:pt idx="9">
                        <c:v>CM 1.1 Energy efficiency for the decarbonision of industrial processes 
</c:v>
                      </c:pt>
                      <c:pt idx="10">
                        <c:v>CM 2.1  Increasing the share of renewables thereby improving security of supply and reducing dependence from imports</c:v>
                      </c:pt>
                      <c:pt idx="11">
                        <c:v>CM 2.2 Increase electricity production from renewables
and promote decentralised, smart and flexible power system 
</c:v>
                      </c:pt>
                      <c:pt idx="12">
                        <c:v>CM 3.1 Low or zero-emission vehicles with efficient alternative powertrains</c:v>
                      </c:pt>
                      <c:pt idx="13">
                        <c:v>CM 4.1 Promoting a more resource-efficient industrial production  (such as steel, glass and plastics)
</c:v>
                      </c:pt>
                      <c:pt idx="14">
                        <c:v>CM 4.2 Promoting a less emission-intensive industrial production  (such as steel, glass and plastics)</c:v>
                      </c:pt>
                      <c:pt idx="15">
                        <c:v>CM 4.4 Innovation and modernisation of industrial processes, new technologies </c:v>
                      </c:pt>
                      <c:pt idx="16">
                        <c:v>CM 6.2 Afforestation and restoration of degraded forest lands and similar ecosystems</c:v>
                      </c:pt>
                      <c:pt idx="17">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frequencia.xlsx]total'!$F$2:$F$56</c15:sqref>
                        </c15:formulaRef>
                      </c:ext>
                    </c:extLst>
                    <c:numCache>
                      <c:formatCode>General</c:formatCode>
                      <c:ptCount val="18"/>
                      <c:pt idx="0">
                        <c:v>1</c:v>
                      </c:pt>
                      <c:pt idx="1">
                        <c:v>2</c:v>
                      </c:pt>
                      <c:pt idx="2">
                        <c:v>0</c:v>
                      </c:pt>
                      <c:pt idx="3">
                        <c:v>3</c:v>
                      </c:pt>
                      <c:pt idx="4">
                        <c:v>1</c:v>
                      </c:pt>
                      <c:pt idx="5">
                        <c:v>0</c:v>
                      </c:pt>
                      <c:pt idx="6">
                        <c:v>3</c:v>
                      </c:pt>
                      <c:pt idx="7">
                        <c:v>0</c:v>
                      </c:pt>
                      <c:pt idx="8">
                        <c:v>1</c:v>
                      </c:pt>
                      <c:pt idx="9">
                        <c:v>1</c:v>
                      </c:pt>
                      <c:pt idx="10">
                        <c:v>2</c:v>
                      </c:pt>
                      <c:pt idx="11">
                        <c:v>1</c:v>
                      </c:pt>
                      <c:pt idx="12">
                        <c:v>1</c:v>
                      </c:pt>
                      <c:pt idx="13">
                        <c:v>0</c:v>
                      </c:pt>
                      <c:pt idx="14">
                        <c:v>1</c:v>
                      </c:pt>
                      <c:pt idx="15">
                        <c:v>1</c:v>
                      </c:pt>
                      <c:pt idx="16">
                        <c:v>0</c:v>
                      </c:pt>
                      <c:pt idx="17">
                        <c:v>0</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46D7-4DFD-8180-C5F5937AAD84}"/>
                  </c:ext>
                </c:extLst>
              </c15:ser>
            </c15:filteredRadarSeries>
          </c:ext>
        </c:extLst>
      </c:radarChart>
      <c:catAx>
        <c:axId val="8505852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0582152"/>
        <c:crosses val="autoZero"/>
        <c:auto val="1"/>
        <c:lblAlgn val="ctr"/>
        <c:lblOffset val="100"/>
        <c:noMultiLvlLbl val="0"/>
      </c:catAx>
      <c:valAx>
        <c:axId val="850582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0585288"/>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292687348720718"/>
          <c:y val="0.12365726553300152"/>
          <c:w val="0.52311711894800639"/>
          <c:h val="0.73501124505083837"/>
        </c:manualLayout>
      </c:layout>
      <c:radarChart>
        <c:radarStyle val="marker"/>
        <c:varyColors val="0"/>
        <c:ser>
          <c:idx val="0"/>
          <c:order val="0"/>
          <c:tx>
            <c:strRef>
              <c:f>'[ANALYSIS DIRECTIVES_com_a moda e frequencia.xlsx]total'!$B$1</c:f>
              <c:strCache>
                <c:ptCount val="1"/>
                <c:pt idx="0">
                  <c:v>Raw materials</c:v>
                </c:pt>
              </c:strCache>
            </c:strRef>
          </c:tx>
          <c:spPr>
            <a:ln w="28575" cap="rnd">
              <a:solidFill>
                <a:schemeClr val="accent6"/>
              </a:solidFill>
              <a:round/>
            </a:ln>
            <a:effectLst/>
          </c:spPr>
          <c:marker>
            <c:symbol val="none"/>
          </c:marker>
          <c:cat>
            <c:strRef>
              <c:f>'[ANALYSIS DIRECTIVES_com_a moda e frequencia.xlsx]total'!$A$2:$A$56</c:f>
              <c:strCache>
                <c:ptCount val="3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 1.12 Rewarding products based on their different sustainability performance, including by linking high 
performance levels to incentives</c:v>
                </c:pt>
                <c:pt idx="10">
                  <c:v>CE 2.1 Ensure that consumers receive trustworthy and relevant information on products at the point of sale, including on their lifespan and on the 
availability of repair services, spare parts and repair manuals</c:v>
                </c:pt>
                <c:pt idx="11">
                  <c:v>CE 2.3  Right to repair: availability of spare parts or access to repair </c:v>
                </c:pt>
                <c:pt idx="12">
                  <c:v>CE 3.1 Promoting circularity in industrial processes in the context of the review 
of the Industrial Emissions Directive, including the integration of circular economy practices in 
upcoming Best Available Techniques</c:v>
                </c:pt>
                <c:pt idx="13">
                  <c:v>CE 4.1 Electronics and ICT</c:v>
                </c:pt>
                <c:pt idx="14">
                  <c:v>CE 4.2 Batteries and vehicles</c:v>
                </c:pt>
                <c:pt idx="15">
                  <c:v>CE 4.3 Packaging</c:v>
                </c:pt>
                <c:pt idx="16">
                  <c:v>CE 4.4 Plastics</c:v>
                </c:pt>
                <c:pt idx="17">
                  <c:v>CE 4.5 Construction and buildings</c:v>
                </c:pt>
                <c:pt idx="18">
                  <c:v>CE 5.1 Enhanced waste policy in support of waste prevention and circularity</c:v>
                </c:pt>
                <c:pt idx="19">
                  <c:v>CE 5.2 Enhancing circularity in a toxic-free environmen</c:v>
                </c:pt>
                <c:pt idx="20">
                  <c:v>CE 5.3 Creating a well-functioning EU market for secondary raw 
materials</c:v>
                </c:pt>
                <c:pt idx="21">
                  <c:v>CE 5.4 Addressing waste exports from the EU</c:v>
                </c:pt>
                <c:pt idx="22">
                  <c:v>CE 7.2 Getting the economics right</c:v>
                </c:pt>
                <c:pt idx="23">
                  <c:v>CE 7.3 Driving the transition through research, innovation and digitalisation</c:v>
                </c:pt>
                <c:pt idx="24">
                  <c:v>CE 8.1 Leading efforts at global level</c:v>
                </c:pt>
                <c:pt idx="25">
                  <c:v>CM 1.1 Energy efficiency for the decarbonision of industrial processes 
</c:v>
                </c:pt>
                <c:pt idx="26">
                  <c:v>CM 1.2 Significant reductions in overall energy  use in buildings</c:v>
                </c:pt>
                <c:pt idx="27">
                  <c:v>CM 2.1  Increasing the share of renewables thereby improving security of supply and reducing dependence from imports</c:v>
                </c:pt>
                <c:pt idx="28">
                  <c:v>CM 2.2 Increase electricity production from renewables
and promote decentralised, smart and flexible power system 
</c:v>
                </c:pt>
                <c:pt idx="29">
                  <c:v>CM 4.1 Promoting a more resource-efficient industrial production  (such as steel, glass and plastics)
</c:v>
                </c:pt>
                <c:pt idx="30">
                  <c:v>CM 4.2 Promoting a less emission-intensive industrial production  (such as steel, glass and plastics)</c:v>
                </c:pt>
                <c:pt idx="31">
                  <c:v>CM 4.3 Raw material recovery and recycling to ensure sustainable and secure supply chains</c:v>
                </c:pt>
                <c:pt idx="32">
                  <c:v>CM 4.4 Innovation and modernisation of industrial processes, new technologies </c:v>
                </c:pt>
                <c:pt idx="33">
                  <c:v>CM 4.5  Information on carbon and environmental footprints of products and services should be more transparent so that consumers may make informed decisions</c:v>
                </c:pt>
                <c:pt idx="34">
                  <c:v>CM 7.1 More research, innovation and demonstration to ensure the successful deployment of CCS
</c:v>
                </c:pt>
              </c:strCache>
            </c:strRef>
          </c:cat>
          <c:val>
            <c:numRef>
              <c:f>'[ANALYSIS DIRECTIVES_com_a moda e frequencia.xlsx]total'!$C$2:$C$56</c:f>
              <c:numCache>
                <c:formatCode>General</c:formatCode>
                <c:ptCount val="35"/>
                <c:pt idx="0">
                  <c:v>5</c:v>
                </c:pt>
                <c:pt idx="1">
                  <c:v>8</c:v>
                </c:pt>
                <c:pt idx="2">
                  <c:v>6</c:v>
                </c:pt>
                <c:pt idx="3">
                  <c:v>5</c:v>
                </c:pt>
                <c:pt idx="4">
                  <c:v>5</c:v>
                </c:pt>
                <c:pt idx="5">
                  <c:v>5</c:v>
                </c:pt>
                <c:pt idx="6">
                  <c:v>12</c:v>
                </c:pt>
                <c:pt idx="7">
                  <c:v>9</c:v>
                </c:pt>
                <c:pt idx="8">
                  <c:v>1</c:v>
                </c:pt>
                <c:pt idx="9">
                  <c:v>1</c:v>
                </c:pt>
                <c:pt idx="10">
                  <c:v>5</c:v>
                </c:pt>
                <c:pt idx="11">
                  <c:v>1</c:v>
                </c:pt>
                <c:pt idx="12">
                  <c:v>1</c:v>
                </c:pt>
                <c:pt idx="13">
                  <c:v>4</c:v>
                </c:pt>
                <c:pt idx="14">
                  <c:v>1</c:v>
                </c:pt>
                <c:pt idx="15">
                  <c:v>1</c:v>
                </c:pt>
                <c:pt idx="16">
                  <c:v>1</c:v>
                </c:pt>
                <c:pt idx="17">
                  <c:v>5</c:v>
                </c:pt>
                <c:pt idx="18">
                  <c:v>4</c:v>
                </c:pt>
                <c:pt idx="19">
                  <c:v>5</c:v>
                </c:pt>
                <c:pt idx="20">
                  <c:v>1</c:v>
                </c:pt>
                <c:pt idx="21">
                  <c:v>1</c:v>
                </c:pt>
                <c:pt idx="22">
                  <c:v>2</c:v>
                </c:pt>
                <c:pt idx="23">
                  <c:v>1</c:v>
                </c:pt>
                <c:pt idx="24">
                  <c:v>1</c:v>
                </c:pt>
                <c:pt idx="25">
                  <c:v>7</c:v>
                </c:pt>
                <c:pt idx="26">
                  <c:v>2</c:v>
                </c:pt>
                <c:pt idx="27">
                  <c:v>3</c:v>
                </c:pt>
                <c:pt idx="28">
                  <c:v>3</c:v>
                </c:pt>
                <c:pt idx="29">
                  <c:v>4</c:v>
                </c:pt>
                <c:pt idx="30">
                  <c:v>5</c:v>
                </c:pt>
                <c:pt idx="31">
                  <c:v>4</c:v>
                </c:pt>
                <c:pt idx="32">
                  <c:v>3</c:v>
                </c:pt>
                <c:pt idx="33">
                  <c:v>5</c:v>
                </c:pt>
                <c:pt idx="34">
                  <c:v>1</c:v>
                </c:pt>
              </c:numCache>
            </c:numRef>
          </c:val>
          <c:extLst xmlns="http://schemas.openxmlformats.org/drawingml/2006/chart" xmlns:c16r2="http://schemas.microsoft.com/office/drawing/2015/06/chart">
            <c:ext xmlns:c16="http://schemas.microsoft.com/office/drawing/2014/chart" uri="{C3380CC4-5D6E-409C-BE32-E72D297353CC}">
              <c16:uniqueId val="{00000000-2662-411A-9E5F-D19674DCA413}"/>
            </c:ext>
          </c:extLst>
        </c:ser>
        <c:dLbls>
          <c:showLegendKey val="0"/>
          <c:showVal val="0"/>
          <c:showCatName val="0"/>
          <c:showSerName val="0"/>
          <c:showPercent val="0"/>
          <c:showBubbleSize val="0"/>
        </c:dLbls>
        <c:axId val="826150176"/>
        <c:axId val="680943768"/>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'[ANALYSIS DIRECTIVES_com_a moda e frequencia.xlsx]total'!$C$1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'[ANALYSIS DIRECTIVES_com_a moda e frequencia.xlsx]total'!$A$2:$A$56</c15:sqref>
                        </c15:formulaRef>
                      </c:ext>
                    </c:extLst>
                    <c:strCache>
                      <c:ptCount val="3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 1.12 Rewarding products based on their different sustainability performance, including by linking high 
performance levels to incentives</c:v>
                      </c:pt>
                      <c:pt idx="10">
                        <c:v>CE 2.1 Ensure that consumers receive trustworthy and relevant information on products at the point of sale, including on their lifespan and on the 
availability of repair services, spare parts and repair manuals</c:v>
                      </c:pt>
                      <c:pt idx="11">
                        <c:v>CE 2.3  Right to repair: availability of spare parts or access to repair </c:v>
                      </c:pt>
                      <c:pt idx="12">
                        <c:v>CE 3.1 Promoting circularity in industrial processes in the context of the review 
of the Industrial Emissions Directive, including the integration of circular economy practices in 
upcoming Best Available Techniques</c:v>
                      </c:pt>
                      <c:pt idx="13">
                        <c:v>CE 4.1 Electronics and ICT</c:v>
                      </c:pt>
                      <c:pt idx="14">
                        <c:v>CE 4.2 Batteries and vehicles</c:v>
                      </c:pt>
                      <c:pt idx="15">
                        <c:v>CE 4.3 Packaging</c:v>
                      </c:pt>
                      <c:pt idx="16">
                        <c:v>CE 4.4 Plastics</c:v>
                      </c:pt>
                      <c:pt idx="17">
                        <c:v>CE 4.5 Construction and buildings</c:v>
                      </c:pt>
                      <c:pt idx="18">
                        <c:v>CE 5.1 Enhanced waste policy in support of waste prevention and circularity</c:v>
                      </c:pt>
                      <c:pt idx="19">
                        <c:v>CE 5.2 Enhancing circularity in a toxic-free environmen</c:v>
                      </c:pt>
                      <c:pt idx="20">
                        <c:v>CE 5.3 Creating a well-functioning EU market for secondary raw 
materials</c:v>
                      </c:pt>
                      <c:pt idx="21">
                        <c:v>CE 5.4 Addressing waste exports from the EU</c:v>
                      </c:pt>
                      <c:pt idx="22">
                        <c:v>CE 7.2 Getting the economics right</c:v>
                      </c:pt>
                      <c:pt idx="23">
                        <c:v>CE 7.3 Driving the transition through research, innovation and digitalisation</c:v>
                      </c:pt>
                      <c:pt idx="24">
                        <c:v>CE 8.1 Leading efforts at global level</c:v>
                      </c:pt>
                      <c:pt idx="25">
                        <c:v>CM 1.1 Energy efficiency for the decarbonision of industrial processes 
</c:v>
                      </c:pt>
                      <c:pt idx="26">
                        <c:v>CM 1.2 Significant reductions in overall energy  use in buildings</c:v>
                      </c:pt>
                      <c:pt idx="27">
                        <c:v>CM 2.1  Increasing the share of renewables thereby improving security of supply and reducing dependence from imports</c:v>
                      </c:pt>
                      <c:pt idx="28">
                        <c:v>CM 2.2 Increase electricity production from renewables
and promote decentralised, smart and flexible power system 
</c:v>
                      </c:pt>
                      <c:pt idx="29">
                        <c:v>CM 4.1 Promoting a more resource-efficient industrial production  (such as steel, glass and plastics)
</c:v>
                      </c:pt>
                      <c:pt idx="30">
                        <c:v>CM 4.2 Promoting a less emission-intensive industrial production  (such as steel, glass and plastics)</c:v>
                      </c:pt>
                      <c:pt idx="31">
                        <c:v>CM 4.3 Raw material recovery and recycling to ensure sustainable and secure supply chains</c:v>
                      </c:pt>
                      <c:pt idx="32">
                        <c:v>CM 4.4 Innovation and modernisation of industrial processes, new technologies </c:v>
                      </c:pt>
                      <c:pt idx="33">
                        <c:v>CM 4.5  Information on carbon and environmental footprints of products and services should be more transparent so that consumers may make informed decisions</c:v>
                      </c:pt>
                      <c:pt idx="34">
                        <c:v>CM 7.1 More research, innovation and demonstration to ensure the successful deployment of CCS
</c:v>
                      </c:pt>
                    </c:strCache>
                  </c:strRef>
                </c:cat>
                <c:val>
                  <c:numRef>
                    <c:extLst xmlns="http://schemas.openxmlformats.org/drawingml/2006/chart" xmlns:c16r2="http://schemas.microsoft.com/office/drawing/2015/06/chart">
                      <c:ext uri="{02D57815-91ED-43cb-92C2-25804820EDAC}">
                        <c15:formulaRef>
                          <c15:sqref>'[ANALYSIS DIRECTIVES_com_a moda e frequencia.xlsx]total'!$C$2:$C$56</c15:sqref>
                        </c15:formulaRef>
                      </c:ext>
                    </c:extLst>
                    <c:numCache>
                      <c:formatCode>General</c:formatCode>
                      <c:ptCount val="35"/>
                      <c:pt idx="0">
                        <c:v>5</c:v>
                      </c:pt>
                      <c:pt idx="1">
                        <c:v>8</c:v>
                      </c:pt>
                      <c:pt idx="2">
                        <c:v>6</c:v>
                      </c:pt>
                      <c:pt idx="3">
                        <c:v>5</c:v>
                      </c:pt>
                      <c:pt idx="4">
                        <c:v>5</c:v>
                      </c:pt>
                      <c:pt idx="5">
                        <c:v>5</c:v>
                      </c:pt>
                      <c:pt idx="6">
                        <c:v>12</c:v>
                      </c:pt>
                      <c:pt idx="7">
                        <c:v>9</c:v>
                      </c:pt>
                      <c:pt idx="8">
                        <c:v>1</c:v>
                      </c:pt>
                      <c:pt idx="9">
                        <c:v>1</c:v>
                      </c:pt>
                      <c:pt idx="10">
                        <c:v>5</c:v>
                      </c:pt>
                      <c:pt idx="11">
                        <c:v>1</c:v>
                      </c:pt>
                      <c:pt idx="12">
                        <c:v>1</c:v>
                      </c:pt>
                      <c:pt idx="13">
                        <c:v>4</c:v>
                      </c:pt>
                      <c:pt idx="14">
                        <c:v>1</c:v>
                      </c:pt>
                      <c:pt idx="15">
                        <c:v>1</c:v>
                      </c:pt>
                      <c:pt idx="16">
                        <c:v>1</c:v>
                      </c:pt>
                      <c:pt idx="17">
                        <c:v>5</c:v>
                      </c:pt>
                      <c:pt idx="18">
                        <c:v>4</c:v>
                      </c:pt>
                      <c:pt idx="19">
                        <c:v>5</c:v>
                      </c:pt>
                      <c:pt idx="20">
                        <c:v>1</c:v>
                      </c:pt>
                      <c:pt idx="21">
                        <c:v>1</c:v>
                      </c:pt>
                      <c:pt idx="22">
                        <c:v>2</c:v>
                      </c:pt>
                      <c:pt idx="23">
                        <c:v>1</c:v>
                      </c:pt>
                      <c:pt idx="24">
                        <c:v>1</c:v>
                      </c:pt>
                      <c:pt idx="25">
                        <c:v>7</c:v>
                      </c:pt>
                      <c:pt idx="26">
                        <c:v>2</c:v>
                      </c:pt>
                      <c:pt idx="27">
                        <c:v>3</c:v>
                      </c:pt>
                      <c:pt idx="28">
                        <c:v>3</c:v>
                      </c:pt>
                      <c:pt idx="29">
                        <c:v>4</c:v>
                      </c:pt>
                      <c:pt idx="30">
                        <c:v>5</c:v>
                      </c:pt>
                      <c:pt idx="31">
                        <c:v>4</c:v>
                      </c:pt>
                      <c:pt idx="32">
                        <c:v>3</c:v>
                      </c:pt>
                      <c:pt idx="33">
                        <c:v>5</c:v>
                      </c:pt>
                      <c:pt idx="34">
                        <c:v>1</c:v>
                      </c:pt>
                    </c:numCache>
                  </c:numRef>
                </c:val>
                <c:extLst xmlns="http://schemas.openxmlformats.org/drawingml/2006/chart" xmlns:c16r2="http://schemas.microsoft.com/office/drawing/2015/06/chart">
                  <c:ext xmlns:c16="http://schemas.microsoft.com/office/drawing/2014/chart" uri="{C3380CC4-5D6E-409C-BE32-E72D297353CC}">
                    <c16:uniqueId val="{00000001-2662-411A-9E5F-D19674DCA413}"/>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 1.12 Rewarding products based on their different sustainability performance, including by linking high 
performance levels to incentives</c:v>
                      </c:pt>
                      <c:pt idx="10">
                        <c:v>CE 2.1 Ensure that consumers receive trustworthy and relevant information on products at the point of sale, including on their lifespan and on the 
availability of repair services, spare parts and repair manuals</c:v>
                      </c:pt>
                      <c:pt idx="11">
                        <c:v>CE 2.3  Right to repair: availability of spare parts or access to repair </c:v>
                      </c:pt>
                      <c:pt idx="12">
                        <c:v>CE 3.1 Promoting circularity in industrial processes in the context of the review 
of the Industrial Emissions Directive, including the integration of circular economy practices in 
upcoming Best Available Techniques</c:v>
                      </c:pt>
                      <c:pt idx="13">
                        <c:v>CE 4.1 Electronics and ICT</c:v>
                      </c:pt>
                      <c:pt idx="14">
                        <c:v>CE 4.2 Batteries and vehicles</c:v>
                      </c:pt>
                      <c:pt idx="15">
                        <c:v>CE 4.3 Packaging</c:v>
                      </c:pt>
                      <c:pt idx="16">
                        <c:v>CE 4.4 Plastics</c:v>
                      </c:pt>
                      <c:pt idx="17">
                        <c:v>CE 4.5 Construction and buildings</c:v>
                      </c:pt>
                      <c:pt idx="18">
                        <c:v>CE 5.1 Enhanced waste policy in support of waste prevention and circularity</c:v>
                      </c:pt>
                      <c:pt idx="19">
                        <c:v>CE 5.2 Enhancing circularity in a toxic-free environmen</c:v>
                      </c:pt>
                      <c:pt idx="20">
                        <c:v>CE 5.3 Creating a well-functioning EU market for secondary raw 
materials</c:v>
                      </c:pt>
                      <c:pt idx="21">
                        <c:v>CE 5.4 Addressing waste exports from the EU</c:v>
                      </c:pt>
                      <c:pt idx="22">
                        <c:v>CE 7.2 Getting the economics right</c:v>
                      </c:pt>
                      <c:pt idx="23">
                        <c:v>CE 7.3 Driving the transition through research, innovation and digitalisation</c:v>
                      </c:pt>
                      <c:pt idx="24">
                        <c:v>CE 8.1 Leading efforts at global level</c:v>
                      </c:pt>
                      <c:pt idx="25">
                        <c:v>CM 1.1 Energy efficiency for the decarbonision of industrial processes 
</c:v>
                      </c:pt>
                      <c:pt idx="26">
                        <c:v>CM 1.2 Significant reductions in overall energy  use in buildings</c:v>
                      </c:pt>
                      <c:pt idx="27">
                        <c:v>CM 2.1  Increasing the share of renewables thereby improving security of supply and reducing dependence from imports</c:v>
                      </c:pt>
                      <c:pt idx="28">
                        <c:v>CM 2.2 Increase electricity production from renewables
and promote decentralised, smart and flexible power system 
</c:v>
                      </c:pt>
                      <c:pt idx="29">
                        <c:v>CM 4.1 Promoting a more resource-efficient industrial production  (such as steel, glass and plastics)
</c:v>
                      </c:pt>
                      <c:pt idx="30">
                        <c:v>CM 4.2 Promoting a less emission-intensive industrial production  (such as steel, glass and plastics)</c:v>
                      </c:pt>
                      <c:pt idx="31">
                        <c:v>CM 4.3 Raw material recovery and recycling to ensure sustainable and secure supply chains</c:v>
                      </c:pt>
                      <c:pt idx="32">
                        <c:v>CM 4.4 Innovation and modernisation of industrial processes, new technologies </c:v>
                      </c:pt>
                      <c:pt idx="33">
                        <c:v>CM 4.5  Information on carbon and environmental footprints of products and services should be more transparent so that consumers may make informed decisions</c:v>
                      </c:pt>
                      <c:pt idx="3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frequencia.xlsx]total'!$D$2:$D$56</c15:sqref>
                        </c15:formulaRef>
                      </c:ext>
                    </c:extLst>
                    <c:numCache>
                      <c:formatCode>General</c:formatCode>
                      <c:ptCount val="35"/>
                      <c:pt idx="0">
                        <c:v>3</c:v>
                      </c:pt>
                      <c:pt idx="1">
                        <c:v>9</c:v>
                      </c:pt>
                      <c:pt idx="2">
                        <c:v>6</c:v>
                      </c:pt>
                      <c:pt idx="3">
                        <c:v>3</c:v>
                      </c:pt>
                      <c:pt idx="4">
                        <c:v>4</c:v>
                      </c:pt>
                      <c:pt idx="5">
                        <c:v>4</c:v>
                      </c:pt>
                      <c:pt idx="6">
                        <c:v>12</c:v>
                      </c:pt>
                      <c:pt idx="7">
                        <c:v>14</c:v>
                      </c:pt>
                      <c:pt idx="8">
                        <c:v>1</c:v>
                      </c:pt>
                      <c:pt idx="9">
                        <c:v>4</c:v>
                      </c:pt>
                      <c:pt idx="10">
                        <c:v>5</c:v>
                      </c:pt>
                      <c:pt idx="11">
                        <c:v>0</c:v>
                      </c:pt>
                      <c:pt idx="12">
                        <c:v>5</c:v>
                      </c:pt>
                      <c:pt idx="13">
                        <c:v>1</c:v>
                      </c:pt>
                      <c:pt idx="14">
                        <c:v>12</c:v>
                      </c:pt>
                      <c:pt idx="15">
                        <c:v>0</c:v>
                      </c:pt>
                      <c:pt idx="16">
                        <c:v>0</c:v>
                      </c:pt>
                      <c:pt idx="17">
                        <c:v>3</c:v>
                      </c:pt>
                      <c:pt idx="18">
                        <c:v>4</c:v>
                      </c:pt>
                      <c:pt idx="19">
                        <c:v>4</c:v>
                      </c:pt>
                      <c:pt idx="20">
                        <c:v>1</c:v>
                      </c:pt>
                      <c:pt idx="21">
                        <c:v>0</c:v>
                      </c:pt>
                      <c:pt idx="22">
                        <c:v>3</c:v>
                      </c:pt>
                      <c:pt idx="23">
                        <c:v>0</c:v>
                      </c:pt>
                      <c:pt idx="24">
                        <c:v>2</c:v>
                      </c:pt>
                      <c:pt idx="25">
                        <c:v>5</c:v>
                      </c:pt>
                      <c:pt idx="26">
                        <c:v>2</c:v>
                      </c:pt>
                      <c:pt idx="27">
                        <c:v>6</c:v>
                      </c:pt>
                      <c:pt idx="28">
                        <c:v>5</c:v>
                      </c:pt>
                      <c:pt idx="29">
                        <c:v>3</c:v>
                      </c:pt>
                      <c:pt idx="30">
                        <c:v>5</c:v>
                      </c:pt>
                      <c:pt idx="31">
                        <c:v>4</c:v>
                      </c:pt>
                      <c:pt idx="32">
                        <c:v>3</c:v>
                      </c:pt>
                      <c:pt idx="33">
                        <c:v>3</c:v>
                      </c:pt>
                      <c:pt idx="34">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2662-411A-9E5F-D19674DCA413}"/>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 1.12 Rewarding products based on their different sustainability performance, including by linking high 
performance levels to incentives</c:v>
                      </c:pt>
                      <c:pt idx="10">
                        <c:v>CE 2.1 Ensure that consumers receive trustworthy and relevant information on products at the point of sale, including on their lifespan and on the 
availability of repair services, spare parts and repair manuals</c:v>
                      </c:pt>
                      <c:pt idx="11">
                        <c:v>CE 2.3  Right to repair: availability of spare parts or access to repair </c:v>
                      </c:pt>
                      <c:pt idx="12">
                        <c:v>CE 3.1 Promoting circularity in industrial processes in the context of the review 
of the Industrial Emissions Directive, including the integration of circular economy practices in 
upcoming Best Available Techniques</c:v>
                      </c:pt>
                      <c:pt idx="13">
                        <c:v>CE 4.1 Electronics and ICT</c:v>
                      </c:pt>
                      <c:pt idx="14">
                        <c:v>CE 4.2 Batteries and vehicles</c:v>
                      </c:pt>
                      <c:pt idx="15">
                        <c:v>CE 4.3 Packaging</c:v>
                      </c:pt>
                      <c:pt idx="16">
                        <c:v>CE 4.4 Plastics</c:v>
                      </c:pt>
                      <c:pt idx="17">
                        <c:v>CE 4.5 Construction and buildings</c:v>
                      </c:pt>
                      <c:pt idx="18">
                        <c:v>CE 5.1 Enhanced waste policy in support of waste prevention and circularity</c:v>
                      </c:pt>
                      <c:pt idx="19">
                        <c:v>CE 5.2 Enhancing circularity in a toxic-free environmen</c:v>
                      </c:pt>
                      <c:pt idx="20">
                        <c:v>CE 5.3 Creating a well-functioning EU market for secondary raw 
materials</c:v>
                      </c:pt>
                      <c:pt idx="21">
                        <c:v>CE 5.4 Addressing waste exports from the EU</c:v>
                      </c:pt>
                      <c:pt idx="22">
                        <c:v>CE 7.2 Getting the economics right</c:v>
                      </c:pt>
                      <c:pt idx="23">
                        <c:v>CE 7.3 Driving the transition through research, innovation and digitalisation</c:v>
                      </c:pt>
                      <c:pt idx="24">
                        <c:v>CE 8.1 Leading efforts at global level</c:v>
                      </c:pt>
                      <c:pt idx="25">
                        <c:v>CM 1.1 Energy efficiency for the decarbonision of industrial processes 
</c:v>
                      </c:pt>
                      <c:pt idx="26">
                        <c:v>CM 1.2 Significant reductions in overall energy  use in buildings</c:v>
                      </c:pt>
                      <c:pt idx="27">
                        <c:v>CM 2.1  Increasing the share of renewables thereby improving security of supply and reducing dependence from imports</c:v>
                      </c:pt>
                      <c:pt idx="28">
                        <c:v>CM 2.2 Increase electricity production from renewables
and promote decentralised, smart and flexible power system 
</c:v>
                      </c:pt>
                      <c:pt idx="29">
                        <c:v>CM 4.1 Promoting a more resource-efficient industrial production  (such as steel, glass and plastics)
</c:v>
                      </c:pt>
                      <c:pt idx="30">
                        <c:v>CM 4.2 Promoting a less emission-intensive industrial production  (such as steel, glass and plastics)</c:v>
                      </c:pt>
                      <c:pt idx="31">
                        <c:v>CM 4.3 Raw material recovery and recycling to ensure sustainable and secure supply chains</c:v>
                      </c:pt>
                      <c:pt idx="32">
                        <c:v>CM 4.4 Innovation and modernisation of industrial processes, new technologies </c:v>
                      </c:pt>
                      <c:pt idx="33">
                        <c:v>CM 4.5  Information on carbon and environmental footprints of products and services should be more transparent so that consumers may make informed decisions</c:v>
                      </c:pt>
                      <c:pt idx="3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frequencia.xlsx]total'!$E$2:$E$56</c15:sqref>
                        </c15:formulaRef>
                      </c:ext>
                    </c:extLst>
                    <c:numCache>
                      <c:formatCode>General</c:formatCode>
                      <c:ptCount val="35"/>
                      <c:pt idx="0">
                        <c:v>0</c:v>
                      </c:pt>
                      <c:pt idx="1">
                        <c:v>5</c:v>
                      </c:pt>
                      <c:pt idx="2">
                        <c:v>4</c:v>
                      </c:pt>
                      <c:pt idx="3">
                        <c:v>1</c:v>
                      </c:pt>
                      <c:pt idx="4">
                        <c:v>1</c:v>
                      </c:pt>
                      <c:pt idx="5">
                        <c:v>1</c:v>
                      </c:pt>
                      <c:pt idx="6">
                        <c:v>8</c:v>
                      </c:pt>
                      <c:pt idx="7">
                        <c:v>10</c:v>
                      </c:pt>
                      <c:pt idx="8">
                        <c:v>0</c:v>
                      </c:pt>
                      <c:pt idx="9">
                        <c:v>2</c:v>
                      </c:pt>
                      <c:pt idx="10">
                        <c:v>3</c:v>
                      </c:pt>
                      <c:pt idx="11">
                        <c:v>0</c:v>
                      </c:pt>
                      <c:pt idx="12">
                        <c:v>2</c:v>
                      </c:pt>
                      <c:pt idx="13">
                        <c:v>0</c:v>
                      </c:pt>
                      <c:pt idx="14">
                        <c:v>3</c:v>
                      </c:pt>
                      <c:pt idx="15">
                        <c:v>0</c:v>
                      </c:pt>
                      <c:pt idx="16">
                        <c:v>0</c:v>
                      </c:pt>
                      <c:pt idx="17">
                        <c:v>3</c:v>
                      </c:pt>
                      <c:pt idx="18">
                        <c:v>1</c:v>
                      </c:pt>
                      <c:pt idx="19">
                        <c:v>1</c:v>
                      </c:pt>
                      <c:pt idx="20">
                        <c:v>0</c:v>
                      </c:pt>
                      <c:pt idx="21">
                        <c:v>0</c:v>
                      </c:pt>
                      <c:pt idx="22">
                        <c:v>2</c:v>
                      </c:pt>
                      <c:pt idx="23">
                        <c:v>0</c:v>
                      </c:pt>
                      <c:pt idx="24">
                        <c:v>2</c:v>
                      </c:pt>
                      <c:pt idx="25">
                        <c:v>6</c:v>
                      </c:pt>
                      <c:pt idx="26">
                        <c:v>2</c:v>
                      </c:pt>
                      <c:pt idx="27">
                        <c:v>7</c:v>
                      </c:pt>
                      <c:pt idx="28">
                        <c:v>6</c:v>
                      </c:pt>
                      <c:pt idx="29">
                        <c:v>1</c:v>
                      </c:pt>
                      <c:pt idx="30">
                        <c:v>5</c:v>
                      </c:pt>
                      <c:pt idx="31">
                        <c:v>1</c:v>
                      </c:pt>
                      <c:pt idx="32">
                        <c:v>3</c:v>
                      </c:pt>
                      <c:pt idx="33">
                        <c:v>2</c:v>
                      </c:pt>
                      <c:pt idx="34">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2662-411A-9E5F-D19674DCA413}"/>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 1.12 Rewarding products based on their different sustainability performance, including by linking high 
performance levels to incentives</c:v>
                      </c:pt>
                      <c:pt idx="10">
                        <c:v>CE 2.1 Ensure that consumers receive trustworthy and relevant information on products at the point of sale, including on their lifespan and on the 
availability of repair services, spare parts and repair manuals</c:v>
                      </c:pt>
                      <c:pt idx="11">
                        <c:v>CE 2.3  Right to repair: availability of spare parts or access to repair </c:v>
                      </c:pt>
                      <c:pt idx="12">
                        <c:v>CE 3.1 Promoting circularity in industrial processes in the context of the review 
of the Industrial Emissions Directive, including the integration of circular economy practices in 
upcoming Best Available Techniques</c:v>
                      </c:pt>
                      <c:pt idx="13">
                        <c:v>CE 4.1 Electronics and ICT</c:v>
                      </c:pt>
                      <c:pt idx="14">
                        <c:v>CE 4.2 Batteries and vehicles</c:v>
                      </c:pt>
                      <c:pt idx="15">
                        <c:v>CE 4.3 Packaging</c:v>
                      </c:pt>
                      <c:pt idx="16">
                        <c:v>CE 4.4 Plastics</c:v>
                      </c:pt>
                      <c:pt idx="17">
                        <c:v>CE 4.5 Construction and buildings</c:v>
                      </c:pt>
                      <c:pt idx="18">
                        <c:v>CE 5.1 Enhanced waste policy in support of waste prevention and circularity</c:v>
                      </c:pt>
                      <c:pt idx="19">
                        <c:v>CE 5.2 Enhancing circularity in a toxic-free environmen</c:v>
                      </c:pt>
                      <c:pt idx="20">
                        <c:v>CE 5.3 Creating a well-functioning EU market for secondary raw 
materials</c:v>
                      </c:pt>
                      <c:pt idx="21">
                        <c:v>CE 5.4 Addressing waste exports from the EU</c:v>
                      </c:pt>
                      <c:pt idx="22">
                        <c:v>CE 7.2 Getting the economics right</c:v>
                      </c:pt>
                      <c:pt idx="23">
                        <c:v>CE 7.3 Driving the transition through research, innovation and digitalisation</c:v>
                      </c:pt>
                      <c:pt idx="24">
                        <c:v>CE 8.1 Leading efforts at global level</c:v>
                      </c:pt>
                      <c:pt idx="25">
                        <c:v>CM 1.1 Energy efficiency for the decarbonision of industrial processes 
</c:v>
                      </c:pt>
                      <c:pt idx="26">
                        <c:v>CM 1.2 Significant reductions in overall energy  use in buildings</c:v>
                      </c:pt>
                      <c:pt idx="27">
                        <c:v>CM 2.1  Increasing the share of renewables thereby improving security of supply and reducing dependence from imports</c:v>
                      </c:pt>
                      <c:pt idx="28">
                        <c:v>CM 2.2 Increase electricity production from renewables
and promote decentralised, smart and flexible power system 
</c:v>
                      </c:pt>
                      <c:pt idx="29">
                        <c:v>CM 4.1 Promoting a more resource-efficient industrial production  (such as steel, glass and plastics)
</c:v>
                      </c:pt>
                      <c:pt idx="30">
                        <c:v>CM 4.2 Promoting a less emission-intensive industrial production  (such as steel, glass and plastics)</c:v>
                      </c:pt>
                      <c:pt idx="31">
                        <c:v>CM 4.3 Raw material recovery and recycling to ensure sustainable and secure supply chains</c:v>
                      </c:pt>
                      <c:pt idx="32">
                        <c:v>CM 4.4 Innovation and modernisation of industrial processes, new technologies </c:v>
                      </c:pt>
                      <c:pt idx="33">
                        <c:v>CM 4.5  Information on carbon and environmental footprints of products and services should be more transparent so that consumers may make informed decisions</c:v>
                      </c:pt>
                      <c:pt idx="3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frequencia.xlsx]total'!$F$2:$F$56</c15:sqref>
                        </c15:formulaRef>
                      </c:ext>
                    </c:extLst>
                    <c:numCache>
                      <c:formatCode>General</c:formatCode>
                      <c:ptCount val="35"/>
                      <c:pt idx="0">
                        <c:v>0</c:v>
                      </c:pt>
                      <c:pt idx="1">
                        <c:v>1</c:v>
                      </c:pt>
                      <c:pt idx="2">
                        <c:v>2</c:v>
                      </c:pt>
                      <c:pt idx="3">
                        <c:v>0</c:v>
                      </c:pt>
                      <c:pt idx="4">
                        <c:v>0</c:v>
                      </c:pt>
                      <c:pt idx="5">
                        <c:v>0</c:v>
                      </c:pt>
                      <c:pt idx="6">
                        <c:v>0</c:v>
                      </c:pt>
                      <c:pt idx="7">
                        <c:v>3</c:v>
                      </c:pt>
                      <c:pt idx="8">
                        <c:v>0</c:v>
                      </c:pt>
                      <c:pt idx="9">
                        <c:v>1</c:v>
                      </c:pt>
                      <c:pt idx="10">
                        <c:v>2</c:v>
                      </c:pt>
                      <c:pt idx="11">
                        <c:v>0</c:v>
                      </c:pt>
                      <c:pt idx="12">
                        <c:v>0</c:v>
                      </c:pt>
                      <c:pt idx="13">
                        <c:v>0</c:v>
                      </c:pt>
                      <c:pt idx="14">
                        <c:v>0</c:v>
                      </c:pt>
                      <c:pt idx="15">
                        <c:v>0</c:v>
                      </c:pt>
                      <c:pt idx="16">
                        <c:v>0</c:v>
                      </c:pt>
                      <c:pt idx="17">
                        <c:v>3</c:v>
                      </c:pt>
                      <c:pt idx="18">
                        <c:v>0</c:v>
                      </c:pt>
                      <c:pt idx="19">
                        <c:v>1</c:v>
                      </c:pt>
                      <c:pt idx="20">
                        <c:v>0</c:v>
                      </c:pt>
                      <c:pt idx="21">
                        <c:v>0</c:v>
                      </c:pt>
                      <c:pt idx="22">
                        <c:v>0</c:v>
                      </c:pt>
                      <c:pt idx="23">
                        <c:v>1</c:v>
                      </c:pt>
                      <c:pt idx="24">
                        <c:v>1</c:v>
                      </c:pt>
                      <c:pt idx="25">
                        <c:v>1</c:v>
                      </c:pt>
                      <c:pt idx="26">
                        <c:v>2</c:v>
                      </c:pt>
                      <c:pt idx="27">
                        <c:v>2</c:v>
                      </c:pt>
                      <c:pt idx="28">
                        <c:v>1</c:v>
                      </c:pt>
                      <c:pt idx="29">
                        <c:v>0</c:v>
                      </c:pt>
                      <c:pt idx="30">
                        <c:v>1</c:v>
                      </c:pt>
                      <c:pt idx="31">
                        <c:v>0</c:v>
                      </c:pt>
                      <c:pt idx="32">
                        <c:v>1</c:v>
                      </c:pt>
                      <c:pt idx="33">
                        <c:v>3</c:v>
                      </c:pt>
                      <c:pt idx="34">
                        <c:v>0</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2662-411A-9E5F-D19674DCA413}"/>
                  </c:ext>
                </c:extLst>
              </c15:ser>
            </c15:filteredRadarSeries>
          </c:ext>
        </c:extLst>
      </c:radarChart>
      <c:catAx>
        <c:axId val="8261501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680943768"/>
        <c:crosses val="autoZero"/>
        <c:auto val="1"/>
        <c:lblAlgn val="ctr"/>
        <c:lblOffset val="100"/>
        <c:noMultiLvlLbl val="0"/>
      </c:catAx>
      <c:valAx>
        <c:axId val="680943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826150176"/>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831974454590447"/>
          <c:y val="0.18319145157882102"/>
          <c:w val="0.50609547216680539"/>
          <c:h val="0.68091277868331224"/>
        </c:manualLayout>
      </c:layout>
      <c:radarChart>
        <c:radarStyle val="marker"/>
        <c:varyColors val="0"/>
        <c:ser>
          <c:idx val="0"/>
          <c:order val="0"/>
          <c:tx>
            <c:strRef>
              <c:f>'[ANALYSIS DIRECTIVES_com_a moda e frequencia.xlsx]total'!$D$1</c:f>
              <c:strCache>
                <c:ptCount val="1"/>
                <c:pt idx="0">
                  <c:v>Transportation</c:v>
                </c:pt>
              </c:strCache>
            </c:strRef>
          </c:tx>
          <c:spPr>
            <a:ln w="28575" cap="rnd">
              <a:solidFill>
                <a:schemeClr val="accent6"/>
              </a:solidFill>
              <a:round/>
            </a:ln>
            <a:effectLst/>
          </c:spPr>
          <c:marker>
            <c:symbol val="none"/>
          </c:marker>
          <c:cat>
            <c:strRef>
              <c:f>'[ANALYSIS DIRECTIVES_com_a moda e frequencia.xlsx]total'!$A$2:$A$56</c:f>
              <c:strCache>
                <c:ptCount val="40"/>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1.11 Mobilising the potential of digitalisation of product information, including solutions such as digital  passports, tagging and watermarks</c:v>
                </c:pt>
                <c:pt idx="10">
                  <c:v> 1.12 Rewarding products based on their different sustainability performance, including by linking high 
performance levels to incentives</c:v>
                </c:pt>
                <c:pt idx="11">
                  <c:v>CE 2.1 Ensure that consumers receive trustworthy and relevant information on products at the point of sale, including on their lifespan and on the 
availability of repair services, spare parts and repair manuals</c:v>
                </c:pt>
                <c:pt idx="12">
                  <c:v>CE 2.2 Strengthening consumer protection against green washing, premature obsolescence and
setting minimum requirements for sustainability labels/logos and for information tools</c:v>
                </c:pt>
                <c:pt idx="13">
                  <c:v>CE 2.4 Minimum mandatory green public procurement (GPP)  criteria and targets in sectoral legislation and phase in compulsory reporting to monitor the uptake of GPP</c:v>
                </c:pt>
                <c:pt idx="14">
                  <c:v>CE 3.1 Promoting circularity in industrial processes in the context of the review 
of the Industrial Emissions Directive, including the integration of circular economy practices in 
upcoming Best Available Techniques</c:v>
                </c:pt>
                <c:pt idx="15">
                  <c:v>CE 3.3 Supporting the sustainable and circular bio-based sector through the implementation of the 
Bioeconomy Action Plan</c:v>
                </c:pt>
                <c:pt idx="16">
                  <c:v>CE 4.1 Electronics and ICT</c:v>
                </c:pt>
                <c:pt idx="17">
                  <c:v>CE 4.2 Batteries and vehicles</c:v>
                </c:pt>
                <c:pt idx="18">
                  <c:v>CE 4.5 Construction and buildings</c:v>
                </c:pt>
                <c:pt idx="19">
                  <c:v>CE 5.1 Enhanced waste policy in support of waste prevention and circularity</c:v>
                </c:pt>
                <c:pt idx="20">
                  <c:v>CE 5.2 Enhancing circularity in a toxic-free environmen</c:v>
                </c:pt>
                <c:pt idx="21">
                  <c:v>CE 5.3 Creating a well-functioning EU market for secondary raw 
materials</c:v>
                </c:pt>
                <c:pt idx="22">
                  <c:v>CE 7.2 Getting the economics right</c:v>
                </c:pt>
                <c:pt idx="23">
                  <c:v>CE 8.1 Leading efforts at global level</c:v>
                </c:pt>
                <c:pt idx="24">
                  <c:v>CM 1.1 Energy efficiency for the decarbonision of industrial processes 
</c:v>
                </c:pt>
                <c:pt idx="25">
                  <c:v>CM 1.2 Significant reductions in overall energy  use in buildings</c:v>
                </c:pt>
                <c:pt idx="26">
                  <c:v>CM 2.1  Increasing the share of renewables thereby improving security of supply and reducing dependence from imports</c:v>
                </c:pt>
                <c:pt idx="27">
                  <c:v>CM 2.2 Increase electricity production from renewables
and promote decentralised, smart and flexible power system 
</c:v>
                </c:pt>
                <c:pt idx="28">
                  <c:v>CM 3.1 Low or zero-emission vehicles with efficient alternative powertrains</c:v>
                </c:pt>
                <c:pt idx="29">
                  <c:v>CM 3.2 Making heavy-duty vehicles, rail, aviation and shipping climate-neutral</c:v>
                </c:pt>
                <c:pt idx="30">
                  <c:v>CM 3.3 Having an efficient organization and infrastructure of the mobility system</c:v>
                </c:pt>
                <c:pt idx="31">
                  <c:v>CM 4.1 Promoting a more resource-efficient industrial production  (such as steel, glass and plastics)
</c:v>
                </c:pt>
                <c:pt idx="32">
                  <c:v>CM 4.2 Promoting a less emission-intensive industrial production  (such as steel, glass and plastics)</c:v>
                </c:pt>
                <c:pt idx="33">
                  <c:v>CM 4.3 Raw material recovery and recycling to ensure sustainable and secure supply chains</c:v>
                </c:pt>
                <c:pt idx="34">
                  <c:v>CM 4.4 Innovation and modernisation of industrial processes, new technologies </c:v>
                </c:pt>
                <c:pt idx="35">
                  <c:v>CM 4.5  Information on carbon and environmental footprints of products and services should be more transparent so that consumers may make informed decisions</c:v>
                </c:pt>
                <c:pt idx="36">
                  <c:v>CM 5.2 Smart charging and refueling stations allowing for cross-border services (among others)</c:v>
                </c:pt>
                <c:pt idx="37">
                  <c:v>CM 5.3 Retrofitting of existing infrastructure can ensure continuous use, while the replacement of old  infrastructure can be compatible with decarbonization objectives.</c:v>
                </c:pt>
                <c:pt idx="38">
                  <c:v>CM 6.1 Agricultural production for bioenergy using efficient and sustainable production methods</c:v>
                </c:pt>
                <c:pt idx="39">
                  <c:v>CM 7.1 More research, innovation and demonstration to ensure the successful deployment of CCS
</c:v>
                </c:pt>
              </c:strCache>
            </c:strRef>
          </c:cat>
          <c:val>
            <c:numRef>
              <c:f>'[ANALYSIS DIRECTIVES_com_a moda e frequencia.xlsx]total'!$D$2:$D$56</c:f>
              <c:numCache>
                <c:formatCode>General</c:formatCode>
                <c:ptCount val="40"/>
                <c:pt idx="0">
                  <c:v>3</c:v>
                </c:pt>
                <c:pt idx="1">
                  <c:v>9</c:v>
                </c:pt>
                <c:pt idx="2">
                  <c:v>6</c:v>
                </c:pt>
                <c:pt idx="3">
                  <c:v>3</c:v>
                </c:pt>
                <c:pt idx="4">
                  <c:v>4</c:v>
                </c:pt>
                <c:pt idx="5">
                  <c:v>4</c:v>
                </c:pt>
                <c:pt idx="6">
                  <c:v>12</c:v>
                </c:pt>
                <c:pt idx="7">
                  <c:v>14</c:v>
                </c:pt>
                <c:pt idx="8">
                  <c:v>1</c:v>
                </c:pt>
                <c:pt idx="9">
                  <c:v>1</c:v>
                </c:pt>
                <c:pt idx="10">
                  <c:v>4</c:v>
                </c:pt>
                <c:pt idx="11">
                  <c:v>5</c:v>
                </c:pt>
                <c:pt idx="12">
                  <c:v>1</c:v>
                </c:pt>
                <c:pt idx="13">
                  <c:v>1</c:v>
                </c:pt>
                <c:pt idx="14">
                  <c:v>5</c:v>
                </c:pt>
                <c:pt idx="15">
                  <c:v>1</c:v>
                </c:pt>
                <c:pt idx="16">
                  <c:v>1</c:v>
                </c:pt>
                <c:pt idx="17">
                  <c:v>12</c:v>
                </c:pt>
                <c:pt idx="18">
                  <c:v>3</c:v>
                </c:pt>
                <c:pt idx="19">
                  <c:v>4</c:v>
                </c:pt>
                <c:pt idx="20">
                  <c:v>4</c:v>
                </c:pt>
                <c:pt idx="21">
                  <c:v>1</c:v>
                </c:pt>
                <c:pt idx="22">
                  <c:v>3</c:v>
                </c:pt>
                <c:pt idx="23">
                  <c:v>2</c:v>
                </c:pt>
                <c:pt idx="24">
                  <c:v>5</c:v>
                </c:pt>
                <c:pt idx="25">
                  <c:v>2</c:v>
                </c:pt>
                <c:pt idx="26">
                  <c:v>6</c:v>
                </c:pt>
                <c:pt idx="27">
                  <c:v>5</c:v>
                </c:pt>
                <c:pt idx="28">
                  <c:v>6</c:v>
                </c:pt>
                <c:pt idx="29">
                  <c:v>5</c:v>
                </c:pt>
                <c:pt idx="30">
                  <c:v>2</c:v>
                </c:pt>
                <c:pt idx="31">
                  <c:v>3</c:v>
                </c:pt>
                <c:pt idx="32">
                  <c:v>5</c:v>
                </c:pt>
                <c:pt idx="33">
                  <c:v>4</c:v>
                </c:pt>
                <c:pt idx="34">
                  <c:v>3</c:v>
                </c:pt>
                <c:pt idx="35">
                  <c:v>3</c:v>
                </c:pt>
                <c:pt idx="36">
                  <c:v>1</c:v>
                </c:pt>
                <c:pt idx="37">
                  <c:v>1</c:v>
                </c:pt>
                <c:pt idx="38">
                  <c:v>2</c:v>
                </c:pt>
                <c:pt idx="39">
                  <c:v>1</c:v>
                </c:pt>
              </c:numCache>
            </c:numRef>
          </c:val>
          <c:extLst xmlns="http://schemas.openxmlformats.org/drawingml/2006/chart" xmlns:c16r2="http://schemas.microsoft.com/office/drawing/2015/06/chart">
            <c:ext xmlns:c16="http://schemas.microsoft.com/office/drawing/2014/chart" uri="{C3380CC4-5D6E-409C-BE32-E72D297353CC}">
              <c16:uniqueId val="{00000000-0367-4A5E-8541-AA62ABCB6334}"/>
            </c:ext>
          </c:extLst>
        </c:ser>
        <c:dLbls>
          <c:showLegendKey val="0"/>
          <c:showVal val="0"/>
          <c:showCatName val="0"/>
          <c:showSerName val="0"/>
          <c:showPercent val="0"/>
          <c:showBubbleSize val="0"/>
        </c:dLbls>
        <c:axId val="807439200"/>
        <c:axId val="807438808"/>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'[ANALYSIS DIRECTIVES_com_a moda e frequencia.xlsx]total'!$C$1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'[ANALYSIS DIRECTIVES_com_a moda e frequencia.xlsx]total'!$A$2:$A$56</c15:sqref>
                        </c15:formulaRef>
                      </c:ext>
                    </c:extLst>
                    <c:strCache>
                      <c:ptCount val="40"/>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1.11 Mobilising the potential of digitalisation of product information, including solutions such as digital  passports, tagging and watermarks</c:v>
                      </c:pt>
                      <c:pt idx="10">
                        <c:v> 1.12 Rewarding products based on their different sustainability performance, including by linking high 
performance levels to incentives</c:v>
                      </c:pt>
                      <c:pt idx="11">
                        <c:v>CE 2.1 Ensure that consumers receive trustworthy and relevant information on products at the point of sale, including on their lifespan and on the 
availability of repair services, spare parts and repair manuals</c:v>
                      </c:pt>
                      <c:pt idx="12">
                        <c:v>CE 2.2 Strengthening consumer protection against green washing, premature obsolescence and
setting minimum requirements for sustainability labels/logos and for information tools</c:v>
                      </c:pt>
                      <c:pt idx="13">
                        <c:v>CE 2.4 Minimum mandatory green public procurement (GPP)  criteria and targets in sectoral legislation and phase in compulsory reporting to monitor the uptake of GPP</c:v>
                      </c:pt>
                      <c:pt idx="14">
                        <c:v>CE 3.1 Promoting circularity in industrial processes in the context of the review 
of the Industrial Emissions Directive, including the integration of circular economy practices in 
upcoming Best Available Techniques</c:v>
                      </c:pt>
                      <c:pt idx="15">
                        <c:v>CE 3.3 Supporting the sustainable and circular bio-based sector through the implementation of the 
Bioeconomy Action Plan</c:v>
                      </c:pt>
                      <c:pt idx="16">
                        <c:v>CE 4.1 Electronics and ICT</c:v>
                      </c:pt>
                      <c:pt idx="17">
                        <c:v>CE 4.2 Batteries and vehicles</c:v>
                      </c:pt>
                      <c:pt idx="18">
                        <c:v>CE 4.5 Construction and buildings</c:v>
                      </c:pt>
                      <c:pt idx="19">
                        <c:v>CE 5.1 Enhanced waste policy in support of waste prevention and circularity</c:v>
                      </c:pt>
                      <c:pt idx="20">
                        <c:v>CE 5.2 Enhancing circularity in a toxic-free environmen</c:v>
                      </c:pt>
                      <c:pt idx="21">
                        <c:v>CE 5.3 Creating a well-functioning EU market for secondary raw 
materials</c:v>
                      </c:pt>
                      <c:pt idx="22">
                        <c:v>CE 7.2 Getting the economics right</c:v>
                      </c:pt>
                      <c:pt idx="23">
                        <c:v>CE 8.1 Leading efforts at global level</c:v>
                      </c:pt>
                      <c:pt idx="24">
                        <c:v>CM 1.1 Energy efficiency for the decarbonision of industrial processes 
</c:v>
                      </c:pt>
                      <c:pt idx="25">
                        <c:v>CM 1.2 Significant reductions in overall energy  use in buildings</c:v>
                      </c:pt>
                      <c:pt idx="26">
                        <c:v>CM 2.1  Increasing the share of renewables thereby improving security of supply and reducing dependence from imports</c:v>
                      </c:pt>
                      <c:pt idx="27">
                        <c:v>CM 2.2 Increase electricity production from renewables
and promote decentralised, smart and flexible power system 
</c:v>
                      </c:pt>
                      <c:pt idx="28">
                        <c:v>CM 3.1 Low or zero-emission vehicles with efficient alternative powertrains</c:v>
                      </c:pt>
                      <c:pt idx="29">
                        <c:v>CM 3.2 Making heavy-duty vehicles, rail, aviation and shipping climate-neutral</c:v>
                      </c:pt>
                      <c:pt idx="30">
                        <c:v>CM 3.3 Having an efficient organization and infrastructure of the mobility system</c:v>
                      </c:pt>
                      <c:pt idx="31">
                        <c:v>CM 4.1 Promoting a more resource-efficient industrial production  (such as steel, glass and plastics)
</c:v>
                      </c:pt>
                      <c:pt idx="32">
                        <c:v>CM 4.2 Promoting a less emission-intensive industrial production  (such as steel, glass and plastics)</c:v>
                      </c:pt>
                      <c:pt idx="33">
                        <c:v>CM 4.3 Raw material recovery and recycling to ensure sustainable and secure supply chains</c:v>
                      </c:pt>
                      <c:pt idx="34">
                        <c:v>CM 4.4 Innovation and modernisation of industrial processes, new technologies </c:v>
                      </c:pt>
                      <c:pt idx="35">
                        <c:v>CM 4.5  Information on carbon and environmental footprints of products and services should be more transparent so that consumers may make informed decisions</c:v>
                      </c:pt>
                      <c:pt idx="36">
                        <c:v>CM 5.2 Smart charging and refueling stations allowing for cross-border services (among others)</c:v>
                      </c:pt>
                      <c:pt idx="37">
                        <c:v>CM 5.3 Retrofitting of existing infrastructure can ensure continuous use, while the replacement of old  infrastructure can be compatible with decarbonization objectives.</c:v>
                      </c:pt>
                      <c:pt idx="38">
                        <c:v>CM 6.1 Agricultural production for bioenergy using efficient and sustainable production methods</c:v>
                      </c:pt>
                      <c:pt idx="39">
                        <c:v>CM 7.1 More research, innovation and demonstration to ensure the successful deployment of CCS
</c:v>
                      </c:pt>
                    </c:strCache>
                  </c:strRef>
                </c:cat>
                <c:val>
                  <c:numRef>
                    <c:extLst xmlns="http://schemas.openxmlformats.org/drawingml/2006/chart" xmlns:c16r2="http://schemas.microsoft.com/office/drawing/2015/06/chart">
                      <c:ext uri="{02D57815-91ED-43cb-92C2-25804820EDAC}">
                        <c15:formulaRef>
                          <c15:sqref>'[ANALYSIS DIRECTIVES_com_a moda e frequencia.xlsx]total'!$C$2:$C$56</c15:sqref>
                        </c15:formulaRef>
                      </c:ext>
                    </c:extLst>
                    <c:numCache>
                      <c:formatCode>General</c:formatCode>
                      <c:ptCount val="40"/>
                      <c:pt idx="0">
                        <c:v>5</c:v>
                      </c:pt>
                      <c:pt idx="1">
                        <c:v>8</c:v>
                      </c:pt>
                      <c:pt idx="2">
                        <c:v>6</c:v>
                      </c:pt>
                      <c:pt idx="3">
                        <c:v>5</c:v>
                      </c:pt>
                      <c:pt idx="4">
                        <c:v>5</c:v>
                      </c:pt>
                      <c:pt idx="5">
                        <c:v>5</c:v>
                      </c:pt>
                      <c:pt idx="6">
                        <c:v>12</c:v>
                      </c:pt>
                      <c:pt idx="7">
                        <c:v>9</c:v>
                      </c:pt>
                      <c:pt idx="8">
                        <c:v>1</c:v>
                      </c:pt>
                      <c:pt idx="9">
                        <c:v>0</c:v>
                      </c:pt>
                      <c:pt idx="10">
                        <c:v>1</c:v>
                      </c:pt>
                      <c:pt idx="11">
                        <c:v>5</c:v>
                      </c:pt>
                      <c:pt idx="12">
                        <c:v>0</c:v>
                      </c:pt>
                      <c:pt idx="13">
                        <c:v>0</c:v>
                      </c:pt>
                      <c:pt idx="14">
                        <c:v>1</c:v>
                      </c:pt>
                      <c:pt idx="15">
                        <c:v>0</c:v>
                      </c:pt>
                      <c:pt idx="16">
                        <c:v>4</c:v>
                      </c:pt>
                      <c:pt idx="17">
                        <c:v>1</c:v>
                      </c:pt>
                      <c:pt idx="18">
                        <c:v>5</c:v>
                      </c:pt>
                      <c:pt idx="19">
                        <c:v>4</c:v>
                      </c:pt>
                      <c:pt idx="20">
                        <c:v>5</c:v>
                      </c:pt>
                      <c:pt idx="21">
                        <c:v>1</c:v>
                      </c:pt>
                      <c:pt idx="22">
                        <c:v>2</c:v>
                      </c:pt>
                      <c:pt idx="23">
                        <c:v>1</c:v>
                      </c:pt>
                      <c:pt idx="24">
                        <c:v>7</c:v>
                      </c:pt>
                      <c:pt idx="25">
                        <c:v>2</c:v>
                      </c:pt>
                      <c:pt idx="26">
                        <c:v>3</c:v>
                      </c:pt>
                      <c:pt idx="27">
                        <c:v>3</c:v>
                      </c:pt>
                      <c:pt idx="28">
                        <c:v>0</c:v>
                      </c:pt>
                      <c:pt idx="29">
                        <c:v>0</c:v>
                      </c:pt>
                      <c:pt idx="30">
                        <c:v>0</c:v>
                      </c:pt>
                      <c:pt idx="31">
                        <c:v>4</c:v>
                      </c:pt>
                      <c:pt idx="32">
                        <c:v>5</c:v>
                      </c:pt>
                      <c:pt idx="33">
                        <c:v>4</c:v>
                      </c:pt>
                      <c:pt idx="34">
                        <c:v>3</c:v>
                      </c:pt>
                      <c:pt idx="35">
                        <c:v>5</c:v>
                      </c:pt>
                      <c:pt idx="36">
                        <c:v>0</c:v>
                      </c:pt>
                      <c:pt idx="37">
                        <c:v>0</c:v>
                      </c:pt>
                      <c:pt idx="38">
                        <c:v>0</c:v>
                      </c:pt>
                      <c:pt idx="39">
                        <c:v>1</c:v>
                      </c:pt>
                    </c:numCache>
                  </c:numRef>
                </c:val>
                <c:extLst xmlns="http://schemas.openxmlformats.org/drawingml/2006/chart" xmlns:c16r2="http://schemas.microsoft.com/office/drawing/2015/06/chart">
                  <c:ext xmlns:c16="http://schemas.microsoft.com/office/drawing/2014/chart" uri="{C3380CC4-5D6E-409C-BE32-E72D297353CC}">
                    <c16:uniqueId val="{00000001-0367-4A5E-8541-AA62ABCB6334}"/>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40"/>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1.11 Mobilising the potential of digitalisation of product information, including solutions such as digital  passports, tagging and watermarks</c:v>
                      </c:pt>
                      <c:pt idx="10">
                        <c:v> 1.12 Rewarding products based on their different sustainability performance, including by linking high 
performance levels to incentives</c:v>
                      </c:pt>
                      <c:pt idx="11">
                        <c:v>CE 2.1 Ensure that consumers receive trustworthy and relevant information on products at the point of sale, including on their lifespan and on the 
availability of repair services, spare parts and repair manuals</c:v>
                      </c:pt>
                      <c:pt idx="12">
                        <c:v>CE 2.2 Strengthening consumer protection against green washing, premature obsolescence and
setting minimum requirements for sustainability labels/logos and for information tools</c:v>
                      </c:pt>
                      <c:pt idx="13">
                        <c:v>CE 2.4 Minimum mandatory green public procurement (GPP)  criteria and targets in sectoral legislation and phase in compulsory reporting to monitor the uptake of GPP</c:v>
                      </c:pt>
                      <c:pt idx="14">
                        <c:v>CE 3.1 Promoting circularity in industrial processes in the context of the review 
of the Industrial Emissions Directive, including the integration of circular economy practices in 
upcoming Best Available Techniques</c:v>
                      </c:pt>
                      <c:pt idx="15">
                        <c:v>CE 3.3 Supporting the sustainable and circular bio-based sector through the implementation of the 
Bioeconomy Action Plan</c:v>
                      </c:pt>
                      <c:pt idx="16">
                        <c:v>CE 4.1 Electronics and ICT</c:v>
                      </c:pt>
                      <c:pt idx="17">
                        <c:v>CE 4.2 Batteries and vehicles</c:v>
                      </c:pt>
                      <c:pt idx="18">
                        <c:v>CE 4.5 Construction and buildings</c:v>
                      </c:pt>
                      <c:pt idx="19">
                        <c:v>CE 5.1 Enhanced waste policy in support of waste prevention and circularity</c:v>
                      </c:pt>
                      <c:pt idx="20">
                        <c:v>CE 5.2 Enhancing circularity in a toxic-free environmen</c:v>
                      </c:pt>
                      <c:pt idx="21">
                        <c:v>CE 5.3 Creating a well-functioning EU market for secondary raw 
materials</c:v>
                      </c:pt>
                      <c:pt idx="22">
                        <c:v>CE 7.2 Getting the economics right</c:v>
                      </c:pt>
                      <c:pt idx="23">
                        <c:v>CE 8.1 Leading efforts at global level</c:v>
                      </c:pt>
                      <c:pt idx="24">
                        <c:v>CM 1.1 Energy efficiency for the decarbonision of industrial processes 
</c:v>
                      </c:pt>
                      <c:pt idx="25">
                        <c:v>CM 1.2 Significant reductions in overall energy  use in buildings</c:v>
                      </c:pt>
                      <c:pt idx="26">
                        <c:v>CM 2.1  Increasing the share of renewables thereby improving security of supply and reducing dependence from imports</c:v>
                      </c:pt>
                      <c:pt idx="27">
                        <c:v>CM 2.2 Increase electricity production from renewables
and promote decentralised, smart and flexible power system 
</c:v>
                      </c:pt>
                      <c:pt idx="28">
                        <c:v>CM 3.1 Low or zero-emission vehicles with efficient alternative powertrains</c:v>
                      </c:pt>
                      <c:pt idx="29">
                        <c:v>CM 3.2 Making heavy-duty vehicles, rail, aviation and shipping climate-neutral</c:v>
                      </c:pt>
                      <c:pt idx="30">
                        <c:v>CM 3.3 Having an efficient organization and infrastructure of the mobility system</c:v>
                      </c:pt>
                      <c:pt idx="31">
                        <c:v>CM 4.1 Promoting a more resource-efficient industrial production  (such as steel, glass and plastics)
</c:v>
                      </c:pt>
                      <c:pt idx="32">
                        <c:v>CM 4.2 Promoting a less emission-intensive industrial production  (such as steel, glass and plastics)</c:v>
                      </c:pt>
                      <c:pt idx="33">
                        <c:v>CM 4.3 Raw material recovery and recycling to ensure sustainable and secure supply chains</c:v>
                      </c:pt>
                      <c:pt idx="34">
                        <c:v>CM 4.4 Innovation and modernisation of industrial processes, new technologies </c:v>
                      </c:pt>
                      <c:pt idx="35">
                        <c:v>CM 4.5  Information on carbon and environmental footprints of products and services should be more transparent so that consumers may make informed decisions</c:v>
                      </c:pt>
                      <c:pt idx="36">
                        <c:v>CM 5.2 Smart charging and refueling stations allowing for cross-border services (among others)</c:v>
                      </c:pt>
                      <c:pt idx="37">
                        <c:v>CM 5.3 Retrofitting of existing infrastructure can ensure continuous use, while the replacement of old  infrastructure can be compatible with decarbonization objectives.</c:v>
                      </c:pt>
                      <c:pt idx="38">
                        <c:v>CM 6.1 Agricultural production for bioenergy using efficient and sustainable production methods</c:v>
                      </c:pt>
                      <c:pt idx="39">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frequencia.xlsx]total'!$D$2:$D$56</c15:sqref>
                        </c15:formulaRef>
                      </c:ext>
                    </c:extLst>
                    <c:numCache>
                      <c:formatCode>General</c:formatCode>
                      <c:ptCount val="40"/>
                      <c:pt idx="0">
                        <c:v>3</c:v>
                      </c:pt>
                      <c:pt idx="1">
                        <c:v>9</c:v>
                      </c:pt>
                      <c:pt idx="2">
                        <c:v>6</c:v>
                      </c:pt>
                      <c:pt idx="3">
                        <c:v>3</c:v>
                      </c:pt>
                      <c:pt idx="4">
                        <c:v>4</c:v>
                      </c:pt>
                      <c:pt idx="5">
                        <c:v>4</c:v>
                      </c:pt>
                      <c:pt idx="6">
                        <c:v>12</c:v>
                      </c:pt>
                      <c:pt idx="7">
                        <c:v>14</c:v>
                      </c:pt>
                      <c:pt idx="8">
                        <c:v>1</c:v>
                      </c:pt>
                      <c:pt idx="9">
                        <c:v>1</c:v>
                      </c:pt>
                      <c:pt idx="10">
                        <c:v>4</c:v>
                      </c:pt>
                      <c:pt idx="11">
                        <c:v>5</c:v>
                      </c:pt>
                      <c:pt idx="12">
                        <c:v>1</c:v>
                      </c:pt>
                      <c:pt idx="13">
                        <c:v>1</c:v>
                      </c:pt>
                      <c:pt idx="14">
                        <c:v>5</c:v>
                      </c:pt>
                      <c:pt idx="15">
                        <c:v>1</c:v>
                      </c:pt>
                      <c:pt idx="16">
                        <c:v>1</c:v>
                      </c:pt>
                      <c:pt idx="17">
                        <c:v>12</c:v>
                      </c:pt>
                      <c:pt idx="18">
                        <c:v>3</c:v>
                      </c:pt>
                      <c:pt idx="19">
                        <c:v>4</c:v>
                      </c:pt>
                      <c:pt idx="20">
                        <c:v>4</c:v>
                      </c:pt>
                      <c:pt idx="21">
                        <c:v>1</c:v>
                      </c:pt>
                      <c:pt idx="22">
                        <c:v>3</c:v>
                      </c:pt>
                      <c:pt idx="23">
                        <c:v>2</c:v>
                      </c:pt>
                      <c:pt idx="24">
                        <c:v>5</c:v>
                      </c:pt>
                      <c:pt idx="25">
                        <c:v>2</c:v>
                      </c:pt>
                      <c:pt idx="26">
                        <c:v>6</c:v>
                      </c:pt>
                      <c:pt idx="27">
                        <c:v>5</c:v>
                      </c:pt>
                      <c:pt idx="28">
                        <c:v>6</c:v>
                      </c:pt>
                      <c:pt idx="29">
                        <c:v>5</c:v>
                      </c:pt>
                      <c:pt idx="30">
                        <c:v>2</c:v>
                      </c:pt>
                      <c:pt idx="31">
                        <c:v>3</c:v>
                      </c:pt>
                      <c:pt idx="32">
                        <c:v>5</c:v>
                      </c:pt>
                      <c:pt idx="33">
                        <c:v>4</c:v>
                      </c:pt>
                      <c:pt idx="34">
                        <c:v>3</c:v>
                      </c:pt>
                      <c:pt idx="35">
                        <c:v>3</c:v>
                      </c:pt>
                      <c:pt idx="36">
                        <c:v>1</c:v>
                      </c:pt>
                      <c:pt idx="37">
                        <c:v>1</c:v>
                      </c:pt>
                      <c:pt idx="38">
                        <c:v>2</c:v>
                      </c:pt>
                      <c:pt idx="39">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0367-4A5E-8541-AA62ABCB6334}"/>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40"/>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1.11 Mobilising the potential of digitalisation of product information, including solutions such as digital  passports, tagging and watermarks</c:v>
                      </c:pt>
                      <c:pt idx="10">
                        <c:v> 1.12 Rewarding products based on their different sustainability performance, including by linking high 
performance levels to incentives</c:v>
                      </c:pt>
                      <c:pt idx="11">
                        <c:v>CE 2.1 Ensure that consumers receive trustworthy and relevant information on products at the point of sale, including on their lifespan and on the 
availability of repair services, spare parts and repair manuals</c:v>
                      </c:pt>
                      <c:pt idx="12">
                        <c:v>CE 2.2 Strengthening consumer protection against green washing, premature obsolescence and
setting minimum requirements for sustainability labels/logos and for information tools</c:v>
                      </c:pt>
                      <c:pt idx="13">
                        <c:v>CE 2.4 Minimum mandatory green public procurement (GPP)  criteria and targets in sectoral legislation and phase in compulsory reporting to monitor the uptake of GPP</c:v>
                      </c:pt>
                      <c:pt idx="14">
                        <c:v>CE 3.1 Promoting circularity in industrial processes in the context of the review 
of the Industrial Emissions Directive, including the integration of circular economy practices in 
upcoming Best Available Techniques</c:v>
                      </c:pt>
                      <c:pt idx="15">
                        <c:v>CE 3.3 Supporting the sustainable and circular bio-based sector through the implementation of the 
Bioeconomy Action Plan</c:v>
                      </c:pt>
                      <c:pt idx="16">
                        <c:v>CE 4.1 Electronics and ICT</c:v>
                      </c:pt>
                      <c:pt idx="17">
                        <c:v>CE 4.2 Batteries and vehicles</c:v>
                      </c:pt>
                      <c:pt idx="18">
                        <c:v>CE 4.5 Construction and buildings</c:v>
                      </c:pt>
                      <c:pt idx="19">
                        <c:v>CE 5.1 Enhanced waste policy in support of waste prevention and circularity</c:v>
                      </c:pt>
                      <c:pt idx="20">
                        <c:v>CE 5.2 Enhancing circularity in a toxic-free environmen</c:v>
                      </c:pt>
                      <c:pt idx="21">
                        <c:v>CE 5.3 Creating a well-functioning EU market for secondary raw 
materials</c:v>
                      </c:pt>
                      <c:pt idx="22">
                        <c:v>CE 7.2 Getting the economics right</c:v>
                      </c:pt>
                      <c:pt idx="23">
                        <c:v>CE 8.1 Leading efforts at global level</c:v>
                      </c:pt>
                      <c:pt idx="24">
                        <c:v>CM 1.1 Energy efficiency for the decarbonision of industrial processes 
</c:v>
                      </c:pt>
                      <c:pt idx="25">
                        <c:v>CM 1.2 Significant reductions in overall energy  use in buildings</c:v>
                      </c:pt>
                      <c:pt idx="26">
                        <c:v>CM 2.1  Increasing the share of renewables thereby improving security of supply and reducing dependence from imports</c:v>
                      </c:pt>
                      <c:pt idx="27">
                        <c:v>CM 2.2 Increase electricity production from renewables
and promote decentralised, smart and flexible power system 
</c:v>
                      </c:pt>
                      <c:pt idx="28">
                        <c:v>CM 3.1 Low or zero-emission vehicles with efficient alternative powertrains</c:v>
                      </c:pt>
                      <c:pt idx="29">
                        <c:v>CM 3.2 Making heavy-duty vehicles, rail, aviation and shipping climate-neutral</c:v>
                      </c:pt>
                      <c:pt idx="30">
                        <c:v>CM 3.3 Having an efficient organization and infrastructure of the mobility system</c:v>
                      </c:pt>
                      <c:pt idx="31">
                        <c:v>CM 4.1 Promoting a more resource-efficient industrial production  (such as steel, glass and plastics)
</c:v>
                      </c:pt>
                      <c:pt idx="32">
                        <c:v>CM 4.2 Promoting a less emission-intensive industrial production  (such as steel, glass and plastics)</c:v>
                      </c:pt>
                      <c:pt idx="33">
                        <c:v>CM 4.3 Raw material recovery and recycling to ensure sustainable and secure supply chains</c:v>
                      </c:pt>
                      <c:pt idx="34">
                        <c:v>CM 4.4 Innovation and modernisation of industrial processes, new technologies </c:v>
                      </c:pt>
                      <c:pt idx="35">
                        <c:v>CM 4.5  Information on carbon and environmental footprints of products and services should be more transparent so that consumers may make informed decisions</c:v>
                      </c:pt>
                      <c:pt idx="36">
                        <c:v>CM 5.2 Smart charging and refueling stations allowing for cross-border services (among others)</c:v>
                      </c:pt>
                      <c:pt idx="37">
                        <c:v>CM 5.3 Retrofitting of existing infrastructure can ensure continuous use, while the replacement of old  infrastructure can be compatible with decarbonization objectives.</c:v>
                      </c:pt>
                      <c:pt idx="38">
                        <c:v>CM 6.1 Agricultural production for bioenergy using efficient and sustainable production methods</c:v>
                      </c:pt>
                      <c:pt idx="39">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frequencia.xlsx]total'!$E$2:$E$56</c15:sqref>
                        </c15:formulaRef>
                      </c:ext>
                    </c:extLst>
                    <c:numCache>
                      <c:formatCode>General</c:formatCode>
                      <c:ptCount val="40"/>
                      <c:pt idx="0">
                        <c:v>0</c:v>
                      </c:pt>
                      <c:pt idx="1">
                        <c:v>5</c:v>
                      </c:pt>
                      <c:pt idx="2">
                        <c:v>4</c:v>
                      </c:pt>
                      <c:pt idx="3">
                        <c:v>1</c:v>
                      </c:pt>
                      <c:pt idx="4">
                        <c:v>1</c:v>
                      </c:pt>
                      <c:pt idx="5">
                        <c:v>1</c:v>
                      </c:pt>
                      <c:pt idx="6">
                        <c:v>8</c:v>
                      </c:pt>
                      <c:pt idx="7">
                        <c:v>10</c:v>
                      </c:pt>
                      <c:pt idx="8">
                        <c:v>0</c:v>
                      </c:pt>
                      <c:pt idx="9">
                        <c:v>0</c:v>
                      </c:pt>
                      <c:pt idx="10">
                        <c:v>2</c:v>
                      </c:pt>
                      <c:pt idx="11">
                        <c:v>3</c:v>
                      </c:pt>
                      <c:pt idx="12">
                        <c:v>0</c:v>
                      </c:pt>
                      <c:pt idx="13">
                        <c:v>0</c:v>
                      </c:pt>
                      <c:pt idx="14">
                        <c:v>2</c:v>
                      </c:pt>
                      <c:pt idx="15">
                        <c:v>1</c:v>
                      </c:pt>
                      <c:pt idx="16">
                        <c:v>0</c:v>
                      </c:pt>
                      <c:pt idx="17">
                        <c:v>3</c:v>
                      </c:pt>
                      <c:pt idx="18">
                        <c:v>3</c:v>
                      </c:pt>
                      <c:pt idx="19">
                        <c:v>1</c:v>
                      </c:pt>
                      <c:pt idx="20">
                        <c:v>1</c:v>
                      </c:pt>
                      <c:pt idx="21">
                        <c:v>0</c:v>
                      </c:pt>
                      <c:pt idx="22">
                        <c:v>2</c:v>
                      </c:pt>
                      <c:pt idx="23">
                        <c:v>2</c:v>
                      </c:pt>
                      <c:pt idx="24">
                        <c:v>6</c:v>
                      </c:pt>
                      <c:pt idx="25">
                        <c:v>2</c:v>
                      </c:pt>
                      <c:pt idx="26">
                        <c:v>7</c:v>
                      </c:pt>
                      <c:pt idx="27">
                        <c:v>6</c:v>
                      </c:pt>
                      <c:pt idx="28">
                        <c:v>3</c:v>
                      </c:pt>
                      <c:pt idx="29">
                        <c:v>3</c:v>
                      </c:pt>
                      <c:pt idx="30">
                        <c:v>1</c:v>
                      </c:pt>
                      <c:pt idx="31">
                        <c:v>1</c:v>
                      </c:pt>
                      <c:pt idx="32">
                        <c:v>5</c:v>
                      </c:pt>
                      <c:pt idx="33">
                        <c:v>1</c:v>
                      </c:pt>
                      <c:pt idx="34">
                        <c:v>3</c:v>
                      </c:pt>
                      <c:pt idx="35">
                        <c:v>2</c:v>
                      </c:pt>
                      <c:pt idx="36">
                        <c:v>1</c:v>
                      </c:pt>
                      <c:pt idx="37">
                        <c:v>0</c:v>
                      </c:pt>
                      <c:pt idx="38">
                        <c:v>2</c:v>
                      </c:pt>
                      <c:pt idx="39">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0367-4A5E-8541-AA62ABCB6334}"/>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40"/>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1.11 Mobilising the potential of digitalisation of product information, including solutions such as digital  passports, tagging and watermarks</c:v>
                      </c:pt>
                      <c:pt idx="10">
                        <c:v> 1.12 Rewarding products based on their different sustainability performance, including by linking high 
performance levels to incentives</c:v>
                      </c:pt>
                      <c:pt idx="11">
                        <c:v>CE 2.1 Ensure that consumers receive trustworthy and relevant information on products at the point of sale, including on their lifespan and on the 
availability of repair services, spare parts and repair manuals</c:v>
                      </c:pt>
                      <c:pt idx="12">
                        <c:v>CE 2.2 Strengthening consumer protection against green washing, premature obsolescence and
setting minimum requirements for sustainability labels/logos and for information tools</c:v>
                      </c:pt>
                      <c:pt idx="13">
                        <c:v>CE 2.4 Minimum mandatory green public procurement (GPP)  criteria and targets in sectoral legislation and phase in compulsory reporting to monitor the uptake of GPP</c:v>
                      </c:pt>
                      <c:pt idx="14">
                        <c:v>CE 3.1 Promoting circularity in industrial processes in the context of the review 
of the Industrial Emissions Directive, including the integration of circular economy practices in 
upcoming Best Available Techniques</c:v>
                      </c:pt>
                      <c:pt idx="15">
                        <c:v>CE 3.3 Supporting the sustainable and circular bio-based sector through the implementation of the 
Bioeconomy Action Plan</c:v>
                      </c:pt>
                      <c:pt idx="16">
                        <c:v>CE 4.1 Electronics and ICT</c:v>
                      </c:pt>
                      <c:pt idx="17">
                        <c:v>CE 4.2 Batteries and vehicles</c:v>
                      </c:pt>
                      <c:pt idx="18">
                        <c:v>CE 4.5 Construction and buildings</c:v>
                      </c:pt>
                      <c:pt idx="19">
                        <c:v>CE 5.1 Enhanced waste policy in support of waste prevention and circularity</c:v>
                      </c:pt>
                      <c:pt idx="20">
                        <c:v>CE 5.2 Enhancing circularity in a toxic-free environmen</c:v>
                      </c:pt>
                      <c:pt idx="21">
                        <c:v>CE 5.3 Creating a well-functioning EU market for secondary raw 
materials</c:v>
                      </c:pt>
                      <c:pt idx="22">
                        <c:v>CE 7.2 Getting the economics right</c:v>
                      </c:pt>
                      <c:pt idx="23">
                        <c:v>CE 8.1 Leading efforts at global level</c:v>
                      </c:pt>
                      <c:pt idx="24">
                        <c:v>CM 1.1 Energy efficiency for the decarbonision of industrial processes 
</c:v>
                      </c:pt>
                      <c:pt idx="25">
                        <c:v>CM 1.2 Significant reductions in overall energy  use in buildings</c:v>
                      </c:pt>
                      <c:pt idx="26">
                        <c:v>CM 2.1  Increasing the share of renewables thereby improving security of supply and reducing dependence from imports</c:v>
                      </c:pt>
                      <c:pt idx="27">
                        <c:v>CM 2.2 Increase electricity production from renewables
and promote decentralised, smart and flexible power system 
</c:v>
                      </c:pt>
                      <c:pt idx="28">
                        <c:v>CM 3.1 Low or zero-emission vehicles with efficient alternative powertrains</c:v>
                      </c:pt>
                      <c:pt idx="29">
                        <c:v>CM 3.2 Making heavy-duty vehicles, rail, aviation and shipping climate-neutral</c:v>
                      </c:pt>
                      <c:pt idx="30">
                        <c:v>CM 3.3 Having an efficient organization and infrastructure of the mobility system</c:v>
                      </c:pt>
                      <c:pt idx="31">
                        <c:v>CM 4.1 Promoting a more resource-efficient industrial production  (such as steel, glass and plastics)
</c:v>
                      </c:pt>
                      <c:pt idx="32">
                        <c:v>CM 4.2 Promoting a less emission-intensive industrial production  (such as steel, glass and plastics)</c:v>
                      </c:pt>
                      <c:pt idx="33">
                        <c:v>CM 4.3 Raw material recovery and recycling to ensure sustainable and secure supply chains</c:v>
                      </c:pt>
                      <c:pt idx="34">
                        <c:v>CM 4.4 Innovation and modernisation of industrial processes, new technologies </c:v>
                      </c:pt>
                      <c:pt idx="35">
                        <c:v>CM 4.5  Information on carbon and environmental footprints of products and services should be more transparent so that consumers may make informed decisions</c:v>
                      </c:pt>
                      <c:pt idx="36">
                        <c:v>CM 5.2 Smart charging and refueling stations allowing for cross-border services (among others)</c:v>
                      </c:pt>
                      <c:pt idx="37">
                        <c:v>CM 5.3 Retrofitting of existing infrastructure can ensure continuous use, while the replacement of old  infrastructure can be compatible with decarbonization objectives.</c:v>
                      </c:pt>
                      <c:pt idx="38">
                        <c:v>CM 6.1 Agricultural production for bioenergy using efficient and sustainable production methods</c:v>
                      </c:pt>
                      <c:pt idx="39">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frequencia.xlsx]total'!$F$2:$F$56</c15:sqref>
                        </c15:formulaRef>
                      </c:ext>
                    </c:extLst>
                    <c:numCache>
                      <c:formatCode>General</c:formatCode>
                      <c:ptCount val="40"/>
                      <c:pt idx="0">
                        <c:v>0</c:v>
                      </c:pt>
                      <c:pt idx="1">
                        <c:v>1</c:v>
                      </c:pt>
                      <c:pt idx="2">
                        <c:v>2</c:v>
                      </c:pt>
                      <c:pt idx="3">
                        <c:v>0</c:v>
                      </c:pt>
                      <c:pt idx="4">
                        <c:v>0</c:v>
                      </c:pt>
                      <c:pt idx="5">
                        <c:v>0</c:v>
                      </c:pt>
                      <c:pt idx="6">
                        <c:v>0</c:v>
                      </c:pt>
                      <c:pt idx="7">
                        <c:v>3</c:v>
                      </c:pt>
                      <c:pt idx="8">
                        <c:v>0</c:v>
                      </c:pt>
                      <c:pt idx="9">
                        <c:v>0</c:v>
                      </c:pt>
                      <c:pt idx="10">
                        <c:v>1</c:v>
                      </c:pt>
                      <c:pt idx="11">
                        <c:v>2</c:v>
                      </c:pt>
                      <c:pt idx="12">
                        <c:v>0</c:v>
                      </c:pt>
                      <c:pt idx="13">
                        <c:v>0</c:v>
                      </c:pt>
                      <c:pt idx="14">
                        <c:v>0</c:v>
                      </c:pt>
                      <c:pt idx="15">
                        <c:v>0</c:v>
                      </c:pt>
                      <c:pt idx="16">
                        <c:v>0</c:v>
                      </c:pt>
                      <c:pt idx="17">
                        <c:v>0</c:v>
                      </c:pt>
                      <c:pt idx="18">
                        <c:v>3</c:v>
                      </c:pt>
                      <c:pt idx="19">
                        <c:v>0</c:v>
                      </c:pt>
                      <c:pt idx="20">
                        <c:v>1</c:v>
                      </c:pt>
                      <c:pt idx="21">
                        <c:v>0</c:v>
                      </c:pt>
                      <c:pt idx="22">
                        <c:v>0</c:v>
                      </c:pt>
                      <c:pt idx="23">
                        <c:v>1</c:v>
                      </c:pt>
                      <c:pt idx="24">
                        <c:v>1</c:v>
                      </c:pt>
                      <c:pt idx="25">
                        <c:v>2</c:v>
                      </c:pt>
                      <c:pt idx="26">
                        <c:v>2</c:v>
                      </c:pt>
                      <c:pt idx="27">
                        <c:v>1</c:v>
                      </c:pt>
                      <c:pt idx="28">
                        <c:v>1</c:v>
                      </c:pt>
                      <c:pt idx="29">
                        <c:v>1</c:v>
                      </c:pt>
                      <c:pt idx="30">
                        <c:v>0</c:v>
                      </c:pt>
                      <c:pt idx="31">
                        <c:v>0</c:v>
                      </c:pt>
                      <c:pt idx="32">
                        <c:v>1</c:v>
                      </c:pt>
                      <c:pt idx="33">
                        <c:v>0</c:v>
                      </c:pt>
                      <c:pt idx="34">
                        <c:v>1</c:v>
                      </c:pt>
                      <c:pt idx="35">
                        <c:v>3</c:v>
                      </c:pt>
                      <c:pt idx="36">
                        <c:v>0</c:v>
                      </c:pt>
                      <c:pt idx="37">
                        <c:v>0</c:v>
                      </c:pt>
                      <c:pt idx="38">
                        <c:v>1</c:v>
                      </c:pt>
                      <c:pt idx="39">
                        <c:v>0</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0367-4A5E-8541-AA62ABCB6334}"/>
                  </c:ext>
                </c:extLst>
              </c15:ser>
            </c15:filteredRadarSeries>
          </c:ext>
        </c:extLst>
      </c:radarChart>
      <c:catAx>
        <c:axId val="8074392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807438808"/>
        <c:crosses val="autoZero"/>
        <c:auto val="1"/>
        <c:lblAlgn val="ctr"/>
        <c:lblOffset val="100"/>
        <c:noMultiLvlLbl val="0"/>
      </c:catAx>
      <c:valAx>
        <c:axId val="807438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07439200"/>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6634949342686726"/>
          <c:y val="0.14090410803978973"/>
          <c:w val="0.47677103216057698"/>
          <c:h val="0.69731001717263608"/>
        </c:manualLayout>
      </c:layout>
      <c:radarChart>
        <c:radarStyle val="marker"/>
        <c:varyColors val="0"/>
        <c:ser>
          <c:idx val="0"/>
          <c:order val="0"/>
          <c:tx>
            <c:strRef>
              <c:f>'[ANALYSIS DIRECTIVES_com_a moda e frequencia.xlsx]total'!$F$1</c:f>
              <c:strCache>
                <c:ptCount val="1"/>
                <c:pt idx="0">
                  <c:v>Buildings</c:v>
                </c:pt>
              </c:strCache>
            </c:strRef>
          </c:tx>
          <c:spPr>
            <a:ln w="28575" cap="rnd">
              <a:solidFill>
                <a:schemeClr val="accent6"/>
              </a:solidFill>
              <a:round/>
            </a:ln>
            <a:effectLst/>
          </c:spPr>
          <c:marker>
            <c:symbol val="none"/>
          </c:marker>
          <c:cat>
            <c:strRef>
              <c:f>'[ANALYSIS DIRECTIVES_com_a moda e frequencia.xlsx]total'!$A$2:$A$56</c:f>
              <c:strCache>
                <c:ptCount val="19"/>
                <c:pt idx="0">
                  <c:v>CE 1.2 Addressing the presence of hazardous chemicals in products</c:v>
                </c:pt>
                <c:pt idx="1">
                  <c:v>CE 1.3 Increasing products energy  efficiency</c:v>
                </c:pt>
                <c:pt idx="2">
                  <c:v>CE 1.8 Reducing the carbon footprint</c:v>
                </c:pt>
                <c:pt idx="3">
                  <c:v> 1.12 Rewarding products based on their different sustainability performance, including by linking high 
performance levels to incentives</c:v>
                </c:pt>
                <c:pt idx="4">
                  <c:v>CE 2.1 Ensure that consumers receive trustworthy and relevant information on products at the point of sale, including on their lifespan and on the 
availability of repair services, spare parts and repair manuals</c:v>
                </c:pt>
                <c:pt idx="5">
                  <c:v>CE 4.5 Construction and buildings</c:v>
                </c:pt>
                <c:pt idx="6">
                  <c:v>CE 5.2 Enhancing circularity in a toxic-free environmen</c:v>
                </c:pt>
                <c:pt idx="7">
                  <c:v>CE 7.3 Driving the transition through research, innovation and digitalisation</c:v>
                </c:pt>
                <c:pt idx="8">
                  <c:v>CE 8.1 Leading efforts at global level</c:v>
                </c:pt>
                <c:pt idx="9">
                  <c:v>CM 1.1 Energy efficiency for the decarbonision of industrial processes 
</c:v>
                </c:pt>
                <c:pt idx="10">
                  <c:v>CM 1.2 Significant reductions in overall energy  use in buildings</c:v>
                </c:pt>
                <c:pt idx="11">
                  <c:v>CM 2.1  Increasing the share of renewables thereby improving security of supply and reducing dependence from imports</c:v>
                </c:pt>
                <c:pt idx="12">
                  <c:v>CM 2.2 Increase electricity production from renewables
and promote decentralised, smart and flexible power system 
</c:v>
                </c:pt>
                <c:pt idx="13">
                  <c:v>CM 3.1 Low or zero-emission vehicles with efficient alternative powertrains</c:v>
                </c:pt>
                <c:pt idx="14">
                  <c:v>CM 3.2 Making heavy-duty vehicles, rail, aviation and shipping climate-neutral</c:v>
                </c:pt>
                <c:pt idx="15">
                  <c:v>CM 4.2 Promoting a less emission-intensive industrial production  (such as steel, glass and plastics)</c:v>
                </c:pt>
                <c:pt idx="16">
                  <c:v>CM 4.4 Innovation and modernisation of industrial processes, new technologies </c:v>
                </c:pt>
                <c:pt idx="17">
                  <c:v>CM 4.5  Information on carbon and environmental footprints of products and services should be more transparent so that consumers may make informed decisions</c:v>
                </c:pt>
                <c:pt idx="18">
                  <c:v>CM 6.1 Agricultural production for bioenergy using efficient and sustainable production methods</c:v>
                </c:pt>
              </c:strCache>
            </c:strRef>
          </c:cat>
          <c:val>
            <c:numRef>
              <c:f>'[ANALYSIS DIRECTIVES_com_a moda e frequencia.xlsx]total'!$F$2:$F$56</c:f>
              <c:numCache>
                <c:formatCode>General</c:formatCode>
                <c:ptCount val="19"/>
                <c:pt idx="0">
                  <c:v>1</c:v>
                </c:pt>
                <c:pt idx="1">
                  <c:v>2</c:v>
                </c:pt>
                <c:pt idx="2">
                  <c:v>3</c:v>
                </c:pt>
                <c:pt idx="3">
                  <c:v>1</c:v>
                </c:pt>
                <c:pt idx="4">
                  <c:v>2</c:v>
                </c:pt>
                <c:pt idx="5">
                  <c:v>3</c:v>
                </c:pt>
                <c:pt idx="6">
                  <c:v>1</c:v>
                </c:pt>
                <c:pt idx="7">
                  <c:v>1</c:v>
                </c:pt>
                <c:pt idx="8">
                  <c:v>1</c:v>
                </c:pt>
                <c:pt idx="9">
                  <c:v>1</c:v>
                </c:pt>
                <c:pt idx="10">
                  <c:v>2</c:v>
                </c:pt>
                <c:pt idx="11">
                  <c:v>2</c:v>
                </c:pt>
                <c:pt idx="12">
                  <c:v>1</c:v>
                </c:pt>
                <c:pt idx="13">
                  <c:v>1</c:v>
                </c:pt>
                <c:pt idx="14">
                  <c:v>1</c:v>
                </c:pt>
                <c:pt idx="15">
                  <c:v>1</c:v>
                </c:pt>
                <c:pt idx="16">
                  <c:v>1</c:v>
                </c:pt>
                <c:pt idx="17">
                  <c:v>3</c:v>
                </c:pt>
                <c:pt idx="18">
                  <c:v>1</c:v>
                </c:pt>
              </c:numCache>
            </c:numRef>
          </c:val>
          <c:extLst xmlns="http://schemas.openxmlformats.org/drawingml/2006/chart" xmlns:c16r2="http://schemas.microsoft.com/office/drawing/2015/06/chart">
            <c:ext xmlns:c16="http://schemas.microsoft.com/office/drawing/2014/chart" uri="{C3380CC4-5D6E-409C-BE32-E72D297353CC}">
              <c16:uniqueId val="{00000000-7D43-499E-B899-5A83FF1E2BD7}"/>
            </c:ext>
          </c:extLst>
        </c:ser>
        <c:dLbls>
          <c:showLegendKey val="0"/>
          <c:showVal val="0"/>
          <c:showCatName val="0"/>
          <c:showSerName val="0"/>
          <c:showPercent val="0"/>
          <c:showBubbleSize val="0"/>
        </c:dLbls>
        <c:axId val="807438024"/>
        <c:axId val="807436848"/>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'[ANALYSIS DIRECTIVES_com_a moda e frequencia.xlsx]total'!$C$1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'[ANALYSIS DIRECTIVES_com_a moda e frequencia.xlsx]total'!$A$2:$A$56</c15:sqref>
                        </c15:formulaRef>
                      </c:ext>
                    </c:extLst>
                    <c:strCache>
                      <c:ptCount val="19"/>
                      <c:pt idx="0">
                        <c:v>CE 1.2 Addressing the presence of hazardous chemicals in products</c:v>
                      </c:pt>
                      <c:pt idx="1">
                        <c:v>CE 1.3 Increasing products energy  efficiency</c:v>
                      </c:pt>
                      <c:pt idx="2">
                        <c:v>CE 1.8 Reducing the carbon footprint</c:v>
                      </c:pt>
                      <c:pt idx="3">
                        <c:v> 1.12 Rewarding products based on their different sustainability performance, including by linking high 
performance levels to incentives</c:v>
                      </c:pt>
                      <c:pt idx="4">
                        <c:v>CE 2.1 Ensure that consumers receive trustworthy and relevant information on products at the point of sale, including on their lifespan and on the 
availability of repair services, spare parts and repair manuals</c:v>
                      </c:pt>
                      <c:pt idx="5">
                        <c:v>CE 4.5 Construction and buildings</c:v>
                      </c:pt>
                      <c:pt idx="6">
                        <c:v>CE 5.2 Enhancing circularity in a toxic-free environmen</c:v>
                      </c:pt>
                      <c:pt idx="7">
                        <c:v>CE 7.3 Driving the transition through research, innovation and digitalisation</c:v>
                      </c:pt>
                      <c:pt idx="8">
                        <c:v>CE 8.1 Leading efforts at global level</c:v>
                      </c:pt>
                      <c:pt idx="9">
                        <c:v>CM 1.1 Energy efficiency for the decarbonision of industrial processes 
</c:v>
                      </c:pt>
                      <c:pt idx="10">
                        <c:v>CM 1.2 Significant reductions in overall energy  use in buildings</c:v>
                      </c:pt>
                      <c:pt idx="11">
                        <c:v>CM 2.1  Increasing the share of renewables thereby improving security of supply and reducing dependence from imports</c:v>
                      </c:pt>
                      <c:pt idx="12">
                        <c:v>CM 2.2 Increase electricity production from renewables
and promote decentralised, smart and flexible power system 
</c:v>
                      </c:pt>
                      <c:pt idx="13">
                        <c:v>CM 3.1 Low or zero-emission vehicles with efficient alternative powertrains</c:v>
                      </c:pt>
                      <c:pt idx="14">
                        <c:v>CM 3.2 Making heavy-duty vehicles, rail, aviation and shipping climate-neutral</c:v>
                      </c:pt>
                      <c:pt idx="15">
                        <c:v>CM 4.2 Promoting a less emission-intensive industrial production  (such as steel, glass and plastics)</c:v>
                      </c:pt>
                      <c:pt idx="16">
                        <c:v>CM 4.4 Innovation and modernisation of industrial processes, new technologies </c:v>
                      </c:pt>
                      <c:pt idx="17">
                        <c:v>CM 4.5  Information on carbon and environmental footprints of products and services should be more transparent so that consumers may make informed decisions</c:v>
                      </c:pt>
                      <c:pt idx="18">
                        <c:v>CM 6.1 Agricultural production for bioenergy using efficient and sustainable production methods</c:v>
                      </c:pt>
                    </c:strCache>
                  </c:strRef>
                </c:cat>
                <c:val>
                  <c:numRef>
                    <c:extLst xmlns="http://schemas.openxmlformats.org/drawingml/2006/chart" xmlns:c16r2="http://schemas.microsoft.com/office/drawing/2015/06/chart">
                      <c:ext uri="{02D57815-91ED-43cb-92C2-25804820EDAC}">
                        <c15:formulaRef>
                          <c15:sqref>'[ANALYSIS DIRECTIVES_com_a moda e frequencia.xlsx]total'!$C$2:$C$56</c15:sqref>
                        </c15:formulaRef>
                      </c:ext>
                    </c:extLst>
                    <c:numCache>
                      <c:formatCode>General</c:formatCode>
                      <c:ptCount val="19"/>
                      <c:pt idx="0">
                        <c:v>8</c:v>
                      </c:pt>
                      <c:pt idx="1">
                        <c:v>6</c:v>
                      </c:pt>
                      <c:pt idx="2">
                        <c:v>9</c:v>
                      </c:pt>
                      <c:pt idx="3">
                        <c:v>1</c:v>
                      </c:pt>
                      <c:pt idx="4">
                        <c:v>5</c:v>
                      </c:pt>
                      <c:pt idx="5">
                        <c:v>5</c:v>
                      </c:pt>
                      <c:pt idx="6">
                        <c:v>5</c:v>
                      </c:pt>
                      <c:pt idx="7">
                        <c:v>1</c:v>
                      </c:pt>
                      <c:pt idx="8">
                        <c:v>1</c:v>
                      </c:pt>
                      <c:pt idx="9">
                        <c:v>7</c:v>
                      </c:pt>
                      <c:pt idx="10">
                        <c:v>2</c:v>
                      </c:pt>
                      <c:pt idx="11">
                        <c:v>3</c:v>
                      </c:pt>
                      <c:pt idx="12">
                        <c:v>3</c:v>
                      </c:pt>
                      <c:pt idx="13">
                        <c:v>0</c:v>
                      </c:pt>
                      <c:pt idx="14">
                        <c:v>0</c:v>
                      </c:pt>
                      <c:pt idx="15">
                        <c:v>5</c:v>
                      </c:pt>
                      <c:pt idx="16">
                        <c:v>3</c:v>
                      </c:pt>
                      <c:pt idx="17">
                        <c:v>5</c:v>
                      </c:pt>
                      <c:pt idx="18">
                        <c:v>0</c:v>
                      </c:pt>
                    </c:numCache>
                  </c:numRef>
                </c:val>
                <c:extLst xmlns="http://schemas.openxmlformats.org/drawingml/2006/chart" xmlns:c16r2="http://schemas.microsoft.com/office/drawing/2015/06/chart">
                  <c:ext xmlns:c16="http://schemas.microsoft.com/office/drawing/2014/chart" uri="{C3380CC4-5D6E-409C-BE32-E72D297353CC}">
                    <c16:uniqueId val="{00000001-7D43-499E-B899-5A83FF1E2BD7}"/>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9"/>
                      <c:pt idx="0">
                        <c:v>CE 1.2 Addressing the presence of hazardous chemicals in products</c:v>
                      </c:pt>
                      <c:pt idx="1">
                        <c:v>CE 1.3 Increasing products energy  efficiency</c:v>
                      </c:pt>
                      <c:pt idx="2">
                        <c:v>CE 1.8 Reducing the carbon footprint</c:v>
                      </c:pt>
                      <c:pt idx="3">
                        <c:v> 1.12 Rewarding products based on their different sustainability performance, including by linking high 
performance levels to incentives</c:v>
                      </c:pt>
                      <c:pt idx="4">
                        <c:v>CE 2.1 Ensure that consumers receive trustworthy and relevant information on products at the point of sale, including on their lifespan and on the 
availability of repair services, spare parts and repair manuals</c:v>
                      </c:pt>
                      <c:pt idx="5">
                        <c:v>CE 4.5 Construction and buildings</c:v>
                      </c:pt>
                      <c:pt idx="6">
                        <c:v>CE 5.2 Enhancing circularity in a toxic-free environmen</c:v>
                      </c:pt>
                      <c:pt idx="7">
                        <c:v>CE 7.3 Driving the transition through research, innovation and digitalisation</c:v>
                      </c:pt>
                      <c:pt idx="8">
                        <c:v>CE 8.1 Leading efforts at global level</c:v>
                      </c:pt>
                      <c:pt idx="9">
                        <c:v>CM 1.1 Energy efficiency for the decarbonision of industrial processes 
</c:v>
                      </c:pt>
                      <c:pt idx="10">
                        <c:v>CM 1.2 Significant reductions in overall energy  use in buildings</c:v>
                      </c:pt>
                      <c:pt idx="11">
                        <c:v>CM 2.1  Increasing the share of renewables thereby improving security of supply and reducing dependence from imports</c:v>
                      </c:pt>
                      <c:pt idx="12">
                        <c:v>CM 2.2 Increase electricity production from renewables
and promote decentralised, smart and flexible power system 
</c:v>
                      </c:pt>
                      <c:pt idx="13">
                        <c:v>CM 3.1 Low or zero-emission vehicles with efficient alternative powertrains</c:v>
                      </c:pt>
                      <c:pt idx="14">
                        <c:v>CM 3.2 Making heavy-duty vehicles, rail, aviation and shipping climate-neutral</c:v>
                      </c:pt>
                      <c:pt idx="15">
                        <c:v>CM 4.2 Promoting a less emission-intensive industrial production  (such as steel, glass and plastics)</c:v>
                      </c:pt>
                      <c:pt idx="16">
                        <c:v>CM 4.4 Innovation and modernisation of industrial processes, new technologies </c:v>
                      </c:pt>
                      <c:pt idx="17">
                        <c:v>CM 4.5  Information on carbon and environmental footprints of products and services should be more transparent so that consumers may make informed decisions</c:v>
                      </c:pt>
                      <c:pt idx="18">
                        <c:v>CM 6.1 Agricultural production for bioenergy using efficient and sustainable production methods</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frequencia.xlsx]total'!$D$2:$D$56</c15:sqref>
                        </c15:formulaRef>
                      </c:ext>
                    </c:extLst>
                    <c:numCache>
                      <c:formatCode>General</c:formatCode>
                      <c:ptCount val="19"/>
                      <c:pt idx="0">
                        <c:v>9</c:v>
                      </c:pt>
                      <c:pt idx="1">
                        <c:v>6</c:v>
                      </c:pt>
                      <c:pt idx="2">
                        <c:v>14</c:v>
                      </c:pt>
                      <c:pt idx="3">
                        <c:v>4</c:v>
                      </c:pt>
                      <c:pt idx="4">
                        <c:v>5</c:v>
                      </c:pt>
                      <c:pt idx="5">
                        <c:v>3</c:v>
                      </c:pt>
                      <c:pt idx="6">
                        <c:v>4</c:v>
                      </c:pt>
                      <c:pt idx="7">
                        <c:v>0</c:v>
                      </c:pt>
                      <c:pt idx="8">
                        <c:v>2</c:v>
                      </c:pt>
                      <c:pt idx="9">
                        <c:v>5</c:v>
                      </c:pt>
                      <c:pt idx="10">
                        <c:v>2</c:v>
                      </c:pt>
                      <c:pt idx="11">
                        <c:v>6</c:v>
                      </c:pt>
                      <c:pt idx="12">
                        <c:v>5</c:v>
                      </c:pt>
                      <c:pt idx="13">
                        <c:v>6</c:v>
                      </c:pt>
                      <c:pt idx="14">
                        <c:v>5</c:v>
                      </c:pt>
                      <c:pt idx="15">
                        <c:v>5</c:v>
                      </c:pt>
                      <c:pt idx="16">
                        <c:v>3</c:v>
                      </c:pt>
                      <c:pt idx="17">
                        <c:v>3</c:v>
                      </c:pt>
                      <c:pt idx="18">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7D43-499E-B899-5A83FF1E2BD7}"/>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9"/>
                      <c:pt idx="0">
                        <c:v>CE 1.2 Addressing the presence of hazardous chemicals in products</c:v>
                      </c:pt>
                      <c:pt idx="1">
                        <c:v>CE 1.3 Increasing products energy  efficiency</c:v>
                      </c:pt>
                      <c:pt idx="2">
                        <c:v>CE 1.8 Reducing the carbon footprint</c:v>
                      </c:pt>
                      <c:pt idx="3">
                        <c:v> 1.12 Rewarding products based on their different sustainability performance, including by linking high 
performance levels to incentives</c:v>
                      </c:pt>
                      <c:pt idx="4">
                        <c:v>CE 2.1 Ensure that consumers receive trustworthy and relevant information on products at the point of sale, including on their lifespan and on the 
availability of repair services, spare parts and repair manuals</c:v>
                      </c:pt>
                      <c:pt idx="5">
                        <c:v>CE 4.5 Construction and buildings</c:v>
                      </c:pt>
                      <c:pt idx="6">
                        <c:v>CE 5.2 Enhancing circularity in a toxic-free environmen</c:v>
                      </c:pt>
                      <c:pt idx="7">
                        <c:v>CE 7.3 Driving the transition through research, innovation and digitalisation</c:v>
                      </c:pt>
                      <c:pt idx="8">
                        <c:v>CE 8.1 Leading efforts at global level</c:v>
                      </c:pt>
                      <c:pt idx="9">
                        <c:v>CM 1.1 Energy efficiency for the decarbonision of industrial processes 
</c:v>
                      </c:pt>
                      <c:pt idx="10">
                        <c:v>CM 1.2 Significant reductions in overall energy  use in buildings</c:v>
                      </c:pt>
                      <c:pt idx="11">
                        <c:v>CM 2.1  Increasing the share of renewables thereby improving security of supply and reducing dependence from imports</c:v>
                      </c:pt>
                      <c:pt idx="12">
                        <c:v>CM 2.2 Increase electricity production from renewables
and promote decentralised, smart and flexible power system 
</c:v>
                      </c:pt>
                      <c:pt idx="13">
                        <c:v>CM 3.1 Low or zero-emission vehicles with efficient alternative powertrains</c:v>
                      </c:pt>
                      <c:pt idx="14">
                        <c:v>CM 3.2 Making heavy-duty vehicles, rail, aviation and shipping climate-neutral</c:v>
                      </c:pt>
                      <c:pt idx="15">
                        <c:v>CM 4.2 Promoting a less emission-intensive industrial production  (such as steel, glass and plastics)</c:v>
                      </c:pt>
                      <c:pt idx="16">
                        <c:v>CM 4.4 Innovation and modernisation of industrial processes, new technologies </c:v>
                      </c:pt>
                      <c:pt idx="17">
                        <c:v>CM 4.5  Information on carbon and environmental footprints of products and services should be more transparent so that consumers may make informed decisions</c:v>
                      </c:pt>
                      <c:pt idx="18">
                        <c:v>CM 6.1 Agricultural production for bioenergy using efficient and sustainable production methods</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frequencia.xlsx]total'!$E$2:$E$56</c15:sqref>
                        </c15:formulaRef>
                      </c:ext>
                    </c:extLst>
                    <c:numCache>
                      <c:formatCode>General</c:formatCode>
                      <c:ptCount val="19"/>
                      <c:pt idx="0">
                        <c:v>5</c:v>
                      </c:pt>
                      <c:pt idx="1">
                        <c:v>4</c:v>
                      </c:pt>
                      <c:pt idx="2">
                        <c:v>10</c:v>
                      </c:pt>
                      <c:pt idx="3">
                        <c:v>2</c:v>
                      </c:pt>
                      <c:pt idx="4">
                        <c:v>3</c:v>
                      </c:pt>
                      <c:pt idx="5">
                        <c:v>3</c:v>
                      </c:pt>
                      <c:pt idx="6">
                        <c:v>1</c:v>
                      </c:pt>
                      <c:pt idx="7">
                        <c:v>0</c:v>
                      </c:pt>
                      <c:pt idx="8">
                        <c:v>2</c:v>
                      </c:pt>
                      <c:pt idx="9">
                        <c:v>6</c:v>
                      </c:pt>
                      <c:pt idx="10">
                        <c:v>2</c:v>
                      </c:pt>
                      <c:pt idx="11">
                        <c:v>7</c:v>
                      </c:pt>
                      <c:pt idx="12">
                        <c:v>6</c:v>
                      </c:pt>
                      <c:pt idx="13">
                        <c:v>3</c:v>
                      </c:pt>
                      <c:pt idx="14">
                        <c:v>3</c:v>
                      </c:pt>
                      <c:pt idx="15">
                        <c:v>5</c:v>
                      </c:pt>
                      <c:pt idx="16">
                        <c:v>3</c:v>
                      </c:pt>
                      <c:pt idx="17">
                        <c:v>2</c:v>
                      </c:pt>
                      <c:pt idx="18">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7D43-499E-B899-5A83FF1E2BD7}"/>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19"/>
                      <c:pt idx="0">
                        <c:v>CE 1.2 Addressing the presence of hazardous chemicals in products</c:v>
                      </c:pt>
                      <c:pt idx="1">
                        <c:v>CE 1.3 Increasing products energy  efficiency</c:v>
                      </c:pt>
                      <c:pt idx="2">
                        <c:v>CE 1.8 Reducing the carbon footprint</c:v>
                      </c:pt>
                      <c:pt idx="3">
                        <c:v> 1.12 Rewarding products based on their different sustainability performance, including by linking high 
performance levels to incentives</c:v>
                      </c:pt>
                      <c:pt idx="4">
                        <c:v>CE 2.1 Ensure that consumers receive trustworthy and relevant information on products at the point of sale, including on their lifespan and on the 
availability of repair services, spare parts and repair manuals</c:v>
                      </c:pt>
                      <c:pt idx="5">
                        <c:v>CE 4.5 Construction and buildings</c:v>
                      </c:pt>
                      <c:pt idx="6">
                        <c:v>CE 5.2 Enhancing circularity in a toxic-free environmen</c:v>
                      </c:pt>
                      <c:pt idx="7">
                        <c:v>CE 7.3 Driving the transition through research, innovation and digitalisation</c:v>
                      </c:pt>
                      <c:pt idx="8">
                        <c:v>CE 8.1 Leading efforts at global level</c:v>
                      </c:pt>
                      <c:pt idx="9">
                        <c:v>CM 1.1 Energy efficiency for the decarbonision of industrial processes 
</c:v>
                      </c:pt>
                      <c:pt idx="10">
                        <c:v>CM 1.2 Significant reductions in overall energy  use in buildings</c:v>
                      </c:pt>
                      <c:pt idx="11">
                        <c:v>CM 2.1  Increasing the share of renewables thereby improving security of supply and reducing dependence from imports</c:v>
                      </c:pt>
                      <c:pt idx="12">
                        <c:v>CM 2.2 Increase electricity production from renewables
and promote decentralised, smart and flexible power system 
</c:v>
                      </c:pt>
                      <c:pt idx="13">
                        <c:v>CM 3.1 Low or zero-emission vehicles with efficient alternative powertrains</c:v>
                      </c:pt>
                      <c:pt idx="14">
                        <c:v>CM 3.2 Making heavy-duty vehicles, rail, aviation and shipping climate-neutral</c:v>
                      </c:pt>
                      <c:pt idx="15">
                        <c:v>CM 4.2 Promoting a less emission-intensive industrial production  (such as steel, glass and plastics)</c:v>
                      </c:pt>
                      <c:pt idx="16">
                        <c:v>CM 4.4 Innovation and modernisation of industrial processes, new technologies </c:v>
                      </c:pt>
                      <c:pt idx="17">
                        <c:v>CM 4.5  Information on carbon and environmental footprints of products and services should be more transparent so that consumers may make informed decisions</c:v>
                      </c:pt>
                      <c:pt idx="18">
                        <c:v>CM 6.1 Agricultural production for bioenergy using efficient and sustainable production methods</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frequencia.xlsx]total'!$F$2:$F$56</c15:sqref>
                        </c15:formulaRef>
                      </c:ext>
                    </c:extLst>
                    <c:numCache>
                      <c:formatCode>General</c:formatCode>
                      <c:ptCount val="19"/>
                      <c:pt idx="0">
                        <c:v>1</c:v>
                      </c:pt>
                      <c:pt idx="1">
                        <c:v>2</c:v>
                      </c:pt>
                      <c:pt idx="2">
                        <c:v>3</c:v>
                      </c:pt>
                      <c:pt idx="3">
                        <c:v>1</c:v>
                      </c:pt>
                      <c:pt idx="4">
                        <c:v>2</c:v>
                      </c:pt>
                      <c:pt idx="5">
                        <c:v>3</c:v>
                      </c:pt>
                      <c:pt idx="6">
                        <c:v>1</c:v>
                      </c:pt>
                      <c:pt idx="7">
                        <c:v>1</c:v>
                      </c:pt>
                      <c:pt idx="8">
                        <c:v>1</c:v>
                      </c:pt>
                      <c:pt idx="9">
                        <c:v>1</c:v>
                      </c:pt>
                      <c:pt idx="10">
                        <c:v>2</c:v>
                      </c:pt>
                      <c:pt idx="11">
                        <c:v>2</c:v>
                      </c:pt>
                      <c:pt idx="12">
                        <c:v>1</c:v>
                      </c:pt>
                      <c:pt idx="13">
                        <c:v>1</c:v>
                      </c:pt>
                      <c:pt idx="14">
                        <c:v>1</c:v>
                      </c:pt>
                      <c:pt idx="15">
                        <c:v>1</c:v>
                      </c:pt>
                      <c:pt idx="16">
                        <c:v>1</c:v>
                      </c:pt>
                      <c:pt idx="17">
                        <c:v>3</c:v>
                      </c:pt>
                      <c:pt idx="18">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7D43-499E-B899-5A83FF1E2BD7}"/>
                  </c:ext>
                </c:extLst>
              </c15:ser>
            </c15:filteredRadarSeries>
          </c:ext>
        </c:extLst>
      </c:radarChart>
      <c:catAx>
        <c:axId val="8074380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807436848"/>
        <c:crosses val="autoZero"/>
        <c:auto val="1"/>
        <c:lblAlgn val="ctr"/>
        <c:lblOffset val="100"/>
        <c:noMultiLvlLbl val="0"/>
      </c:catAx>
      <c:valAx>
        <c:axId val="807436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07438024"/>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radarChart>
        <c:radarStyle val="marker"/>
        <c:varyColors val="0"/>
        <c:ser>
          <c:idx val="0"/>
          <c:order val="0"/>
          <c:tx>
            <c:strRef>
              <c:f>'[ANALYSIS DIRECTIVES_com_a moda e frequencia.xlsx]total'!$E$1</c:f>
              <c:strCache>
                <c:ptCount val="1"/>
                <c:pt idx="0">
                  <c:v>Energy</c:v>
                </c:pt>
              </c:strCache>
            </c:strRef>
          </c:tx>
          <c:spPr>
            <a:ln w="28575" cap="rnd">
              <a:solidFill>
                <a:schemeClr val="accent6"/>
              </a:solidFill>
              <a:round/>
            </a:ln>
            <a:effectLst/>
          </c:spPr>
          <c:marker>
            <c:symbol val="none"/>
          </c:marker>
          <c:cat>
            <c:strRef>
              <c:f>'[ANALYSIS DIRECTIVES_com_a moda e frequencia.xlsx]total'!$A$2:$A$56</c:f>
              <c:strCache>
                <c:ptCount val="33"/>
                <c:pt idx="0">
                  <c:v>CE 1.2 Addressing the presence of hazardous chemicals in products</c:v>
                </c:pt>
                <c:pt idx="1">
                  <c:v>CE 1.3 Increasing products energy  efficiency</c:v>
                </c:pt>
                <c:pt idx="2">
                  <c:v>CE 1.4 Increasing products resource efficiency
</c:v>
                </c:pt>
                <c:pt idx="3">
                  <c:v>CE 1.5 Increasing recycled content in products</c:v>
                </c:pt>
                <c:pt idx="4">
                  <c:v>CE 1.6 Enabling remanufacturing and high-quality recycling</c:v>
                </c:pt>
                <c:pt idx="5">
                  <c:v>CE 1.7 Reducing  environmental footprints (not including carbon)
</c:v>
                </c:pt>
                <c:pt idx="6">
                  <c:v>CE 1.8 Reducing the carbon footprint</c:v>
                </c:pt>
                <c:pt idx="7">
                  <c:v> 1.12 Rewarding products based on their different sustainability performance, including by linking high 
performance levels to incentives</c:v>
                </c:pt>
                <c:pt idx="8">
                  <c:v>CE 2.1 Ensure that consumers receive trustworthy and relevant information on products at the point of sale, including on their lifespan and on the 
availability of repair services, spare parts and repair manuals</c:v>
                </c:pt>
                <c:pt idx="9">
                  <c:v>CE 3.1 Promoting circularity in industrial processes in the context of the review 
of the Industrial Emissions Directive, including the integration of circular economy practices in 
upcoming Best Available Techniques</c:v>
                </c:pt>
                <c:pt idx="10">
                  <c:v>CE 3.3 Supporting the sustainable and circular bio-based sector through the implementation of the 
Bioeconomy Action Plan</c:v>
                </c:pt>
                <c:pt idx="11">
                  <c:v>CE 4.2 Batteries and vehicles</c:v>
                </c:pt>
                <c:pt idx="12">
                  <c:v>CE 4.5 Construction and buildings</c:v>
                </c:pt>
                <c:pt idx="13">
                  <c:v>CE 5.1 Enhanced waste policy in support of waste prevention and circularity</c:v>
                </c:pt>
                <c:pt idx="14">
                  <c:v>CE 5.2 Enhancing circularity in a toxic-free environmen</c:v>
                </c:pt>
                <c:pt idx="15">
                  <c:v>CE 7.2 Getting the economics right</c:v>
                </c:pt>
                <c:pt idx="16">
                  <c:v>CE 8.1 Leading efforts at global level</c:v>
                </c:pt>
                <c:pt idx="17">
                  <c:v>CM 1.1 Energy efficiency for the decarbonision of industrial processes 
</c:v>
                </c:pt>
                <c:pt idx="18">
                  <c:v>CM 1.2 Significant reductions in overall energy  use in buildings</c:v>
                </c:pt>
                <c:pt idx="19">
                  <c:v>CM 2.1  Increasing the share of renewables thereby improving security of supply and reducing dependence from imports</c:v>
                </c:pt>
                <c:pt idx="20">
                  <c:v>CM 2.2 Increase electricity production from renewables
and promote decentralised, smart and flexible power system 
</c:v>
                </c:pt>
                <c:pt idx="21">
                  <c:v>CM 3.1 Low or zero-emission vehicles with efficient alternative powertrains</c:v>
                </c:pt>
                <c:pt idx="22">
                  <c:v>CM 3.2 Making heavy-duty vehicles, rail, aviation and shipping climate-neutral</c:v>
                </c:pt>
                <c:pt idx="23">
                  <c:v>CM 3.3 Having an efficient organization and infrastructure of the mobility system</c:v>
                </c:pt>
                <c:pt idx="24">
                  <c:v>CM 4.1 Promoting a more resource-efficient industrial production  (such as steel, glass and plastics)
</c:v>
                </c:pt>
                <c:pt idx="25">
                  <c:v>CM 4.2 Promoting a less emission-intensive industrial production  (such as steel, glass and plastics)</c:v>
                </c:pt>
                <c:pt idx="26">
                  <c:v>CM 4.3 Raw material recovery and recycling to ensure sustainable and secure supply chains</c:v>
                </c:pt>
                <c:pt idx="27">
                  <c:v>CM 4.4 Innovation and modernisation of industrial processes, new technologies </c:v>
                </c:pt>
                <c:pt idx="28">
                  <c:v>CM 4.5  Information on carbon and environmental footprints of products and services should be more transparent so that consumers may make informed decisions</c:v>
                </c:pt>
                <c:pt idx="29">
                  <c:v>CM 5.1 Completion of the Trans-European Transport and Energy Networks</c:v>
                </c:pt>
                <c:pt idx="30">
                  <c:v>CM 5.2 Smart charging and refueling stations allowing for cross-border services (among others)</c:v>
                </c:pt>
                <c:pt idx="31">
                  <c:v>CM 6.1 Agricultural production for bioenergy using efficient and sustainable production methods</c:v>
                </c:pt>
                <c:pt idx="32">
                  <c:v>CM 7.1 More research, innovation and demonstration to ensure the successful deployment of CCS
</c:v>
                </c:pt>
              </c:strCache>
            </c:strRef>
          </c:cat>
          <c:val>
            <c:numRef>
              <c:f>'[ANALYSIS DIRECTIVES_com_a moda e frequencia.xlsx]total'!$E$2:$E$56</c:f>
              <c:numCache>
                <c:formatCode>General</c:formatCode>
                <c:ptCount val="33"/>
                <c:pt idx="0">
                  <c:v>5</c:v>
                </c:pt>
                <c:pt idx="1">
                  <c:v>4</c:v>
                </c:pt>
                <c:pt idx="2">
                  <c:v>1</c:v>
                </c:pt>
                <c:pt idx="3">
                  <c:v>1</c:v>
                </c:pt>
                <c:pt idx="4">
                  <c:v>1</c:v>
                </c:pt>
                <c:pt idx="5">
                  <c:v>8</c:v>
                </c:pt>
                <c:pt idx="6">
                  <c:v>10</c:v>
                </c:pt>
                <c:pt idx="7">
                  <c:v>2</c:v>
                </c:pt>
                <c:pt idx="8">
                  <c:v>3</c:v>
                </c:pt>
                <c:pt idx="9">
                  <c:v>2</c:v>
                </c:pt>
                <c:pt idx="10">
                  <c:v>1</c:v>
                </c:pt>
                <c:pt idx="11">
                  <c:v>3</c:v>
                </c:pt>
                <c:pt idx="12">
                  <c:v>3</c:v>
                </c:pt>
                <c:pt idx="13">
                  <c:v>1</c:v>
                </c:pt>
                <c:pt idx="14">
                  <c:v>1</c:v>
                </c:pt>
                <c:pt idx="15">
                  <c:v>2</c:v>
                </c:pt>
                <c:pt idx="16">
                  <c:v>2</c:v>
                </c:pt>
                <c:pt idx="17">
                  <c:v>6</c:v>
                </c:pt>
                <c:pt idx="18">
                  <c:v>2</c:v>
                </c:pt>
                <c:pt idx="19">
                  <c:v>7</c:v>
                </c:pt>
                <c:pt idx="20">
                  <c:v>6</c:v>
                </c:pt>
                <c:pt idx="21">
                  <c:v>3</c:v>
                </c:pt>
                <c:pt idx="22">
                  <c:v>3</c:v>
                </c:pt>
                <c:pt idx="23">
                  <c:v>1</c:v>
                </c:pt>
                <c:pt idx="24">
                  <c:v>1</c:v>
                </c:pt>
                <c:pt idx="25">
                  <c:v>5</c:v>
                </c:pt>
                <c:pt idx="26">
                  <c:v>1</c:v>
                </c:pt>
                <c:pt idx="27">
                  <c:v>3</c:v>
                </c:pt>
                <c:pt idx="28">
                  <c:v>2</c:v>
                </c:pt>
                <c:pt idx="29">
                  <c:v>1</c:v>
                </c:pt>
                <c:pt idx="30">
                  <c:v>1</c:v>
                </c:pt>
                <c:pt idx="31">
                  <c:v>2</c:v>
                </c:pt>
                <c:pt idx="32">
                  <c:v>2</c:v>
                </c:pt>
              </c:numCache>
            </c:numRef>
          </c:val>
          <c:extLst xmlns="http://schemas.openxmlformats.org/drawingml/2006/chart" xmlns:c16r2="http://schemas.microsoft.com/office/drawing/2015/06/chart">
            <c:ext xmlns:c16="http://schemas.microsoft.com/office/drawing/2014/chart" uri="{C3380CC4-5D6E-409C-BE32-E72D297353CC}">
              <c16:uniqueId val="{00000000-A217-4AA2-80F3-819B1C58BC9C}"/>
            </c:ext>
          </c:extLst>
        </c:ser>
        <c:dLbls>
          <c:showLegendKey val="0"/>
          <c:showVal val="0"/>
          <c:showCatName val="0"/>
          <c:showSerName val="0"/>
          <c:showPercent val="0"/>
          <c:showBubbleSize val="0"/>
        </c:dLbls>
        <c:axId val="676485424"/>
        <c:axId val="676483856"/>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'[ANALYSIS DIRECTIVES_com_a moda e frequencia.xlsx]total'!$C$1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'[ANALYSIS DIRECTIVES_com_a moda e frequencia.xlsx]total'!$A$2:$A$56</c15:sqref>
                        </c15:formulaRef>
                      </c:ext>
                    </c:extLst>
                    <c:strCache>
                      <c:ptCount val="33"/>
                      <c:pt idx="0">
                        <c:v>CE 1.2 Addressing the presence of hazardous chemicals in products</c:v>
                      </c:pt>
                      <c:pt idx="1">
                        <c:v>CE 1.3 Increasing products energy  efficiency</c:v>
                      </c:pt>
                      <c:pt idx="2">
                        <c:v>CE 1.4 Increasing products resource efficiency
</c:v>
                      </c:pt>
                      <c:pt idx="3">
                        <c:v>CE 1.5 Increasing recycled content in products</c:v>
                      </c:pt>
                      <c:pt idx="4">
                        <c:v>CE 1.6 Enabling remanufacturing and high-quality recycling</c:v>
                      </c:pt>
                      <c:pt idx="5">
                        <c:v>CE 1.7 Reducing  environmental footprints (not including carbon)
</c:v>
                      </c:pt>
                      <c:pt idx="6">
                        <c:v>CE 1.8 Reducing the carbon footprint</c:v>
                      </c:pt>
                      <c:pt idx="7">
                        <c:v> 1.12 Rewarding products based on their different sustainability performance, including by linking high 
performance levels to incentives</c:v>
                      </c:pt>
                      <c:pt idx="8">
                        <c:v>CE 2.1 Ensure that consumers receive trustworthy and relevant information on products at the point of sale, including on their lifespan and on the 
availability of repair services, spare parts and repair manuals</c:v>
                      </c:pt>
                      <c:pt idx="9">
                        <c:v>CE 3.1 Promoting circularity in industrial processes in the context of the review 
of the Industrial Emissions Directive, including the integration of circular economy practices in 
upcoming Best Available Techniques</c:v>
                      </c:pt>
                      <c:pt idx="10">
                        <c:v>CE 3.3 Supporting the sustainable and circular bio-based sector through the implementation of the 
Bioeconomy Action Plan</c:v>
                      </c:pt>
                      <c:pt idx="11">
                        <c:v>CE 4.2 Batteries and vehicles</c:v>
                      </c:pt>
                      <c:pt idx="12">
                        <c:v>CE 4.5 Construction and buildings</c:v>
                      </c:pt>
                      <c:pt idx="13">
                        <c:v>CE 5.1 Enhanced waste policy in support of waste prevention and circularity</c:v>
                      </c:pt>
                      <c:pt idx="14">
                        <c:v>CE 5.2 Enhancing circularity in a toxic-free environmen</c:v>
                      </c:pt>
                      <c:pt idx="15">
                        <c:v>CE 7.2 Getting the economics right</c:v>
                      </c:pt>
                      <c:pt idx="16">
                        <c:v>CE 8.1 Leading efforts at global level</c:v>
                      </c:pt>
                      <c:pt idx="17">
                        <c:v>CM 1.1 Energy efficiency for the decarbonision of industrial processes 
</c:v>
                      </c:pt>
                      <c:pt idx="18">
                        <c:v>CM 1.2 Significant reductions in overall energy  use in buildings</c:v>
                      </c:pt>
                      <c:pt idx="19">
                        <c:v>CM 2.1  Increasing the share of renewables thereby improving security of supply and reducing dependence from imports</c:v>
                      </c:pt>
                      <c:pt idx="20">
                        <c:v>CM 2.2 Increase electricity production from renewables
and promote decentralised, smart and flexible power system 
</c:v>
                      </c:pt>
                      <c:pt idx="21">
                        <c:v>CM 3.1 Low or zero-emission vehicles with efficient alternative powertrains</c:v>
                      </c:pt>
                      <c:pt idx="22">
                        <c:v>CM 3.2 Making heavy-duty vehicles, rail, aviation and shipping climate-neutral</c:v>
                      </c:pt>
                      <c:pt idx="23">
                        <c:v>CM 3.3 Having an efficient organization and infrastructure of the mobility system</c:v>
                      </c:pt>
                      <c:pt idx="24">
                        <c:v>CM 4.1 Promoting a more resource-efficient industrial production  (such as steel, glass and plastics)
</c:v>
                      </c:pt>
                      <c:pt idx="25">
                        <c:v>CM 4.2 Promoting a less emission-intensive industrial production  (such as steel, glass and plastics)</c:v>
                      </c:pt>
                      <c:pt idx="26">
                        <c:v>CM 4.3 Raw material recovery and recycling to ensure sustainable and secure supply chains</c:v>
                      </c:pt>
                      <c:pt idx="27">
                        <c:v>CM 4.4 Innovation and modernisation of industrial processes, new technologies </c:v>
                      </c:pt>
                      <c:pt idx="28">
                        <c:v>CM 4.5  Information on carbon and environmental footprints of products and services should be more transparent so that consumers may make informed decisions</c:v>
                      </c:pt>
                      <c:pt idx="29">
                        <c:v>CM 5.1 Completion of the Trans-European Transport and Energy Networks</c:v>
                      </c:pt>
                      <c:pt idx="30">
                        <c:v>CM 5.2 Smart charging and refueling stations allowing for cross-border services (among others)</c:v>
                      </c:pt>
                      <c:pt idx="31">
                        <c:v>CM 6.1 Agricultural production for bioenergy using efficient and sustainable production methods</c:v>
                      </c:pt>
                      <c:pt idx="32">
                        <c:v>CM 7.1 More research, innovation and demonstration to ensure the successful deployment of CCS
</c:v>
                      </c:pt>
                    </c:strCache>
                  </c:strRef>
                </c:cat>
                <c:val>
                  <c:numRef>
                    <c:extLst xmlns="http://schemas.openxmlformats.org/drawingml/2006/chart" xmlns:c16r2="http://schemas.microsoft.com/office/drawing/2015/06/chart">
                      <c:ext uri="{02D57815-91ED-43cb-92C2-25804820EDAC}">
                        <c15:formulaRef>
                          <c15:sqref>'[ANALYSIS DIRECTIVES_com_a moda e frequencia.xlsx]total'!$C$2:$C$56</c15:sqref>
                        </c15:formulaRef>
                      </c:ext>
                    </c:extLst>
                    <c:numCache>
                      <c:formatCode>General</c:formatCode>
                      <c:ptCount val="33"/>
                      <c:pt idx="0">
                        <c:v>8</c:v>
                      </c:pt>
                      <c:pt idx="1">
                        <c:v>6</c:v>
                      </c:pt>
                      <c:pt idx="2">
                        <c:v>5</c:v>
                      </c:pt>
                      <c:pt idx="3">
                        <c:v>5</c:v>
                      </c:pt>
                      <c:pt idx="4">
                        <c:v>5</c:v>
                      </c:pt>
                      <c:pt idx="5">
                        <c:v>12</c:v>
                      </c:pt>
                      <c:pt idx="6">
                        <c:v>9</c:v>
                      </c:pt>
                      <c:pt idx="7">
                        <c:v>1</c:v>
                      </c:pt>
                      <c:pt idx="8">
                        <c:v>5</c:v>
                      </c:pt>
                      <c:pt idx="9">
                        <c:v>1</c:v>
                      </c:pt>
                      <c:pt idx="10">
                        <c:v>0</c:v>
                      </c:pt>
                      <c:pt idx="11">
                        <c:v>1</c:v>
                      </c:pt>
                      <c:pt idx="12">
                        <c:v>5</c:v>
                      </c:pt>
                      <c:pt idx="13">
                        <c:v>4</c:v>
                      </c:pt>
                      <c:pt idx="14">
                        <c:v>5</c:v>
                      </c:pt>
                      <c:pt idx="15">
                        <c:v>2</c:v>
                      </c:pt>
                      <c:pt idx="16">
                        <c:v>1</c:v>
                      </c:pt>
                      <c:pt idx="17">
                        <c:v>7</c:v>
                      </c:pt>
                      <c:pt idx="18">
                        <c:v>2</c:v>
                      </c:pt>
                      <c:pt idx="19">
                        <c:v>3</c:v>
                      </c:pt>
                      <c:pt idx="20">
                        <c:v>3</c:v>
                      </c:pt>
                      <c:pt idx="21">
                        <c:v>0</c:v>
                      </c:pt>
                      <c:pt idx="22">
                        <c:v>0</c:v>
                      </c:pt>
                      <c:pt idx="23">
                        <c:v>0</c:v>
                      </c:pt>
                      <c:pt idx="24">
                        <c:v>4</c:v>
                      </c:pt>
                      <c:pt idx="25">
                        <c:v>5</c:v>
                      </c:pt>
                      <c:pt idx="26">
                        <c:v>4</c:v>
                      </c:pt>
                      <c:pt idx="27">
                        <c:v>3</c:v>
                      </c:pt>
                      <c:pt idx="28">
                        <c:v>5</c:v>
                      </c:pt>
                      <c:pt idx="29">
                        <c:v>0</c:v>
                      </c:pt>
                      <c:pt idx="30">
                        <c:v>0</c:v>
                      </c:pt>
                      <c:pt idx="31">
                        <c:v>0</c:v>
                      </c:pt>
                      <c:pt idx="32">
                        <c:v>1</c:v>
                      </c:pt>
                    </c:numCache>
                  </c:numRef>
                </c:val>
                <c:extLst xmlns="http://schemas.openxmlformats.org/drawingml/2006/chart" xmlns:c16r2="http://schemas.microsoft.com/office/drawing/2015/06/chart">
                  <c:ext xmlns:c16="http://schemas.microsoft.com/office/drawing/2014/chart" uri="{C3380CC4-5D6E-409C-BE32-E72D297353CC}">
                    <c16:uniqueId val="{00000001-A217-4AA2-80F3-819B1C58BC9C}"/>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3"/>
                      <c:pt idx="0">
                        <c:v>CE 1.2 Addressing the presence of hazardous chemicals in products</c:v>
                      </c:pt>
                      <c:pt idx="1">
                        <c:v>CE 1.3 Increasing products energy  efficiency</c:v>
                      </c:pt>
                      <c:pt idx="2">
                        <c:v>CE 1.4 Increasing products resource efficiency
</c:v>
                      </c:pt>
                      <c:pt idx="3">
                        <c:v>CE 1.5 Increasing recycled content in products</c:v>
                      </c:pt>
                      <c:pt idx="4">
                        <c:v>CE 1.6 Enabling remanufacturing and high-quality recycling</c:v>
                      </c:pt>
                      <c:pt idx="5">
                        <c:v>CE 1.7 Reducing  environmental footprints (not including carbon)
</c:v>
                      </c:pt>
                      <c:pt idx="6">
                        <c:v>CE 1.8 Reducing the carbon footprint</c:v>
                      </c:pt>
                      <c:pt idx="7">
                        <c:v> 1.12 Rewarding products based on their different sustainability performance, including by linking high 
performance levels to incentives</c:v>
                      </c:pt>
                      <c:pt idx="8">
                        <c:v>CE 2.1 Ensure that consumers receive trustworthy and relevant information on products at the point of sale, including on their lifespan and on the 
availability of repair services, spare parts and repair manuals</c:v>
                      </c:pt>
                      <c:pt idx="9">
                        <c:v>CE 3.1 Promoting circularity in industrial processes in the context of the review 
of the Industrial Emissions Directive, including the integration of circular economy practices in 
upcoming Best Available Techniques</c:v>
                      </c:pt>
                      <c:pt idx="10">
                        <c:v>CE 3.3 Supporting the sustainable and circular bio-based sector through the implementation of the 
Bioeconomy Action Plan</c:v>
                      </c:pt>
                      <c:pt idx="11">
                        <c:v>CE 4.2 Batteries and vehicles</c:v>
                      </c:pt>
                      <c:pt idx="12">
                        <c:v>CE 4.5 Construction and buildings</c:v>
                      </c:pt>
                      <c:pt idx="13">
                        <c:v>CE 5.1 Enhanced waste policy in support of waste prevention and circularity</c:v>
                      </c:pt>
                      <c:pt idx="14">
                        <c:v>CE 5.2 Enhancing circularity in a toxic-free environmen</c:v>
                      </c:pt>
                      <c:pt idx="15">
                        <c:v>CE 7.2 Getting the economics right</c:v>
                      </c:pt>
                      <c:pt idx="16">
                        <c:v>CE 8.1 Leading efforts at global level</c:v>
                      </c:pt>
                      <c:pt idx="17">
                        <c:v>CM 1.1 Energy efficiency for the decarbonision of industrial processes 
</c:v>
                      </c:pt>
                      <c:pt idx="18">
                        <c:v>CM 1.2 Significant reductions in overall energy  use in buildings</c:v>
                      </c:pt>
                      <c:pt idx="19">
                        <c:v>CM 2.1  Increasing the share of renewables thereby improving security of supply and reducing dependence from imports</c:v>
                      </c:pt>
                      <c:pt idx="20">
                        <c:v>CM 2.2 Increase electricity production from renewables
and promote decentralised, smart and flexible power system 
</c:v>
                      </c:pt>
                      <c:pt idx="21">
                        <c:v>CM 3.1 Low or zero-emission vehicles with efficient alternative powertrains</c:v>
                      </c:pt>
                      <c:pt idx="22">
                        <c:v>CM 3.2 Making heavy-duty vehicles, rail, aviation and shipping climate-neutral</c:v>
                      </c:pt>
                      <c:pt idx="23">
                        <c:v>CM 3.3 Having an efficient organization and infrastructure of the mobility system</c:v>
                      </c:pt>
                      <c:pt idx="24">
                        <c:v>CM 4.1 Promoting a more resource-efficient industrial production  (such as steel, glass and plastics)
</c:v>
                      </c:pt>
                      <c:pt idx="25">
                        <c:v>CM 4.2 Promoting a less emission-intensive industrial production  (such as steel, glass and plastics)</c:v>
                      </c:pt>
                      <c:pt idx="26">
                        <c:v>CM 4.3 Raw material recovery and recycling to ensure sustainable and secure supply chains</c:v>
                      </c:pt>
                      <c:pt idx="27">
                        <c:v>CM 4.4 Innovation and modernisation of industrial processes, new technologies </c:v>
                      </c:pt>
                      <c:pt idx="28">
                        <c:v>CM 4.5  Information on carbon and environmental footprints of products and services should be more transparent so that consumers may make informed decisions</c:v>
                      </c:pt>
                      <c:pt idx="29">
                        <c:v>CM 5.1 Completion of the Trans-European Transport and Energy Networks</c:v>
                      </c:pt>
                      <c:pt idx="30">
                        <c:v>CM 5.2 Smart charging and refueling stations allowing for cross-border services (among others)</c:v>
                      </c:pt>
                      <c:pt idx="31">
                        <c:v>CM 6.1 Agricultural production for bioenergy using efficient and sustainable production methods</c:v>
                      </c:pt>
                      <c:pt idx="32">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frequencia.xlsx]total'!$D$2:$D$56</c15:sqref>
                        </c15:formulaRef>
                      </c:ext>
                    </c:extLst>
                    <c:numCache>
                      <c:formatCode>General</c:formatCode>
                      <c:ptCount val="33"/>
                      <c:pt idx="0">
                        <c:v>9</c:v>
                      </c:pt>
                      <c:pt idx="1">
                        <c:v>6</c:v>
                      </c:pt>
                      <c:pt idx="2">
                        <c:v>3</c:v>
                      </c:pt>
                      <c:pt idx="3">
                        <c:v>4</c:v>
                      </c:pt>
                      <c:pt idx="4">
                        <c:v>4</c:v>
                      </c:pt>
                      <c:pt idx="5">
                        <c:v>12</c:v>
                      </c:pt>
                      <c:pt idx="6">
                        <c:v>14</c:v>
                      </c:pt>
                      <c:pt idx="7">
                        <c:v>4</c:v>
                      </c:pt>
                      <c:pt idx="8">
                        <c:v>5</c:v>
                      </c:pt>
                      <c:pt idx="9">
                        <c:v>5</c:v>
                      </c:pt>
                      <c:pt idx="10">
                        <c:v>1</c:v>
                      </c:pt>
                      <c:pt idx="11">
                        <c:v>12</c:v>
                      </c:pt>
                      <c:pt idx="12">
                        <c:v>3</c:v>
                      </c:pt>
                      <c:pt idx="13">
                        <c:v>4</c:v>
                      </c:pt>
                      <c:pt idx="14">
                        <c:v>4</c:v>
                      </c:pt>
                      <c:pt idx="15">
                        <c:v>3</c:v>
                      </c:pt>
                      <c:pt idx="16">
                        <c:v>2</c:v>
                      </c:pt>
                      <c:pt idx="17">
                        <c:v>5</c:v>
                      </c:pt>
                      <c:pt idx="18">
                        <c:v>2</c:v>
                      </c:pt>
                      <c:pt idx="19">
                        <c:v>6</c:v>
                      </c:pt>
                      <c:pt idx="20">
                        <c:v>5</c:v>
                      </c:pt>
                      <c:pt idx="21">
                        <c:v>6</c:v>
                      </c:pt>
                      <c:pt idx="22">
                        <c:v>5</c:v>
                      </c:pt>
                      <c:pt idx="23">
                        <c:v>2</c:v>
                      </c:pt>
                      <c:pt idx="24">
                        <c:v>3</c:v>
                      </c:pt>
                      <c:pt idx="25">
                        <c:v>5</c:v>
                      </c:pt>
                      <c:pt idx="26">
                        <c:v>4</c:v>
                      </c:pt>
                      <c:pt idx="27">
                        <c:v>3</c:v>
                      </c:pt>
                      <c:pt idx="28">
                        <c:v>3</c:v>
                      </c:pt>
                      <c:pt idx="29">
                        <c:v>0</c:v>
                      </c:pt>
                      <c:pt idx="30">
                        <c:v>1</c:v>
                      </c:pt>
                      <c:pt idx="31">
                        <c:v>2</c:v>
                      </c:pt>
                      <c:pt idx="32">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A217-4AA2-80F3-819B1C58BC9C}"/>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3"/>
                      <c:pt idx="0">
                        <c:v>CE 1.2 Addressing the presence of hazardous chemicals in products</c:v>
                      </c:pt>
                      <c:pt idx="1">
                        <c:v>CE 1.3 Increasing products energy  efficiency</c:v>
                      </c:pt>
                      <c:pt idx="2">
                        <c:v>CE 1.4 Increasing products resource efficiency
</c:v>
                      </c:pt>
                      <c:pt idx="3">
                        <c:v>CE 1.5 Increasing recycled content in products</c:v>
                      </c:pt>
                      <c:pt idx="4">
                        <c:v>CE 1.6 Enabling remanufacturing and high-quality recycling</c:v>
                      </c:pt>
                      <c:pt idx="5">
                        <c:v>CE 1.7 Reducing  environmental footprints (not including carbon)
</c:v>
                      </c:pt>
                      <c:pt idx="6">
                        <c:v>CE 1.8 Reducing the carbon footprint</c:v>
                      </c:pt>
                      <c:pt idx="7">
                        <c:v> 1.12 Rewarding products based on their different sustainability performance, including by linking high 
performance levels to incentives</c:v>
                      </c:pt>
                      <c:pt idx="8">
                        <c:v>CE 2.1 Ensure that consumers receive trustworthy and relevant information on products at the point of sale, including on their lifespan and on the 
availability of repair services, spare parts and repair manuals</c:v>
                      </c:pt>
                      <c:pt idx="9">
                        <c:v>CE 3.1 Promoting circularity in industrial processes in the context of the review 
of the Industrial Emissions Directive, including the integration of circular economy practices in 
upcoming Best Available Techniques</c:v>
                      </c:pt>
                      <c:pt idx="10">
                        <c:v>CE 3.3 Supporting the sustainable and circular bio-based sector through the implementation of the 
Bioeconomy Action Plan</c:v>
                      </c:pt>
                      <c:pt idx="11">
                        <c:v>CE 4.2 Batteries and vehicles</c:v>
                      </c:pt>
                      <c:pt idx="12">
                        <c:v>CE 4.5 Construction and buildings</c:v>
                      </c:pt>
                      <c:pt idx="13">
                        <c:v>CE 5.1 Enhanced waste policy in support of waste prevention and circularity</c:v>
                      </c:pt>
                      <c:pt idx="14">
                        <c:v>CE 5.2 Enhancing circularity in a toxic-free environmen</c:v>
                      </c:pt>
                      <c:pt idx="15">
                        <c:v>CE 7.2 Getting the economics right</c:v>
                      </c:pt>
                      <c:pt idx="16">
                        <c:v>CE 8.1 Leading efforts at global level</c:v>
                      </c:pt>
                      <c:pt idx="17">
                        <c:v>CM 1.1 Energy efficiency for the decarbonision of industrial processes 
</c:v>
                      </c:pt>
                      <c:pt idx="18">
                        <c:v>CM 1.2 Significant reductions in overall energy  use in buildings</c:v>
                      </c:pt>
                      <c:pt idx="19">
                        <c:v>CM 2.1  Increasing the share of renewables thereby improving security of supply and reducing dependence from imports</c:v>
                      </c:pt>
                      <c:pt idx="20">
                        <c:v>CM 2.2 Increase electricity production from renewables
and promote decentralised, smart and flexible power system 
</c:v>
                      </c:pt>
                      <c:pt idx="21">
                        <c:v>CM 3.1 Low or zero-emission vehicles with efficient alternative powertrains</c:v>
                      </c:pt>
                      <c:pt idx="22">
                        <c:v>CM 3.2 Making heavy-duty vehicles, rail, aviation and shipping climate-neutral</c:v>
                      </c:pt>
                      <c:pt idx="23">
                        <c:v>CM 3.3 Having an efficient organization and infrastructure of the mobility system</c:v>
                      </c:pt>
                      <c:pt idx="24">
                        <c:v>CM 4.1 Promoting a more resource-efficient industrial production  (such as steel, glass and plastics)
</c:v>
                      </c:pt>
                      <c:pt idx="25">
                        <c:v>CM 4.2 Promoting a less emission-intensive industrial production  (such as steel, glass and plastics)</c:v>
                      </c:pt>
                      <c:pt idx="26">
                        <c:v>CM 4.3 Raw material recovery and recycling to ensure sustainable and secure supply chains</c:v>
                      </c:pt>
                      <c:pt idx="27">
                        <c:v>CM 4.4 Innovation and modernisation of industrial processes, new technologies </c:v>
                      </c:pt>
                      <c:pt idx="28">
                        <c:v>CM 4.5  Information on carbon and environmental footprints of products and services should be more transparent so that consumers may make informed decisions</c:v>
                      </c:pt>
                      <c:pt idx="29">
                        <c:v>CM 5.1 Completion of the Trans-European Transport and Energy Networks</c:v>
                      </c:pt>
                      <c:pt idx="30">
                        <c:v>CM 5.2 Smart charging and refueling stations allowing for cross-border services (among others)</c:v>
                      </c:pt>
                      <c:pt idx="31">
                        <c:v>CM 6.1 Agricultural production for bioenergy using efficient and sustainable production methods</c:v>
                      </c:pt>
                      <c:pt idx="32">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frequencia.xlsx]total'!$E$2:$E$56</c15:sqref>
                        </c15:formulaRef>
                      </c:ext>
                    </c:extLst>
                    <c:numCache>
                      <c:formatCode>General</c:formatCode>
                      <c:ptCount val="33"/>
                      <c:pt idx="0">
                        <c:v>5</c:v>
                      </c:pt>
                      <c:pt idx="1">
                        <c:v>4</c:v>
                      </c:pt>
                      <c:pt idx="2">
                        <c:v>1</c:v>
                      </c:pt>
                      <c:pt idx="3">
                        <c:v>1</c:v>
                      </c:pt>
                      <c:pt idx="4">
                        <c:v>1</c:v>
                      </c:pt>
                      <c:pt idx="5">
                        <c:v>8</c:v>
                      </c:pt>
                      <c:pt idx="6">
                        <c:v>10</c:v>
                      </c:pt>
                      <c:pt idx="7">
                        <c:v>2</c:v>
                      </c:pt>
                      <c:pt idx="8">
                        <c:v>3</c:v>
                      </c:pt>
                      <c:pt idx="9">
                        <c:v>2</c:v>
                      </c:pt>
                      <c:pt idx="10">
                        <c:v>1</c:v>
                      </c:pt>
                      <c:pt idx="11">
                        <c:v>3</c:v>
                      </c:pt>
                      <c:pt idx="12">
                        <c:v>3</c:v>
                      </c:pt>
                      <c:pt idx="13">
                        <c:v>1</c:v>
                      </c:pt>
                      <c:pt idx="14">
                        <c:v>1</c:v>
                      </c:pt>
                      <c:pt idx="15">
                        <c:v>2</c:v>
                      </c:pt>
                      <c:pt idx="16">
                        <c:v>2</c:v>
                      </c:pt>
                      <c:pt idx="17">
                        <c:v>6</c:v>
                      </c:pt>
                      <c:pt idx="18">
                        <c:v>2</c:v>
                      </c:pt>
                      <c:pt idx="19">
                        <c:v>7</c:v>
                      </c:pt>
                      <c:pt idx="20">
                        <c:v>6</c:v>
                      </c:pt>
                      <c:pt idx="21">
                        <c:v>3</c:v>
                      </c:pt>
                      <c:pt idx="22">
                        <c:v>3</c:v>
                      </c:pt>
                      <c:pt idx="23">
                        <c:v>1</c:v>
                      </c:pt>
                      <c:pt idx="24">
                        <c:v>1</c:v>
                      </c:pt>
                      <c:pt idx="25">
                        <c:v>5</c:v>
                      </c:pt>
                      <c:pt idx="26">
                        <c:v>1</c:v>
                      </c:pt>
                      <c:pt idx="27">
                        <c:v>3</c:v>
                      </c:pt>
                      <c:pt idx="28">
                        <c:v>2</c:v>
                      </c:pt>
                      <c:pt idx="29">
                        <c:v>1</c:v>
                      </c:pt>
                      <c:pt idx="30">
                        <c:v>1</c:v>
                      </c:pt>
                      <c:pt idx="31">
                        <c:v>2</c:v>
                      </c:pt>
                      <c:pt idx="32">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A217-4AA2-80F3-819B1C58BC9C}"/>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frequencia.xlsx]total'!$A$2:$A$56</c15:sqref>
                        </c15:formulaRef>
                      </c:ext>
                    </c:extLst>
                    <c:strCache>
                      <c:ptCount val="33"/>
                      <c:pt idx="0">
                        <c:v>CE 1.2 Addressing the presence of hazardous chemicals in products</c:v>
                      </c:pt>
                      <c:pt idx="1">
                        <c:v>CE 1.3 Increasing products energy  efficiency</c:v>
                      </c:pt>
                      <c:pt idx="2">
                        <c:v>CE 1.4 Increasing products resource efficiency
</c:v>
                      </c:pt>
                      <c:pt idx="3">
                        <c:v>CE 1.5 Increasing recycled content in products</c:v>
                      </c:pt>
                      <c:pt idx="4">
                        <c:v>CE 1.6 Enabling remanufacturing and high-quality recycling</c:v>
                      </c:pt>
                      <c:pt idx="5">
                        <c:v>CE 1.7 Reducing  environmental footprints (not including carbon)
</c:v>
                      </c:pt>
                      <c:pt idx="6">
                        <c:v>CE 1.8 Reducing the carbon footprint</c:v>
                      </c:pt>
                      <c:pt idx="7">
                        <c:v> 1.12 Rewarding products based on their different sustainability performance, including by linking high 
performance levels to incentives</c:v>
                      </c:pt>
                      <c:pt idx="8">
                        <c:v>CE 2.1 Ensure that consumers receive trustworthy and relevant information on products at the point of sale, including on their lifespan and on the 
availability of repair services, spare parts and repair manuals</c:v>
                      </c:pt>
                      <c:pt idx="9">
                        <c:v>CE 3.1 Promoting circularity in industrial processes in the context of the review 
of the Industrial Emissions Directive, including the integration of circular economy practices in 
upcoming Best Available Techniques</c:v>
                      </c:pt>
                      <c:pt idx="10">
                        <c:v>CE 3.3 Supporting the sustainable and circular bio-based sector through the implementation of the 
Bioeconomy Action Plan</c:v>
                      </c:pt>
                      <c:pt idx="11">
                        <c:v>CE 4.2 Batteries and vehicles</c:v>
                      </c:pt>
                      <c:pt idx="12">
                        <c:v>CE 4.5 Construction and buildings</c:v>
                      </c:pt>
                      <c:pt idx="13">
                        <c:v>CE 5.1 Enhanced waste policy in support of waste prevention and circularity</c:v>
                      </c:pt>
                      <c:pt idx="14">
                        <c:v>CE 5.2 Enhancing circularity in a toxic-free environmen</c:v>
                      </c:pt>
                      <c:pt idx="15">
                        <c:v>CE 7.2 Getting the economics right</c:v>
                      </c:pt>
                      <c:pt idx="16">
                        <c:v>CE 8.1 Leading efforts at global level</c:v>
                      </c:pt>
                      <c:pt idx="17">
                        <c:v>CM 1.1 Energy efficiency for the decarbonision of industrial processes 
</c:v>
                      </c:pt>
                      <c:pt idx="18">
                        <c:v>CM 1.2 Significant reductions in overall energy  use in buildings</c:v>
                      </c:pt>
                      <c:pt idx="19">
                        <c:v>CM 2.1  Increasing the share of renewables thereby improving security of supply and reducing dependence from imports</c:v>
                      </c:pt>
                      <c:pt idx="20">
                        <c:v>CM 2.2 Increase electricity production from renewables
and promote decentralised, smart and flexible power system 
</c:v>
                      </c:pt>
                      <c:pt idx="21">
                        <c:v>CM 3.1 Low or zero-emission vehicles with efficient alternative powertrains</c:v>
                      </c:pt>
                      <c:pt idx="22">
                        <c:v>CM 3.2 Making heavy-duty vehicles, rail, aviation and shipping climate-neutral</c:v>
                      </c:pt>
                      <c:pt idx="23">
                        <c:v>CM 3.3 Having an efficient organization and infrastructure of the mobility system</c:v>
                      </c:pt>
                      <c:pt idx="24">
                        <c:v>CM 4.1 Promoting a more resource-efficient industrial production  (such as steel, glass and plastics)
</c:v>
                      </c:pt>
                      <c:pt idx="25">
                        <c:v>CM 4.2 Promoting a less emission-intensive industrial production  (such as steel, glass and plastics)</c:v>
                      </c:pt>
                      <c:pt idx="26">
                        <c:v>CM 4.3 Raw material recovery and recycling to ensure sustainable and secure supply chains</c:v>
                      </c:pt>
                      <c:pt idx="27">
                        <c:v>CM 4.4 Innovation and modernisation of industrial processes, new technologies </c:v>
                      </c:pt>
                      <c:pt idx="28">
                        <c:v>CM 4.5  Information on carbon and environmental footprints of products and services should be more transparent so that consumers may make informed decisions</c:v>
                      </c:pt>
                      <c:pt idx="29">
                        <c:v>CM 5.1 Completion of the Trans-European Transport and Energy Networks</c:v>
                      </c:pt>
                      <c:pt idx="30">
                        <c:v>CM 5.2 Smart charging and refueling stations allowing for cross-border services (among others)</c:v>
                      </c:pt>
                      <c:pt idx="31">
                        <c:v>CM 6.1 Agricultural production for bioenergy using efficient and sustainable production methods</c:v>
                      </c:pt>
                      <c:pt idx="32">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'[ANALYSIS DIRECTIVES_com_a moda e frequencia.xlsx]total'!$F$2:$F$56</c15:sqref>
                        </c15:formulaRef>
                      </c:ext>
                    </c:extLst>
                    <c:numCache>
                      <c:formatCode>General</c:formatCode>
                      <c:ptCount val="33"/>
                      <c:pt idx="0">
                        <c:v>1</c:v>
                      </c:pt>
                      <c:pt idx="1">
                        <c:v>2</c:v>
                      </c:pt>
                      <c:pt idx="2">
                        <c:v>0</c:v>
                      </c:pt>
                      <c:pt idx="3">
                        <c:v>0</c:v>
                      </c:pt>
                      <c:pt idx="4">
                        <c:v>0</c:v>
                      </c:pt>
                      <c:pt idx="5">
                        <c:v>0</c:v>
                      </c:pt>
                      <c:pt idx="6">
                        <c:v>3</c:v>
                      </c:pt>
                      <c:pt idx="7">
                        <c:v>1</c:v>
                      </c:pt>
                      <c:pt idx="8">
                        <c:v>2</c:v>
                      </c:pt>
                      <c:pt idx="9">
                        <c:v>0</c:v>
                      </c:pt>
                      <c:pt idx="10">
                        <c:v>0</c:v>
                      </c:pt>
                      <c:pt idx="11">
                        <c:v>0</c:v>
                      </c:pt>
                      <c:pt idx="12">
                        <c:v>3</c:v>
                      </c:pt>
                      <c:pt idx="13">
                        <c:v>0</c:v>
                      </c:pt>
                      <c:pt idx="14">
                        <c:v>1</c:v>
                      </c:pt>
                      <c:pt idx="15">
                        <c:v>0</c:v>
                      </c:pt>
                      <c:pt idx="16">
                        <c:v>1</c:v>
                      </c:pt>
                      <c:pt idx="17">
                        <c:v>1</c:v>
                      </c:pt>
                      <c:pt idx="18">
                        <c:v>2</c:v>
                      </c:pt>
                      <c:pt idx="19">
                        <c:v>2</c:v>
                      </c:pt>
                      <c:pt idx="20">
                        <c:v>1</c:v>
                      </c:pt>
                      <c:pt idx="21">
                        <c:v>1</c:v>
                      </c:pt>
                      <c:pt idx="22">
                        <c:v>1</c:v>
                      </c:pt>
                      <c:pt idx="23">
                        <c:v>0</c:v>
                      </c:pt>
                      <c:pt idx="24">
                        <c:v>0</c:v>
                      </c:pt>
                      <c:pt idx="25">
                        <c:v>1</c:v>
                      </c:pt>
                      <c:pt idx="26">
                        <c:v>0</c:v>
                      </c:pt>
                      <c:pt idx="27">
                        <c:v>1</c:v>
                      </c:pt>
                      <c:pt idx="28">
                        <c:v>3</c:v>
                      </c:pt>
                      <c:pt idx="29">
                        <c:v>0</c:v>
                      </c:pt>
                      <c:pt idx="30">
                        <c:v>0</c:v>
                      </c:pt>
                      <c:pt idx="31">
                        <c:v>1</c:v>
                      </c:pt>
                      <c:pt idx="32">
                        <c:v>0</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A217-4AA2-80F3-819B1C58BC9C}"/>
                  </c:ext>
                </c:extLst>
              </c15:ser>
            </c15:filteredRadarSeries>
          </c:ext>
        </c:extLst>
      </c:radarChart>
      <c:catAx>
        <c:axId val="6764854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676483856"/>
        <c:crosses val="autoZero"/>
        <c:auto val="1"/>
        <c:lblAlgn val="ctr"/>
        <c:lblOffset val="100"/>
        <c:noMultiLvlLbl val="0"/>
      </c:catAx>
      <c:valAx>
        <c:axId val="676483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485424"/>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569291338582675"/>
          <c:y val="0.17351128324532067"/>
          <c:w val="0.4887289214184779"/>
          <c:h val="0.68239313729477902"/>
        </c:manualLayout>
      </c:layout>
      <c:radarChart>
        <c:radarStyle val="marker"/>
        <c:varyColors val="0"/>
        <c:ser>
          <c:idx val="0"/>
          <c:order val="0"/>
          <c:tx>
            <c:strRef>
              <c:f>total!$G$1</c:f>
              <c:strCache>
                <c:ptCount val="1"/>
                <c:pt idx="0">
                  <c:v>Waste</c:v>
                </c:pt>
              </c:strCache>
            </c:strRef>
          </c:tx>
          <c:spPr>
            <a:ln w="28575" cap="rnd">
              <a:solidFill>
                <a:schemeClr val="accent6"/>
              </a:solidFill>
              <a:round/>
            </a:ln>
            <a:effectLst/>
          </c:spPr>
          <c:marker>
            <c:symbol val="none"/>
          </c:marker>
          <c:cat>
            <c:strRef>
              <c:f>total!$A$2:$A$56</c:f>
              <c:strCache>
                <c:ptCount val="5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1.9 Introducing a ban on the destruction of unsold durable goods</c:v>
                </c:pt>
                <c:pt idx="10">
                  <c:v>CE 1.10 Incentivising product-as-a-service or other models where producers keep the ownership of the 
product or the responsibility for its performance throughout its lifecycle</c:v>
                </c:pt>
                <c:pt idx="11">
                  <c:v>CE 1.11 Mobilising the potential of digitalisation of product information, including solutions such as digital  passports, tagging and watermarks</c:v>
                </c:pt>
                <c:pt idx="12">
                  <c:v> 1.12 Rewarding products based on their different sustainability performance, including by linking high 
performance levels to incentives</c:v>
                </c:pt>
                <c:pt idx="13">
                  <c:v>CE 2.1 Ensure that consumers receive trustworthy and relevant information on products at the point of sale, including on their lifespan and on the 
availability of repair services, spare parts and repair manuals</c:v>
                </c:pt>
                <c:pt idx="14">
                  <c:v>CE 2.2 Strengthening consumer protection against green washing, premature obsolescence and
setting minimum requirements for sustainability labels/logos and for information tools</c:v>
                </c:pt>
                <c:pt idx="15">
                  <c:v>CE 2.3  Right to repair: availability of spare parts or access to repair </c:v>
                </c:pt>
                <c:pt idx="16">
                  <c:v>CE 2.4 Minimum mandatory green public procurement (GPP)  criteria and targets in sectoral legislation and phase in compulsory reporting to monitor the uptake of GPP</c:v>
                </c:pt>
                <c:pt idx="17">
                  <c:v>CE 3.1 Promoting circularity in industrial processes in the context of the review 
of the Industrial Emissions Directive, including the integration of circular economy practices in 
upcoming Best Available Techniques</c:v>
                </c:pt>
                <c:pt idx="18">
                  <c:v>CE 3.2 Facilitating industrial symbiosis by developing an industry-led reporting and certification system</c:v>
                </c:pt>
                <c:pt idx="19">
                  <c:v>CE 3.3 Supporting the sustainable and circular bio-based sector through the implementation of the 
Bioeconomy Action Plan</c:v>
                </c:pt>
                <c:pt idx="20">
                  <c:v>CE 3.4. Promoting the use of digital technologies for tracking, tracing and mapping of resources</c:v>
                </c:pt>
                <c:pt idx="21">
                  <c:v>CE 3.5 Promoting the uptake of green technologies through a system of solid verification by registering the 
EU Environmental Technology Verification scheme as an EU certification mark</c:v>
                </c:pt>
                <c:pt idx="22">
                  <c:v>CE 4.1 Electronics and ICT</c:v>
                </c:pt>
                <c:pt idx="23">
                  <c:v>CE 4.2 Batteries and vehicles</c:v>
                </c:pt>
                <c:pt idx="24">
                  <c:v>CE 4.3 Packaging</c:v>
                </c:pt>
                <c:pt idx="25">
                  <c:v>CE 4.4 Plastics</c:v>
                </c:pt>
                <c:pt idx="26">
                  <c:v>CE 4.5 Construction and buildings</c:v>
                </c:pt>
                <c:pt idx="27">
                  <c:v>CE 5.1 Enhanced waste policy in support of waste prevention and circularity</c:v>
                </c:pt>
                <c:pt idx="28">
                  <c:v>CE 5.2 Enhancing circularity in a toxic-free environmen</c:v>
                </c:pt>
                <c:pt idx="29">
                  <c:v>CE 5.3 Creating a well-functioning EU market for secondary raw 
materials</c:v>
                </c:pt>
                <c:pt idx="30">
                  <c:v>CE 5.4 Addressing waste exports from the EU</c:v>
                </c:pt>
                <c:pt idx="31">
                  <c:v>CE 6.1 Making circularity work for people, regions and cities</c:v>
                </c:pt>
                <c:pt idx="32">
                  <c:v>CE 7.1 Circularity as a prerequisite for climate neutrality</c:v>
                </c:pt>
                <c:pt idx="33">
                  <c:v>CE 7.2 Getting the economics right</c:v>
                </c:pt>
                <c:pt idx="34">
                  <c:v>CE 7.3 Driving the transition through research, innovation and digitalisation</c:v>
                </c:pt>
                <c:pt idx="35">
                  <c:v>CE 8.1 Leading efforts at global level</c:v>
                </c:pt>
                <c:pt idx="36">
                  <c:v>CM 1.1 Energy efficiency for the decarbonision of industrial processes 
</c:v>
                </c:pt>
                <c:pt idx="37">
                  <c:v>CM 1.2 Significant reductions in overall energy  use in buildings</c:v>
                </c:pt>
                <c:pt idx="38">
                  <c:v>CM 2.1  Increasing the share of renewables thereby improving security of supply and reducing dependence from imports</c:v>
                </c:pt>
                <c:pt idx="39">
                  <c:v>CM 2.2 Increase electricity production from renewables
and promote decentralised, smart and flexible power system 
</c:v>
                </c:pt>
                <c:pt idx="40">
                  <c:v>CM 2.3 Fostering domestic jobs</c:v>
                </c:pt>
                <c:pt idx="41">
                  <c:v>CM 3.1 Low or zero-emission vehicles with efficient alternative powertrains</c:v>
                </c:pt>
                <c:pt idx="42">
                  <c:v>CM 3.2 Making heavy-duty vehicles, rail, aviation and shipping climate-neutral</c:v>
                </c:pt>
                <c:pt idx="43">
                  <c:v>CM 3.3 Having an efficient organization and infrastructure of the mobility system</c:v>
                </c:pt>
                <c:pt idx="44">
                  <c:v>CM 4.1 Promoting a more resource-efficient industrial production  (such as steel, glass and plastics)
</c:v>
                </c:pt>
                <c:pt idx="45">
                  <c:v>CM 4.2 Promoting a less emission-intensive industrial production  (such as steel, glass and plastics)</c:v>
                </c:pt>
                <c:pt idx="46">
                  <c:v>CM 4.3 Raw material recovery and recycling to ensure sustainable and secure supply chains</c:v>
                </c:pt>
                <c:pt idx="47">
                  <c:v>CM 4.4 Innovation and modernisation of industrial processes, new technologies </c:v>
                </c:pt>
                <c:pt idx="48">
                  <c:v>CM 4.5  Information on carbon and environmental footprints of products and services should be more transparent so that consumers may make informed decisions</c:v>
                </c:pt>
                <c:pt idx="49">
                  <c:v>CM 5.1 Completion of the Trans-European Transport and Energy Networks</c:v>
                </c:pt>
                <c:pt idx="50">
                  <c:v>CM 5.2 Smart charging and refueling stations allowing for cross-border services (among others)</c:v>
                </c:pt>
                <c:pt idx="51">
                  <c:v>CM 5.3 Retrofitting of existing infrastructure can ensure continuous use, while the replacement of old  infrastructure can be compatible with decarbonization objectives.</c:v>
                </c:pt>
                <c:pt idx="52">
                  <c:v>CM 6.1 Agricultural production for bioenergy using efficient and sustainable production methods</c:v>
                </c:pt>
                <c:pt idx="53">
                  <c:v>CM 6.2 Afforestation and restoration of degraded forest lands and similar ecosystems</c:v>
                </c:pt>
                <c:pt idx="54">
                  <c:v>CM 7.1 More research, innovation and demonstration to ensure the successful deployment of CCS
</c:v>
                </c:pt>
              </c:strCache>
            </c:strRef>
          </c:cat>
          <c:val>
            <c:numRef>
              <c:f>total!$G$2:$G$56</c:f>
              <c:numCache>
                <c:formatCode>General</c:formatCode>
                <c:ptCount val="55"/>
                <c:pt idx="0">
                  <c:v>9</c:v>
                </c:pt>
                <c:pt idx="1">
                  <c:v>8</c:v>
                </c:pt>
                <c:pt idx="2">
                  <c:v>3</c:v>
                </c:pt>
                <c:pt idx="3">
                  <c:v>10</c:v>
                </c:pt>
                <c:pt idx="4">
                  <c:v>10</c:v>
                </c:pt>
                <c:pt idx="5">
                  <c:v>10</c:v>
                </c:pt>
                <c:pt idx="6">
                  <c:v>12</c:v>
                </c:pt>
                <c:pt idx="7">
                  <c:v>5</c:v>
                </c:pt>
                <c:pt idx="8">
                  <c:v>2</c:v>
                </c:pt>
                <c:pt idx="9">
                  <c:v>0</c:v>
                </c:pt>
                <c:pt idx="10">
                  <c:v>0</c:v>
                </c:pt>
                <c:pt idx="11">
                  <c:v>1</c:v>
                </c:pt>
                <c:pt idx="12">
                  <c:v>0</c:v>
                </c:pt>
                <c:pt idx="13">
                  <c:v>4</c:v>
                </c:pt>
                <c:pt idx="14">
                  <c:v>0</c:v>
                </c:pt>
                <c:pt idx="15">
                  <c:v>1</c:v>
                </c:pt>
                <c:pt idx="16">
                  <c:v>0</c:v>
                </c:pt>
                <c:pt idx="17">
                  <c:v>5</c:v>
                </c:pt>
                <c:pt idx="18">
                  <c:v>0</c:v>
                </c:pt>
                <c:pt idx="19">
                  <c:v>0</c:v>
                </c:pt>
                <c:pt idx="20">
                  <c:v>0</c:v>
                </c:pt>
                <c:pt idx="21">
                  <c:v>0</c:v>
                </c:pt>
                <c:pt idx="22">
                  <c:v>5</c:v>
                </c:pt>
                <c:pt idx="23">
                  <c:v>5</c:v>
                </c:pt>
                <c:pt idx="24">
                  <c:v>1</c:v>
                </c:pt>
                <c:pt idx="25">
                  <c:v>1</c:v>
                </c:pt>
                <c:pt idx="26">
                  <c:v>3</c:v>
                </c:pt>
                <c:pt idx="27">
                  <c:v>10</c:v>
                </c:pt>
                <c:pt idx="28">
                  <c:v>11</c:v>
                </c:pt>
                <c:pt idx="29">
                  <c:v>2</c:v>
                </c:pt>
                <c:pt idx="30">
                  <c:v>3</c:v>
                </c:pt>
                <c:pt idx="31">
                  <c:v>0</c:v>
                </c:pt>
                <c:pt idx="32">
                  <c:v>0</c:v>
                </c:pt>
                <c:pt idx="33">
                  <c:v>0</c:v>
                </c:pt>
                <c:pt idx="34">
                  <c:v>2</c:v>
                </c:pt>
                <c:pt idx="35">
                  <c:v>0</c:v>
                </c:pt>
                <c:pt idx="36">
                  <c:v>1</c:v>
                </c:pt>
                <c:pt idx="37">
                  <c:v>1</c:v>
                </c:pt>
                <c:pt idx="38">
                  <c:v>0</c:v>
                </c:pt>
                <c:pt idx="39">
                  <c:v>0</c:v>
                </c:pt>
                <c:pt idx="40">
                  <c:v>0</c:v>
                </c:pt>
                <c:pt idx="41">
                  <c:v>0</c:v>
                </c:pt>
                <c:pt idx="42">
                  <c:v>0</c:v>
                </c:pt>
                <c:pt idx="43">
                  <c:v>0</c:v>
                </c:pt>
                <c:pt idx="44">
                  <c:v>5</c:v>
                </c:pt>
                <c:pt idx="45">
                  <c:v>1</c:v>
                </c:pt>
                <c:pt idx="46">
                  <c:v>9</c:v>
                </c:pt>
                <c:pt idx="47">
                  <c:v>1</c:v>
                </c:pt>
                <c:pt idx="48">
                  <c:v>3</c:v>
                </c:pt>
                <c:pt idx="49">
                  <c:v>0</c:v>
                </c:pt>
                <c:pt idx="50">
                  <c:v>0</c:v>
                </c:pt>
                <c:pt idx="51">
                  <c:v>0</c:v>
                </c:pt>
                <c:pt idx="52">
                  <c:v>0</c:v>
                </c:pt>
                <c:pt idx="53">
                  <c:v>0</c:v>
                </c:pt>
                <c:pt idx="54">
                  <c:v>0</c:v>
                </c:pt>
              </c:numCache>
            </c:numRef>
          </c:val>
          <c:extLst xmlns="http://schemas.openxmlformats.org/drawingml/2006/chart" xmlns:c16r2="http://schemas.microsoft.com/office/drawing/2015/06/chart">
            <c:ext xmlns:c16="http://schemas.microsoft.com/office/drawing/2014/chart" uri="{C3380CC4-5D6E-409C-BE32-E72D297353CC}">
              <c16:uniqueId val="{00000000-88E2-4598-9422-62B68632CB86}"/>
            </c:ext>
          </c:extLst>
        </c:ser>
        <c:dLbls>
          <c:showLegendKey val="0"/>
          <c:showVal val="0"/>
          <c:showCatName val="0"/>
          <c:showSerName val="0"/>
          <c:showPercent val="0"/>
          <c:showBubbleSize val="0"/>
        </c:dLbls>
        <c:axId val="856823400"/>
        <c:axId val="856822224"/>
        <c:extLst xmlns="http://schemas.openxmlformats.org/drawingml/2006/chart" xmlns:c16r2="http://schemas.microsoft.com/office/drawing/2015/06/chart">
          <c:ext xmlns:c15="http://schemas.microsoft.com/office/drawing/2012/chart" uri="{02D57815-91ED-43cb-92C2-25804820EDAC}">
            <c15:filteredRadarSeries>
              <c15:ser>
                <c:idx val="1"/>
                <c:order val="1"/>
                <c:tx>
                  <c:strRef>
                    <c:extLst xmlns="http://schemas.openxmlformats.org/drawingml/2006/chart" xmlns:c16r2="http://schemas.microsoft.com/office/drawing/2015/06/chart">
                      <c:ext uri="{02D57815-91ED-43cb-92C2-25804820EDAC}">
                        <c15:formulaRef>
                          <c15:sqref>total!$C$1</c15:sqref>
                        </c15:formulaRef>
                      </c:ext>
                    </c:extLst>
                    <c:strCache>
                      <c:ptCount val="1"/>
                      <c:pt idx="0">
                        <c:v>Manufacturing</c:v>
                      </c:pt>
                    </c:strCache>
                  </c:strRef>
                </c:tx>
                <c:spPr>
                  <a:ln w="28575" cap="rnd">
                    <a:solidFill>
                      <a:schemeClr val="accent5"/>
                    </a:solidFill>
                    <a:round/>
                  </a:ln>
                  <a:effectLst/>
                </c:spPr>
                <c:marker>
                  <c:symbol val="none"/>
                </c:marker>
                <c:cat>
                  <c:strRef>
                    <c:extLst xmlns="http://schemas.openxmlformats.org/drawingml/2006/chart" xmlns:c16r2="http://schemas.microsoft.com/office/drawing/2015/06/chart">
                      <c:ext uri="{02D57815-91ED-43cb-92C2-25804820EDAC}">
                        <c15:formulaRef>
                          <c15:sqref>total!$A$2:$A$56</c15:sqref>
                        </c15:formulaRef>
                      </c:ext>
                    </c:extLst>
                    <c:strCache>
                      <c:ptCount val="5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1.9 Introducing a ban on the destruction of unsold durable goods</c:v>
                      </c:pt>
                      <c:pt idx="10">
                        <c:v>CE 1.10 Incentivising product-as-a-service or other models where producers keep the ownership of the 
product or the responsibility for its performance throughout its lifecycle</c:v>
                      </c:pt>
                      <c:pt idx="11">
                        <c:v>CE 1.11 Mobilising the potential of digitalisation of product information, including solutions such as digital  passports, tagging and watermarks</c:v>
                      </c:pt>
                      <c:pt idx="12">
                        <c:v> 1.12 Rewarding products based on their different sustainability performance, including by linking high 
performance levels to incentives</c:v>
                      </c:pt>
                      <c:pt idx="13">
                        <c:v>CE 2.1 Ensure that consumers receive trustworthy and relevant information on products at the point of sale, including on their lifespan and on the 
availability of repair services, spare parts and repair manuals</c:v>
                      </c:pt>
                      <c:pt idx="14">
                        <c:v>CE 2.2 Strengthening consumer protection against green washing, premature obsolescence and
setting minimum requirements for sustainability labels/logos and for information tools</c:v>
                      </c:pt>
                      <c:pt idx="15">
                        <c:v>CE 2.3  Right to repair: availability of spare parts or access to repair </c:v>
                      </c:pt>
                      <c:pt idx="16">
                        <c:v>CE 2.4 Minimum mandatory green public procurement (GPP)  criteria and targets in sectoral legislation and phase in compulsory reporting to monitor the uptake of GPP</c:v>
                      </c:pt>
                      <c:pt idx="17">
                        <c:v>CE 3.1 Promoting circularity in industrial processes in the context of the review 
of the Industrial Emissions Directive, including the integration of circular economy practices in 
upcoming Best Available Techniques</c:v>
                      </c:pt>
                      <c:pt idx="18">
                        <c:v>CE 3.2 Facilitating industrial symbiosis by developing an industry-led reporting and certification system</c:v>
                      </c:pt>
                      <c:pt idx="19">
                        <c:v>CE 3.3 Supporting the sustainable and circular bio-based sector through the implementation of the 
Bioeconomy Action Plan</c:v>
                      </c:pt>
                      <c:pt idx="20">
                        <c:v>CE 3.4. Promoting the use of digital technologies for tracking, tracing and mapping of resources</c:v>
                      </c:pt>
                      <c:pt idx="21">
                        <c:v>CE 3.5 Promoting the uptake of green technologies through a system of solid verification by registering the 
EU Environmental Technology Verification scheme as an EU certification mark</c:v>
                      </c:pt>
                      <c:pt idx="22">
                        <c:v>CE 4.1 Electronics and ICT</c:v>
                      </c:pt>
                      <c:pt idx="23">
                        <c:v>CE 4.2 Batteries and vehicles</c:v>
                      </c:pt>
                      <c:pt idx="24">
                        <c:v>CE 4.3 Packaging</c:v>
                      </c:pt>
                      <c:pt idx="25">
                        <c:v>CE 4.4 Plastics</c:v>
                      </c:pt>
                      <c:pt idx="26">
                        <c:v>CE 4.5 Construction and buildings</c:v>
                      </c:pt>
                      <c:pt idx="27">
                        <c:v>CE 5.1 Enhanced waste policy in support of waste prevention and circularity</c:v>
                      </c:pt>
                      <c:pt idx="28">
                        <c:v>CE 5.2 Enhancing circularity in a toxic-free environmen</c:v>
                      </c:pt>
                      <c:pt idx="29">
                        <c:v>CE 5.3 Creating a well-functioning EU market for secondary raw 
materials</c:v>
                      </c:pt>
                      <c:pt idx="30">
                        <c:v>CE 5.4 Addressing waste exports from the EU</c:v>
                      </c:pt>
                      <c:pt idx="31">
                        <c:v>CE 6.1 Making circularity work for people, regions and cities</c:v>
                      </c:pt>
                      <c:pt idx="32">
                        <c:v>CE 7.1 Circularity as a prerequisite for climate neutrality</c:v>
                      </c:pt>
                      <c:pt idx="33">
                        <c:v>CE 7.2 Getting the economics right</c:v>
                      </c:pt>
                      <c:pt idx="34">
                        <c:v>CE 7.3 Driving the transition through research, innovation and digitalisation</c:v>
                      </c:pt>
                      <c:pt idx="35">
                        <c:v>CE 8.1 Leading efforts at global level</c:v>
                      </c:pt>
                      <c:pt idx="36">
                        <c:v>CM 1.1 Energy efficiency for the decarbonision of industrial processes 
</c:v>
                      </c:pt>
                      <c:pt idx="37">
                        <c:v>CM 1.2 Significant reductions in overall energy  use in buildings</c:v>
                      </c:pt>
                      <c:pt idx="38">
                        <c:v>CM 2.1  Increasing the share of renewables thereby improving security of supply and reducing dependence from imports</c:v>
                      </c:pt>
                      <c:pt idx="39">
                        <c:v>CM 2.2 Increase electricity production from renewables
and promote decentralised, smart and flexible power system 
</c:v>
                      </c:pt>
                      <c:pt idx="40">
                        <c:v>CM 2.3 Fostering domestic jobs</c:v>
                      </c:pt>
                      <c:pt idx="41">
                        <c:v>CM 3.1 Low or zero-emission vehicles with efficient alternative powertrains</c:v>
                      </c:pt>
                      <c:pt idx="42">
                        <c:v>CM 3.2 Making heavy-duty vehicles, rail, aviation and shipping climate-neutral</c:v>
                      </c:pt>
                      <c:pt idx="43">
                        <c:v>CM 3.3 Having an efficient organization and infrastructure of the mobility system</c:v>
                      </c:pt>
                      <c:pt idx="44">
                        <c:v>CM 4.1 Promoting a more resource-efficient industrial production  (such as steel, glass and plastics)
</c:v>
                      </c:pt>
                      <c:pt idx="45">
                        <c:v>CM 4.2 Promoting a less emission-intensive industrial production  (such as steel, glass and plastics)</c:v>
                      </c:pt>
                      <c:pt idx="46">
                        <c:v>CM 4.3 Raw material recovery and recycling to ensure sustainable and secure supply chains</c:v>
                      </c:pt>
                      <c:pt idx="47">
                        <c:v>CM 4.4 Innovation and modernisation of industrial processes, new technologies </c:v>
                      </c:pt>
                      <c:pt idx="48">
                        <c:v>CM 4.5  Information on carbon and environmental footprints of products and services should be more transparent so that consumers may make informed decisions</c:v>
                      </c:pt>
                      <c:pt idx="49">
                        <c:v>CM 5.1 Completion of the Trans-European Transport and Energy Networks</c:v>
                      </c:pt>
                      <c:pt idx="50">
                        <c:v>CM 5.2 Smart charging and refueling stations allowing for cross-border services (among others)</c:v>
                      </c:pt>
                      <c:pt idx="51">
                        <c:v>CM 5.3 Retrofitting of existing infrastructure can ensure continuous use, while the replacement of old  infrastructure can be compatible with decarbonization objectives.</c:v>
                      </c:pt>
                      <c:pt idx="52">
                        <c:v>CM 6.1 Agricultural production for bioenergy using efficient and sustainable production methods</c:v>
                      </c:pt>
                      <c:pt idx="53">
                        <c:v>CM 6.2 Afforestation and restoration of degraded forest lands and similar ecosystems</c:v>
                      </c:pt>
                      <c:pt idx="54">
                        <c:v>CM 7.1 More research, innovation and demonstration to ensure the successful deployment of CCS
</c:v>
                      </c:pt>
                    </c:strCache>
                  </c:strRef>
                </c:cat>
                <c:val>
                  <c:numRef>
                    <c:extLst xmlns="http://schemas.openxmlformats.org/drawingml/2006/chart" xmlns:c16r2="http://schemas.microsoft.com/office/drawing/2015/06/chart">
                      <c:ext uri="{02D57815-91ED-43cb-92C2-25804820EDAC}">
                        <c15:formulaRef>
                          <c15:sqref>total!$C$2:$C$56</c15:sqref>
                        </c15:formulaRef>
                      </c:ext>
                    </c:extLst>
                    <c:numCache>
                      <c:formatCode>General</c:formatCode>
                      <c:ptCount val="55"/>
                      <c:pt idx="0">
                        <c:v>5</c:v>
                      </c:pt>
                      <c:pt idx="1">
                        <c:v>8</c:v>
                      </c:pt>
                      <c:pt idx="2">
                        <c:v>6</c:v>
                      </c:pt>
                      <c:pt idx="3">
                        <c:v>5</c:v>
                      </c:pt>
                      <c:pt idx="4">
                        <c:v>5</c:v>
                      </c:pt>
                      <c:pt idx="5">
                        <c:v>5</c:v>
                      </c:pt>
                      <c:pt idx="6">
                        <c:v>12</c:v>
                      </c:pt>
                      <c:pt idx="7">
                        <c:v>9</c:v>
                      </c:pt>
                      <c:pt idx="8">
                        <c:v>1</c:v>
                      </c:pt>
                      <c:pt idx="9">
                        <c:v>0</c:v>
                      </c:pt>
                      <c:pt idx="10">
                        <c:v>0</c:v>
                      </c:pt>
                      <c:pt idx="11">
                        <c:v>0</c:v>
                      </c:pt>
                      <c:pt idx="12">
                        <c:v>1</c:v>
                      </c:pt>
                      <c:pt idx="13">
                        <c:v>5</c:v>
                      </c:pt>
                      <c:pt idx="14">
                        <c:v>0</c:v>
                      </c:pt>
                      <c:pt idx="15">
                        <c:v>1</c:v>
                      </c:pt>
                      <c:pt idx="16">
                        <c:v>0</c:v>
                      </c:pt>
                      <c:pt idx="17">
                        <c:v>1</c:v>
                      </c:pt>
                      <c:pt idx="18">
                        <c:v>0</c:v>
                      </c:pt>
                      <c:pt idx="19">
                        <c:v>0</c:v>
                      </c:pt>
                      <c:pt idx="20">
                        <c:v>0</c:v>
                      </c:pt>
                      <c:pt idx="21">
                        <c:v>0</c:v>
                      </c:pt>
                      <c:pt idx="22">
                        <c:v>4</c:v>
                      </c:pt>
                      <c:pt idx="23">
                        <c:v>1</c:v>
                      </c:pt>
                      <c:pt idx="24">
                        <c:v>1</c:v>
                      </c:pt>
                      <c:pt idx="25">
                        <c:v>1</c:v>
                      </c:pt>
                      <c:pt idx="26">
                        <c:v>5</c:v>
                      </c:pt>
                      <c:pt idx="27">
                        <c:v>4</c:v>
                      </c:pt>
                      <c:pt idx="28">
                        <c:v>5</c:v>
                      </c:pt>
                      <c:pt idx="29">
                        <c:v>1</c:v>
                      </c:pt>
                      <c:pt idx="30">
                        <c:v>1</c:v>
                      </c:pt>
                      <c:pt idx="31">
                        <c:v>0</c:v>
                      </c:pt>
                      <c:pt idx="32">
                        <c:v>0</c:v>
                      </c:pt>
                      <c:pt idx="33">
                        <c:v>2</c:v>
                      </c:pt>
                      <c:pt idx="34">
                        <c:v>1</c:v>
                      </c:pt>
                      <c:pt idx="35">
                        <c:v>1</c:v>
                      </c:pt>
                      <c:pt idx="36">
                        <c:v>7</c:v>
                      </c:pt>
                      <c:pt idx="37">
                        <c:v>2</c:v>
                      </c:pt>
                      <c:pt idx="38">
                        <c:v>3</c:v>
                      </c:pt>
                      <c:pt idx="39">
                        <c:v>3</c:v>
                      </c:pt>
                      <c:pt idx="40">
                        <c:v>0</c:v>
                      </c:pt>
                      <c:pt idx="41">
                        <c:v>0</c:v>
                      </c:pt>
                      <c:pt idx="42">
                        <c:v>0</c:v>
                      </c:pt>
                      <c:pt idx="43">
                        <c:v>0</c:v>
                      </c:pt>
                      <c:pt idx="44">
                        <c:v>4</c:v>
                      </c:pt>
                      <c:pt idx="45">
                        <c:v>5</c:v>
                      </c:pt>
                      <c:pt idx="46">
                        <c:v>4</c:v>
                      </c:pt>
                      <c:pt idx="47">
                        <c:v>3</c:v>
                      </c:pt>
                      <c:pt idx="48">
                        <c:v>5</c:v>
                      </c:pt>
                      <c:pt idx="49">
                        <c:v>0</c:v>
                      </c:pt>
                      <c:pt idx="50">
                        <c:v>0</c:v>
                      </c:pt>
                      <c:pt idx="51">
                        <c:v>0</c:v>
                      </c:pt>
                      <c:pt idx="52">
                        <c:v>0</c:v>
                      </c:pt>
                      <c:pt idx="53">
                        <c:v>0</c:v>
                      </c:pt>
                      <c:pt idx="54">
                        <c:v>1</c:v>
                      </c:pt>
                    </c:numCache>
                  </c:numRef>
                </c:val>
                <c:extLst xmlns="http://schemas.openxmlformats.org/drawingml/2006/chart" xmlns:c16r2="http://schemas.microsoft.com/office/drawing/2015/06/chart">
                  <c:ext xmlns:c16="http://schemas.microsoft.com/office/drawing/2014/chart" uri="{C3380CC4-5D6E-409C-BE32-E72D297353CC}">
                    <c16:uniqueId val="{00000001-88E2-4598-9422-62B68632CB86}"/>
                  </c:ext>
                </c:extLst>
              </c15:ser>
            </c15:filteredRadarSeries>
            <c15:filteredRadarSeries>
              <c15:ser>
                <c:idx val="2"/>
                <c:order val="2"/>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total!$D$1</c15:sqref>
                        </c15:formulaRef>
                      </c:ext>
                    </c:extLst>
                    <c:strCache>
                      <c:ptCount val="1"/>
                      <c:pt idx="0">
                        <c:v>Transportation</c:v>
                      </c:pt>
                    </c:strCache>
                  </c:strRef>
                </c:tx>
                <c:spPr>
                  <a:ln w="28575" cap="rnd">
                    <a:solidFill>
                      <a:schemeClr val="accent4"/>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total!$A$2:$A$56</c15:sqref>
                        </c15:formulaRef>
                      </c:ext>
                    </c:extLst>
                    <c:strCache>
                      <c:ptCount val="5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1.9 Introducing a ban on the destruction of unsold durable goods</c:v>
                      </c:pt>
                      <c:pt idx="10">
                        <c:v>CE 1.10 Incentivising product-as-a-service or other models where producers keep the ownership of the 
product or the responsibility for its performance throughout its lifecycle</c:v>
                      </c:pt>
                      <c:pt idx="11">
                        <c:v>CE 1.11 Mobilising the potential of digitalisation of product information, including solutions such as digital  passports, tagging and watermarks</c:v>
                      </c:pt>
                      <c:pt idx="12">
                        <c:v> 1.12 Rewarding products based on their different sustainability performance, including by linking high 
performance levels to incentives</c:v>
                      </c:pt>
                      <c:pt idx="13">
                        <c:v>CE 2.1 Ensure that consumers receive trustworthy and relevant information on products at the point of sale, including on their lifespan and on the 
availability of repair services, spare parts and repair manuals</c:v>
                      </c:pt>
                      <c:pt idx="14">
                        <c:v>CE 2.2 Strengthening consumer protection against green washing, premature obsolescence and
setting minimum requirements for sustainability labels/logos and for information tools</c:v>
                      </c:pt>
                      <c:pt idx="15">
                        <c:v>CE 2.3  Right to repair: availability of spare parts or access to repair </c:v>
                      </c:pt>
                      <c:pt idx="16">
                        <c:v>CE 2.4 Minimum mandatory green public procurement (GPP)  criteria and targets in sectoral legislation and phase in compulsory reporting to monitor the uptake of GPP</c:v>
                      </c:pt>
                      <c:pt idx="17">
                        <c:v>CE 3.1 Promoting circularity in industrial processes in the context of the review 
of the Industrial Emissions Directive, including the integration of circular economy practices in 
upcoming Best Available Techniques</c:v>
                      </c:pt>
                      <c:pt idx="18">
                        <c:v>CE 3.2 Facilitating industrial symbiosis by developing an industry-led reporting and certification system</c:v>
                      </c:pt>
                      <c:pt idx="19">
                        <c:v>CE 3.3 Supporting the sustainable and circular bio-based sector through the implementation of the 
Bioeconomy Action Plan</c:v>
                      </c:pt>
                      <c:pt idx="20">
                        <c:v>CE 3.4. Promoting the use of digital technologies for tracking, tracing and mapping of resources</c:v>
                      </c:pt>
                      <c:pt idx="21">
                        <c:v>CE 3.5 Promoting the uptake of green technologies through a system of solid verification by registering the 
EU Environmental Technology Verification scheme as an EU certification mark</c:v>
                      </c:pt>
                      <c:pt idx="22">
                        <c:v>CE 4.1 Electronics and ICT</c:v>
                      </c:pt>
                      <c:pt idx="23">
                        <c:v>CE 4.2 Batteries and vehicles</c:v>
                      </c:pt>
                      <c:pt idx="24">
                        <c:v>CE 4.3 Packaging</c:v>
                      </c:pt>
                      <c:pt idx="25">
                        <c:v>CE 4.4 Plastics</c:v>
                      </c:pt>
                      <c:pt idx="26">
                        <c:v>CE 4.5 Construction and buildings</c:v>
                      </c:pt>
                      <c:pt idx="27">
                        <c:v>CE 5.1 Enhanced waste policy in support of waste prevention and circularity</c:v>
                      </c:pt>
                      <c:pt idx="28">
                        <c:v>CE 5.2 Enhancing circularity in a toxic-free environmen</c:v>
                      </c:pt>
                      <c:pt idx="29">
                        <c:v>CE 5.3 Creating a well-functioning EU market for secondary raw 
materials</c:v>
                      </c:pt>
                      <c:pt idx="30">
                        <c:v>CE 5.4 Addressing waste exports from the EU</c:v>
                      </c:pt>
                      <c:pt idx="31">
                        <c:v>CE 6.1 Making circularity work for people, regions and cities</c:v>
                      </c:pt>
                      <c:pt idx="32">
                        <c:v>CE 7.1 Circularity as a prerequisite for climate neutrality</c:v>
                      </c:pt>
                      <c:pt idx="33">
                        <c:v>CE 7.2 Getting the economics right</c:v>
                      </c:pt>
                      <c:pt idx="34">
                        <c:v>CE 7.3 Driving the transition through research, innovation and digitalisation</c:v>
                      </c:pt>
                      <c:pt idx="35">
                        <c:v>CE 8.1 Leading efforts at global level</c:v>
                      </c:pt>
                      <c:pt idx="36">
                        <c:v>CM 1.1 Energy efficiency for the decarbonision of industrial processes 
</c:v>
                      </c:pt>
                      <c:pt idx="37">
                        <c:v>CM 1.2 Significant reductions in overall energy  use in buildings</c:v>
                      </c:pt>
                      <c:pt idx="38">
                        <c:v>CM 2.1  Increasing the share of renewables thereby improving security of supply and reducing dependence from imports</c:v>
                      </c:pt>
                      <c:pt idx="39">
                        <c:v>CM 2.2 Increase electricity production from renewables
and promote decentralised, smart and flexible power system 
</c:v>
                      </c:pt>
                      <c:pt idx="40">
                        <c:v>CM 2.3 Fostering domestic jobs</c:v>
                      </c:pt>
                      <c:pt idx="41">
                        <c:v>CM 3.1 Low or zero-emission vehicles with efficient alternative powertrains</c:v>
                      </c:pt>
                      <c:pt idx="42">
                        <c:v>CM 3.2 Making heavy-duty vehicles, rail, aviation and shipping climate-neutral</c:v>
                      </c:pt>
                      <c:pt idx="43">
                        <c:v>CM 3.3 Having an efficient organization and infrastructure of the mobility system</c:v>
                      </c:pt>
                      <c:pt idx="44">
                        <c:v>CM 4.1 Promoting a more resource-efficient industrial production  (such as steel, glass and plastics)
</c:v>
                      </c:pt>
                      <c:pt idx="45">
                        <c:v>CM 4.2 Promoting a less emission-intensive industrial production  (such as steel, glass and plastics)</c:v>
                      </c:pt>
                      <c:pt idx="46">
                        <c:v>CM 4.3 Raw material recovery and recycling to ensure sustainable and secure supply chains</c:v>
                      </c:pt>
                      <c:pt idx="47">
                        <c:v>CM 4.4 Innovation and modernisation of industrial processes, new technologies </c:v>
                      </c:pt>
                      <c:pt idx="48">
                        <c:v>CM 4.5  Information on carbon and environmental footprints of products and services should be more transparent so that consumers may make informed decisions</c:v>
                      </c:pt>
                      <c:pt idx="49">
                        <c:v>CM 5.1 Completion of the Trans-European Transport and Energy Networks</c:v>
                      </c:pt>
                      <c:pt idx="50">
                        <c:v>CM 5.2 Smart charging and refueling stations allowing for cross-border services (among others)</c:v>
                      </c:pt>
                      <c:pt idx="51">
                        <c:v>CM 5.3 Retrofitting of existing infrastructure can ensure continuous use, while the replacement of old  infrastructure can be compatible with decarbonization objectives.</c:v>
                      </c:pt>
                      <c:pt idx="52">
                        <c:v>CM 6.1 Agricultural production for bioenergy using efficient and sustainable production methods</c:v>
                      </c:pt>
                      <c:pt idx="53">
                        <c:v>CM 6.2 Afforestation and restoration of degraded forest lands and similar ecosystems</c:v>
                      </c:pt>
                      <c:pt idx="5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total!$D$2:$D$56</c15:sqref>
                        </c15:formulaRef>
                      </c:ext>
                    </c:extLst>
                    <c:numCache>
                      <c:formatCode>General</c:formatCode>
                      <c:ptCount val="55"/>
                      <c:pt idx="0">
                        <c:v>3</c:v>
                      </c:pt>
                      <c:pt idx="1">
                        <c:v>9</c:v>
                      </c:pt>
                      <c:pt idx="2">
                        <c:v>6</c:v>
                      </c:pt>
                      <c:pt idx="3">
                        <c:v>3</c:v>
                      </c:pt>
                      <c:pt idx="4">
                        <c:v>4</c:v>
                      </c:pt>
                      <c:pt idx="5">
                        <c:v>4</c:v>
                      </c:pt>
                      <c:pt idx="6">
                        <c:v>12</c:v>
                      </c:pt>
                      <c:pt idx="7">
                        <c:v>14</c:v>
                      </c:pt>
                      <c:pt idx="8">
                        <c:v>1</c:v>
                      </c:pt>
                      <c:pt idx="9">
                        <c:v>0</c:v>
                      </c:pt>
                      <c:pt idx="10">
                        <c:v>0</c:v>
                      </c:pt>
                      <c:pt idx="11">
                        <c:v>1</c:v>
                      </c:pt>
                      <c:pt idx="12">
                        <c:v>4</c:v>
                      </c:pt>
                      <c:pt idx="13">
                        <c:v>5</c:v>
                      </c:pt>
                      <c:pt idx="14">
                        <c:v>1</c:v>
                      </c:pt>
                      <c:pt idx="15">
                        <c:v>0</c:v>
                      </c:pt>
                      <c:pt idx="16">
                        <c:v>1</c:v>
                      </c:pt>
                      <c:pt idx="17">
                        <c:v>5</c:v>
                      </c:pt>
                      <c:pt idx="18">
                        <c:v>0</c:v>
                      </c:pt>
                      <c:pt idx="19">
                        <c:v>1</c:v>
                      </c:pt>
                      <c:pt idx="20">
                        <c:v>0</c:v>
                      </c:pt>
                      <c:pt idx="21">
                        <c:v>0</c:v>
                      </c:pt>
                      <c:pt idx="22">
                        <c:v>1</c:v>
                      </c:pt>
                      <c:pt idx="23">
                        <c:v>12</c:v>
                      </c:pt>
                      <c:pt idx="24">
                        <c:v>0</c:v>
                      </c:pt>
                      <c:pt idx="25">
                        <c:v>0</c:v>
                      </c:pt>
                      <c:pt idx="26">
                        <c:v>3</c:v>
                      </c:pt>
                      <c:pt idx="27">
                        <c:v>4</c:v>
                      </c:pt>
                      <c:pt idx="28">
                        <c:v>4</c:v>
                      </c:pt>
                      <c:pt idx="29">
                        <c:v>1</c:v>
                      </c:pt>
                      <c:pt idx="30">
                        <c:v>0</c:v>
                      </c:pt>
                      <c:pt idx="31">
                        <c:v>0</c:v>
                      </c:pt>
                      <c:pt idx="32">
                        <c:v>0</c:v>
                      </c:pt>
                      <c:pt idx="33">
                        <c:v>3</c:v>
                      </c:pt>
                      <c:pt idx="34">
                        <c:v>0</c:v>
                      </c:pt>
                      <c:pt idx="35">
                        <c:v>2</c:v>
                      </c:pt>
                      <c:pt idx="36">
                        <c:v>5</c:v>
                      </c:pt>
                      <c:pt idx="37">
                        <c:v>2</c:v>
                      </c:pt>
                      <c:pt idx="38">
                        <c:v>6</c:v>
                      </c:pt>
                      <c:pt idx="39">
                        <c:v>5</c:v>
                      </c:pt>
                      <c:pt idx="40">
                        <c:v>0</c:v>
                      </c:pt>
                      <c:pt idx="41">
                        <c:v>6</c:v>
                      </c:pt>
                      <c:pt idx="42">
                        <c:v>5</c:v>
                      </c:pt>
                      <c:pt idx="43">
                        <c:v>2</c:v>
                      </c:pt>
                      <c:pt idx="44">
                        <c:v>3</c:v>
                      </c:pt>
                      <c:pt idx="45">
                        <c:v>5</c:v>
                      </c:pt>
                      <c:pt idx="46">
                        <c:v>4</c:v>
                      </c:pt>
                      <c:pt idx="47">
                        <c:v>3</c:v>
                      </c:pt>
                      <c:pt idx="48">
                        <c:v>3</c:v>
                      </c:pt>
                      <c:pt idx="49">
                        <c:v>0</c:v>
                      </c:pt>
                      <c:pt idx="50">
                        <c:v>1</c:v>
                      </c:pt>
                      <c:pt idx="51">
                        <c:v>1</c:v>
                      </c:pt>
                      <c:pt idx="52">
                        <c:v>2</c:v>
                      </c:pt>
                      <c:pt idx="53">
                        <c:v>0</c:v>
                      </c:pt>
                      <c:pt idx="54">
                        <c:v>1</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2-88E2-4598-9422-62B68632CB86}"/>
                  </c:ext>
                </c:extLst>
              </c15:ser>
            </c15:filteredRadarSeries>
            <c15:filteredRadarSeries>
              <c15:ser>
                <c:idx val="3"/>
                <c:order val="3"/>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total!$E$1</c15:sqref>
                        </c15:formulaRef>
                      </c:ext>
                    </c:extLst>
                    <c:strCache>
                      <c:ptCount val="1"/>
                      <c:pt idx="0">
                        <c:v>Energy</c:v>
                      </c:pt>
                    </c:strCache>
                  </c:strRef>
                </c:tx>
                <c:spPr>
                  <a:ln w="28575" cap="rnd">
                    <a:solidFill>
                      <a:schemeClr val="accent6">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total!$A$2:$A$56</c15:sqref>
                        </c15:formulaRef>
                      </c:ext>
                    </c:extLst>
                    <c:strCache>
                      <c:ptCount val="5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1.9 Introducing a ban on the destruction of unsold durable goods</c:v>
                      </c:pt>
                      <c:pt idx="10">
                        <c:v>CE 1.10 Incentivising product-as-a-service or other models where producers keep the ownership of the 
product or the responsibility for its performance throughout its lifecycle</c:v>
                      </c:pt>
                      <c:pt idx="11">
                        <c:v>CE 1.11 Mobilising the potential of digitalisation of product information, including solutions such as digital  passports, tagging and watermarks</c:v>
                      </c:pt>
                      <c:pt idx="12">
                        <c:v> 1.12 Rewarding products based on their different sustainability performance, including by linking high 
performance levels to incentives</c:v>
                      </c:pt>
                      <c:pt idx="13">
                        <c:v>CE 2.1 Ensure that consumers receive trustworthy and relevant information on products at the point of sale, including on their lifespan and on the 
availability of repair services, spare parts and repair manuals</c:v>
                      </c:pt>
                      <c:pt idx="14">
                        <c:v>CE 2.2 Strengthening consumer protection against green washing, premature obsolescence and
setting minimum requirements for sustainability labels/logos and for information tools</c:v>
                      </c:pt>
                      <c:pt idx="15">
                        <c:v>CE 2.3  Right to repair: availability of spare parts or access to repair </c:v>
                      </c:pt>
                      <c:pt idx="16">
                        <c:v>CE 2.4 Minimum mandatory green public procurement (GPP)  criteria and targets in sectoral legislation and phase in compulsory reporting to monitor the uptake of GPP</c:v>
                      </c:pt>
                      <c:pt idx="17">
                        <c:v>CE 3.1 Promoting circularity in industrial processes in the context of the review 
of the Industrial Emissions Directive, including the integration of circular economy practices in 
upcoming Best Available Techniques</c:v>
                      </c:pt>
                      <c:pt idx="18">
                        <c:v>CE 3.2 Facilitating industrial symbiosis by developing an industry-led reporting and certification system</c:v>
                      </c:pt>
                      <c:pt idx="19">
                        <c:v>CE 3.3 Supporting the sustainable and circular bio-based sector through the implementation of the 
Bioeconomy Action Plan</c:v>
                      </c:pt>
                      <c:pt idx="20">
                        <c:v>CE 3.4. Promoting the use of digital technologies for tracking, tracing and mapping of resources</c:v>
                      </c:pt>
                      <c:pt idx="21">
                        <c:v>CE 3.5 Promoting the uptake of green technologies through a system of solid verification by registering the 
EU Environmental Technology Verification scheme as an EU certification mark</c:v>
                      </c:pt>
                      <c:pt idx="22">
                        <c:v>CE 4.1 Electronics and ICT</c:v>
                      </c:pt>
                      <c:pt idx="23">
                        <c:v>CE 4.2 Batteries and vehicles</c:v>
                      </c:pt>
                      <c:pt idx="24">
                        <c:v>CE 4.3 Packaging</c:v>
                      </c:pt>
                      <c:pt idx="25">
                        <c:v>CE 4.4 Plastics</c:v>
                      </c:pt>
                      <c:pt idx="26">
                        <c:v>CE 4.5 Construction and buildings</c:v>
                      </c:pt>
                      <c:pt idx="27">
                        <c:v>CE 5.1 Enhanced waste policy in support of waste prevention and circularity</c:v>
                      </c:pt>
                      <c:pt idx="28">
                        <c:v>CE 5.2 Enhancing circularity in a toxic-free environmen</c:v>
                      </c:pt>
                      <c:pt idx="29">
                        <c:v>CE 5.3 Creating a well-functioning EU market for secondary raw 
materials</c:v>
                      </c:pt>
                      <c:pt idx="30">
                        <c:v>CE 5.4 Addressing waste exports from the EU</c:v>
                      </c:pt>
                      <c:pt idx="31">
                        <c:v>CE 6.1 Making circularity work for people, regions and cities</c:v>
                      </c:pt>
                      <c:pt idx="32">
                        <c:v>CE 7.1 Circularity as a prerequisite for climate neutrality</c:v>
                      </c:pt>
                      <c:pt idx="33">
                        <c:v>CE 7.2 Getting the economics right</c:v>
                      </c:pt>
                      <c:pt idx="34">
                        <c:v>CE 7.3 Driving the transition through research, innovation and digitalisation</c:v>
                      </c:pt>
                      <c:pt idx="35">
                        <c:v>CE 8.1 Leading efforts at global level</c:v>
                      </c:pt>
                      <c:pt idx="36">
                        <c:v>CM 1.1 Energy efficiency for the decarbonision of industrial processes 
</c:v>
                      </c:pt>
                      <c:pt idx="37">
                        <c:v>CM 1.2 Significant reductions in overall energy  use in buildings</c:v>
                      </c:pt>
                      <c:pt idx="38">
                        <c:v>CM 2.1  Increasing the share of renewables thereby improving security of supply and reducing dependence from imports</c:v>
                      </c:pt>
                      <c:pt idx="39">
                        <c:v>CM 2.2 Increase electricity production from renewables
and promote decentralised, smart and flexible power system 
</c:v>
                      </c:pt>
                      <c:pt idx="40">
                        <c:v>CM 2.3 Fostering domestic jobs</c:v>
                      </c:pt>
                      <c:pt idx="41">
                        <c:v>CM 3.1 Low or zero-emission vehicles with efficient alternative powertrains</c:v>
                      </c:pt>
                      <c:pt idx="42">
                        <c:v>CM 3.2 Making heavy-duty vehicles, rail, aviation and shipping climate-neutral</c:v>
                      </c:pt>
                      <c:pt idx="43">
                        <c:v>CM 3.3 Having an efficient organization and infrastructure of the mobility system</c:v>
                      </c:pt>
                      <c:pt idx="44">
                        <c:v>CM 4.1 Promoting a more resource-efficient industrial production  (such as steel, glass and plastics)
</c:v>
                      </c:pt>
                      <c:pt idx="45">
                        <c:v>CM 4.2 Promoting a less emission-intensive industrial production  (such as steel, glass and plastics)</c:v>
                      </c:pt>
                      <c:pt idx="46">
                        <c:v>CM 4.3 Raw material recovery and recycling to ensure sustainable and secure supply chains</c:v>
                      </c:pt>
                      <c:pt idx="47">
                        <c:v>CM 4.4 Innovation and modernisation of industrial processes, new technologies </c:v>
                      </c:pt>
                      <c:pt idx="48">
                        <c:v>CM 4.5  Information on carbon and environmental footprints of products and services should be more transparent so that consumers may make informed decisions</c:v>
                      </c:pt>
                      <c:pt idx="49">
                        <c:v>CM 5.1 Completion of the Trans-European Transport and Energy Networks</c:v>
                      </c:pt>
                      <c:pt idx="50">
                        <c:v>CM 5.2 Smart charging and refueling stations allowing for cross-border services (among others)</c:v>
                      </c:pt>
                      <c:pt idx="51">
                        <c:v>CM 5.3 Retrofitting of existing infrastructure can ensure continuous use, while the replacement of old  infrastructure can be compatible with decarbonization objectives.</c:v>
                      </c:pt>
                      <c:pt idx="52">
                        <c:v>CM 6.1 Agricultural production for bioenergy using efficient and sustainable production methods</c:v>
                      </c:pt>
                      <c:pt idx="53">
                        <c:v>CM 6.2 Afforestation and restoration of degraded forest lands and similar ecosystems</c:v>
                      </c:pt>
                      <c:pt idx="5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total!$E$2:$E$56</c15:sqref>
                        </c15:formulaRef>
                      </c:ext>
                    </c:extLst>
                    <c:numCache>
                      <c:formatCode>General</c:formatCode>
                      <c:ptCount val="55"/>
                      <c:pt idx="0">
                        <c:v>0</c:v>
                      </c:pt>
                      <c:pt idx="1">
                        <c:v>5</c:v>
                      </c:pt>
                      <c:pt idx="2">
                        <c:v>4</c:v>
                      </c:pt>
                      <c:pt idx="3">
                        <c:v>1</c:v>
                      </c:pt>
                      <c:pt idx="4">
                        <c:v>1</c:v>
                      </c:pt>
                      <c:pt idx="5">
                        <c:v>1</c:v>
                      </c:pt>
                      <c:pt idx="6">
                        <c:v>8</c:v>
                      </c:pt>
                      <c:pt idx="7">
                        <c:v>10</c:v>
                      </c:pt>
                      <c:pt idx="8">
                        <c:v>0</c:v>
                      </c:pt>
                      <c:pt idx="9">
                        <c:v>0</c:v>
                      </c:pt>
                      <c:pt idx="10">
                        <c:v>0</c:v>
                      </c:pt>
                      <c:pt idx="11">
                        <c:v>0</c:v>
                      </c:pt>
                      <c:pt idx="12">
                        <c:v>2</c:v>
                      </c:pt>
                      <c:pt idx="13">
                        <c:v>3</c:v>
                      </c:pt>
                      <c:pt idx="14">
                        <c:v>0</c:v>
                      </c:pt>
                      <c:pt idx="15">
                        <c:v>0</c:v>
                      </c:pt>
                      <c:pt idx="16">
                        <c:v>0</c:v>
                      </c:pt>
                      <c:pt idx="17">
                        <c:v>2</c:v>
                      </c:pt>
                      <c:pt idx="18">
                        <c:v>0</c:v>
                      </c:pt>
                      <c:pt idx="19">
                        <c:v>1</c:v>
                      </c:pt>
                      <c:pt idx="20">
                        <c:v>0</c:v>
                      </c:pt>
                      <c:pt idx="21">
                        <c:v>0</c:v>
                      </c:pt>
                      <c:pt idx="22">
                        <c:v>0</c:v>
                      </c:pt>
                      <c:pt idx="23">
                        <c:v>3</c:v>
                      </c:pt>
                      <c:pt idx="24">
                        <c:v>0</c:v>
                      </c:pt>
                      <c:pt idx="25">
                        <c:v>0</c:v>
                      </c:pt>
                      <c:pt idx="26">
                        <c:v>3</c:v>
                      </c:pt>
                      <c:pt idx="27">
                        <c:v>1</c:v>
                      </c:pt>
                      <c:pt idx="28">
                        <c:v>1</c:v>
                      </c:pt>
                      <c:pt idx="29">
                        <c:v>0</c:v>
                      </c:pt>
                      <c:pt idx="30">
                        <c:v>0</c:v>
                      </c:pt>
                      <c:pt idx="31">
                        <c:v>0</c:v>
                      </c:pt>
                      <c:pt idx="32">
                        <c:v>0</c:v>
                      </c:pt>
                      <c:pt idx="33">
                        <c:v>2</c:v>
                      </c:pt>
                      <c:pt idx="34">
                        <c:v>0</c:v>
                      </c:pt>
                      <c:pt idx="35">
                        <c:v>2</c:v>
                      </c:pt>
                      <c:pt idx="36">
                        <c:v>6</c:v>
                      </c:pt>
                      <c:pt idx="37">
                        <c:v>2</c:v>
                      </c:pt>
                      <c:pt idx="38">
                        <c:v>7</c:v>
                      </c:pt>
                      <c:pt idx="39">
                        <c:v>6</c:v>
                      </c:pt>
                      <c:pt idx="40">
                        <c:v>0</c:v>
                      </c:pt>
                      <c:pt idx="41">
                        <c:v>3</c:v>
                      </c:pt>
                      <c:pt idx="42">
                        <c:v>3</c:v>
                      </c:pt>
                      <c:pt idx="43">
                        <c:v>1</c:v>
                      </c:pt>
                      <c:pt idx="44">
                        <c:v>1</c:v>
                      </c:pt>
                      <c:pt idx="45">
                        <c:v>5</c:v>
                      </c:pt>
                      <c:pt idx="46">
                        <c:v>1</c:v>
                      </c:pt>
                      <c:pt idx="47">
                        <c:v>3</c:v>
                      </c:pt>
                      <c:pt idx="48">
                        <c:v>2</c:v>
                      </c:pt>
                      <c:pt idx="49">
                        <c:v>1</c:v>
                      </c:pt>
                      <c:pt idx="50">
                        <c:v>1</c:v>
                      </c:pt>
                      <c:pt idx="51">
                        <c:v>0</c:v>
                      </c:pt>
                      <c:pt idx="52">
                        <c:v>2</c:v>
                      </c:pt>
                      <c:pt idx="53">
                        <c:v>0</c:v>
                      </c:pt>
                      <c:pt idx="54">
                        <c:v>2</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3-88E2-4598-9422-62B68632CB86}"/>
                  </c:ext>
                </c:extLst>
              </c15:ser>
            </c15:filteredRadarSeries>
            <c15:filteredRadarSeries>
              <c15:ser>
                <c:idx val="4"/>
                <c:order val="4"/>
                <c:tx>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total!$F$1</c15:sqref>
                        </c15:formulaRef>
                      </c:ext>
                    </c:extLst>
                    <c:strCache>
                      <c:ptCount val="1"/>
                      <c:pt idx="0">
                        <c:v>Buildings</c:v>
                      </c:pt>
                    </c:strCache>
                  </c:strRef>
                </c:tx>
                <c:spPr>
                  <a:ln w="28575" cap="rnd">
                    <a:solidFill>
                      <a:schemeClr val="accent5">
                        <a:lumMod val="60000"/>
                      </a:schemeClr>
                    </a:solidFill>
                    <a:round/>
                  </a:ln>
                  <a:effectLst/>
                </c:spPr>
                <c:marker>
                  <c:symbol val="none"/>
                </c:marker>
                <c:cat>
                  <c:str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total!$A$2:$A$56</c15:sqref>
                        </c15:formulaRef>
                      </c:ext>
                    </c:extLst>
                    <c:strCache>
                      <c:ptCount val="55"/>
                      <c:pt idx="0">
                        <c:v>CE 1.1. Improving product durability, reusability, upgradability and reparability</c:v>
                      </c:pt>
                      <c:pt idx="1">
                        <c:v>CE 1.2 Addressing the presence of hazardous chemicals in products</c:v>
                      </c:pt>
                      <c:pt idx="2">
                        <c:v>CE 1.3 Increasing products energy  efficiency</c:v>
                      </c:pt>
                      <c:pt idx="3">
                        <c:v>CE 1.4 Increasing products resource efficiency
</c:v>
                      </c:pt>
                      <c:pt idx="4">
                        <c:v>CE 1.5 Increasing recycled content in products</c:v>
                      </c:pt>
                      <c:pt idx="5">
                        <c:v>CE 1.6 Enabling remanufacturing and high-quality recycling</c:v>
                      </c:pt>
                      <c:pt idx="6">
                        <c:v>CE 1.7 Reducing  environmental footprints (not including carbon)
</c:v>
                      </c:pt>
                      <c:pt idx="7">
                        <c:v>CE 1.8 Reducing the carbon footprint</c:v>
                      </c:pt>
                      <c:pt idx="8">
                        <c:v>CE 1.8 Restricting single-use and countering premature obsolescence</c:v>
                      </c:pt>
                      <c:pt idx="9">
                        <c:v>CE 1.9 Introducing a ban on the destruction of unsold durable goods</c:v>
                      </c:pt>
                      <c:pt idx="10">
                        <c:v>CE 1.10 Incentivising product-as-a-service or other models where producers keep the ownership of the 
product or the responsibility for its performance throughout its lifecycle</c:v>
                      </c:pt>
                      <c:pt idx="11">
                        <c:v>CE 1.11 Mobilising the potential of digitalisation of product information, including solutions such as digital  passports, tagging and watermarks</c:v>
                      </c:pt>
                      <c:pt idx="12">
                        <c:v> 1.12 Rewarding products based on their different sustainability performance, including by linking high 
performance levels to incentives</c:v>
                      </c:pt>
                      <c:pt idx="13">
                        <c:v>CE 2.1 Ensure that consumers receive trustworthy and relevant information on products at the point of sale, including on their lifespan and on the 
availability of repair services, spare parts and repair manuals</c:v>
                      </c:pt>
                      <c:pt idx="14">
                        <c:v>CE 2.2 Strengthening consumer protection against green washing, premature obsolescence and
setting minimum requirements for sustainability labels/logos and for information tools</c:v>
                      </c:pt>
                      <c:pt idx="15">
                        <c:v>CE 2.3  Right to repair: availability of spare parts or access to repair </c:v>
                      </c:pt>
                      <c:pt idx="16">
                        <c:v>CE 2.4 Minimum mandatory green public procurement (GPP)  criteria and targets in sectoral legislation and phase in compulsory reporting to monitor the uptake of GPP</c:v>
                      </c:pt>
                      <c:pt idx="17">
                        <c:v>CE 3.1 Promoting circularity in industrial processes in the context of the review 
of the Industrial Emissions Directive, including the integration of circular economy practices in 
upcoming Best Available Techniques</c:v>
                      </c:pt>
                      <c:pt idx="18">
                        <c:v>CE 3.2 Facilitating industrial symbiosis by developing an industry-led reporting and certification system</c:v>
                      </c:pt>
                      <c:pt idx="19">
                        <c:v>CE 3.3 Supporting the sustainable and circular bio-based sector through the implementation of the 
Bioeconomy Action Plan</c:v>
                      </c:pt>
                      <c:pt idx="20">
                        <c:v>CE 3.4. Promoting the use of digital technologies for tracking, tracing and mapping of resources</c:v>
                      </c:pt>
                      <c:pt idx="21">
                        <c:v>CE 3.5 Promoting the uptake of green technologies through a system of solid verification by registering the 
EU Environmental Technology Verification scheme as an EU certification mark</c:v>
                      </c:pt>
                      <c:pt idx="22">
                        <c:v>CE 4.1 Electronics and ICT</c:v>
                      </c:pt>
                      <c:pt idx="23">
                        <c:v>CE 4.2 Batteries and vehicles</c:v>
                      </c:pt>
                      <c:pt idx="24">
                        <c:v>CE 4.3 Packaging</c:v>
                      </c:pt>
                      <c:pt idx="25">
                        <c:v>CE 4.4 Plastics</c:v>
                      </c:pt>
                      <c:pt idx="26">
                        <c:v>CE 4.5 Construction and buildings</c:v>
                      </c:pt>
                      <c:pt idx="27">
                        <c:v>CE 5.1 Enhanced waste policy in support of waste prevention and circularity</c:v>
                      </c:pt>
                      <c:pt idx="28">
                        <c:v>CE 5.2 Enhancing circularity in a toxic-free environmen</c:v>
                      </c:pt>
                      <c:pt idx="29">
                        <c:v>CE 5.3 Creating a well-functioning EU market for secondary raw 
materials</c:v>
                      </c:pt>
                      <c:pt idx="30">
                        <c:v>CE 5.4 Addressing waste exports from the EU</c:v>
                      </c:pt>
                      <c:pt idx="31">
                        <c:v>CE 6.1 Making circularity work for people, regions and cities</c:v>
                      </c:pt>
                      <c:pt idx="32">
                        <c:v>CE 7.1 Circularity as a prerequisite for climate neutrality</c:v>
                      </c:pt>
                      <c:pt idx="33">
                        <c:v>CE 7.2 Getting the economics right</c:v>
                      </c:pt>
                      <c:pt idx="34">
                        <c:v>CE 7.3 Driving the transition through research, innovation and digitalisation</c:v>
                      </c:pt>
                      <c:pt idx="35">
                        <c:v>CE 8.1 Leading efforts at global level</c:v>
                      </c:pt>
                      <c:pt idx="36">
                        <c:v>CM 1.1 Energy efficiency for the decarbonision of industrial processes 
</c:v>
                      </c:pt>
                      <c:pt idx="37">
                        <c:v>CM 1.2 Significant reductions in overall energy  use in buildings</c:v>
                      </c:pt>
                      <c:pt idx="38">
                        <c:v>CM 2.1  Increasing the share of renewables thereby improving security of supply and reducing dependence from imports</c:v>
                      </c:pt>
                      <c:pt idx="39">
                        <c:v>CM 2.2 Increase electricity production from renewables
and promote decentralised, smart and flexible power system 
</c:v>
                      </c:pt>
                      <c:pt idx="40">
                        <c:v>CM 2.3 Fostering domestic jobs</c:v>
                      </c:pt>
                      <c:pt idx="41">
                        <c:v>CM 3.1 Low or zero-emission vehicles with efficient alternative powertrains</c:v>
                      </c:pt>
                      <c:pt idx="42">
                        <c:v>CM 3.2 Making heavy-duty vehicles, rail, aviation and shipping climate-neutral</c:v>
                      </c:pt>
                      <c:pt idx="43">
                        <c:v>CM 3.3 Having an efficient organization and infrastructure of the mobility system</c:v>
                      </c:pt>
                      <c:pt idx="44">
                        <c:v>CM 4.1 Promoting a more resource-efficient industrial production  (such as steel, glass and plastics)
</c:v>
                      </c:pt>
                      <c:pt idx="45">
                        <c:v>CM 4.2 Promoting a less emission-intensive industrial production  (such as steel, glass and plastics)</c:v>
                      </c:pt>
                      <c:pt idx="46">
                        <c:v>CM 4.3 Raw material recovery and recycling to ensure sustainable and secure supply chains</c:v>
                      </c:pt>
                      <c:pt idx="47">
                        <c:v>CM 4.4 Innovation and modernisation of industrial processes, new technologies </c:v>
                      </c:pt>
                      <c:pt idx="48">
                        <c:v>CM 4.5  Information on carbon and environmental footprints of products and services should be more transparent so that consumers may make informed decisions</c:v>
                      </c:pt>
                      <c:pt idx="49">
                        <c:v>CM 5.1 Completion of the Trans-European Transport and Energy Networks</c:v>
                      </c:pt>
                      <c:pt idx="50">
                        <c:v>CM 5.2 Smart charging and refueling stations allowing for cross-border services (among others)</c:v>
                      </c:pt>
                      <c:pt idx="51">
                        <c:v>CM 5.3 Retrofitting of existing infrastructure can ensure continuous use, while the replacement of old  infrastructure can be compatible with decarbonization objectives.</c:v>
                      </c:pt>
                      <c:pt idx="52">
                        <c:v>CM 6.1 Agricultural production for bioenergy using efficient and sustainable production methods</c:v>
                      </c:pt>
                      <c:pt idx="53">
                        <c:v>CM 6.2 Afforestation and restoration of degraded forest lands and similar ecosystems</c:v>
                      </c:pt>
                      <c:pt idx="54">
                        <c:v>CM 7.1 More research, innovation and demonstration to ensure the successful deployment of CCS
</c:v>
                      </c:pt>
                    </c:strCache>
                  </c:strRef>
                </c:cat>
                <c:val>
                  <c:numRef>
                    <c:extLst xmlns:c15="http://schemas.microsoft.com/office/drawing/2012/chart" xmlns="http://schemas.openxmlformats.org/drawingml/2006/chart" xmlns:c16r2="http://schemas.microsoft.com/office/drawing/2015/06/chart">
                      <c:ext xmlns:c15="http://schemas.microsoft.com/office/drawing/2012/chart" uri="{02D57815-91ED-43cb-92C2-25804820EDAC}">
                        <c15:formulaRef>
                          <c15:sqref>total!$F$2:$F$56</c15:sqref>
                        </c15:formulaRef>
                      </c:ext>
                    </c:extLst>
                    <c:numCache>
                      <c:formatCode>General</c:formatCode>
                      <c:ptCount val="55"/>
                      <c:pt idx="0">
                        <c:v>0</c:v>
                      </c:pt>
                      <c:pt idx="1">
                        <c:v>1</c:v>
                      </c:pt>
                      <c:pt idx="2">
                        <c:v>2</c:v>
                      </c:pt>
                      <c:pt idx="3">
                        <c:v>0</c:v>
                      </c:pt>
                      <c:pt idx="4">
                        <c:v>0</c:v>
                      </c:pt>
                      <c:pt idx="5">
                        <c:v>0</c:v>
                      </c:pt>
                      <c:pt idx="6">
                        <c:v>0</c:v>
                      </c:pt>
                      <c:pt idx="7">
                        <c:v>3</c:v>
                      </c:pt>
                      <c:pt idx="8">
                        <c:v>0</c:v>
                      </c:pt>
                      <c:pt idx="9">
                        <c:v>0</c:v>
                      </c:pt>
                      <c:pt idx="10">
                        <c:v>0</c:v>
                      </c:pt>
                      <c:pt idx="11">
                        <c:v>0</c:v>
                      </c:pt>
                      <c:pt idx="12">
                        <c:v>1</c:v>
                      </c:pt>
                      <c:pt idx="13">
                        <c:v>2</c:v>
                      </c:pt>
                      <c:pt idx="14">
                        <c:v>0</c:v>
                      </c:pt>
                      <c:pt idx="15">
                        <c:v>0</c:v>
                      </c:pt>
                      <c:pt idx="16">
                        <c:v>0</c:v>
                      </c:pt>
                      <c:pt idx="17">
                        <c:v>0</c:v>
                      </c:pt>
                      <c:pt idx="18">
                        <c:v>0</c:v>
                      </c:pt>
                      <c:pt idx="19">
                        <c:v>0</c:v>
                      </c:pt>
                      <c:pt idx="20">
                        <c:v>0</c:v>
                      </c:pt>
                      <c:pt idx="21">
                        <c:v>0</c:v>
                      </c:pt>
                      <c:pt idx="22">
                        <c:v>0</c:v>
                      </c:pt>
                      <c:pt idx="23">
                        <c:v>0</c:v>
                      </c:pt>
                      <c:pt idx="24">
                        <c:v>0</c:v>
                      </c:pt>
                      <c:pt idx="25">
                        <c:v>0</c:v>
                      </c:pt>
                      <c:pt idx="26">
                        <c:v>3</c:v>
                      </c:pt>
                      <c:pt idx="27">
                        <c:v>0</c:v>
                      </c:pt>
                      <c:pt idx="28">
                        <c:v>1</c:v>
                      </c:pt>
                      <c:pt idx="29">
                        <c:v>0</c:v>
                      </c:pt>
                      <c:pt idx="30">
                        <c:v>0</c:v>
                      </c:pt>
                      <c:pt idx="31">
                        <c:v>0</c:v>
                      </c:pt>
                      <c:pt idx="32">
                        <c:v>0</c:v>
                      </c:pt>
                      <c:pt idx="33">
                        <c:v>0</c:v>
                      </c:pt>
                      <c:pt idx="34">
                        <c:v>1</c:v>
                      </c:pt>
                      <c:pt idx="35">
                        <c:v>1</c:v>
                      </c:pt>
                      <c:pt idx="36">
                        <c:v>1</c:v>
                      </c:pt>
                      <c:pt idx="37">
                        <c:v>2</c:v>
                      </c:pt>
                      <c:pt idx="38">
                        <c:v>2</c:v>
                      </c:pt>
                      <c:pt idx="39">
                        <c:v>1</c:v>
                      </c:pt>
                      <c:pt idx="40">
                        <c:v>0</c:v>
                      </c:pt>
                      <c:pt idx="41">
                        <c:v>1</c:v>
                      </c:pt>
                      <c:pt idx="42">
                        <c:v>1</c:v>
                      </c:pt>
                      <c:pt idx="43">
                        <c:v>0</c:v>
                      </c:pt>
                      <c:pt idx="44">
                        <c:v>0</c:v>
                      </c:pt>
                      <c:pt idx="45">
                        <c:v>1</c:v>
                      </c:pt>
                      <c:pt idx="46">
                        <c:v>0</c:v>
                      </c:pt>
                      <c:pt idx="47">
                        <c:v>1</c:v>
                      </c:pt>
                      <c:pt idx="48">
                        <c:v>3</c:v>
                      </c:pt>
                      <c:pt idx="49">
                        <c:v>0</c:v>
                      </c:pt>
                      <c:pt idx="50">
                        <c:v>0</c:v>
                      </c:pt>
                      <c:pt idx="51">
                        <c:v>0</c:v>
                      </c:pt>
                      <c:pt idx="52">
                        <c:v>1</c:v>
                      </c:pt>
                      <c:pt idx="53">
                        <c:v>0</c:v>
                      </c:pt>
                      <c:pt idx="54">
                        <c:v>0</c:v>
                      </c:pt>
                    </c:numCache>
                  </c:numRef>
                </c:val>
                <c:extLst xmlns="http://schemas.openxmlformats.org/drawingml/2006/chart" xmlns:c15="http://schemas.microsoft.com/office/drawing/2012/chart" xmlns:c16r2="http://schemas.microsoft.com/office/drawing/2015/06/chart">
                  <c:ext xmlns:c16="http://schemas.microsoft.com/office/drawing/2014/chart" uri="{C3380CC4-5D6E-409C-BE32-E72D297353CC}">
                    <c16:uniqueId val="{00000004-88E2-4598-9422-62B68632CB86}"/>
                  </c:ext>
                </c:extLst>
              </c15:ser>
            </c15:filteredRadarSeries>
          </c:ext>
        </c:extLst>
      </c:radarChart>
      <c:catAx>
        <c:axId val="8568234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crossAx val="856822224"/>
        <c:crosses val="autoZero"/>
        <c:auto val="1"/>
        <c:lblAlgn val="ctr"/>
        <c:lblOffset val="100"/>
        <c:noMultiLvlLbl val="0"/>
      </c:catAx>
      <c:valAx>
        <c:axId val="856822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en-US"/>
          </a:p>
        </c:txPr>
        <c:crossAx val="856823400"/>
        <c:crosses val="autoZero"/>
        <c:crossBetween val="between"/>
      </c:valAx>
      <c:spPr>
        <a:noFill/>
        <a:ln>
          <a:noFill/>
        </a:ln>
        <a:effectLst/>
      </c:spPr>
    </c:plotArea>
    <c:plotVisOnly val="1"/>
    <c:dispBlanksAs val="gap"/>
    <c:showDLblsOverMax val="0"/>
    <c:extLst xmlns="http://schemas.openxmlformats.org/drawingml/2006/char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14</Pages>
  <Words>1910</Words>
  <Characters>10888</Characters>
  <Application>Microsoft Office Word</Application>
  <DocSecurity>0</DocSecurity>
  <Lines>90</Lines>
  <Paragraphs>25</Paragraphs>
  <ScaleCrop>false</ScaleCrop>
  <Company/>
  <LinksUpToDate>false</LinksUpToDate>
  <CharactersWithSpaces>12773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Palumar, Elainie</dc:creator>
  <cp:keywords/>
  <dc:description/>
  <cp:lastModifiedBy>Palumar, Elainie</cp:lastModifiedBy>
  <cp:revision>1</cp:revision>
  <dcterms:created xsi:type="dcterms:W3CDTF">2025-07-18T09:06:00Z</dcterms:created>
  <dcterms:modified xsi:type="dcterms:W3CDTF">2025-07-18T09:12:00Z</dcterms:modified>
</cp:coreProperties>
</file>