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F039" w14:textId="3A72302A" w:rsidR="001E1D5F" w:rsidRPr="001E1D5F" w:rsidRDefault="001E1D5F" w:rsidP="001E1D5F">
      <w:pPr>
        <w:jc w:val="both"/>
        <w:rPr>
          <w:b/>
          <w:bCs/>
          <w:sz w:val="24"/>
          <w:szCs w:val="24"/>
        </w:rPr>
      </w:pPr>
      <w:r w:rsidRPr="00C41CDD">
        <w:rPr>
          <w:b/>
          <w:bCs/>
          <w:sz w:val="24"/>
          <w:szCs w:val="24"/>
          <w:u w:val="single"/>
        </w:rPr>
        <w:t>Supplementary Material</w:t>
      </w:r>
      <w:r w:rsidRPr="001E1D5F">
        <w:rPr>
          <w:b/>
          <w:bCs/>
          <w:sz w:val="24"/>
          <w:szCs w:val="24"/>
          <w:u w:val="single"/>
        </w:rPr>
        <w:t xml:space="preserve"> A:</w:t>
      </w:r>
      <w:r w:rsidRPr="001E1D5F">
        <w:rPr>
          <w:sz w:val="24"/>
          <w:szCs w:val="24"/>
        </w:rPr>
        <w:t xml:space="preserve"> </w:t>
      </w:r>
      <w:r w:rsidRPr="001E1D5F">
        <w:rPr>
          <w:b/>
          <w:bCs/>
          <w:sz w:val="24"/>
          <w:szCs w:val="24"/>
        </w:rPr>
        <w:t>Categorization of Circularity, Environmental Sustainability &amp; Social Sustainability Indicators</w:t>
      </w:r>
    </w:p>
    <w:p w14:paraId="04DFACC0" w14:textId="77777777" w:rsidR="001E1D5F" w:rsidRPr="001E1D5F" w:rsidRDefault="001E1D5F" w:rsidP="001E1D5F">
      <w:pPr>
        <w:jc w:val="both"/>
        <w:rPr>
          <w:b/>
          <w:bCs/>
          <w:sz w:val="21"/>
          <w:szCs w:val="21"/>
        </w:rPr>
      </w:pPr>
      <w:r w:rsidRPr="001E1D5F">
        <w:rPr>
          <w:b/>
          <w:bCs/>
          <w:sz w:val="21"/>
          <w:szCs w:val="21"/>
        </w:rPr>
        <w:t xml:space="preserve">Table A1: </w:t>
      </w:r>
      <w:r w:rsidRPr="001E1D5F">
        <w:rPr>
          <w:sz w:val="21"/>
          <w:szCs w:val="21"/>
        </w:rPr>
        <w:t>Categorization of Circularity Indicators: Types and Definitions</w:t>
      </w:r>
    </w:p>
    <w:tbl>
      <w:tblPr>
        <w:tblStyle w:val="ae"/>
        <w:tblW w:w="16170" w:type="dxa"/>
        <w:jc w:val="center"/>
        <w:tblLayout w:type="fixed"/>
        <w:tblLook w:val="04A0" w:firstRow="1" w:lastRow="0" w:firstColumn="1" w:lastColumn="0" w:noHBand="0" w:noVBand="1"/>
      </w:tblPr>
      <w:tblGrid>
        <w:gridCol w:w="1995"/>
        <w:gridCol w:w="1560"/>
        <w:gridCol w:w="5528"/>
        <w:gridCol w:w="1559"/>
        <w:gridCol w:w="3969"/>
        <w:gridCol w:w="1559"/>
      </w:tblGrid>
      <w:tr w:rsidR="001E1D5F" w:rsidRPr="001E1D5F" w14:paraId="1F5B8FA4" w14:textId="77777777" w:rsidTr="00040455">
        <w:trPr>
          <w:trHeight w:val="927"/>
          <w:jc w:val="center"/>
        </w:trPr>
        <w:tc>
          <w:tcPr>
            <w:tcW w:w="1995" w:type="dxa"/>
            <w:vAlign w:val="center"/>
          </w:tcPr>
          <w:p w14:paraId="13F306E9" w14:textId="77777777" w:rsidR="001E1D5F" w:rsidRPr="001E1D5F" w:rsidRDefault="001E1D5F" w:rsidP="001E1D5F">
            <w:pPr>
              <w:spacing w:before="60"/>
              <w:jc w:val="center"/>
              <w:rPr>
                <w:rFonts w:cstheme="minorHAnsi"/>
                <w:sz w:val="21"/>
                <w:szCs w:val="21"/>
              </w:rPr>
            </w:pPr>
            <w:r w:rsidRPr="001E1D5F">
              <w:rPr>
                <w:rFonts w:cstheme="minorHAnsi"/>
                <w:b/>
                <w:bCs/>
                <w:color w:val="000000"/>
                <w:sz w:val="21"/>
                <w:szCs w:val="21"/>
                <w:lang w:eastAsia="en-GB"/>
              </w:rPr>
              <w:t xml:space="preserve">Circularity Indicator </w:t>
            </w:r>
          </w:p>
        </w:tc>
        <w:tc>
          <w:tcPr>
            <w:tcW w:w="1560" w:type="dxa"/>
            <w:vAlign w:val="center"/>
          </w:tcPr>
          <w:p w14:paraId="6D5CE538" w14:textId="77777777" w:rsidR="001E1D5F" w:rsidRPr="001E1D5F" w:rsidRDefault="001E1D5F" w:rsidP="001E1D5F">
            <w:pPr>
              <w:spacing w:before="60"/>
              <w:jc w:val="center"/>
              <w:rPr>
                <w:rFonts w:cstheme="minorHAnsi"/>
                <w:sz w:val="21"/>
                <w:szCs w:val="21"/>
              </w:rPr>
            </w:pPr>
            <w:r w:rsidRPr="001E1D5F">
              <w:rPr>
                <w:rFonts w:cstheme="minorHAnsi"/>
                <w:b/>
                <w:bCs/>
                <w:color w:val="000000"/>
                <w:sz w:val="21"/>
                <w:szCs w:val="21"/>
                <w:lang w:eastAsia="en-GB"/>
              </w:rPr>
              <w:t>Indicator Type</w:t>
            </w:r>
          </w:p>
        </w:tc>
        <w:tc>
          <w:tcPr>
            <w:tcW w:w="5528" w:type="dxa"/>
            <w:vAlign w:val="center"/>
          </w:tcPr>
          <w:p w14:paraId="1FD2879D"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 xml:space="preserve">Definition/ Description </w:t>
            </w:r>
          </w:p>
        </w:tc>
        <w:tc>
          <w:tcPr>
            <w:tcW w:w="1559" w:type="dxa"/>
            <w:vAlign w:val="center"/>
          </w:tcPr>
          <w:p w14:paraId="6AA945A9"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Measurement Unit</w:t>
            </w:r>
          </w:p>
        </w:tc>
        <w:tc>
          <w:tcPr>
            <w:tcW w:w="3969" w:type="dxa"/>
            <w:vAlign w:val="center"/>
          </w:tcPr>
          <w:p w14:paraId="7AE24400"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Manufacturing Sector(s) from reference(s)</w:t>
            </w:r>
          </w:p>
        </w:tc>
        <w:tc>
          <w:tcPr>
            <w:tcW w:w="1559" w:type="dxa"/>
            <w:vAlign w:val="center"/>
          </w:tcPr>
          <w:p w14:paraId="5557AB82"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Reference(s)</w:t>
            </w:r>
          </w:p>
        </w:tc>
      </w:tr>
      <w:tr w:rsidR="001E1D5F" w:rsidRPr="001E1D5F" w14:paraId="6C3A72FC" w14:textId="77777777" w:rsidTr="00040455">
        <w:trPr>
          <w:trHeight w:val="300"/>
          <w:jc w:val="center"/>
        </w:trPr>
        <w:tc>
          <w:tcPr>
            <w:tcW w:w="16170" w:type="dxa"/>
            <w:gridSpan w:val="6"/>
            <w:shd w:val="clear" w:color="auto" w:fill="E7E6E6" w:themeFill="background2"/>
            <w:noWrap/>
            <w:vAlign w:val="center"/>
            <w:hideMark/>
          </w:tcPr>
          <w:p w14:paraId="16A25242"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Indicator group C0: System-Level Circularity</w:t>
            </w:r>
          </w:p>
        </w:tc>
      </w:tr>
      <w:tr w:rsidR="001E1D5F" w:rsidRPr="001E1D5F" w14:paraId="292107EE" w14:textId="77777777" w:rsidTr="00040455">
        <w:trPr>
          <w:trHeight w:val="300"/>
          <w:jc w:val="center"/>
        </w:trPr>
        <w:tc>
          <w:tcPr>
            <w:tcW w:w="1995" w:type="dxa"/>
            <w:noWrap/>
            <w:vAlign w:val="center"/>
          </w:tcPr>
          <w:p w14:paraId="195A128E" w14:textId="77777777" w:rsidR="001E1D5F" w:rsidRPr="001E1D5F" w:rsidRDefault="001E1D5F" w:rsidP="001E1D5F">
            <w:pPr>
              <w:jc w:val="center"/>
              <w:rPr>
                <w:rFonts w:cstheme="minorHAnsi"/>
                <w:b/>
                <w:bCs/>
                <w:color w:val="000000"/>
                <w:sz w:val="21"/>
                <w:szCs w:val="21"/>
                <w:lang w:eastAsia="en-GB"/>
              </w:rPr>
            </w:pPr>
            <w:r w:rsidRPr="001E1D5F">
              <w:rPr>
                <w:rFonts w:cstheme="minorHAnsi"/>
                <w:color w:val="000000"/>
                <w:sz w:val="21"/>
                <w:szCs w:val="21"/>
                <w:lang w:eastAsia="en-GB"/>
              </w:rPr>
              <w:t>Circularity (CIRC)</w:t>
            </w:r>
          </w:p>
        </w:tc>
        <w:tc>
          <w:tcPr>
            <w:tcW w:w="1560" w:type="dxa"/>
            <w:noWrap/>
            <w:vAlign w:val="center"/>
          </w:tcPr>
          <w:p w14:paraId="2F867F5E"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55D11250"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 xml:space="preserve">It quantifies </w:t>
            </w:r>
            <w:r w:rsidRPr="001E1D5F">
              <w:rPr>
                <w:rFonts w:cstheme="minorHAnsi"/>
                <w:b/>
                <w:bCs/>
                <w:color w:val="000000"/>
                <w:sz w:val="21"/>
                <w:szCs w:val="21"/>
                <w:lang w:eastAsia="en-GB"/>
              </w:rPr>
              <w:t>the number of times</w:t>
            </w:r>
            <w:r w:rsidRPr="001E1D5F">
              <w:rPr>
                <w:rFonts w:cstheme="minorHAnsi"/>
                <w:color w:val="000000"/>
                <w:sz w:val="21"/>
                <w:szCs w:val="21"/>
                <w:lang w:eastAsia="en-GB"/>
              </w:rPr>
              <w:t xml:space="preserve"> a </w:t>
            </w:r>
            <w:r w:rsidRPr="001E1D5F">
              <w:rPr>
                <w:rFonts w:cstheme="minorHAnsi"/>
                <w:b/>
                <w:bCs/>
                <w:color w:val="000000"/>
                <w:sz w:val="21"/>
                <w:szCs w:val="21"/>
                <w:lang w:eastAsia="en-GB"/>
              </w:rPr>
              <w:t>resource</w:t>
            </w:r>
            <w:r w:rsidRPr="001E1D5F">
              <w:rPr>
                <w:rFonts w:cstheme="minorHAnsi"/>
                <w:color w:val="000000"/>
                <w:sz w:val="21"/>
                <w:szCs w:val="21"/>
                <w:lang w:eastAsia="en-GB"/>
              </w:rPr>
              <w:t xml:space="preserve"> passes through </w:t>
            </w:r>
            <w:r w:rsidRPr="001E1D5F">
              <w:rPr>
                <w:rFonts w:cstheme="minorHAnsi"/>
                <w:b/>
                <w:bCs/>
                <w:color w:val="000000"/>
                <w:sz w:val="21"/>
                <w:szCs w:val="21"/>
                <w:lang w:eastAsia="en-GB"/>
              </w:rPr>
              <w:t>different product cycles</w:t>
            </w:r>
            <w:r w:rsidRPr="001E1D5F">
              <w:rPr>
                <w:rFonts w:cstheme="minorHAnsi"/>
                <w:color w:val="000000"/>
                <w:sz w:val="21"/>
                <w:szCs w:val="21"/>
                <w:lang w:eastAsia="en-GB"/>
              </w:rPr>
              <w:t xml:space="preserve"> within a system.</w:t>
            </w:r>
          </w:p>
        </w:tc>
        <w:tc>
          <w:tcPr>
            <w:tcW w:w="1559" w:type="dxa"/>
            <w:vAlign w:val="center"/>
          </w:tcPr>
          <w:p w14:paraId="50B866BF"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4D4A8580"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Outdoor Power Equipment</w:t>
            </w:r>
          </w:p>
        </w:tc>
        <w:tc>
          <w:tcPr>
            <w:tcW w:w="1559" w:type="dxa"/>
            <w:vAlign w:val="center"/>
          </w:tcPr>
          <w:p w14:paraId="3EF070B8" w14:textId="0A1F3059"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zSb2GhBa","properties":{"formattedCitation":"[1\\uc0\\u8211{}3]","plainCitation":"[1–3]","noteIndex":0},"citationItems":[{"id":3004,"uris":["http://zotero.org/users/local/05JQq5lJ/items/G5MG6GVX"],"itemData":{"id":3004,"type":"article-journal","abstract":"Natural resources are limited. The circular economy is one of several different concepts that has been useful in the quest to understand how resources can be used most efficiently. It proposes that closing loops and repeatedly using resources has the potential to procure maximum eco-efficiency. To track society's progress towards a circular economy, indicators and measures are needed. The majority of these aim to capture the circularity of resource flows, yet fail to simultaneously consider the length of time for which a resource is in use. More recently, a longevity indicator has been proposed, but similarly, it fails to take into account how many times a resource is used. Both longevity and circularity are needed for sustainable resource use, but to date, no measure that combines both approaches is in use. Based on existing measures we develop and further develop indicators for both circularity and longevity that focus on the contribution that organisations and other resource users make to the sustainability of resource use. By combining both indicators we enhance their explanatory power.","container-title":"Ecological Economics","DOI":"10.1016/j.ecolecon.2018.04.030","ISSN":"0921-8009","journalAbbreviation":"Ecological Economics","page":"297-306","source":"ScienceDirect","title":"Longevity and Circularity as Indicators of Eco-Efficient Resource Use in the Circular Economy","volume":"150","author":[{"family":"Figge","given":"Frank"},{"family":"Thorpe","given":"Andrea Stevenson"},{"family":"Givry","given":"Philippe"},{"family":"Canning","given":"Louise"},{"family":"Franklin-Johnson","given":"Elizabeth"}],"issued":{"date-parts":[["2018",8,1]]}}},{"id":2993,"uris":["http://zotero.org/users/local/05JQq5lJ/items/IWDYVUTQ"],"itemData":{"id":2993,"type":"article-journal","container-title":"The International Journal of Life Cycle Assessment","DOI":"10.1007/s11367-022-02061-w","ISSN":"1614-7502","issue":"7","journalAbbreviation":"Int J Life Cycle Assess","language":"en","page":"916-925","source":"Springer Link","title":"Clarify the nexus between life cycle assessment and circularity indicators: a SETAC/ACLCA interest group","title-short":"Clarify the nexus between life cycle assessment and circularity indicators","volume":"27","author":[{"family":"Saidani","given":"Michael"},{"family":"Kreuder","given":"Ashley"},{"family":"Babilonia","given":"Guillermo"},{"family":"Benavides","given":"Pahola Thathiana"},{"family":"Blume","given":"Nick"},{"family":"Jackson","given":"Seth"},{"family":"Koffler","given":"Christoph"},{"family":"Kumar","given":"Manish"},{"family":"Minke","given":"Christine"},{"family":"Richkus","given":"Jennifer"},{"family":"Smith","given":"Cheryl"},{"family":"Wallace","given":"Michele"}],"issued":{"date-parts":[["2022",7,1]]}}},{"id":2984,"uris":["http://zotero.org/users/local/05JQq5lJ/items/BJSA6XZ7"],"itemData":{"id":2984,"type":"article-journal","abstract":"Circular economy (CE) and sustainable development are not systematically synonyms and some trade-offs might occur between circularity and sustainability. This study addresses the nexus—i.e., the potential concurrence, complementarity, or conflict—between circularity and sustainability indicators to develop and monitor more circular and sustainable systems, using two complementary research approaches: (i) a review and comparison of existing works covering circularity and sustainability performances concurrently (Part I), (ii) new experimentations on more circularity and sustainability to fill the gaps of previous works and bring more concrete insights for practitioners on this matter (Part II). In the present Part I, we provide a state-of-the-art summary of the solutions and challenges related to the measurement of the sustainability performance of CE strategies. The contributions and limitations of life cycle assessment (LCA), leading sustainability, and circularity indicator–based approaches are analyzed, compared, and illustrated. Ten independent studies experimenting and comparing LCA and circularity indicators on different products are analyzed and compared. Depending on the product context and the CE scenarios evaluated, several types of connections emerged: beneficial, conditional, or scenario-dependent trade-offs. To fill the gaps of the existing studies exposed at the end of this paper (Part I), a new set of experimentations is designed and conducted (Part II) to further understand how these different approaches and indicators could be appropriately deployed to develop more circular and sustainable product systems.","container-title":"Circular Economy and Sustainability","DOI":"10.1007/s43615-022-00159-9","ISSN":"2730-5988","issue":"3","journalAbbreviation":"Circ.Econ.Sust.","language":"en","page":"1143-1156","source":"Springer Link","title":"Nexus Between Life Cycle Assessment, Circularity, and Sustainability Indicators—Part I: a Review","title-short":"Nexus Between Life Cycle Assessment, Circularity, and Sustainability Indicators—Part I","volume":"2","author":[{"family":"Saidani","given":"Michael"},{"family":"Kim","given":"Harrison"}],"issued":{"date-parts":[["2022",9,1]]}}}],"schema":"https://github.com/citation-style-language/schema/raw/master/csl-citation.json"}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[1–3]</w:t>
            </w:r>
            <w:r w:rsidRPr="001E1D5F">
              <w:rPr>
                <w:rFonts w:cstheme="minorHAnsi"/>
                <w:color w:val="000000"/>
                <w:sz w:val="21"/>
                <w:szCs w:val="21"/>
                <w:lang w:eastAsia="en-GB"/>
              </w:rPr>
              <w:fldChar w:fldCharType="end"/>
            </w:r>
          </w:p>
        </w:tc>
      </w:tr>
      <w:tr w:rsidR="001E1D5F" w:rsidRPr="001E1D5F" w14:paraId="180B6D10" w14:textId="77777777" w:rsidTr="00040455">
        <w:tblPrEx>
          <w:jc w:val="left"/>
        </w:tblPrEx>
        <w:trPr>
          <w:trHeight w:val="300"/>
        </w:trPr>
        <w:tc>
          <w:tcPr>
            <w:tcW w:w="1995" w:type="dxa"/>
            <w:noWrap/>
            <w:vAlign w:val="center"/>
            <w:hideMark/>
          </w:tcPr>
          <w:p w14:paraId="7339FB11"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Circular Economy Index (CEI)</w:t>
            </w:r>
          </w:p>
        </w:tc>
        <w:tc>
          <w:tcPr>
            <w:tcW w:w="1560" w:type="dxa"/>
            <w:noWrap/>
            <w:vAlign w:val="center"/>
          </w:tcPr>
          <w:p w14:paraId="1261B19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8E5BAD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Material Value Recycled from EOL Product(s)/Material Value Needed for (Re-) Producing EOL Product(s)</w:t>
            </w:r>
          </w:p>
        </w:tc>
        <w:tc>
          <w:tcPr>
            <w:tcW w:w="1559" w:type="dxa"/>
            <w:vAlign w:val="center"/>
          </w:tcPr>
          <w:p w14:paraId="303E195C" w14:textId="77777777" w:rsidR="001E1D5F" w:rsidRPr="001E1D5F" w:rsidRDefault="001E1D5F" w:rsidP="001E1D5F">
            <w:pPr>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595FA1E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 Outdoor Power Equipment, Packaging, Healthcare Equipment</w:t>
            </w:r>
          </w:p>
        </w:tc>
        <w:tc>
          <w:tcPr>
            <w:tcW w:w="1559" w:type="dxa"/>
            <w:vAlign w:val="center"/>
          </w:tcPr>
          <w:p w14:paraId="44D41A8D" w14:textId="7289954D"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{"citationID":"ACYMTDYV","properties":{"formattedCitation":"[3\\uc0\\u8211{}8]","plainCitation":"[3–8]","noteIndex":0},"citationItems":[{"id":2977,"uris":["http://zotero.org/users/local/05JQq5lJ/items/9N3FM8MA"],"itemData":{"id":2977,"type":"article-journal","abstract":"The circular economy indices are increasingly recognized as a useful tool to support the development of policies in providing information, reducing environmental pressures and impacts through a circular recycling process. The aim of the paper is to provide a complete overview of circular economy indices.Starting by 137 articles published from 2000 to 2019, the analysis surveys 61 indicators measuring the circular economy. The indicators were grouped by using a double classification: first according to the three spatial dimensions of sustainability -macro, micro and meso- then on the basis of the 3R Core CE principles. Providing all the information related to the formulation strategy, scaling, normalization, weighting and aggregation methodology allows the readers to get a dedicate toolkit.","container-title":"Journal of Cleaner Production","DOI":"10.1016/j.jclepro.2020.124942","ISSN":"0959-6526","journalAbbreviation":"Journal of Cleaner Production","page":"124942","source":"ScienceDirect","title":"A systematic review for measuring circular economy: The 61 indicators","title-short":"A systematic review for measuring circular economy","volume":"281","author":[{"family":"De Pascale","given":"Angelina"},{"family":"Arbolino","given":"Roberta"},{"family":"Szopik-Depczyńska","given":"Katarzyna"},{"family":"Limosani","given":"Michele"},{"family":"Ioppolo","given":"Giuseppe"}],"issued":{"date-parts":[["2021",1,25]]}}},{"id":2981,"uris":["http://zotero.org/users/local/05JQq5lJ/items/YX5TXVFW"],"itemData":{"id":2981,"type":"article-journal","abstract":"This study proposes new indicator, Resource Efficiency Account (REA). REA represents the effects of eco-design efforts in achieving a circular system. The key concept of REA is “acircularity.” “Acircularity” is the distance to the ideal circular system to be achieved. REA is given as material efficiency (service per total value of constituent materials) divided by acircularity. Acircularity is the sum of the value of resources that the techno-sphere demands from the eco-sphere, and the value of resources that are dissipated within the techno-sphere. If an utterly circular state is reached, the acircularity value is zero. Additionally, this study proposes a new method to quantify the decline of the quality of scrap provided to the market as a decline in the value of the material to calculate the dissipation. The calculation focuses on the control level of impurities in scrap. The validity of these indicators is discussed using an automobile case. Differences in the current circulation level, eco-design for recycling, and refurbishment efforts can be quantitatively evaluated using REA and acircularity.","container-title":"International Journal of Automation Technology","DOI":"10.20965/ijat.2022.p0684","issue":"6","page":"684-695","source":"J-Stage","title":"New Indicators ‘Acircularity’ and ‘Resource Efficiency Account’ to Evaluate the Efforts of Eco-Design in Circular Economy","volume":"16","author":[{"family":"Halada","given":"Kohmei"},{"family":"Tahara","given":"Kiyotaka"},{"family":"Matsumoto","given":"Mitsutaka"}],"issued":{"date-parts":[["2022"]]}}},{"id":2975,"uris":["http://zotero.org/users/local/05JQq5lJ/items/FH75ZC6R"],"itemData":{"id":2975,"type":"article-journal","abstract":"In order to move towards a more sustainable development, it is necessary not only to minimize the use of materials in the design stage and to find new materials as alternatives to nonrenewable ones (e.g. optical fiber instead of copper, biopolymers instead of polymers from oil) but also to reclaim as much as possible material value through effective recycling. To this extent, recycling can play a key role in multiple dimensions, while providing new business opportunities for innovative companies, having positive impacts on the society and the environment and fostering an effective circular economy as well. Because of the advanced waste management infrastructures available in developed countries, it is possible to achieve an almost complete collection of solid wastes into a variety of controlled bulk material flows. However, the picture for the follow-up step, the recycling of raw materials such as steel, non-ferrous metals, polymers and glass from these flows, is less positive. Materials value recovered from waste represents a very small fraction of European GDP. The fundamental issue is that policymakers still lack an effective key performance indicator for stimulating the recycling industry. Therefore although recycling plays an important role in the circular economy perspective, it is necessary to radically change the metric used so far to compute the recycling rate. Nowadays, the recycling rate is computed measuring the amount of material entering the recycling facilities. This approach has brought about an inaccurate and somehow misleading indicator (the recycling rate) which contributed to wrong decision making and to poor innovation in the industry. The new approach proposed in this paper considers the use of a Circular Economy Index (CEI) as the ratio of the material value produced by the recycler (market value) by the intrinsic material value1 entering the recycling facility. It is argued that this index is related to strategic, economic and environmental aspects of recycling and it has very important implications as decision making tool. To compute the CEI it is necessary to know detailed information of the components and materials contained in each end of life (EOL) product entering the recycling facilities and how they end up in the recycled raw materials. Therefore an accurate accounting of materials (with standards if available), mass, chemical composition and smallest dimension (e.g. a screw, a plastic foil) is proposed.","container-title":"Journal of Environmental Protection","DOI":"10.4236/jep.2015.610096","issue":"10","language":"en","license":"http://creativecommons.org/licenses/by/4.0/","note":"number: 10\npublisher: Scientific Research Publishing","page":"1095-1104","source":"www.scirp.org","title":"A Robust Indicator for Promoting Circular Economy through Recycling","volume":"6","author":[{"family":"Maio","given":"Francesco Di"},{"family":"Rem","given":"Peter Carlo"}],"issued":{"date-parts":[["2015",10,9]]}}},{"id":2986,"uris":["http://zotero.org/users/local/05JQq5lJ/items/NZJZ35RN"],"itemData":{"id":2986,"type":"article-journal","abstract":"Plastic packaging, in the form of films, brought several advantages to the commercialization of products given its lightness and durability. It provided better ergonomics, ease of transport, increased shelf life, and easy handling and use. Despite that, plastic packaging is facing enormous sustainability concerns associated with the traditional practice of linear economy, combined with commonplace irresponsible handling by citizens since it is almost exclusively designed for single-use and its end-of-life (EOL) management is not planned for. To mitigate that, the circularity of plastic packaging must be more clearly studied and evaluated through approaches such as micro-level circular economy (CE) indicators. This paper focuses on the selection of relevant CE micro-indicators specifically for the plastic packaging sector among the plethora of indicators available. Relations are also established between CE micro-indicators and CE guiding principles, as well as the most prevalent Design for X (DfX) approaches, providing new insights into how these different aspects of sustainability can be linked together. Results show three micro-level indicators as the most relevant for circularity calculation in packaging, namely those termed ‘MCI’, ‘VRE’, and ‘CEIP’, because their methodology and approach address most of the CE guiding principles and DfX approaches relevant for the packaging sector. Finally, guidelines and good practices to promote circularity adoption in the plastic packaging sector are highlighted. This work can guide companies aiming to adopt CE micro-indicators in their practical implementation, overcoming the significant knowledge barrier that currently exists.","container-title":"Sustainability","DOI":"10.3390/su16052182","ISSN":"2071-1050","issue":"5","language":"en","license":"http://creativecommons.org/licenses/by/3.0/","note":"number: 5\npublisher: Multidisciplinary Digital Publishing Institute","page":"2182","source":"www.mdpi.com","title":"Circularity Micro-Indicators for Plastic Packaging and Their Relation to Circular Economy Principles and Design Tools","volume":"16","author":[{"family":"Matos","given":"Joana"},{"family":"Martins","given":"Carla I."},{"family":"Simoes","given":"Ricardo"}],"issued":{"date-parts":[["2024",1]]}}},{"id":2990,"uris":["http://zotero.org/users/local/05JQq5lJ/items/Q4538M5S"],"itemData":{"id":2990,"type":"article-journal","container-title":"Heliyon","DOI":"10.1016/j.heliyon.2022.e10734","ISSN":"2405-8440","issue":"9","journalAbbreviation":"Heliyon","language":"English","note":"publisher: Elsevier\nPMID: 36060461","source":"www.cell.com","title":"Linking product design and durability: A review and research agenda","title-short":"Linking product design and durability","URL":"https://www.cell.com/heliyon/abstract/S2405-8440(22)02022-9","volume":"8","author":[{"family":"Mesa","given":"Jaime A."},{"family":"Gonzalez-Quiroga","given":"Arturo"},{"family":"Aguiar","given":"Marina Fernandes"},{"family":"Jugend","given":"Daniel"}],"accessed":{"date-parts":[["2024",10,21]]},"issued":{"date-parts":[["2022",9,1]]}}},{"id":2984,"uris":["http://zotero.org/users/local/05JQq5lJ/items/BJSA6XZ7"],"itemData":{"id":2984,"type":"article-journal","abstract":"Circular economy (CE) and sustainable development are not systematically synonyms and some trade-offs might occur between circularity and sustainability. This study addresses the nexus—i.e., the potential concurrence, complementarity, or conflict—between circularity and sustainability indicators to develop and monitor more circular and sustainable systems, using two complementary research approaches: (i) a review and comparison of existing works covering circularity and sustainability performances concurrently (Part I), (ii) new experimentations on more circularity and sustainability to fill the gaps of previous works and bring more concrete insights for practitioners on this matter (Part II). In the present Part I, we provide a state-of-the-art summary of the solutions and challenges related to the measurement of the sustainability performance of CE strategies. The contributions and limitations of life cycle assessment (LCA), leading sustainability, and circularity indicator–based approaches are analyzed, compared, and illustrated. Ten independent studies experimenting and comparing LCA and circularity indicators on different products are analyzed and compared. Depending on the product context and the CE scenarios evaluated, several types of connections emerged: beneficial, conditional, or scenario-dependent trade-offs. To fill the gaps of the existing studies exposed at the end of this paper (Part I), a new set of experimentations is designed and conducted (Part II) to further understand how these different approaches and indicators could be appropriately deployed to develop more circular and sustainable product systems.","container-title":"Circular Economy and Sustainability","DOI":"10.1007/s43615-022-00159-9","ISSN":"2730-5988","issue":"3","journalAbbreviation":"Circ.Econ.Sust.","language":"en","page":"1143-1156","source":"Springer Link","title":"Nexus Between Life Cycle Assessment, Circularity, and Sustainability Indicators—Part I: a Review","title-short":"Nexus Between Life Cycle Assessment, Circularity, and Sustainability Indicators—Part I","volume":"2","author":[{"family":"Saidani","given":"Michael"},{"family":"Kim","given":"Harrison"}],"issued":{"date-parts":[["2022",9,1]]}}}],"schema":"https://github.com/citation-style-language/schema/raw/master/csl-citation.json"}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[3–8]</w:t>
            </w:r>
            <w:r w:rsidRPr="001E1D5F">
              <w:rPr>
                <w:rFonts w:cstheme="minorHAnsi"/>
                <w:color w:val="000000"/>
                <w:sz w:val="21"/>
                <w:szCs w:val="21"/>
                <w:lang w:eastAsia="en-GB"/>
              </w:rPr>
              <w:fldChar w:fldCharType="end"/>
            </w:r>
          </w:p>
        </w:tc>
      </w:tr>
      <w:tr w:rsidR="001E1D5F" w:rsidRPr="001E1D5F" w14:paraId="40241590" w14:textId="77777777" w:rsidTr="00040455">
        <w:tblPrEx>
          <w:jc w:val="left"/>
        </w:tblPrEx>
        <w:trPr>
          <w:trHeight w:val="300"/>
        </w:trPr>
        <w:tc>
          <w:tcPr>
            <w:tcW w:w="1995" w:type="dxa"/>
            <w:noWrap/>
            <w:vAlign w:val="center"/>
          </w:tcPr>
          <w:p w14:paraId="0963D07D"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Material Circularity Indicator (MCI)</w:t>
            </w:r>
          </w:p>
        </w:tc>
        <w:tc>
          <w:tcPr>
            <w:tcW w:w="1560" w:type="dxa"/>
            <w:noWrap/>
            <w:vAlign w:val="center"/>
          </w:tcPr>
          <w:p w14:paraId="5541FE6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5FCADCE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It measures how circular a product or process is by evaluating the use of </w:t>
            </w:r>
            <w:r w:rsidRPr="001E1D5F">
              <w:rPr>
                <w:rFonts w:cstheme="minorHAnsi"/>
                <w:b/>
                <w:bCs/>
                <w:color w:val="000000"/>
                <w:sz w:val="21"/>
                <w:szCs w:val="21"/>
                <w:lang w:eastAsia="en-GB"/>
              </w:rPr>
              <w:t>recycled materials, product lifespan, material recovery</w:t>
            </w:r>
            <w:r w:rsidRPr="001E1D5F">
              <w:rPr>
                <w:rFonts w:cstheme="minorHAnsi"/>
                <w:color w:val="000000"/>
                <w:sz w:val="21"/>
                <w:szCs w:val="21"/>
                <w:lang w:eastAsia="en-GB"/>
              </w:rPr>
              <w:t xml:space="preserve"> at EOL, and waste during production.</w:t>
            </w:r>
          </w:p>
          <w:p w14:paraId="0489C8C4" w14:textId="77777777" w:rsidR="001E1D5F" w:rsidRPr="001E1D5F" w:rsidRDefault="001E1D5F" w:rsidP="001E1D5F">
            <w:pPr>
              <w:spacing w:before="60" w:line="276" w:lineRule="auto"/>
              <w:jc w:val="center"/>
              <w:rPr>
                <w:rFonts w:cstheme="minorHAnsi"/>
                <w:color w:val="000000"/>
                <w:sz w:val="21"/>
                <w:szCs w:val="21"/>
              </w:rPr>
            </w:pPr>
            <w:r w:rsidRPr="001E1D5F">
              <w:rPr>
                <w:rFonts w:cstheme="minorHAnsi"/>
                <w:color w:val="000000"/>
                <w:sz w:val="21"/>
                <w:szCs w:val="21"/>
                <w:lang w:eastAsia="en-GB"/>
              </w:rPr>
              <w:t xml:space="preserve">MCI = (1 - </w:t>
            </w:r>
            <w:proofErr w:type="gramStart"/>
            <w:r w:rsidRPr="001E1D5F">
              <w:rPr>
                <w:rFonts w:cstheme="minorHAnsi"/>
                <w:color w:val="000000"/>
                <w:sz w:val="21"/>
                <w:szCs w:val="21"/>
                <w:lang w:eastAsia="en-GB"/>
              </w:rPr>
              <w:t>LFI)*</w:t>
            </w:r>
            <w:proofErr w:type="gramEnd"/>
            <w:r w:rsidRPr="001E1D5F">
              <w:rPr>
                <w:rFonts w:cstheme="minorHAnsi"/>
                <w:color w:val="000000"/>
                <w:sz w:val="21"/>
                <w:szCs w:val="21"/>
                <w:lang w:eastAsia="en-GB"/>
              </w:rPr>
              <w:t>F(x), w</w:t>
            </w:r>
            <w:r w:rsidRPr="001E1D5F">
              <w:rPr>
                <w:rFonts w:cstheme="minorHAnsi"/>
                <w:color w:val="000000"/>
                <w:sz w:val="21"/>
                <w:szCs w:val="21"/>
              </w:rPr>
              <w:t>here:</w:t>
            </w:r>
          </w:p>
          <w:p w14:paraId="34E7ACD1" w14:textId="77777777" w:rsidR="001E1D5F" w:rsidRPr="001E1D5F" w:rsidRDefault="001E1D5F" w:rsidP="001E1D5F">
            <w:pPr>
              <w:tabs>
                <w:tab w:val="num" w:pos="720"/>
              </w:tabs>
              <w:spacing w:before="60"/>
              <w:jc w:val="center"/>
              <w:rPr>
                <w:rFonts w:cstheme="minorHAnsi"/>
                <w:color w:val="000000"/>
                <w:sz w:val="21"/>
                <w:szCs w:val="21"/>
                <w:lang w:eastAsia="en-GB"/>
              </w:rPr>
            </w:pPr>
            <w:r w:rsidRPr="001E1D5F">
              <w:rPr>
                <w:rFonts w:cstheme="minorHAnsi"/>
                <w:b/>
                <w:bCs/>
                <w:color w:val="000000"/>
                <w:sz w:val="21"/>
                <w:szCs w:val="21"/>
                <w:lang w:eastAsia="en-GB"/>
              </w:rPr>
              <w:t>LFI (Linear Flow Index)</w:t>
            </w:r>
            <w:r w:rsidRPr="001E1D5F">
              <w:rPr>
                <w:rFonts w:cstheme="minorHAnsi"/>
                <w:color w:val="000000"/>
                <w:sz w:val="21"/>
                <w:szCs w:val="21"/>
                <w:lang w:eastAsia="en-GB"/>
              </w:rPr>
              <w:t xml:space="preserve"> is calculated using the formula: LFI=(1−CR−CU)/W0.​ Here, </w:t>
            </w:r>
            <w:r w:rsidRPr="001E1D5F">
              <w:rPr>
                <w:rFonts w:cstheme="minorHAnsi"/>
                <w:b/>
                <w:bCs/>
                <w:color w:val="000000"/>
                <w:sz w:val="21"/>
                <w:szCs w:val="21"/>
                <w:lang w:eastAsia="en-GB"/>
              </w:rPr>
              <w:t>CR</w:t>
            </w:r>
            <w:r w:rsidRPr="001E1D5F">
              <w:rPr>
                <w:rFonts w:cstheme="minorHAnsi"/>
                <w:color w:val="000000"/>
                <w:sz w:val="21"/>
                <w:szCs w:val="21"/>
                <w:lang w:eastAsia="en-GB"/>
              </w:rPr>
              <w:t xml:space="preserve"> is the recycling rate, </w:t>
            </w:r>
            <w:r w:rsidRPr="001E1D5F">
              <w:rPr>
                <w:rFonts w:cstheme="minorHAnsi"/>
                <w:b/>
                <w:bCs/>
                <w:color w:val="000000"/>
                <w:sz w:val="21"/>
                <w:szCs w:val="21"/>
                <w:lang w:eastAsia="en-GB"/>
              </w:rPr>
              <w:t>CU</w:t>
            </w:r>
            <w:r w:rsidRPr="001E1D5F">
              <w:rPr>
                <w:rFonts w:cstheme="minorHAnsi"/>
                <w:color w:val="000000"/>
                <w:sz w:val="21"/>
                <w:szCs w:val="21"/>
                <w:lang w:eastAsia="en-GB"/>
              </w:rPr>
              <w:t xml:space="preserve"> is the fraction of the product </w:t>
            </w:r>
            <w:proofErr w:type="gramStart"/>
            <w:r w:rsidRPr="001E1D5F">
              <w:rPr>
                <w:rFonts w:cstheme="minorHAnsi"/>
                <w:color w:val="000000"/>
                <w:sz w:val="21"/>
                <w:szCs w:val="21"/>
                <w:lang w:eastAsia="en-GB"/>
              </w:rPr>
              <w:t xml:space="preserve">reused,  </w:t>
            </w:r>
            <w:r w:rsidRPr="001E1D5F">
              <w:rPr>
                <w:rFonts w:cstheme="minorHAnsi"/>
                <w:b/>
                <w:bCs/>
                <w:color w:val="000000"/>
                <w:sz w:val="21"/>
                <w:szCs w:val="21"/>
                <w:lang w:eastAsia="en-GB"/>
              </w:rPr>
              <w:t>W</w:t>
            </w:r>
            <w:proofErr w:type="gramEnd"/>
            <w:r w:rsidRPr="001E1D5F">
              <w:rPr>
                <w:rFonts w:cstheme="minorHAnsi"/>
                <w:b/>
                <w:bCs/>
                <w:color w:val="000000"/>
                <w:sz w:val="21"/>
                <w:szCs w:val="21"/>
                <w:lang w:eastAsia="en-GB"/>
              </w:rPr>
              <w:t>0</w:t>
            </w:r>
            <w:r w:rsidRPr="001E1D5F">
              <w:rPr>
                <w:rFonts w:cstheme="minorHAnsi"/>
                <w:color w:val="000000"/>
                <w:sz w:val="21"/>
                <w:szCs w:val="21"/>
                <w:lang w:eastAsia="en-GB"/>
              </w:rPr>
              <w:t xml:space="preserve"> is the irrecoverable waste and </w:t>
            </w:r>
            <w:r w:rsidRPr="001E1D5F">
              <w:rPr>
                <w:rFonts w:cstheme="minorHAnsi"/>
                <w:b/>
                <w:bCs/>
                <w:color w:val="000000"/>
                <w:sz w:val="21"/>
                <w:szCs w:val="21"/>
                <w:lang w:eastAsia="en-GB"/>
              </w:rPr>
              <w:t>F(X)</w:t>
            </w:r>
            <w:r w:rsidRPr="001E1D5F">
              <w:rPr>
                <w:rFonts w:cstheme="minorHAnsi"/>
                <w:color w:val="000000"/>
                <w:sz w:val="21"/>
                <w:szCs w:val="21"/>
                <w:lang w:eastAsia="en-GB"/>
              </w:rPr>
              <w:t xml:space="preserve"> is a utility factor representing the functional performance of the product.</w:t>
            </w:r>
          </w:p>
        </w:tc>
        <w:tc>
          <w:tcPr>
            <w:tcW w:w="1559" w:type="dxa"/>
            <w:vAlign w:val="center"/>
          </w:tcPr>
          <w:p w14:paraId="36DDAECF" w14:textId="77777777" w:rsidR="001E1D5F" w:rsidRPr="001E1D5F" w:rsidRDefault="001E1D5F" w:rsidP="001E1D5F">
            <w:pPr>
              <w:jc w:val="center"/>
              <w:rPr>
                <w:rFonts w:cstheme="minorHAnsi"/>
                <w:color w:val="000000"/>
                <w:sz w:val="21"/>
                <w:szCs w:val="21"/>
                <w:lang w:eastAsia="en-GB"/>
              </w:rPr>
            </w:pPr>
            <w:r w:rsidRPr="001E1D5F">
              <w:rPr>
                <w:rFonts w:cstheme="minorHAnsi"/>
                <w:color w:val="000000"/>
                <w:sz w:val="21"/>
                <w:szCs w:val="21"/>
                <w:lang w:eastAsia="en-GB"/>
              </w:rPr>
              <w:t>Dimensionless (scores from 0 [fully linear] to 1 [fully circular])</w:t>
            </w:r>
          </w:p>
        </w:tc>
        <w:tc>
          <w:tcPr>
            <w:tcW w:w="3969" w:type="dxa"/>
            <w:vAlign w:val="center"/>
          </w:tcPr>
          <w:p w14:paraId="71880FB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Healthcare Equipment, Agricultural Manufacturing, Energy &amp; Plastics, Construction, Plastics, Packaging, Automotive, Textile, Bio-based products, Outdoor Power Equipment Sector, HVAC (Heating, Ventilation, and Air Conditioning) Equipment, Agri-food, Chemical, Electronics</w:t>
            </w:r>
          </w:p>
        </w:tc>
        <w:tc>
          <w:tcPr>
            <w:tcW w:w="1559" w:type="dxa"/>
            <w:vAlign w:val="center"/>
          </w:tcPr>
          <w:p w14:paraId="0BCFDB7E" w14:textId="181F9EAB"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29NcJcqD","properties":{"formattedCitation":"[2\\uc0\\u8211{}5,7,9\\uc0\\u8211{}30]","plainCitation":"[2–5,7,9–30]","noteIndex":0},"citationItems":[{"id":2977,"uris":["http://zotero.org/users/local/05JQq5lJ/items/9N3FM8MA"],"itemData":{"id":2977,"type":"article-journal","abstract":"The circular economy indices are increasingly recognized as a useful tool to support the development of policies in providing information, reducing environmental pressures and impacts through a circular recycling process. The aim of the paper is to provide a complete overview of circular economy indices.Starting by 137 articles published from 2000 to 2019, the analysis surveys 61 indicators measuring the circular economy. The indicators were grouped by using a double classification: first according to the three spatial dimensions of sustainability -macro, micro and meso- then on the basis of the 3R Core CE principles. Providing all the information related to the formulation strategy, scaling, normalization, weighting and aggregation methodology allows the readers to get a dedicate toolkit.","container-title":"Journal of Cleaner Production","DOI":"10.1016/j.jclepro.2020.124942","ISSN":"0959-6526","journalAbbreviation":"Journal of Cleaner Production","page":"124942","source":"ScienceDirect","title":"A systematic review for measuring circular economy: The 61 indicators","title-short":"A systematic review for measuring circular economy","volume":"281","author":[{"family":"De Pascale","given":"Angelina"},{"family":"Arbolino","given":"Roberta"},{"family":"Szopik-Depczyńska","given":"Katarzyna"},{"family":"Limosani","given":"Michele"},{"family":"Ioppolo","given":"Giuseppe"}],"issued":{"date-parts":[["2021",1,25]]}}},{"id":2993,"uris":["http://zotero.org/users/local/05JQq5lJ/items/IWDYVUTQ"],"itemData":{"id":2993,"type":"article-journal","container-title":"The International Journal of Life Cycle Assessment","DOI":"10.1007/s11367-022-02061-w","ISSN":"1614-7502","issue":"7","journalAbbreviation":"Int J Life Cycle Assess","language":"en","page":"916-925","source":"Springer Link","title":"Clarify the nexus between life cycle assessment and circularity indicators: a SETAC/ACLCA interest group","title-short":"Clarify the nexus between life cycle assessment and circularity indicators","volume":"27","author":[{"family":"Saidani","given":"Michael"},{"family":"Kreuder","given":"Ashley"},{"family":"Babilonia","given":"Guillermo"},{"family":"Benavides","given":"Pahola Thathiana"},{"family":"Blume","given":"Nick"},{"family":"Jackson","given":"Seth"},{"family":"Koffler","given":"Christoph"},{"family":"Kumar","given":"Manish"},{"family":"Minke","given":"Christine"},{"family":"Richkus","given":"Jennifer"},{"family":"Smith","given":"Cheryl"},{"family":"Wallace","given":"Michele"}],"issued":{"date-parts":[["2022",7,1]]}}},{"id":2984,"uris":["http://zotero.org/users/local/05JQq5lJ/items/BJSA6XZ7"],"itemData":{"id":2984,"type":"article-journal","abstract":"Circular economy (CE) and sustainable development are not systematically synonyms and some trade-offs might occur between circularity and sustainability. This study addresses the nexus—i.e., the potential concurrence, complementarity, or conflict—between circularity and sustainability indicators to develop and monitor more circular and sustainable systems, using two complementary research approaches: (i) a review and comparison of existing works covering circularity and sustainability performances concurrently (Part I), (ii) new experimentations on more circularity and sustainability to fill the gaps of previous works and bring more concrete insights for practitioners on this matter (Part II). In the present Part I, we provide a state-of-the-art summary of the solutions and challenges related to the measurement of the sustainability performance of CE strategies. The contributions and limitations of life cycle assessment (LCA), leading sustainability, and circularity indicator–based approaches are analyzed, compared, and illustrated. Ten independent studies experimenting and comparing LCA and circularity indicators on different products are analyzed and compared. Depending on the product context and the CE scenarios evaluated, several types of connections emerged: beneficial, conditional, or scenario-dependent trade-offs. To fill the gaps of the existing studies exposed at the end of this paper (Part I), a new set of experimentations is designed and conducted (Part II) to further understand how these different approaches and indicators could be appropriately deployed to develop more circular and sustainable product systems.","container-title":"Circular Economy and Sustainability","DOI":"10.1007/s43615-022-00159-9","ISSN":"2730-5988","issue":"3","journalAbbreviation":"Circ.Econ.Sust.","language":"en","page":"1143-1156","source":"Springer Link","title":"Nexus Between Life Cycle Assessment, Circularity, and Sustainability Indicators—Part I: a Review","title-short":"Nexus Between Life Cycle Assessment, Circularity, and Sustainability Indicators—Part I","volume":"2","author":[{"family":"Saidani","given":"Michael"},{"family":"Kim","given":"Harrison"}],"issued":{"date-parts":[["2022",9,1]]}}},{"id":2981,"uris":["http://zotero.org/users/local/05JQq5lJ/items/YX5TXVFW"],"itemData":{"id":2981,"type":"article-journal","abstract":"This study proposes new indicator, Resource Efficiency Account (REA). REA represents the effects of eco-design efforts in achieving a circular system. The key concept of REA is “acircularity.” “Acircularity” is the distance to the ideal circular system to be achieved. REA is given as material efficiency (service per total value of constituent materials) divided by acircularity. Acircularity is the sum of the value of resources that the techno-sphere demands from the eco-sphere, and the value of resources that are dissipated within the techno-sphere. If an utterly circular state is reached, the acircularity value is zero. Additionally, this study proposes a new method to quantify the decline of the quality of scrap provided to the market as a decline in the value of the material to calculate the dissipation. The calculation focuses on the control level of impurities in scrap. The validity of these indicators is discussed using an automobile case. Differences in the current circulation level, eco-design for recycling, and refurbishment efforts can be quantitatively evaluated using REA and acircularity.","container-title":"International Journal of Automation Technology","DOI":"10.20965/ijat.2022.p0684","issue":"6","page":"684-695","source":"J-Stage","title":"New Indicators ‘Acircularity’ and ‘Resource Efficiency Account’ to Evaluate the Efforts of Eco-Design in Circular Economy","volume":"16","author":[{"family":"Halada","given":"Kohmei"},{"family":"Tahara","given":"Kiyotaka"},{"family":"Matsumoto","given":"Mitsutaka"}],"issued":{"date-parts":[["2022"]]}}},{"id":2986,"uris":["http://zotero.org/users/local/05JQq5lJ/items/NZJZ35RN"],"itemData":{"id":2986,"type":"article-journal","abstract":"Plastic packaging, in the form of films, brought several advantages to the commercialization of products given its lightness and durability. It provided better ergonomics, ease of transport, increased shelf life, and easy handling and use. Despite that, plastic packaging is facing enormous sustainability concerns associated with the traditional practice of linear economy, combined with commonplace irresponsible handling by citizens since it is almost exclusively designed for single-use and its end-of-life (EOL) management is not planned for. To mitigate that, the circularity of plastic packaging must be more clearly studied and evaluated through approaches such as micro-level circular economy (CE) indicators. This paper focuses on the selection of relevant CE micro-indicators specifically for the plastic packaging sector among the plethora of indicators available. Relations are also established between CE micro-indicators and CE guiding principles, as well as the most prevalent Design for X (DfX) approaches, providing new insights into how these different aspects of sustainability can be linked together. Results show three micro-level indicators as the most relevant for circularity calculation in packaging, namely those termed ‘MCI’, ‘VRE’, and ‘CEIP’, because their methodology and approach address most of the CE guiding principles and DfX approaches relevant for the packaging sector. Finally, guidelines and good practices to promote circularity adoption in the plastic packaging sector are highlighted. This work can guide companies aiming to adopt CE micro-indicators in their practical implementation, overcoming the significant knowledge barrier that currently exists.","container-title":"Sustainability","DOI":"10.3390/su16052182","ISSN":"2071-1050","issue":"5","language":"en","license":"http://creativecommons.org/licenses/by/3.0/","note":"number: 5\npublisher: Multidisciplinary Digital Publishing Institute","page":"2182","source":"www.mdpi.com","title":"Circularity Micro-Indicators for Plastic Packaging and Their Relation to Circular Economy Principles and Design Tools","volume":"16","author":[{"family":"Matos","given":"Joana"},{"family":"Martins","given":"Carla I."},{"family":"Simoes","given":"Ricardo"}],"issued":{"date-parts":[["2024",1]]}}},{"id":3010,"uris":["http://zotero.org/users/local/05JQq5lJ/items/BMTZ77ZA"],"itemData":{"id":3010,"type":"article-journal","source":"Google Scholar","title":"The Use of Circular Economy Indicators to Improve Sustainability in the Recycling Aluminium Context.\"","URL":"http://www.ieomsociety.org/brazil2020/papers/506.pdf","author":[{"family":"Santos Gonçalves","given":"Paulo Vitor","non-dropping-particle":"dos"},{"family":"Barbosa","given":"Rafaela Francisca Moreira"},{"family":"Allan","given":"Vitor"},{"family":"Raspini","given":"Prats"},{"family":"Sehnem","given":"Simone"},{"family":"Campos","given":"Lucila MS"}],"accessed":{"date-parts":[["2024",10,21]]},"issued":{"date-parts":[["2021"]]}}},{"id":3018,"uris":["http://zotero.org/users/local/05JQq5lJ/items/N9R4AENR"],"itemData":{"id":3018,"type":"article-journal","abstract":"The Circular Economy describes an economic system that creates value without causing unrecoverable waste, a growing problem of the Anthropocene. The question remains what solutions to reversing this course could look like and how indicators should be designed to measure their capabilities to constitute a circular economy. These indicators should allow for a nexus approach, i.e., consider synergies and trade-offs with other important social, environmental, and economic factors. Earlier research shows a research gap in indicators able to assess value change and retention, i.e., the preservation of specific functions instead of products in general. Aiming to fill this gap, in this article, we discuss using the concept of functionality from Life Cycle Assessment over the time product systems are used to measure circularity. We create a Functionality Over Use-Time (FOUT) graph and use it to illustrate the challenges of existing circularity indicators. The challenges are grouped into four clusters: 1) multi-cyclic longevity; 2) up- &amp; downcycling effects; 3) measuring disruptive change instead of incremental change; 4) integration into sustainability assessment. We discuss how considering FOUT could solve these challenges and propose two novel indicators derived from the approach: A functional circularity indicator and a cross-functional circularity indicator. The functional circularity indicator measures the integral surface of functionality over the use-time of the original product's materials. The cross-functional circularity indicator measures the time a product's functionality is reduced by half. Finally, FOUT modeling and the indicators are exemplified in a comparative case study of a steel-reinforced concrete double wall and a Carbon Reinforced Concrete double wall. Further case studies are needed for future research, including FOUT indicator integration in Life Cycle Sustainability Assessment and a detailed representation of the 10R in FOUT modeling.","container-title":"Journal of Cleaner Production","DOI":"10.1016/j.jclepro.2022.134797","ISSN":"0959-6526","journalAbbreviation":"Journal of Cleaner Production","page":"134797","source":"ScienceDirect","title":"Modeling circularity as Functionality Over Use-Time to reflect on circularity indicator challenges and identify new indicators for the circular economy","volume":"379","author":[{"family":"Hatzfeld","given":"Tobias"},{"family":"Backes","given":"Jana Gerta"},{"family":"Guenther","given":"Edeltraud"},{"family":"Traverso","given":"Marzia"}],"issued":{"date-parts":[["2022",12,15]]}}},{"id":3031,"uris":["http://zotero.org/users/local/05JQq5lJ/items/MMAEMU5Q"],"itemData":{"id":3031,"type":"article-journal","abstract":"Slowing down replacement cycles to reduce resource depletion and prevent waste generation is a promising path toward a circular economy (CE). However, an obligation to longevity only sometimes makes sense. It could sometimes even backfire if one focuses exclusively on material resource efficiency measures of the production phase and neglects implications on the use phase. The (environmental) lifespan of circular products should, therefore, be optimized, not maximized, considering all life cycle phases. In this paper, a generic method for determining the optimal environmental lifespan (OEL) of energy-using products (EuPs) in a CE is developed, allowing the simultaneous inclusion of various replacement options and lifetime extension processes, like re-manufacturing, in the assessment. A dynamic programming approach is used to minimize the cumulative environmental impact or costs over a specific time horizon, which allows considering an unordered sequence of replacement decisions with various sets of products. The method further accounts for technology improvement as well as efficiency degradation due to usage and a dynamic energy supply over the use phase. To illustrate the application, the OEL of gas heating appliances in Germany is calculated considering newly evolved products and re-manufactured products as replacement options. The case-study results show that with an average heat demand of a dwelling in Germany, the OEL is just 7 years for climate change impacts and 11 years for the aggregated environmental indicator, ReCiPeendpoint(total). If efficiency degradation during use is considered, the OEL for both environmental impact assessment methods even lowers to 1 year. Products are frequently replaced with re-manufactured products to completely restore efficiency at low investment cost, resulting in higher savings potential. This not only implies that an early replacement before the product breaks down is recommended but also that it is essential to maintain the system and, thus, to prevent potential efficiency degradation. The results for cost optimization, as well as currently observed lifespans, vary considerably from this.","container-title":"Energies","DOI":"10.3390/en16186711","ISSN":"1996-1073","issue":"18","language":"en","license":"http://creativecommons.org/licenses/by/3.0/","note":"number: 18\npublisher: Multidisciplinary Digital Publishing Institute","page":"6711","source":"www.mdpi.com","title":"Optimizing Lifespan of Circular Products: A Generic Dynamic Programming Approach for Energy-Using Products","title-short":"Optimizing Lifespan of Circular Products","volume":"16","author":[{"family":"Hummen","given":"Torsten"},{"family":"Hellweg","given":"Stefanie"},{"family":"Roshandel","given":"Ramin"}],"issued":{"date-parts":[["2023",1]]}}},{"id":3023,"uris":["http://zotero.org/users/local/05JQq5lJ/items/ZA7EAYU2"],"itemData":{"id":3023,"type":"article-journal","abstract":"This study addresses the challenges and barriers associated with the implementation of circular economy principles in architectural design and construction practices. It highlights the fragmented knowledge and lack of a unified approach to circular design as a major obstacle hindering the adoption of circularity. The existing frameworks for assessing circularity, such as the Material Circularity Indicator (MCI) protocol and the Level(s) assessment protocol, are applied to two projects with a high degree of deconstruction to understand their applicability in the architectural design process and identify their limitations. The study emphasises the significance of considering structural connectivity and circularity strategies during the concept-design stage, advocating for the incorporation of circularity at various scales beyond the microscale of materials. Furthermore, it emphasises the need for early implementation of Design for Disassembly (DfD) strategies on circularity scoring to enable meaningful comparisons of alternative designs using circularity metrics. The findings reveal the variability of circularity indicators based on the hierarchy of disassembly and highlights an early-stage design approach to deconstruction strategies to achieve circularity in architectural design. Overall, this study upscales the significance of a comprehensive and integrated approach to circularity in architectural design practices.","container-title":"Buildings","DOI":"10.3390/buildings13071706","ISSN":"2075-5309","issue":"7","language":"en","license":"http://creativecommons.org/licenses/by/3.0/","note":"number: 7\npublisher: Multidisciplinary Digital Publishing Institute","page":"1706","source":"www.mdpi.com","title":"Circularity Indicators as a Design Tool for Design and Construction Strategies in Architecture","volume":"13","author":[{"family":"Incelli","given":"Francesco"},{"family":"Cardellicchio","given":"Luciano"},{"family":"Rossetti","given":"Massimo"}],"issued":{"date-parts":[["2023",7]]}}},{"id":3025,"uris":["http://zotero.org/users/local/05JQq5lJ/items/B2PL4EYB"],"itemData":{"id":3025,"type":"article-journal","container-title":"Journal of Cleaner Production","note":"publisher: Elsevier","page":"131859","source":"Google Scholar","title":"Critical review of nano and micro-level building circularity indicators and frameworks","volume":"357","author":[{"family":"Khadim","given":"Nouman"},{"family":"Agliata","given":"Rosa"},{"family":"Marino","given":"Alfonso"},{"family":"Thaheem","given":"Muhammad Jamaluddin"},{"family":"Mollo","given":"Luigi"}],"issued":{"date-parts":[["2022"]]}}},{"id":3033,"uris":["http://zotero.org/users/local/05JQq5lJ/items/I8KXG7IX"],"itemData":{"id":3033,"type":"article-journal","source":"Google Scholar","title":"Circular Economy: Assessment of Circularity in Olive Oil Mills","title-short":"Circular Economy","URL":"https://cms.gnest.org/sites/default/files/Proceedings/cest2023_00011/cest2023_00011.pdf","author":[{"family":"Kounani","given":"A."},{"family":"PAVLOUDI","given":"A."},{"family":"AGGELOPOULOS","given":"S."},{"family":"KONTOGEORGOS","given":"A."}],"accessed":{"date-parts":[["2024",10,21]]},"issued":{"date-parts":[["2023"]]}}},{"id":3037,"uris":["http://zotero.org/users/local/05JQq5lJ/items/8VU26Q59"],"itemData":{"id":3037,"type":"article-journal","container-title":"Procedia CIRP","note":"publisher: Elsevier","page":"31–36","source":"Google Scholar","title":"To what extent do circular economy indicators capture sustainability?","volume":"90","author":[{"family":"Kravchenko","given":"Mariia"},{"family":"McAloone","given":"Tim C."},{"family":"Pigosso","given":"Daniela CA"}],"issued":{"date-parts":[["2020"]]}}},{"id":3014,"uris":["http://zotero.org/users/local/05JQq5lJ/items/Z7HBAB56"],"itemData":{"id":3014,"type":"article-journal","abstract":"Increasingly, circularity indicators for material, energy, and water systems guide circular economy design. While indicators for products made from recycled carbon-based materials are somewhat common, peer indicators for waste nitrogen-derived products are limited. It is important, however, to develop such indicators to guide emerging technologies that transform waste nitrogen into products. In this study, we summarize the nitrogen circularity indicator literature, emphasizing the agricultural and wastewater sectors. Next, we use the Material Circularity Indicator (MCI) developed by the Ellen MacArthur Foundation, to quantify the circularity of products made from waste nitrogen in swine manure. We considered four test cases using different technologies to recover nitrogen from the manure. Our analysis indicates that technologies that seem to increase circularity on the surface may not yield a substantial increase in MCI results. Finally, we discuss the strengths and weaknesses of using the MCI for product-level analysis and further developments.","container-title":"Resources, Conservation and Recycling","DOI":"10.1016/j.resconrec.2023.107167","ISSN":"0921-3449","journalAbbreviation":"Resources, Conservation and Recycling","page":"107167","source":"ScienceDirect","title":"Developing product level indicators to advance the nitrogen circular economy","volume":"198","author":[{"family":"Lavallais","given":"Chayse M."},{"family":"Dunn","given":"Jennifer B."}],"issued":{"date-parts":[["2023",11,1]]}}},{"id":2988,"uris":["http://zotero.org/users/local/05JQq5lJ/items/HAD8V55E"],"itemData":{"id":2988,"type":"article-journal","abstract":"With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I."},{"family":"Simoes","given":"Ricardo"}],"issued":{"date-parts":[["2023",12,1]]}}},{"id":3012,"uris":["http://zotero.org/users/local/05JQq5lJ/items/GNRCA3WE"],"itemData":{"id":3012,"type":"article-journal","abstract":"The Circular Economy comprises several strategies to enhance the sustainability of products. However, most of the research in this area has focused on Recycling, Recovering and final disposal. Strategies for lifespan extension such as Reuse, Repair, Refurbish, Remanufacture and Repurpose lead to higher circularity and value throughout the lifecycle but are less studied. Here we propose a single generic indicator based on durability and environmental footprint for material selection as an early step in the design process towards extending product lifespan. The material durability indicator or MDI integrates into a single calculation chemical and mechanical durability, together with environmental impacts associated with the material. The proposed indicator incorporates parameters such as flammability resistance, resistance to ultraviolet radiation, resistance to water, resistance to organic solvents, mechanical strength, energy consumption, and carbon footprint, among others. A case study based on polymer materials selection demonstrates the usefulness of the MDI indicator, providing a holistic calculation and comparison of selection alternatives, including conventional and multicriteria approaches. The proposed indicator offers a balanced and technical measurement of durability and environmental burdens in the material selection process and can potentially be applied to any engineering material.","container-title":"Resources, Conservation and Recycling","DOI":"10.1016/j.resconrec.2020.104887","ISSN":"0921-3449","journalAbbreviation":"Resources, Conservation and Recycling","page":"104887","source":"ScienceDirect","title":"Developing an indicator for material selection based on durability and environmental footprint: A Circular Economy perspective","title-short":"Developing an indicator for material selection based on durability and environmental footprint","volume":"160","author":[{"family":"Mesa","given":"Jaime"},{"family":"González-Quiroga","given":"Arturo"},{"family":"Maury","given":"Heriberto"}],"issued":{"date-parts":[["2020",9,1]]}}},{"id":3041,"uris":["http://zotero.org/users/local/05JQq5lJ/items/7I52IFQH"],"itemData":{"id":3041,"type":"article-journal","container-title":"Journal of Cleaner Production","note":"publisher: Elsevier","page":"123889","source":"Google Scholar","title":"Development of circularity indicators based on the in-use occupation of materials","volume":"279","author":[{"family":"Moraga","given":"Gustavo"},{"family":"Huysveld","given":"Sophie"},{"family":"De Meester","given":"Steven"},{"family":"Dewulf","given":"Jo"}],"issued":{"date-parts":[["2021"]]}}},{"id":3039,"uris":["http://zotero.org/users/local/05JQq5lJ/items/4WVMSF7E"],"itemData":{"id":3039,"type":"article-journal","container-title":"Resources, Conservation and Recycling","note":"publisher: Elsevier","page":"305–312","source":"Google Scholar","title":"Coupling material circularity indicators and life cycle based indicators: A proposal to advance the assessment of circular economy strategies at the product level","title-short":"Coupling material circularity indicators and life cycle based indicators","volume":"140","author":[{"family":"Niero","given":"Monia"},{"family":"Kalbar","given":"Pradip P."}],"issued":{"date-parts":[["2019"]]}}},{"id":3016,"uris":["http://zotero.org/users/local/05JQq5lJ/items/3YS3VF2Q"],"itemData":{"id":3016,"type":"article-journal","abstract":"To promote their public image, a growing number of companies have adopted corporate social responsibility (CSR) projects that benefit various social interests. As such, it is imperative to audit the social, environmental, and economic dimensions of CSR projects for their sustainable development. This paper presents an assessment of three CSR projects undertaken by the energy industry (renewable energy) and commercial sector (plastic waste recycling) in Thailand to transition towards the circular economy (CE) business model. A set of CE indicators were selected from the World Business Council for Sustainable Development: WBCSD 2018 European Commission 2018, and British Standard Institution 2017 and compared with the sustainability indicators listed in the ISO 26000:2010 (referenced in the Global Reporting Initiative (GRI): G4 Guidelines). These indicators were established to assess the readiness of companies to implement sustainable CSR projects. The assessment results showed that the CSR projects in the case study were conducive to the CE model, as most of the CE concepts evaluated by the performance indicators were already in place. This study aimed to support the implementation of CSR projects that contribute to adopting a CE business model and determine key performance indicators (KPIs) to measure and monitor CSR projects in terms of their CE concepts. The sustainability KPIs proposed in this study can serve as a set of guidelines to drive CE strategy adoption and allow for the identification of sustainable CSR projects that can simultaneously offer more value creation and satisfaction for all stakeholders, including society and the companies, while reducing environmental impacts. This paper integrates CSR into a CE approach that results in business sustainability and contributes to Sustainability Development Goal (SDG) targets.","container-title":"Journal of Cleaner Production","DOI":"10.1016/j.jclepro.2023.136203","ISSN":"0959-6526","journalAbbreviation":"Journal of Cleaner Production","page":"136203","source":"ScienceDirect","title":"Sustainability indicators to achieve a circular economy: A case study of renewable energy and plastic waste recycling corporate social responsibility (CSR) projects in Thailand","title-short":"Sustainability indicators to achieve a circular economy","volume":"391","author":[{"family":"Niyommaneerat","given":"Wilailuk"},{"family":"Suwanteep","given":"Kultip"},{"family":"Chavalparit","given":"Orathai"}],"issued":{"date-parts":[["2023",3,10]]}}},{"id":3021,"uris":["http://zotero.org/users/local/05JQq5lJ/items/XDIB7Z3F"],"itemData":{"id":3021,"type":"article-journal","abstract":"Methods and tools to measure Circular Economy (CE) are in an early stage of development, especially on the micro level, and only limited guidance is available to companies’ decision-making processes related to CE solutions. In this context, the aim of this paper is to explore the suitability and effectiveness of grey literature CE indicators and the Life Cycle Assessment (LCA) method in measuring circularity at product or process level.","container-title":"The International Journal of Life Cycle Assessment","DOI":"10.1007/s11367-021-01972-4","ISSN":"1614-7502","issue":"11","journalAbbreviation":"Int J Life Cycle Assess","language":"en","page":"2171-2191","source":"Springer Link","title":"Exploring the effectiveness of grey literature indicators and life cycle assessment in assessing circular economy at the micro level: a comparative analysis","title-short":"Exploring the effectiveness of grey literature indicators and life cycle assessment in assessing circular economy at the micro level","volume":"26","author":[{"family":"Roos Lindgreen","given":"Erik"},{"family":"Mondello","given":"Giovanni"},{"family":"Salomone","given":"Roberta"},{"family":"Lanuzza","given":"Francesco"},{"family":"Saija","given":"Giuseppe"}],"issued":{"date-parts":[["2021",11,1]]}}},{"id":2995,"uris":["http://zotero.org/users/local/05JQq5lJ/items/A84T79VD"],"itemData":{"id":2995,"type":"article-journal","abstract":"Monitoring properly the circularity performance of technical products is a point of increasing importance. Yet, evaluating the circularity potential of products during (re)design and development phases is a challenging task. In this study, several C-indicators are experienced by doctoral students and industrialists through two workshops on a real-world industrial product. The values obtained for each indicator are collected and analyzed: as all participant are working on the same technical product with the same dataset, the circularity scores calculated are compared to discuss the reliability and the uncertainty related to these indicators. These new empirical insights are put in parallel with the existing critical analyses of C-indicators from literature. As a result, future research directions on circularity indicators are advanced and discussed, including: the integration of uncertainty considerations into the assessment methodology of circularity indicators; the uptake by industry of such indicators during product design and development; the link between circularity and sustainability scores.","container-title":"Proceedings of the Design Society: International Conference on Engineering Design","DOI":"10.1017/dsi.2019.347","ISSN":"2220-4342","issue":"1","language":"en","page":"3401-3410","source":"Cambridge University Press","title":"Testing the Robustness of Circularity Indicators: Empirical Insights from Workshops on an Industrial Product","title-short":"Testing the Robustness of Circularity Indicators","volume":"1","author":[{"family":"Saidani","given":"Michael"},{"family":"Cluzel","given":"François"},{"family":"Leroy","given":"Yann"},{"family":"Yannou","given":"Bernard"}],"issued":{"date-parts":[["2019",7]]}}},{"id":3006,"uris":["http://zotero.org/users/local/05JQq5lJ/items/Z8DLXZN6"],"itemData":{"id":3006,"type":"article-journal","abstract":"This paper investigates and questions the relevance of product-centric circularity indicators in a product design context. To do so, reviews of eco-design tools and critical analyses of circularity indicators at the micro level of circular economy implementation are combined with a new workshop experimenting four of these indicators with the aim to improve the circularity performance of an industrial product. On this basis, the four tool-based circularity indicators tested are mapped on the engineering design and development process, and are positioned among the pool of main eco-design tools.","container-title":"Proceedings of the Design Society: DESIGN Conference","DOI":"10.1017/dsd.2020.76","ISSN":"2633-7762","language":"en","page":"2129-2138","source":"Cambridge University Press","title":"PRODUCT CIRCULARITY INDICATORS: WHAT CONTRIBUTIONS IN DESIGNING FOR A CIRCULAR ECONOMY?","title-short":"PRODUCT CIRCULARITY INDICATORS","volume":"1","author":[{"family":"Saidani","given":"M."},{"family":"Kim","given":"H."},{"family":"Cluzel","given":"F."},{"family":"Leroy","given":"Y."},{"family":"Yannou","given":"B."}],"issued":{"date-parts":[["2020",5]]}}},{"id":3035,"uris":["http://zotero.org/users/local/05JQq5lJ/items/CXL8IRXR"],"itemData":{"id":3035,"type":"article-journal","container-title":"Sustainable Production and Consumption","note":"publisher: Elsevier","page":"360–371","source":"Google Scholar","title":"Re-refining of Lubricant Oil Used and Contaminated (LOUC) or its combustion in cement plants? An exploratory study in Brazil based on the life cycle assessment and circularity indicators","title-short":"Re-refining of Lubricant Oil Used and Contaminated (LOUC) or its combustion in cement plants?","volume":"33","author":[{"family":"Silva","given":"Nathalia Ribeiro"},{"family":"Rodrigues","given":"Thiago Oliveira"},{"family":"Braga","given":"Tiago Emmanuel Nunes"},{"family":"Christoforo","given":"André Luis"},{"family":"Silva","given":"Diogo Aparecido Lopes"}],"issued":{"date-parts":[["2022"]]}}},{"id":3020,"uris":["http://zotero.org/users/local/05JQq5lJ/items/YVZQXKQR"],"itemData":{"id":3020,"type":"article-journal","container-title":"Procedia CIRP","note":"publisher: Elsevier","page":"835–840","source":"Google Scholar","title":"Usability and usefulness of circularity indicators for manufacturing performance management","volume":"105","author":[{"family":"Syu","given":"Fu-Siang"},{"family":"Vasudevan","given":"Adarsh"},{"family":"Despeisse","given":"Mélanie"},{"family":"Chari","given":"Arpita"},{"family":"Bekar","given":"Ebru Turanoglu"},{"family":"Gonçalves","given":"Maria M."},{"family":"Estrela","given":"Marco A."}],"issued":{"date-parts":[["2022"]]}}},{"id":3029,"uris":["http://zotero.org/users/local/05JQq5lJ/items/WK6QPTFD"],"itemData":{"id":3029,"type":"article-journal","container-title":"Sustainable production and consumption","note":"publisher: Elsevier","page":"820–830","source":"Google Scholar","title":"Comparing a material circularity indicator to life cycle assessment: The case of a three-layer plastic packaging","title-short":"Comparing a material circularity indicator to life cycle assessment","volume":"33","author":[{"family":"Vadoudi","given":"Kiyan"},{"family":"Deckers","given":"Pieter"},{"family":"Demuytere","given":"Célestin"},{"family":"Askanian","given":"Haroutioun"},{"family":"Verney","given":"Vincent"}],"issued":{"date-parts":[["2022"]]}}},{"id":3008,"uris":["http://zotero.org/users/local/05JQq5lJ/items/NFBT8YJB"],"itemData":{"id":3008,"type":"article-journal","abstract":"The systematic literature review of circular economy indicators at the micro level revealed that they are still at an early stage of development and so far, the specific considerations relevant for biobased systems is not sufficiently incorporated. Existing indicators provide good coverage of aspects related to the quantity of resource flows i.e., resource use efficiency and degree of recirculation. Yet, most indicators fail to include renewable resource share, cascading use, and organic recycling that are important characteristics of biobased systems. These characteristics were taken into consideration in a few recent papers focused on circularity measurement of biobased products. Still there are gaps especially related to assessing the functional use of resources and preservation of quality of recycled materials. This consideration is especially important to optimize cascading use of biomass. Besides quality, another aspect that deserves further attention is closing of the nutrient cycles. Further research is needed in the development of indicators addressing these gaps to extract the maximum potential of biological resources for circular economy. This will yield a monitoring framework based on a comprehensive set of circular economy indicators which can be used by businesses and policy makers to formulate targets for transition to a circular bioeconomy.","container-title":"Resources, Conservation and Recycling","DOI":"10.1016/j.resconrec.2023.107104","ISSN":"0921-3449","journalAbbreviation":"Resources, Conservation and Recycling","page":"107104","source":"ScienceDirect","title":"Monitoring circular biobased economy – Systematic review of circularity indicators at the micro level","volume":"197","author":[{"family":"Vural Gursel","given":"I."},{"family":"Elbersen","given":"Berien"},{"family":"Meesters","given":"Koen P. H."}],"issued":{"date-parts":[["2023",10,1]]}}},{"id":3027,"uris":["http://zotero.org/users/local/05JQq5lJ/items/QKB4WUUD"],"itemData":{"id":3027,"type":"article-journal","container-title":"Sustainability","issue":"24","note":"publisher: MDPI","page":"16683","source":"Google Scholar","title":"Using LCA and Circularity Indicators to Measure the Sustainability of Textiles—Examples of Renewable and Non-Renewable Fibres","volume":"14","author":[{"family":"Wiedemann","given":"Stephen G."},{"family":"Nguyen","given":"Quan V."},{"family":"Clarke","given":"Simon J."}],"issued":{"date-parts":[["2022"]]}}}],"schema":"https://github.com/citation-style-language/schema/raw/master/csl-citation.json"}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[2–5,7,9–30]</w:t>
            </w:r>
            <w:r w:rsidRPr="001E1D5F">
              <w:rPr>
                <w:rFonts w:cstheme="minorHAnsi"/>
                <w:color w:val="000000"/>
                <w:sz w:val="21"/>
                <w:szCs w:val="21"/>
                <w:lang w:eastAsia="en-GB"/>
              </w:rPr>
              <w:fldChar w:fldCharType="end"/>
            </w:r>
          </w:p>
        </w:tc>
      </w:tr>
      <w:tr w:rsidR="001E1D5F" w:rsidRPr="001E1D5F" w14:paraId="2C1681BB" w14:textId="77777777" w:rsidTr="00040455">
        <w:tblPrEx>
          <w:jc w:val="left"/>
        </w:tblPrEx>
        <w:trPr>
          <w:trHeight w:val="300"/>
        </w:trPr>
        <w:tc>
          <w:tcPr>
            <w:tcW w:w="1995" w:type="dxa"/>
            <w:noWrap/>
            <w:vAlign w:val="center"/>
            <w:hideMark/>
          </w:tcPr>
          <w:p w14:paraId="435C164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Circular Economy Performance Indicator (CEPI)</w:t>
            </w:r>
          </w:p>
        </w:tc>
        <w:tc>
          <w:tcPr>
            <w:tcW w:w="1560" w:type="dxa"/>
            <w:noWrap/>
            <w:vAlign w:val="center"/>
          </w:tcPr>
          <w:p w14:paraId="3ECF308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2D86891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It measures the ratio of the </w:t>
            </w:r>
            <w:r w:rsidRPr="001E1D5F">
              <w:rPr>
                <w:rFonts w:cstheme="minorHAnsi"/>
                <w:b/>
                <w:bCs/>
                <w:color w:val="000000"/>
                <w:sz w:val="21"/>
                <w:szCs w:val="21"/>
                <w:lang w:eastAsia="en-GB"/>
              </w:rPr>
              <w:t>actual obtained environmental benefit</w:t>
            </w:r>
            <w:r w:rsidRPr="001E1D5F">
              <w:rPr>
                <w:rFonts w:cstheme="minorHAnsi"/>
                <w:color w:val="000000"/>
                <w:sz w:val="21"/>
                <w:szCs w:val="21"/>
                <w:lang w:eastAsia="en-GB"/>
              </w:rPr>
              <w:t xml:space="preserve"> from a waste treatment process to the </w:t>
            </w:r>
            <w:r w:rsidRPr="001E1D5F">
              <w:rPr>
                <w:rFonts w:cstheme="minorHAnsi"/>
                <w:b/>
                <w:bCs/>
                <w:color w:val="000000"/>
                <w:sz w:val="21"/>
                <w:szCs w:val="21"/>
                <w:lang w:eastAsia="en-GB"/>
              </w:rPr>
              <w:t>ideal environmental benefit</w:t>
            </w:r>
            <w:r w:rsidRPr="001E1D5F">
              <w:rPr>
                <w:rFonts w:cstheme="minorHAnsi"/>
                <w:color w:val="000000"/>
                <w:sz w:val="21"/>
                <w:szCs w:val="21"/>
                <w:lang w:eastAsia="en-GB"/>
              </w:rPr>
              <w:t xml:space="preserve"> based on the quality and recoverability of the material or waste stream.</w:t>
            </w:r>
          </w:p>
        </w:tc>
        <w:tc>
          <w:tcPr>
            <w:tcW w:w="1559" w:type="dxa"/>
            <w:vAlign w:val="center"/>
          </w:tcPr>
          <w:p w14:paraId="1D46C2A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3EA54A9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 Bio-based products, Packaging, Healthcare Equipment</w:t>
            </w:r>
          </w:p>
        </w:tc>
        <w:tc>
          <w:tcPr>
            <w:tcW w:w="1559" w:type="dxa"/>
            <w:vAlign w:val="center"/>
          </w:tcPr>
          <w:p w14:paraId="662B7438" w14:textId="7195876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mTyJf4xA","properties":{"formattedCitation":"[5,9,19,29,31]","plainCitation":"[5,9,19,29,31]","noteIndex":0},"citationItems":[{"id":3010,"uris":["http://zotero.org/users/local/05JQq5lJ/items/BMTZ77ZA"],"itemData":{"id":3010,"type":"article-journal","source":"Google Scholar","title":"The Use of Circular Economy Indicators to Improve Sustainability in the Recycling Aluminium Context.\"","URL":"http://www.ieomsociety.org/brazil2020/papers/506.pdf","author":[{"family":"Santos Gonçalves","given":"Paulo Vitor","non-dropping-particle":"dos"},{"family":"Barbosa","given":"Rafaela Francisca Moreira"},{"family":"Allan","given":"Vitor"},{"family":"Raspini","given":"Prats"},{"family":"Sehnem","given":"Simone"},{"family":"Campos","given":"Lucila MS"}],"accessed":{"date-parts":[["2024",10,21]]},"issued":{"date-parts":[["2021"]]}}},{"id":2981,"uris":["http://zotero.org/users/local/05JQq5lJ/items/YX5TXVFW"],"itemData":{"id":2981,"type":"article-journal","abstract":"This study proposes new indicator, Resource Efficiency Account (REA). REA represents the effects of eco-design efforts in achieving a circular system. The key concept of REA is “acircularity.” “Acircularity” is the distance to the ideal circular system to be achieved. REA is given as material efficiency (service per total value of constituent materials) divided by acircularity. Acircularity is the sum of the value of resources that the techno-sphere demands from the eco-sphere, and the value of resources that are dissipated within the techno-sphere. If an utterly circular state is reached, the acircularity value is zero. Additionally, this study proposes a new method to quantify the decline of the quality of scrap provided to the market as a decline in the value of the material to calculate the dissipation. The calculation focuses on the control level of impurities in scrap. The validity of these indicators is discussed using an automobile case. Differences in the current circulation level, eco-design for recycling, and refurbishment efforts can be quantitatively evaluated using REA and acircularity.","container-title":"International Journal of Automation Technology","DOI":"10.20965/ijat.2022.p0684","issue":"6","page":"684-695","source":"J-Stage","title":"New Indicators ‘Acircularity’ and ‘Resource Efficiency Account’ to Evaluate the Efforts of Eco-Design in Circular Economy","volume":"16","author":[{"family":"Halada","given":"Kohmei"},{"family":"Tahara","given":"Kiyotaka"},{"family":"Matsumoto","given":"Mitsutaka"}],"issued":{"date-parts":[["2022"]]}}},{"id":3002,"uris":["http://zotero.org/users/local/05JQq5lJ/items/VZVN9LCJ"],"itemData":{"id":3002,"type":"article-journal","abstract":"A linear economy approach results in many environmental challenges: resources become depleted and end up as waste and emissions. One of the key strategies to overcome these problems is using waste as a resource, i.e. evolving toward a circular economy. To monitor this transition, suitable indicators are needed that focus on sustainability issues whilst taking into account the technical reality. In this paper, we develop such an indicator to quantify the circular economy performance of different plastic waste treatment options. This indicator is based on the technical quality of the plastic waste stream and evaluates resource consumption by using the Cumulative Exergy Extraction from the Natural Environment (CEENE) method. To illustrate the use of this new indicator, it was applied in a case study on post-industrial plastic waste treatment. The results show that the indicator can be a very useful approach to guide waste streams towards their optimal valorization option, based on quality of the waste flow and the environmental benefit of the different options.","container-title":"Resources, Conservation &amp; Recycling","issue":"C","language":"en","note":"publisher: Elsevier","page":"46-54","source":"ideas.repec.org","title":"Performance indicators for a circular economy: A case study on post-industrial plastic waste","title-short":"Performance indicators for a circular economy","volume":"120","author":[{"family":"Huysman","given":"Sofie"},{"family":"De Schaepmeester","given":"Jonas"},{"family":"Ragaert","given":"Kim"},{"family":"Dewulf","given":"Jo"},{"family":"De Meester","given":"Steven"}],"issued":{"date-parts":[["2017"]]}}},{"id":3012,"uris":["http://zotero.org/users/local/05JQq5lJ/items/GNRCA3WE"],"itemData":{"id":3012,"type":"article-journal","abstract":"The Circular Economy comprises several strategies to enhance the sustainability of products. However, most of the research in this area has focused on Recycling, Recovering and final disposal. Strategies for lifespan extension such as Reuse, Repair, Refurbish, Remanufacture and Repurpose lead to higher circularity and value throughout the lifecycle but are less studied. Here we propose a single generic indicator based on durability and environmental footprint for material selection as an early step in the design process towards extending product lifespan. The material durability indicator or MDI integrates into a single calculation chemical and mechanical durability, together with environmental impacts associated with the material. The proposed indicator incorporates parameters such as flammability resistance, resistance to ultraviolet radiation, resistance to water, resistance to organic solvents, mechanical strength, energy consumption, and carbon footprint, among others. A case study based on polymer materials selection demonstrates the usefulness of the MDI indicator, providing a holistic calculation and comparison of selection alternatives, including conventional and multicriteria approaches. The proposed indicator offers a balanced and technical measurement of durability and environmental burdens in the material selection process and can potentially be applied to any engineering material.","container-title":"Resources, Conservation and Recycling","DOI":"10.1016/j.resconrec.2020.104887","ISSN":"0921-3449","journalAbbreviation":"Resources, Conservation and Recycling","page":"104887","source":"ScienceDirect","title":"Developing an indicator for material selection based on durability and environmental footprint: A Circular Economy perspective","title-short":"Developing an indicator for material selection based on durability and environmental footprint","volume":"160","author":[{"family":"Mesa","given":"Jaime"},{"family":"González-Quiroga","given":"Arturo"},{"family":"Maury","given":"Heriberto"}],"issued":{"date-parts":[["2020",9,1]]}}},{"id":3008,"uris":["http://zotero.org/users/local/05JQq5lJ/items/NFBT8YJB"],"itemData":{"id":3008,"type":"article-journal","abstract":"The systematic literature review of circular economy indicators at the micro level revealed that they are still at an early stage of development and so far, the specific considerations relevant for biobased systems is not sufficiently incorporated. Existing indicators provide good coverage of aspects related to the quantity of resource flows i.e., resource use efficiency and degree of recirculation. Yet, most indicators fail to include renewable resource share, cascading use, and organic recycling that are important characteristics of biobased systems. These characteristics were taken into consideration in a few recent papers focused on circularity measurement of biobased products. Still there are gaps especially related to assessing the functional use of resources and preservation of quality of recycled materials. This consideration is especially important to optimize cascading use of biomass. Besides quality, another aspect that deserves further attention is closing of the nutrient cycles. Further research is needed in the development of indicators addressing these gaps to extract the maximum potential of biological resources for circular economy. This will yield a monitoring framework based on a comprehensive set of circular economy indicators which can be used by businesses and policy makers to formulate targets for transition to a circular bioeconomy.","container-title":"Resources, Conservation and Recycling","DOI":"10.1016/j.resconrec.2023.107104","ISSN":"0921-3449","journalAbbreviation":"Resources, Conservation and Recycling","page":"107104","source":"ScienceDirect","title":"Monitoring circular biobased economy – Systematic review of circularity indicators at the micro level","volume":"197","author":[{"family":"Vural Gursel","given":"I."},{"family":"Elbersen","given":"Berien"},{"family":"Meesters","given":"Koen P. H."}],"issued":{"date-parts":[["2023",10,1]]}}}],"schema":"https://github.com/citation-style-language/schema/raw/master/csl-citation.json"}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[5,9,19,29,31]</w:t>
            </w:r>
            <w:r w:rsidRPr="001E1D5F">
              <w:rPr>
                <w:rFonts w:cstheme="minorHAnsi"/>
                <w:color w:val="000000"/>
                <w:sz w:val="21"/>
                <w:szCs w:val="21"/>
                <w:lang w:eastAsia="en-GB"/>
              </w:rPr>
              <w:fldChar w:fldCharType="end"/>
            </w:r>
          </w:p>
        </w:tc>
      </w:tr>
      <w:tr w:rsidR="001E1D5F" w:rsidRPr="001E1D5F" w14:paraId="7FE81BD3" w14:textId="77777777" w:rsidTr="00040455">
        <w:tblPrEx>
          <w:jc w:val="left"/>
        </w:tblPrEx>
        <w:trPr>
          <w:trHeight w:val="300"/>
        </w:trPr>
        <w:tc>
          <w:tcPr>
            <w:tcW w:w="1995" w:type="dxa"/>
            <w:noWrap/>
            <w:vAlign w:val="center"/>
          </w:tcPr>
          <w:p w14:paraId="767BA04C"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Circular Input Rate (CIR)</w:t>
            </w:r>
          </w:p>
        </w:tc>
        <w:tc>
          <w:tcPr>
            <w:tcW w:w="1560" w:type="dxa"/>
            <w:noWrap/>
            <w:vAlign w:val="center"/>
          </w:tcPr>
          <w:p w14:paraId="7FC17ABE" w14:textId="77777777" w:rsidR="001E1D5F" w:rsidRPr="001E1D5F" w:rsidRDefault="001E1D5F" w:rsidP="001E1D5F">
            <w:pPr>
              <w:spacing w:before="60"/>
              <w:ind w:right="29"/>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C8EC40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sz w:val="21"/>
                <w:szCs w:val="21"/>
                <w:lang w:eastAsia="en-GB"/>
              </w:rPr>
              <w:t>CIR</w:t>
            </w:r>
            <w:r w:rsidRPr="001E1D5F">
              <w:rPr>
                <w:rFonts w:cstheme="minorHAnsi"/>
                <w:sz w:val="21"/>
                <w:szCs w:val="21"/>
                <w:lang w:eastAsia="en-GB"/>
              </w:rPr>
              <w:t xml:space="preserve">=(R1.1 +R1.2 + R1.3 + G1.1 + G1.2) / (B1.1 + B1.2 +C1.3 + D1.3 + C1.4 + G1.1 + G1.2 + R1.1 + R1.2 + R1.3), where; </w:t>
            </w:r>
            <w:r w:rsidRPr="001E1D5F">
              <w:rPr>
                <w:rFonts w:cstheme="minorHAnsi"/>
                <w:b/>
                <w:bCs/>
                <w:sz w:val="21"/>
                <w:szCs w:val="21"/>
                <w:lang w:eastAsia="en-GB"/>
              </w:rPr>
              <w:t>R1.1</w:t>
            </w:r>
            <w:r w:rsidRPr="001E1D5F">
              <w:rPr>
                <w:rFonts w:cstheme="minorHAnsi"/>
                <w:sz w:val="21"/>
                <w:szCs w:val="21"/>
                <w:lang w:eastAsia="en-GB"/>
              </w:rPr>
              <w:t xml:space="preserve">: Materials embedded in products/components subject to direct reuse, </w:t>
            </w:r>
            <w:r w:rsidRPr="001E1D5F">
              <w:rPr>
                <w:rFonts w:cstheme="minorHAnsi"/>
                <w:b/>
                <w:bCs/>
                <w:sz w:val="21"/>
                <w:szCs w:val="21"/>
                <w:lang w:eastAsia="en-GB"/>
              </w:rPr>
              <w:t>R1.2​:</w:t>
            </w:r>
            <w:r w:rsidRPr="001E1D5F">
              <w:rPr>
                <w:rFonts w:cstheme="minorHAnsi"/>
                <w:sz w:val="21"/>
                <w:szCs w:val="21"/>
                <w:lang w:eastAsia="en-GB"/>
              </w:rPr>
              <w:t xml:space="preserve"> Materials embedded in </w:t>
            </w:r>
            <w:r w:rsidRPr="001E1D5F">
              <w:rPr>
                <w:rFonts w:cstheme="minorHAnsi"/>
                <w:sz w:val="21"/>
                <w:szCs w:val="21"/>
                <w:lang w:eastAsia="en-GB"/>
              </w:rPr>
              <w:lastRenderedPageBreak/>
              <w:t xml:space="preserve">products/components subject to remanufacturing and recirculated in in-stock products/components, </w:t>
            </w:r>
            <w:r w:rsidRPr="001E1D5F">
              <w:rPr>
                <w:rFonts w:cstheme="minorHAnsi"/>
                <w:b/>
                <w:bCs/>
                <w:sz w:val="21"/>
                <w:szCs w:val="21"/>
                <w:lang w:eastAsia="en-GB"/>
              </w:rPr>
              <w:t>R1.3​:</w:t>
            </w:r>
            <w:r w:rsidRPr="001E1D5F">
              <w:rPr>
                <w:rFonts w:cstheme="minorHAnsi"/>
                <w:sz w:val="21"/>
                <w:szCs w:val="21"/>
                <w:lang w:eastAsia="en-GB"/>
              </w:rPr>
              <w:t xml:space="preserve"> Materials embedded in products/components subject to remanufacturing and recirculated in manufacturing new products/components, G1.1​: Production of secondary material from post-consumer functional recycling sent for processing, G1.2​: Production of secondary material from post-consumer functional recycling  sent for manufacturing, B1.1​: Production of primary material as the main product sent for processing, B1.2​: Production of primary material as a by-product sent for manufacturing, C1.3​: Imports of primary material, D1.3​: Imports of processed material, C1.4​: Imports of secondary materials.</w:t>
            </w:r>
          </w:p>
        </w:tc>
        <w:tc>
          <w:tcPr>
            <w:tcW w:w="1559" w:type="dxa"/>
            <w:vAlign w:val="center"/>
          </w:tcPr>
          <w:p w14:paraId="4C034E3B"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lastRenderedPageBreak/>
              <w:t xml:space="preserve">Dimensionless </w:t>
            </w:r>
          </w:p>
        </w:tc>
        <w:tc>
          <w:tcPr>
            <w:tcW w:w="3969" w:type="dxa"/>
            <w:vAlign w:val="center"/>
          </w:tcPr>
          <w:p w14:paraId="35DD19C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 Sector</w:t>
            </w:r>
          </w:p>
        </w:tc>
        <w:tc>
          <w:tcPr>
            <w:tcW w:w="1559" w:type="dxa"/>
            <w:vAlign w:val="center"/>
          </w:tcPr>
          <w:p w14:paraId="7E32DA28" w14:textId="2BC841E4"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{"citationID":"qTwADzJz","properties":{"formattedCitation":"[32]","plainCitation":"[32]","noteIndex":0},"citationItems":[{"id":3072,"uris":["http://zotero.org/users/local/05JQq5lJ/items/AJKE8G9K"],"itemData":{"id":3072,"type":"article-journal","abstract":"A smarter and sustainable mobility is key for a carbon-neutral and circular Europe, although electrification will require a massive supply of critical materials. Circular strategies can support the transition by maximizing the materials’ value and through effective actions, which however require an adequate monitoring framework. To assess materials’ circularity in a given sector, the novel Circular Input Rate (CIR) indicator is proposed and applied to rare-earths in e-motors’ permanent magnets to monitor recent progresses of circular strategies and estimate their effects in future scenarios. Results prove that the CIR effectively captures the contribution of all circular strategies: in 2030, reuse and remanufacturing can keep in the loop about 90tons of Nd, to be added to 161tons of secondary Nd from functional recycling (captured by the EOL-RIR indicator). In future research, the CIR could be tested to assess materials’ circularity in other sectors, which also will allow to better understand its limitations and potentials.","container-title":"Resources, Conservation and Recycling","DOI":"10.1016/j.resconrec.2023.107037","ISSN":"0921-3449","journalAbbreviation":"Resources, Conservation and Recycling","page":"107037","source":"ScienceDirect","title":"Circular Input Rate: novel indicator to assess circularity performances of materials in a sector – Application to rare earth elements in e-vehicles motors","title-short":"Circular Input Rate","volume":"197","author":[{"family":"Bobba","given":"Silvia"},{"family":"Eynard","given":"Umberto"},{"family":"Maury","given":"Thibaut"},{"family":"Ardente","given":"Fulvio"},{"family":"Blengini","given":"Gian Andrea"},{"family":"Mathieux","given":"Fabrice"}],"issued":{"date-parts":[["2023",10,1]]}}}],"schema":"https://github.com/citation-style-language/schema/raw/master/csl-citation.json"}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[32]</w:t>
            </w:r>
            <w:r w:rsidRPr="001E1D5F">
              <w:rPr>
                <w:rFonts w:cstheme="minorHAnsi"/>
                <w:color w:val="000000"/>
                <w:sz w:val="21"/>
                <w:szCs w:val="21"/>
                <w:lang w:eastAsia="en-GB"/>
              </w:rPr>
              <w:fldChar w:fldCharType="end"/>
            </w:r>
          </w:p>
        </w:tc>
      </w:tr>
      <w:tr w:rsidR="001E1D5F" w:rsidRPr="001E1D5F" w14:paraId="6B625937" w14:textId="77777777" w:rsidTr="00040455">
        <w:tblPrEx>
          <w:jc w:val="left"/>
        </w:tblPrEx>
        <w:trPr>
          <w:trHeight w:val="300"/>
        </w:trPr>
        <w:tc>
          <w:tcPr>
            <w:tcW w:w="1995" w:type="dxa"/>
            <w:noWrap/>
            <w:vAlign w:val="center"/>
          </w:tcPr>
          <w:p w14:paraId="0680720E"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Circular Material Use Rate (CMU)</w:t>
            </w:r>
          </w:p>
        </w:tc>
        <w:tc>
          <w:tcPr>
            <w:tcW w:w="1560" w:type="dxa"/>
            <w:noWrap/>
            <w:vAlign w:val="center"/>
          </w:tcPr>
          <w:p w14:paraId="08A43511" w14:textId="77777777" w:rsidR="001E1D5F" w:rsidRPr="001E1D5F" w:rsidRDefault="001E1D5F" w:rsidP="001E1D5F">
            <w:pPr>
              <w:spacing w:before="60"/>
              <w:ind w:right="29"/>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1E94869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CMU Rate</w:t>
            </w:r>
            <w:r w:rsidRPr="001E1D5F">
              <w:rPr>
                <w:rFonts w:cstheme="minorHAnsi"/>
                <w:color w:val="000000"/>
                <w:sz w:val="21"/>
                <w:szCs w:val="21"/>
                <w:lang w:eastAsia="en-GB"/>
              </w:rPr>
              <w:t xml:space="preserve"> = [Amount of secondary (</w:t>
            </w:r>
            <w:proofErr w:type="gramStart"/>
            <w:r w:rsidRPr="001E1D5F">
              <w:rPr>
                <w:rFonts w:cstheme="minorHAnsi"/>
                <w:color w:val="000000"/>
                <w:sz w:val="21"/>
                <w:szCs w:val="21"/>
                <w:lang w:eastAsia="en-GB"/>
              </w:rPr>
              <w:t>recycled)  material</w:t>
            </w:r>
            <w:proofErr w:type="gramEnd"/>
          </w:p>
          <w:p w14:paraId="42FB6E20" w14:textId="77777777" w:rsidR="001E1D5F" w:rsidRPr="001E1D5F" w:rsidRDefault="001E1D5F" w:rsidP="001E1D5F">
            <w:pPr>
              <w:spacing w:before="60"/>
              <w:jc w:val="center"/>
              <w:rPr>
                <w:rFonts w:cstheme="minorHAnsi"/>
                <w:b/>
                <w:bCs/>
                <w:sz w:val="21"/>
                <w:szCs w:val="21"/>
                <w:lang w:eastAsia="en-GB"/>
              </w:rPr>
            </w:pPr>
            <w:r w:rsidRPr="001E1D5F">
              <w:rPr>
                <w:rFonts w:cstheme="minorHAnsi"/>
                <w:color w:val="000000"/>
                <w:sz w:val="21"/>
                <w:szCs w:val="21"/>
                <w:lang w:eastAsia="en-GB"/>
              </w:rPr>
              <w:t>used/ Total Material Used (primary + secondary)]​×100</w:t>
            </w:r>
          </w:p>
        </w:tc>
        <w:tc>
          <w:tcPr>
            <w:tcW w:w="1559" w:type="dxa"/>
            <w:vAlign w:val="center"/>
          </w:tcPr>
          <w:p w14:paraId="42BC885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5C7F6E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Energy &amp; Plastics</w:t>
            </w:r>
          </w:p>
        </w:tc>
        <w:tc>
          <w:tcPr>
            <w:tcW w:w="1559" w:type="dxa"/>
            <w:vAlign w:val="center"/>
          </w:tcPr>
          <w:p w14:paraId="7356FE2F" w14:textId="761EF8A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{"citationID":"TVGTZf1i","properties":{"formattedCitation":"[22]","plainCitation":"[22]","noteIndex":0},"citationItems":[{"id":3016,"uris":["http://zotero.org/users/local/05JQq5lJ/items/3YS3VF2Q"],"itemData":{"id":3016,"type":"article-journal","abstract":"To promote their public image, a growing number of companies have adopted corporate social responsibility (CSR) projects that benefit various social interests. As such, it is imperative to audit the social, environmental, and economic dimensions of CSR projects for their sustainable development. This paper presents an assessment of three CSR projects undertaken by the energy industry (renewable energy) and commercial sector (plastic waste recycling) in Thailand to transition towards the circular economy (CE) business model. A set of CE indicators were selected from the World Business Council for Sustainable Development: WBCSD 2018 European Commission 2018, and British Standard Institution 2017 and compared with the sustainability indicators listed in the ISO 26000:2010 (referenced in the Global Reporting Initiative (GRI): G4 Guidelines). These indicators were established to assess the readiness of companies to implement sustainable CSR projects. The assessment results showed that the CSR projects in the case study were conducive to the CE model, as most of the CE concepts evaluated by the performance indicators were already in place. This study aimed to support the implementation of CSR projects that contribute to adopting a CE business model and determine key performance indicators (KPIs) to measure and monitor CSR projects in terms of their CE concepts. The sustainability KPIs proposed in this study can serve as a set of guidelines to drive CE strategy adoption and allow for the identification of sustainable CSR projects that can simultaneously offer more value creation and satisfaction for all stakeholders, including society and the companies, while reducing environmental impacts. This paper integrates CSR into a CE approach that results in business sustainability and contributes to Sustainability Development Goal (SDG) targets.","container-title":"Journal of Cleaner Production","DOI":"10.1016/j.jclepro.2023.136203","ISSN":"0959-6526","journalAbbreviation":"Journal of Cleaner Production","page":"136203","source":"ScienceDirect","title":"Sustainability indicators to achieve a circular economy: A case study of renewable energy and plastic waste recycling corporate social responsibility (CSR) projects in Thailand","title-short":"Sustainability indicators to achieve a circular economy","volume":"391","author":[{"family":"Niyommaneerat","given":"Wilailuk"},{"family":"Suwanteep","given":"Kultip"},{"family":"Chavalparit","given":"Orathai"}],"issued":{"date-parts":[["2023",3,10]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[22]</w:t>
            </w:r>
            <w:r w:rsidRPr="001E1D5F">
              <w:rPr>
                <w:rFonts w:cstheme="minorHAnsi"/>
                <w:color w:val="000000"/>
                <w:sz w:val="21"/>
                <w:szCs w:val="21"/>
                <w:lang w:eastAsia="en-GB"/>
              </w:rPr>
              <w:fldChar w:fldCharType="end"/>
            </w:r>
          </w:p>
        </w:tc>
      </w:tr>
      <w:tr w:rsidR="001E1D5F" w:rsidRPr="001E1D5F" w14:paraId="489C3E8A" w14:textId="77777777" w:rsidTr="00040455">
        <w:tblPrEx>
          <w:jc w:val="left"/>
        </w:tblPrEx>
        <w:trPr>
          <w:trHeight w:val="300"/>
        </w:trPr>
        <w:tc>
          <w:tcPr>
            <w:tcW w:w="1995" w:type="dxa"/>
            <w:noWrap/>
            <w:vAlign w:val="center"/>
          </w:tcPr>
          <w:p w14:paraId="370594D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End of Life Index (EOLI)</w:t>
            </w:r>
          </w:p>
        </w:tc>
        <w:tc>
          <w:tcPr>
            <w:tcW w:w="1560" w:type="dxa"/>
            <w:noWrap/>
            <w:vAlign w:val="center"/>
          </w:tcPr>
          <w:p w14:paraId="6C2B80F9" w14:textId="77777777" w:rsidR="001E1D5F" w:rsidRPr="001E1D5F" w:rsidRDefault="001E1D5F" w:rsidP="001E1D5F">
            <w:pPr>
              <w:spacing w:before="60"/>
              <w:ind w:right="29"/>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5BFFC93D" w14:textId="77777777" w:rsidR="001E1D5F" w:rsidRPr="001E1D5F" w:rsidRDefault="001E1D5F" w:rsidP="001E1D5F">
            <w:pPr>
              <w:tabs>
                <w:tab w:val="num" w:pos="720"/>
              </w:tabs>
              <w:spacing w:before="60"/>
              <w:jc w:val="center"/>
              <w:rPr>
                <w:rFonts w:cstheme="minorHAnsi"/>
                <w:color w:val="000000"/>
                <w:sz w:val="21"/>
                <w:szCs w:val="21"/>
                <w:lang w:eastAsia="en-GB"/>
              </w:rPr>
            </w:pPr>
            <w:proofErr w:type="spellStart"/>
            <w:r w:rsidRPr="001E1D5F">
              <w:rPr>
                <w:rFonts w:cstheme="minorHAnsi"/>
                <w:b/>
                <w:bCs/>
                <w:color w:val="000000"/>
                <w:sz w:val="21"/>
                <w:szCs w:val="21"/>
                <w:lang w:eastAsia="en-GB"/>
              </w:rPr>
              <w:t>EoLI</w:t>
            </w:r>
            <w:proofErr w:type="spellEnd"/>
            <w:r w:rsidRPr="001E1D5F">
              <w:rPr>
                <w:rFonts w:cstheme="minorHAnsi"/>
                <w:color w:val="000000"/>
                <w:sz w:val="21"/>
                <w:szCs w:val="21"/>
                <w:lang w:eastAsia="en-GB"/>
              </w:rPr>
              <w:t>=α</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DAIP+β</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 xml:space="preserve"> RI</w:t>
            </w:r>
            <w:r w:rsidRPr="001E1D5F">
              <w:rPr>
                <w:rFonts w:cstheme="minorHAnsi"/>
                <w:color w:val="000000"/>
                <w:sz w:val="21"/>
                <w:szCs w:val="21"/>
                <w:vertAlign w:val="subscript"/>
                <w:lang w:eastAsia="en-GB"/>
              </w:rPr>
              <w:t xml:space="preserve">P </w:t>
            </w:r>
            <w:r w:rsidRPr="001E1D5F">
              <w:rPr>
                <w:rFonts w:cstheme="minorHAnsi"/>
                <w:color w:val="000000"/>
                <w:sz w:val="21"/>
                <w:szCs w:val="21"/>
                <w:lang w:eastAsia="en-GB"/>
              </w:rPr>
              <w:t>+(1/</w:t>
            </w:r>
            <w:proofErr w:type="gramStart"/>
            <w:r w:rsidRPr="001E1D5F">
              <w:rPr>
                <w:rFonts w:cstheme="minorHAnsi"/>
                <w:color w:val="000000"/>
                <w:sz w:val="21"/>
                <w:szCs w:val="21"/>
                <w:lang w:eastAsia="en-GB"/>
              </w:rPr>
              <w:t>n)*</w:t>
            </w:r>
            <w:r w:rsidRPr="001E1D5F">
              <w:rPr>
                <w:rFonts w:cstheme="minorHAnsi"/>
                <w:color w:val="000000"/>
                <w:sz w:val="21"/>
                <w:szCs w:val="21"/>
                <w:lang w:val="el-GR" w:eastAsia="en-GB"/>
              </w:rPr>
              <w:t>Σ</w:t>
            </w:r>
            <w:r w:rsidRPr="001E1D5F">
              <w:rPr>
                <w:rFonts w:cstheme="minorHAnsi"/>
                <w:color w:val="000000"/>
                <w:sz w:val="21"/>
                <w:szCs w:val="21"/>
                <w:lang w:eastAsia="en-GB"/>
              </w:rPr>
              <w:t>(</w:t>
            </w:r>
            <w:proofErr w:type="gramEnd"/>
            <w:r w:rsidRPr="001E1D5F">
              <w:rPr>
                <w:rFonts w:cstheme="minorHAnsi"/>
                <w:color w:val="000000"/>
                <w:sz w:val="21"/>
                <w:szCs w:val="21"/>
                <w:lang w:eastAsia="en-GB"/>
              </w:rPr>
              <w:t>γ</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 xml:space="preserve"> </w:t>
            </w:r>
            <w:proofErr w:type="gramStart"/>
            <w:r w:rsidRPr="001E1D5F">
              <w:rPr>
                <w:rFonts w:cstheme="minorHAnsi"/>
                <w:color w:val="000000"/>
                <w:sz w:val="21"/>
                <w:szCs w:val="21"/>
                <w:lang w:eastAsia="en-GB"/>
              </w:rPr>
              <w:t>MI</w:t>
            </w:r>
            <w:r w:rsidRPr="001E1D5F">
              <w:rPr>
                <w:rFonts w:cstheme="minorHAnsi"/>
                <w:color w:val="000000"/>
                <w:sz w:val="21"/>
                <w:szCs w:val="21"/>
                <w:vertAlign w:val="subscript"/>
                <w:lang w:eastAsia="en-GB"/>
              </w:rPr>
              <w:t>T</w:t>
            </w:r>
            <w:r w:rsidRPr="001E1D5F">
              <w:rPr>
                <w:rFonts w:cstheme="minorHAnsi"/>
                <w:color w:val="000000"/>
                <w:sz w:val="21"/>
                <w:szCs w:val="21"/>
                <w:lang w:eastAsia="en-GB"/>
              </w:rPr>
              <w:t>)+(</w:t>
            </w:r>
            <w:proofErr w:type="gramEnd"/>
            <w:r w:rsidRPr="001E1D5F">
              <w:rPr>
                <w:rFonts w:cstheme="minorHAnsi"/>
                <w:color w:val="000000"/>
                <w:sz w:val="21"/>
                <w:szCs w:val="21"/>
                <w:lang w:eastAsia="en-GB"/>
              </w:rPr>
              <w:t>1/</w:t>
            </w:r>
            <w:proofErr w:type="gramStart"/>
            <w:r w:rsidRPr="001E1D5F">
              <w:rPr>
                <w:rFonts w:cstheme="minorHAnsi"/>
                <w:color w:val="000000"/>
                <w:sz w:val="21"/>
                <w:szCs w:val="21"/>
                <w:lang w:eastAsia="en-GB"/>
              </w:rPr>
              <w:t>m)*</w:t>
            </w:r>
            <w:r w:rsidRPr="001E1D5F">
              <w:rPr>
                <w:rFonts w:cstheme="minorHAnsi"/>
                <w:color w:val="000000"/>
                <w:sz w:val="21"/>
                <w:szCs w:val="21"/>
                <w:lang w:val="el-GR" w:eastAsia="en-GB"/>
              </w:rPr>
              <w:t>Σ</w:t>
            </w:r>
            <w:r w:rsidRPr="001E1D5F">
              <w:rPr>
                <w:rFonts w:cstheme="minorHAnsi"/>
                <w:color w:val="000000"/>
                <w:sz w:val="21"/>
                <w:szCs w:val="21"/>
                <w:lang w:eastAsia="en-GB"/>
              </w:rPr>
              <w:t>(</w:t>
            </w:r>
            <w:proofErr w:type="gramEnd"/>
            <w:r w:rsidRPr="001E1D5F">
              <w:rPr>
                <w:rFonts w:cstheme="minorHAnsi"/>
                <w:color w:val="000000"/>
                <w:sz w:val="21"/>
                <w:szCs w:val="21"/>
                <w:lang w:eastAsia="en-GB"/>
              </w:rPr>
              <w:t>λ</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 xml:space="preserve"> CI</w:t>
            </w:r>
            <w:r w:rsidRPr="001E1D5F">
              <w:rPr>
                <w:rFonts w:cstheme="minorHAnsi"/>
                <w:color w:val="000000"/>
                <w:sz w:val="21"/>
                <w:szCs w:val="21"/>
                <w:vertAlign w:val="subscript"/>
                <w:lang w:eastAsia="en-GB"/>
              </w:rPr>
              <w:t>T</w:t>
            </w:r>
            <w:r w:rsidRPr="001E1D5F">
              <w:rPr>
                <w:rFonts w:cstheme="minorHAnsi"/>
                <w:color w:val="000000"/>
                <w:sz w:val="21"/>
                <w:szCs w:val="21"/>
                <w:lang w:eastAsia="en-GB"/>
              </w:rPr>
              <w:t xml:space="preserve">) where; </w:t>
            </w:r>
            <w:r w:rsidRPr="001E1D5F">
              <w:rPr>
                <w:rFonts w:cstheme="minorHAnsi"/>
                <w:b/>
                <w:bCs/>
                <w:color w:val="000000"/>
                <w:sz w:val="21"/>
                <w:szCs w:val="21"/>
                <w:lang w:eastAsia="en-GB"/>
              </w:rPr>
              <w:t>DAI</w:t>
            </w:r>
            <w:r w:rsidRPr="001E1D5F">
              <w:rPr>
                <w:rFonts w:cstheme="minorHAnsi"/>
                <w:b/>
                <w:bCs/>
                <w:color w:val="000000"/>
                <w:sz w:val="21"/>
                <w:szCs w:val="21"/>
                <w:vertAlign w:val="subscript"/>
                <w:lang w:eastAsia="en-GB"/>
              </w:rPr>
              <w:t>P</w:t>
            </w:r>
            <w:r w:rsidRPr="001E1D5F">
              <w:rPr>
                <w:rFonts w:cstheme="minorHAnsi"/>
                <w:color w:val="000000"/>
                <w:sz w:val="21"/>
                <w:szCs w:val="21"/>
                <w:lang w:eastAsia="en-GB"/>
              </w:rPr>
              <w:t xml:space="preserve"> is the disassembly sub-index for the product, </w:t>
            </w:r>
            <w:r w:rsidRPr="001E1D5F">
              <w:rPr>
                <w:rFonts w:cstheme="minorHAnsi"/>
                <w:b/>
                <w:bCs/>
                <w:color w:val="000000"/>
                <w:sz w:val="21"/>
                <w:szCs w:val="21"/>
                <w:lang w:eastAsia="en-GB"/>
              </w:rPr>
              <w:t>RI</w:t>
            </w:r>
            <w:r w:rsidRPr="001E1D5F">
              <w:rPr>
                <w:rFonts w:cstheme="minorHAnsi"/>
                <w:b/>
                <w:bCs/>
                <w:color w:val="000000"/>
                <w:sz w:val="21"/>
                <w:szCs w:val="21"/>
                <w:vertAlign w:val="subscript"/>
                <w:lang w:eastAsia="en-GB"/>
              </w:rPr>
              <w:t>P</w:t>
            </w:r>
            <w:r w:rsidRPr="001E1D5F">
              <w:rPr>
                <w:rFonts w:cstheme="minorHAnsi"/>
                <w:color w:val="000000"/>
                <w:sz w:val="21"/>
                <w:szCs w:val="21"/>
                <w:lang w:eastAsia="en-GB"/>
              </w:rPr>
              <w:t xml:space="preserve"> is the recovery sub-index for the product, </w:t>
            </w:r>
            <w:r w:rsidRPr="001E1D5F">
              <w:rPr>
                <w:rFonts w:cstheme="minorHAnsi"/>
                <w:b/>
                <w:bCs/>
                <w:color w:val="000000"/>
                <w:sz w:val="21"/>
                <w:szCs w:val="21"/>
                <w:lang w:eastAsia="en-GB"/>
              </w:rPr>
              <w:t>MI</w:t>
            </w:r>
            <w:r w:rsidRPr="001E1D5F">
              <w:rPr>
                <w:rFonts w:cstheme="minorHAnsi"/>
                <w:b/>
                <w:bCs/>
                <w:color w:val="000000"/>
                <w:sz w:val="21"/>
                <w:szCs w:val="21"/>
                <w:vertAlign w:val="subscript"/>
                <w:lang w:eastAsia="en-GB"/>
              </w:rPr>
              <w:t>T</w:t>
            </w:r>
            <w:r w:rsidRPr="001E1D5F">
              <w:rPr>
                <w:rFonts w:cstheme="minorHAnsi"/>
                <w:color w:val="000000"/>
                <w:sz w:val="21"/>
                <w:szCs w:val="21"/>
                <w:lang w:eastAsia="en-GB"/>
              </w:rPr>
              <w:t xml:space="preserve"> is the module overall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index of modules in the product,</w:t>
            </w:r>
          </w:p>
          <w:p w14:paraId="7ED821DE" w14:textId="77777777" w:rsidR="001E1D5F" w:rsidRPr="001E1D5F" w:rsidRDefault="001E1D5F" w:rsidP="001E1D5F">
            <w:pPr>
              <w:tabs>
                <w:tab w:val="num" w:pos="720"/>
              </w:tabs>
              <w:spacing w:before="60"/>
              <w:jc w:val="center"/>
              <w:rPr>
                <w:rFonts w:cstheme="minorHAnsi"/>
                <w:color w:val="000000"/>
                <w:sz w:val="21"/>
                <w:szCs w:val="21"/>
                <w:lang w:eastAsia="en-GB"/>
              </w:rPr>
            </w:pPr>
            <w:r w:rsidRPr="001E1D5F">
              <w:rPr>
                <w:rFonts w:cstheme="minorHAnsi"/>
                <w:b/>
                <w:bCs/>
                <w:color w:val="000000"/>
                <w:sz w:val="21"/>
                <w:szCs w:val="21"/>
                <w:lang w:eastAsia="en-GB"/>
              </w:rPr>
              <w:t>CI</w:t>
            </w:r>
            <w:r w:rsidRPr="001E1D5F">
              <w:rPr>
                <w:rFonts w:cstheme="minorHAnsi"/>
                <w:b/>
                <w:bCs/>
                <w:color w:val="000000"/>
                <w:sz w:val="21"/>
                <w:szCs w:val="21"/>
                <w:vertAlign w:val="subscript"/>
                <w:lang w:eastAsia="en-GB"/>
              </w:rPr>
              <w:t>T</w:t>
            </w:r>
            <w:r w:rsidRPr="001E1D5F">
              <w:rPr>
                <w:rFonts w:cstheme="minorHAnsi"/>
                <w:color w:val="000000"/>
                <w:sz w:val="21"/>
                <w:szCs w:val="21"/>
                <w:lang w:eastAsia="en-GB"/>
              </w:rPr>
              <w:t xml:space="preserve"> is the components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index of the loose components attached to the module directly, </w:t>
            </w:r>
            <w:r w:rsidRPr="001E1D5F">
              <w:rPr>
                <w:rFonts w:cstheme="minorHAnsi"/>
                <w:b/>
                <w:bCs/>
                <w:i/>
                <w:iCs/>
                <w:color w:val="000000"/>
                <w:sz w:val="21"/>
                <w:szCs w:val="21"/>
                <w:lang w:eastAsia="en-GB"/>
              </w:rPr>
              <w:t>n</w:t>
            </w:r>
            <w:r w:rsidRPr="001E1D5F">
              <w:rPr>
                <w:rFonts w:cstheme="minorHAnsi"/>
                <w:b/>
                <w:bCs/>
                <w:color w:val="000000"/>
                <w:sz w:val="21"/>
                <w:szCs w:val="21"/>
                <w:lang w:eastAsia="en-GB"/>
              </w:rPr>
              <w:t> </w:t>
            </w:r>
            <w:r w:rsidRPr="001E1D5F">
              <w:rPr>
                <w:rFonts w:cstheme="minorHAnsi"/>
                <w:color w:val="000000"/>
                <w:sz w:val="21"/>
                <w:szCs w:val="21"/>
                <w:lang w:eastAsia="en-GB"/>
              </w:rPr>
              <w:t xml:space="preserve">is the total number of modules in the product, </w:t>
            </w:r>
            <w:r w:rsidRPr="001E1D5F">
              <w:rPr>
                <w:rFonts w:cstheme="minorHAnsi"/>
                <w:b/>
                <w:bCs/>
                <w:i/>
                <w:iCs/>
                <w:color w:val="000000"/>
                <w:sz w:val="21"/>
                <w:szCs w:val="21"/>
                <w:lang w:eastAsia="en-GB"/>
              </w:rPr>
              <w:t>m</w:t>
            </w:r>
            <w:r w:rsidRPr="001E1D5F">
              <w:rPr>
                <w:rFonts w:cstheme="minorHAnsi"/>
                <w:color w:val="000000"/>
                <w:sz w:val="21"/>
                <w:szCs w:val="21"/>
                <w:lang w:eastAsia="en-GB"/>
              </w:rPr>
              <w:t> is the total number of the loose components attached to the module directly, and</w:t>
            </w:r>
          </w:p>
          <w:p w14:paraId="44983364" w14:textId="77777777" w:rsidR="001E1D5F" w:rsidRPr="001E1D5F" w:rsidRDefault="001E1D5F" w:rsidP="001E1D5F">
            <w:pPr>
              <w:tabs>
                <w:tab w:val="num" w:pos="720"/>
              </w:tabs>
              <w:spacing w:before="60"/>
              <w:jc w:val="center"/>
              <w:rPr>
                <w:rFonts w:cstheme="minorHAnsi"/>
                <w:color w:val="000000"/>
                <w:sz w:val="21"/>
                <w:szCs w:val="21"/>
                <w:lang w:eastAsia="en-GB"/>
              </w:rPr>
            </w:pPr>
            <w:r w:rsidRPr="001E1D5F">
              <w:rPr>
                <w:rFonts w:cstheme="minorHAnsi"/>
                <w:b/>
                <w:bCs/>
                <w:i/>
                <w:iCs/>
                <w:color w:val="000000"/>
                <w:sz w:val="21"/>
                <w:szCs w:val="21"/>
                <w:lang w:eastAsia="en-GB"/>
              </w:rPr>
              <w:t>α</w:t>
            </w:r>
            <w:r w:rsidRPr="001E1D5F">
              <w:rPr>
                <w:rFonts w:cstheme="minorHAnsi"/>
                <w:b/>
                <w:bCs/>
                <w:color w:val="000000"/>
                <w:sz w:val="21"/>
                <w:szCs w:val="21"/>
                <w:lang w:eastAsia="en-GB"/>
              </w:rPr>
              <w:t>, </w:t>
            </w:r>
            <w:r w:rsidRPr="001E1D5F">
              <w:rPr>
                <w:rFonts w:cstheme="minorHAnsi"/>
                <w:b/>
                <w:bCs/>
                <w:i/>
                <w:iCs/>
                <w:color w:val="000000"/>
                <w:sz w:val="21"/>
                <w:szCs w:val="21"/>
                <w:lang w:eastAsia="en-GB"/>
              </w:rPr>
              <w:t>β</w:t>
            </w:r>
            <w:r w:rsidRPr="001E1D5F">
              <w:rPr>
                <w:rFonts w:cstheme="minorHAnsi"/>
                <w:b/>
                <w:bCs/>
                <w:color w:val="000000"/>
                <w:sz w:val="21"/>
                <w:szCs w:val="21"/>
                <w:lang w:eastAsia="en-GB"/>
              </w:rPr>
              <w:t>, </w:t>
            </w:r>
            <w:r w:rsidRPr="001E1D5F">
              <w:rPr>
                <w:rFonts w:cstheme="minorHAnsi"/>
                <w:b/>
                <w:bCs/>
                <w:i/>
                <w:iCs/>
                <w:color w:val="000000"/>
                <w:sz w:val="21"/>
                <w:szCs w:val="21"/>
                <w:lang w:eastAsia="en-GB"/>
              </w:rPr>
              <w:t>γ</w:t>
            </w:r>
            <w:r w:rsidRPr="001E1D5F">
              <w:rPr>
                <w:rFonts w:cstheme="minorHAnsi"/>
                <w:b/>
                <w:bCs/>
                <w:color w:val="000000"/>
                <w:sz w:val="21"/>
                <w:szCs w:val="21"/>
                <w:lang w:eastAsia="en-GB"/>
              </w:rPr>
              <w:t>, </w:t>
            </w:r>
            <w:r w:rsidRPr="001E1D5F">
              <w:rPr>
                <w:rFonts w:cstheme="minorHAnsi"/>
                <w:b/>
                <w:bCs/>
                <w:i/>
                <w:iCs/>
                <w:color w:val="000000"/>
                <w:sz w:val="21"/>
                <w:szCs w:val="21"/>
                <w:lang w:eastAsia="en-GB"/>
              </w:rPr>
              <w:t>λ</w:t>
            </w:r>
            <w:r w:rsidRPr="001E1D5F">
              <w:rPr>
                <w:rFonts w:cstheme="minorHAnsi"/>
                <w:color w:val="000000"/>
                <w:sz w:val="21"/>
                <w:szCs w:val="21"/>
                <w:lang w:eastAsia="en-GB"/>
              </w:rPr>
              <w:t> are weighting factors for the indices</w:t>
            </w:r>
          </w:p>
        </w:tc>
        <w:tc>
          <w:tcPr>
            <w:tcW w:w="1559" w:type="dxa"/>
            <w:vAlign w:val="center"/>
          </w:tcPr>
          <w:p w14:paraId="1DF852FB"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 or Unitless Score</w:t>
            </w:r>
          </w:p>
          <w:p w14:paraId="5A941DE1"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OR</w:t>
            </w:r>
          </w:p>
          <w:p w14:paraId="7F4B318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Monetary Units</w:t>
            </w:r>
          </w:p>
        </w:tc>
        <w:tc>
          <w:tcPr>
            <w:tcW w:w="3969" w:type="dxa"/>
            <w:vAlign w:val="center"/>
          </w:tcPr>
          <w:p w14:paraId="02B709D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General, Automotive</w:t>
            </w:r>
          </w:p>
        </w:tc>
        <w:tc>
          <w:tcPr>
            <w:tcW w:w="1559" w:type="dxa"/>
            <w:vAlign w:val="center"/>
          </w:tcPr>
          <w:p w14:paraId="4302419F" w14:textId="22A32256"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McqcSzxj","properties":{"formattedCitation":"[17,18,33]","plainCitation":"[17,18,33]","noteIndex":0},"citationItems":[{"id":3056,"uris":["http://zotero.org/users/local/05JQq5lJ/items/TE69XG5N"],"itemData":{"id":3056,"type":"article-journal","container-title":"Journal of Cleaner production","note":"publisher: Elsevier","page":"355–371","source":"Google Scholar","title":"A framework for assessing product End-Of-Life performance: reviewing the state of the art and proposing an innovative approach using an End-of-Life Index","title-short":"A framework for assessing product End-Of-Life performance","volume":"66","author":[{"family":"Lee","given":"Hui Mien"},{"family":"Lu","given":"Wen Feng"},{"family":"Song","given":"Bin"}],"issued":{"date-parts":[["2014"]]}}},{"id":2988,"uris":["http://zotero.org/users/local/05JQq5lJ/items/HAD8V55E"],"itemData":{"id":2988,"type":"article-journal","abstract":"With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[17,18,33]</w:t>
            </w:r>
            <w:r w:rsidRPr="001E1D5F">
              <w:rPr>
                <w:rFonts w:cstheme="minorHAnsi"/>
                <w:color w:val="000000"/>
                <w:sz w:val="21"/>
                <w:szCs w:val="21"/>
                <w:lang w:eastAsia="en-GB"/>
              </w:rPr>
              <w:fldChar w:fldCharType="end"/>
            </w:r>
          </w:p>
        </w:tc>
      </w:tr>
      <w:tr w:rsidR="001E1D5F" w:rsidRPr="001E1D5F" w14:paraId="0B042D44" w14:textId="77777777" w:rsidTr="00040455">
        <w:tblPrEx>
          <w:jc w:val="left"/>
        </w:tblPrEx>
        <w:trPr>
          <w:trHeight w:val="300"/>
        </w:trPr>
        <w:tc>
          <w:tcPr>
            <w:tcW w:w="1995" w:type="dxa"/>
            <w:noWrap/>
            <w:vAlign w:val="center"/>
          </w:tcPr>
          <w:p w14:paraId="2D181371"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Material Reutilization Score (MRS)</w:t>
            </w:r>
          </w:p>
        </w:tc>
        <w:tc>
          <w:tcPr>
            <w:tcW w:w="1560" w:type="dxa"/>
            <w:noWrap/>
            <w:vAlign w:val="center"/>
          </w:tcPr>
          <w:p w14:paraId="0FAEB1B1" w14:textId="77777777" w:rsidR="001E1D5F" w:rsidRPr="001E1D5F" w:rsidRDefault="001E1D5F" w:rsidP="001E1D5F">
            <w:pPr>
              <w:spacing w:before="60"/>
              <w:ind w:right="29"/>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BE38C6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MRS = [% Recycled or rapidly renewable product content +2*(% of product recyclable or biodegradable/compostable]/3 *100</w:t>
            </w:r>
          </w:p>
          <w:p w14:paraId="238DE844"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OR</w:t>
            </w:r>
          </w:p>
          <w:p w14:paraId="16144FEC"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 xml:space="preserve">MRS = [%Intrinsic </w:t>
            </w:r>
            <w:proofErr w:type="gramStart"/>
            <w:r w:rsidRPr="001E1D5F">
              <w:rPr>
                <w:rFonts w:cstheme="minorHAnsi"/>
                <w:color w:val="000000"/>
                <w:sz w:val="21"/>
                <w:szCs w:val="21"/>
                <w:lang w:eastAsia="en-GB"/>
              </w:rPr>
              <w:t>Recyclability(</w:t>
            </w:r>
            <w:proofErr w:type="gramEnd"/>
            <w:r w:rsidRPr="001E1D5F">
              <w:rPr>
                <w:rFonts w:cstheme="minorHAnsi"/>
                <w:color w:val="000000"/>
                <w:sz w:val="21"/>
                <w:szCs w:val="21"/>
                <w:lang w:eastAsia="en-GB"/>
              </w:rPr>
              <w:t>IR)*</w:t>
            </w:r>
            <w:proofErr w:type="gramStart"/>
            <w:r w:rsidRPr="001E1D5F">
              <w:rPr>
                <w:rFonts w:cstheme="minorHAnsi"/>
                <w:color w:val="000000"/>
                <w:sz w:val="21"/>
                <w:szCs w:val="21"/>
                <w:lang w:eastAsia="en-GB"/>
              </w:rPr>
              <w:t>2]+</w:t>
            </w:r>
            <w:proofErr w:type="gramEnd"/>
            <w:r w:rsidRPr="001E1D5F">
              <w:rPr>
                <w:rFonts w:cstheme="minorHAnsi"/>
                <w:color w:val="000000"/>
                <w:sz w:val="21"/>
                <w:szCs w:val="21"/>
                <w:lang w:eastAsia="en-GB"/>
              </w:rPr>
              <w:t>[%Recycled Content (RC)]/3*100</w:t>
            </w:r>
          </w:p>
        </w:tc>
        <w:tc>
          <w:tcPr>
            <w:tcW w:w="1559" w:type="dxa"/>
            <w:vAlign w:val="center"/>
          </w:tcPr>
          <w:p w14:paraId="244AD4B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65CE80D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Plastics, General, Packaging, Automotive, Textile</w:t>
            </w:r>
          </w:p>
        </w:tc>
        <w:tc>
          <w:tcPr>
            <w:tcW w:w="1559" w:type="dxa"/>
            <w:vAlign w:val="center"/>
          </w:tcPr>
          <w:p w14:paraId="3E317938" w14:textId="2601651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vGrygUKM","properties":{"formattedCitation":"[7,17,18,21,23,27,30]","plainCitation":"[7,17,18,21,23,27,30]","noteIndex":0},"citationItems":[{"id":2986,"uris":["http://zotero.org/users/local/05JQq5lJ/items/NZJZ35RN"],"itemData":{"id":2986,"type":"article-journal","abstract":"Plastic packaging, in the form of films, brought several advantages to the commercialization of products given its lightness and durability. It provided better ergonomics, ease of transport, increased shelf life, and easy handling and use. Despite that, plastic packaging is facing enormous sustainability concerns associated with the traditional practice of linear economy, combined with commonplace irresponsible handling by citizens since it is almost exclusively designed for single-use and its end-of-life (EOL) management is not planned for. To mitigate that, the circularity of plastic packaging must be more clearly studied and evaluated through approaches such as micro-level circular economy (CE) indicators. This paper focuses on the selection of relevant CE micro-indicators specifically for the plastic packaging sector among the plethora of indicators available. Relations are also established between CE micro-indicators and CE guiding principles, as well as the most prevalent Design for X (DfX) approaches, providing new insights into how these different aspects of sustainability can be linked together. Results show three micro-level indicators as the most relevant for circularity calculation in packaging, namely those termed ‘MCI’, ‘VRE’, and ‘CEIP’, because their methodology and approach address most of the CE guiding principles and DfX approaches relevant for the packaging sector. Finally, guidelines and good practices to promote circularity adoption in the plastic packaging sector are highlighted. This work can guide companies aiming to adopt CE micro-indicators in their practical implementation, overcoming the significant knowledge barrier that currently exists.","container-title":"Sustainability","DOI":"10.3390/su16052182","ISSN":"2071-1050","issue":"5","language":"en","license":"http://creativecommons.org/licenses/by/3.0/","note":"number: 5\npublisher: Multidisciplinary Digital Publishing Institute","page":"2182","source":"www.mdpi.com","title":"Circularity Micro-Indicators for Plastic Packaging and Their Relation to Circular Economy Principles and Design Tools","volume":"16","author":[{"family":"Matos","given":"Joana"},{"family":"Martins","given":"Carla I."},{"family":"Simoes","given":"Ricardo"}],"issued":{"date-parts":[["2024",1]]}}},{"id":2988,"uris":["http://zotero.org/users/local/05JQq5lJ/items/HAD8V55E"],"itemData":{"id":2988,"type":"article-journal","abstract":"With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I."},{"family":"Simoes","given":"Ricardo"}],"issued":{"date-parts":[["2023",12,1]]}}},{"id":3039,"uris":["http://zotero.org/users/local/05JQq5lJ/items/4WVMSF7E"],"itemData":{"id":3039,"type":"article-journal","container-title":"Resources, Conservation and Recycling","note":"publisher: Elsevier","page":"305–312","source":"Google Scholar","title":"Coupling material circularity indicators and life cycle based indicators: A proposal to advance the assessment of circular economy strategies at the product level","title-short":"Coupling material circularity indicators and life cycle based indicators","volume":"140","author":[{"family":"Niero","given":"Monia"},{"family":"Kalbar","given":"Pradip P."}],"issued":{"date-parts":[["2019"]]}}},{"id":3021,"uris":["http://zotero.org/users/local/05JQq5lJ/items/XDIB7Z3F"],"itemData":{"id":3021,"type":"article-journal","abstract":"Methods and tools to measure Circular Economy (CE) are in an early stage of development, especially on the micro level, and only limited guidance is available to companies’ decision-making processes related to CE solutions. In this context, the aim of this paper is to explore the suitability and effectiveness of grey literature CE indicators and the Life Cycle Assessment (LCA) method in measuring circularity at product or process level.","container-title":"The International Journal of Life Cycle Assessment","DOI":"10.1007/s11367-021-01972-4","ISSN":"1614-7502","issue":"11","journalAbbreviation":"Int J Life Cycle Assess","language":"en","page":"2171-2191","source":"Springer Link","title":"Exploring the effectiveness of grey literature indicators and life cycle assessment in assessing circular economy at the micro level: a comparative analysis","title-short":"Exploring the effectiveness of grey literature indicators and life cycle assessment in assessing circular economy at the micro level","volume":"26","author":[{"family":"Roos Lindgreen","given":"Erik"},{"family":"Mondello","given":"Giovanni"},{"family":"Salomone","given":"Roberta"},{"family":"Lanuzza","given":"Francesco"},{"family":"Saija","given":"Giuseppe"}],"issued":{"date-parts":[["2021",11,1]]}}},{"id":3020,"uris":["http://zotero.org/users/local/05JQq5lJ/items/YVZQXKQR"],"itemData":{"id":3020,"type":"article-journal","container-title":"Procedia CIRP","note":"publisher: Elsevier","page":"835–840","source":"Google Scholar","title":"Usability and usefulness of circularity indicators for manufacturing performance management","volume":"105","author":[{"family":"Syu","given":"Fu-Siang"},{"family":"Vasudevan","given":"Adarsh"},{"family":"Despeisse","given":"Mélanie"},{"family":"Chari","given":"Arpita"},{"family":"Bekar","given":"Ebru Turanoglu"},{"family":"Gonçalves","given":"Maria M."},{"family":"Estrela","given":"Marco A."}],"issued":{"date-parts":[["2022"]]}}},{"id":3027,"uris":["http://zotero.org/users/local/05JQq5lJ/items/QKB4WUUD"],"itemData":{"id":3027,"type":"article-journal","container-title":"Sustainability","issue":"24","note":"publisher: MDPI","page":"16683","source":"Google Scholar","title":"Using LCA and Circularity Indicators to Measure the Sustainability of Textiles—Examples of Renewable and Non-Renewable Fibres","volume":"14","author":[{"family":"Wiedemann","given":"Stephen G."},{"family":"Nguyen","given":"Quan V."},{"family":"Clarke","given":"Simon J."}],"issued":{"date-parts":[["2022"]]}}}],"schema":"https://github.com/citation-style-language/schema/raw/master/csl-citation.json"}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[7,17,18,21,23,27,30]</w:t>
            </w:r>
            <w:r w:rsidRPr="001E1D5F">
              <w:rPr>
                <w:rFonts w:cstheme="minorHAnsi"/>
                <w:color w:val="000000"/>
                <w:sz w:val="21"/>
                <w:szCs w:val="21"/>
                <w:lang w:eastAsia="en-GB"/>
              </w:rPr>
              <w:fldChar w:fldCharType="end"/>
            </w:r>
          </w:p>
        </w:tc>
      </w:tr>
      <w:tr w:rsidR="001E1D5F" w:rsidRPr="001E1D5F" w14:paraId="01BD8457" w14:textId="77777777" w:rsidTr="00040455">
        <w:tblPrEx>
          <w:jc w:val="left"/>
        </w:tblPrEx>
        <w:trPr>
          <w:trHeight w:val="300"/>
        </w:trPr>
        <w:tc>
          <w:tcPr>
            <w:tcW w:w="1995" w:type="dxa"/>
            <w:noWrap/>
            <w:vAlign w:val="center"/>
          </w:tcPr>
          <w:p w14:paraId="3A494DF7"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lastRenderedPageBreak/>
              <w:t xml:space="preserve">Percentage of collected or taken-back end-of-life products prepared for reuse, refurbishment, remanufacture, and </w:t>
            </w:r>
            <w:proofErr w:type="spellStart"/>
            <w:r w:rsidRPr="001E1D5F">
              <w:rPr>
                <w:rFonts w:cstheme="minorHAnsi"/>
                <w:color w:val="000000"/>
                <w:sz w:val="21"/>
                <w:szCs w:val="21"/>
                <w:lang w:eastAsia="en-GB"/>
              </w:rPr>
              <w:t>recycl</w:t>
            </w:r>
            <w:r w:rsidRPr="001E1D5F">
              <w:rPr>
                <w:rFonts w:cstheme="minorHAnsi"/>
                <w:color w:val="000000"/>
                <w:sz w:val="21"/>
                <w:szCs w:val="21"/>
                <w:lang w:val="en-US" w:eastAsia="en-GB"/>
              </w:rPr>
              <w:t>ing</w:t>
            </w:r>
            <w:proofErr w:type="spellEnd"/>
            <w:r w:rsidRPr="001E1D5F">
              <w:rPr>
                <w:rFonts w:cstheme="minorHAnsi"/>
                <w:color w:val="000000"/>
                <w:sz w:val="21"/>
                <w:szCs w:val="21"/>
                <w:lang w:eastAsia="en-GB"/>
              </w:rPr>
              <w:t xml:space="preserve"> compared to sales of new products</w:t>
            </w:r>
          </w:p>
        </w:tc>
        <w:tc>
          <w:tcPr>
            <w:tcW w:w="1560" w:type="dxa"/>
            <w:noWrap/>
            <w:vAlign w:val="center"/>
          </w:tcPr>
          <w:p w14:paraId="2940C26A" w14:textId="77777777" w:rsidR="001E1D5F" w:rsidRPr="001E1D5F" w:rsidRDefault="001E1D5F" w:rsidP="001E1D5F">
            <w:pPr>
              <w:ind w:right="29"/>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46F3380" w14:textId="77777777" w:rsidR="001E1D5F" w:rsidRPr="001E1D5F" w:rsidRDefault="001E1D5F" w:rsidP="001E1D5F">
            <w:pPr>
              <w:spacing w:before="60"/>
              <w:jc w:val="center"/>
              <w:rPr>
                <w:rFonts w:cstheme="minorHAnsi"/>
                <w:b/>
                <w:bCs/>
                <w:sz w:val="21"/>
                <w:szCs w:val="21"/>
                <w:lang w:eastAsia="en-GB"/>
              </w:rPr>
            </w:pPr>
            <w:r w:rsidRPr="001E1D5F">
              <w:rPr>
                <w:rFonts w:cstheme="minorHAnsi"/>
                <w:color w:val="000000"/>
                <w:sz w:val="21"/>
                <w:szCs w:val="21"/>
                <w:lang w:eastAsia="en-GB"/>
              </w:rPr>
              <w:t>Collected or Processed EOL Products (in units or weight)/Sales of new Products (in units or weight)</w:t>
            </w:r>
          </w:p>
        </w:tc>
        <w:tc>
          <w:tcPr>
            <w:tcW w:w="1559" w:type="dxa"/>
            <w:vAlign w:val="center"/>
          </w:tcPr>
          <w:p w14:paraId="29178AE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073935E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38D5EBA2" w14:textId="3A97D92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{"citationID":"4RuR1gv4","properties":{"formattedCitation":"[34]","plainCitation":"[34]","noteIndex":0},"citationItems":[{"id":3047,"uris":["http://zotero.org/users/local/05JQq5lJ/items/86PCEPYM"],"itemData":{"id":3047,"type":"article-journal","abstract":"The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0A002113" w14:textId="77777777" w:rsidTr="00040455">
        <w:trPr>
          <w:trHeight w:val="300"/>
          <w:jc w:val="center"/>
        </w:trPr>
        <w:tc>
          <w:tcPr>
            <w:tcW w:w="16170" w:type="dxa"/>
            <w:gridSpan w:val="6"/>
            <w:shd w:val="clear" w:color="auto" w:fill="E7E6E6" w:themeFill="background2"/>
            <w:noWrap/>
            <w:vAlign w:val="center"/>
            <w:hideMark/>
          </w:tcPr>
          <w:p w14:paraId="5E8AB2F4"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 xml:space="preserve">Indicator group C1: Product Design </w:t>
            </w:r>
            <w:r w:rsidRPr="001E1D5F">
              <w:rPr>
                <w:rFonts w:cstheme="minorHAnsi"/>
                <w:b/>
                <w:bCs/>
                <w:color w:val="000000"/>
                <w:sz w:val="21"/>
                <w:szCs w:val="21"/>
                <w:lang w:val="en-US" w:eastAsia="en-GB"/>
              </w:rPr>
              <w:t>&amp;</w:t>
            </w:r>
            <w:r w:rsidRPr="001E1D5F">
              <w:rPr>
                <w:rFonts w:cstheme="minorHAnsi"/>
                <w:b/>
                <w:bCs/>
                <w:color w:val="000000"/>
                <w:sz w:val="21"/>
                <w:szCs w:val="21"/>
                <w:lang w:eastAsia="en-GB"/>
              </w:rPr>
              <w:t xml:space="preserve"> Adaptability</w:t>
            </w:r>
          </w:p>
        </w:tc>
      </w:tr>
      <w:tr w:rsidR="001E1D5F" w:rsidRPr="001E1D5F" w14:paraId="6110C882" w14:textId="77777777" w:rsidTr="00040455">
        <w:trPr>
          <w:trHeight w:val="300"/>
          <w:jc w:val="center"/>
        </w:trPr>
        <w:tc>
          <w:tcPr>
            <w:tcW w:w="1995" w:type="dxa"/>
            <w:noWrap/>
            <w:vAlign w:val="center"/>
          </w:tcPr>
          <w:p w14:paraId="420185A2"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Material Durability Indicator (MDI)</w:t>
            </w:r>
          </w:p>
        </w:tc>
        <w:tc>
          <w:tcPr>
            <w:tcW w:w="1560" w:type="dxa"/>
            <w:noWrap/>
            <w:vAlign w:val="center"/>
          </w:tcPr>
          <w:p w14:paraId="4F70666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2614588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 xml:space="preserve">MDI </w:t>
            </w:r>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Dch</w:t>
            </w:r>
            <w:proofErr w:type="spellEnd"/>
            <w:r w:rsidRPr="001E1D5F">
              <w:rPr>
                <w:rFonts w:cstheme="minorHAnsi"/>
                <w:color w:val="000000"/>
                <w:sz w:val="21"/>
                <w:szCs w:val="21"/>
                <w:lang w:eastAsia="en-GB"/>
              </w:rPr>
              <w:t xml:space="preserve">*Dm*E, where; </w:t>
            </w:r>
          </w:p>
          <w:p w14:paraId="7594085A"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b/>
                <w:bCs/>
                <w:color w:val="000000"/>
                <w:sz w:val="21"/>
                <w:szCs w:val="21"/>
                <w:lang w:eastAsia="en-GB"/>
              </w:rPr>
              <w:t>Dch</w:t>
            </w:r>
            <w:proofErr w:type="spellEnd"/>
            <w:r w:rsidRPr="001E1D5F">
              <w:rPr>
                <w:rFonts w:cstheme="minorHAnsi"/>
                <w:color w:val="000000"/>
                <w:sz w:val="21"/>
                <w:szCs w:val="21"/>
                <w:lang w:eastAsia="en-GB"/>
              </w:rPr>
              <w:t>: quartic square root of (a1*a2*a3*a4) (</w:t>
            </w:r>
            <w:r w:rsidRPr="001E1D5F">
              <w:rPr>
                <w:rFonts w:cstheme="minorHAnsi"/>
                <w:b/>
                <w:bCs/>
                <w:color w:val="000000"/>
                <w:sz w:val="21"/>
                <w:szCs w:val="21"/>
                <w:lang w:eastAsia="en-GB"/>
              </w:rPr>
              <w:t>a1</w:t>
            </w:r>
            <w:r w:rsidRPr="001E1D5F">
              <w:rPr>
                <w:rFonts w:cstheme="minorHAnsi"/>
                <w:color w:val="000000"/>
                <w:sz w:val="21"/>
                <w:szCs w:val="21"/>
                <w:lang w:eastAsia="en-GB"/>
              </w:rPr>
              <w:t xml:space="preserve">: flammability resistance, </w:t>
            </w:r>
            <w:r w:rsidRPr="001E1D5F">
              <w:rPr>
                <w:rFonts w:cstheme="minorHAnsi"/>
                <w:b/>
                <w:bCs/>
                <w:color w:val="000000"/>
                <w:sz w:val="21"/>
                <w:szCs w:val="21"/>
                <w:lang w:eastAsia="en-GB"/>
              </w:rPr>
              <w:t>a2</w:t>
            </w:r>
            <w:r w:rsidRPr="001E1D5F">
              <w:rPr>
                <w:rFonts w:cstheme="minorHAnsi"/>
                <w:color w:val="000000"/>
                <w:sz w:val="21"/>
                <w:szCs w:val="21"/>
                <w:lang w:eastAsia="en-GB"/>
              </w:rPr>
              <w:t xml:space="preserve">: resistance to UV radiation, </w:t>
            </w:r>
            <w:r w:rsidRPr="001E1D5F">
              <w:rPr>
                <w:rFonts w:cstheme="minorHAnsi"/>
                <w:b/>
                <w:bCs/>
                <w:color w:val="000000"/>
                <w:sz w:val="21"/>
                <w:szCs w:val="21"/>
                <w:lang w:eastAsia="en-GB"/>
              </w:rPr>
              <w:t>a3</w:t>
            </w:r>
            <w:r w:rsidRPr="001E1D5F">
              <w:rPr>
                <w:rFonts w:cstheme="minorHAnsi"/>
                <w:color w:val="000000"/>
                <w:sz w:val="21"/>
                <w:szCs w:val="21"/>
                <w:lang w:eastAsia="en-GB"/>
              </w:rPr>
              <w:t xml:space="preserve">: resistance to water, </w:t>
            </w:r>
            <w:r w:rsidRPr="001E1D5F">
              <w:rPr>
                <w:rFonts w:cstheme="minorHAnsi"/>
                <w:b/>
                <w:bCs/>
                <w:color w:val="000000"/>
                <w:sz w:val="21"/>
                <w:szCs w:val="21"/>
                <w:lang w:eastAsia="en-GB"/>
              </w:rPr>
              <w:t>a4</w:t>
            </w:r>
            <w:r w:rsidRPr="001E1D5F">
              <w:rPr>
                <w:rFonts w:cstheme="minorHAnsi"/>
                <w:color w:val="000000"/>
                <w:sz w:val="21"/>
                <w:szCs w:val="21"/>
                <w:lang w:eastAsia="en-GB"/>
              </w:rPr>
              <w:t xml:space="preserve">: resistance to organic solvents), </w:t>
            </w:r>
          </w:p>
          <w:p w14:paraId="4B116D7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Dm</w:t>
            </w:r>
            <w:r w:rsidRPr="001E1D5F">
              <w:rPr>
                <w:rFonts w:cstheme="minorHAnsi"/>
                <w:color w:val="000000"/>
                <w:sz w:val="21"/>
                <w:szCs w:val="21"/>
                <w:lang w:eastAsia="en-GB"/>
              </w:rPr>
              <w:t xml:space="preserve">: square root of (b1*b2) (b1: fatigue strength, b2: yield strength), </w:t>
            </w:r>
          </w:p>
          <w:p w14:paraId="76A04E8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w:t>
            </w:r>
            <w:r w:rsidRPr="001E1D5F">
              <w:rPr>
                <w:rFonts w:cstheme="minorHAnsi"/>
                <w:color w:val="000000"/>
                <w:sz w:val="21"/>
                <w:szCs w:val="21"/>
                <w:lang w:eastAsia="en-GB"/>
              </w:rPr>
              <w:t>=I/Imax (I: environmental impact calculated from energy consumption and carbon footprint, Imax: maximum environmental impact)</w:t>
            </w:r>
          </w:p>
        </w:tc>
        <w:tc>
          <w:tcPr>
            <w:tcW w:w="1559" w:type="dxa"/>
            <w:vAlign w:val="center"/>
          </w:tcPr>
          <w:p w14:paraId="7EF29AD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Dimensionless Score</w:t>
            </w:r>
          </w:p>
        </w:tc>
        <w:tc>
          <w:tcPr>
            <w:tcW w:w="3969" w:type="dxa"/>
            <w:vAlign w:val="center"/>
          </w:tcPr>
          <w:p w14:paraId="3C2C051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Healthcare Equipment</w:t>
            </w:r>
          </w:p>
        </w:tc>
        <w:tc>
          <w:tcPr>
            <w:tcW w:w="1559" w:type="dxa"/>
            <w:vAlign w:val="center"/>
          </w:tcPr>
          <w:p w14:paraId="7FCC70D0" w14:textId="4A66FFD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{"citationID":"CJpLYM2K","properties":{"formattedCitation":"[19]","plainCitation":"[19]","noteIndex":0},"citationItems":[{"id":3012,"uris":["http://zotero.org/users/local/05JQq5lJ/items/GNRCA3WE"],"itemData":{"id":3012,"type":"article-journal","abstract":"The Circular Economy comprises several strategies to enhance the sustainability of products. However, most of the research in this area has focused on Recycling, Recovering and final disposal. Strategies for lifespan extension such as Reuse, Repair, Refurbish, Remanufacture and Repurpose lead to higher circularity and value throughout the lifecycle but are less studied. Here we propose a single generic indicator based on durability and environmental footprint for material selection as an early step in the design process towards extending product lifespan. The material durability indicator or MDI integrates into a single calculation chemical and mechanical durability, together with environmental impacts associated with the material. The proposed indicator incorporates parameters such as flammability resistance, resistance to ultraviolet radiation, resistance to water, resistance to organic solvents, mechanical strength, energy consumption, and carbon footprint, among others. A case study based on polymer materials selection demonstrates the usefulness of the MDI indicator, providing a holistic calculation and comparison of selection alternatives, including conventional and multicriteria approaches. The proposed indicator offers a balanced and technical measurement of durability and environmental burdens in the material selection process and can potentially be applied to any engineering material.","container-title":"Resources, Conservation and Recycling","DOI":"10.1016/j.resconrec.2020.104887","ISSN":"0921-3449","journalAbbreviation":"Resources, Conservation and Recycling","page":"104887","source":"ScienceDirect","title":"Developing an indicator for material selection based on durability and environmental footprint: A Circular Economy perspective","title-short":"Developing an indicator for material selection based on durability and environmental footprint","volume":"160","author":[{"family":"Mesa","given":"Jaime"},{"family":"González-Quiroga","given":"Arturo"},{"family":"Maury","given":"Heriberto"}],"issued":{"date-parts":[["2020",9,1]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[19]</w:t>
            </w:r>
            <w:r w:rsidRPr="001E1D5F">
              <w:rPr>
                <w:rFonts w:cstheme="minorHAnsi"/>
                <w:color w:val="000000"/>
                <w:sz w:val="21"/>
                <w:szCs w:val="21"/>
                <w:lang w:eastAsia="en-GB"/>
              </w:rPr>
              <w:fldChar w:fldCharType="end"/>
            </w:r>
          </w:p>
        </w:tc>
      </w:tr>
      <w:tr w:rsidR="001E1D5F" w:rsidRPr="001E1D5F" w14:paraId="2F5388CC" w14:textId="77777777" w:rsidTr="00040455">
        <w:trPr>
          <w:trHeight w:val="300"/>
          <w:jc w:val="center"/>
        </w:trPr>
        <w:tc>
          <w:tcPr>
            <w:tcW w:w="1995" w:type="dxa"/>
            <w:noWrap/>
            <w:vAlign w:val="center"/>
          </w:tcPr>
          <w:p w14:paraId="5BE90143"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Recycling Desirability Index (RDI)</w:t>
            </w:r>
          </w:p>
        </w:tc>
        <w:tc>
          <w:tcPr>
            <w:tcW w:w="1560" w:type="dxa"/>
            <w:noWrap/>
            <w:vAlign w:val="center"/>
          </w:tcPr>
          <w:p w14:paraId="14E23F9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6AEF619"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b/>
                <w:bCs/>
                <w:color w:val="000000"/>
                <w:sz w:val="21"/>
                <w:szCs w:val="21"/>
                <w:lang w:eastAsia="en-GB"/>
              </w:rPr>
              <w:t>DDesirability</w:t>
            </w:r>
            <w:proofErr w:type="spellEnd"/>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DSimplicity</w:t>
            </w:r>
            <w:proofErr w:type="spellEnd"/>
            <w:r w:rsidRPr="001E1D5F">
              <w:rPr>
                <w:rFonts w:cstheme="minorHAnsi"/>
                <w:color w:val="000000"/>
                <w:sz w:val="21"/>
                <w:szCs w:val="21"/>
                <w:lang w:eastAsia="en-GB"/>
              </w:rPr>
              <w:t xml:space="preserve"> + DMSI +DTR</w:t>
            </w:r>
            <w:proofErr w:type="gramStart"/>
            <w:r w:rsidRPr="001E1D5F">
              <w:rPr>
                <w:rFonts w:cstheme="minorHAnsi"/>
                <w:color w:val="000000"/>
                <w:sz w:val="21"/>
                <w:szCs w:val="21"/>
                <w:lang w:eastAsia="en-GB"/>
              </w:rPr>
              <w:t>) .The</w:t>
            </w:r>
            <w:proofErr w:type="gramEnd"/>
            <w:r w:rsidRPr="001E1D5F">
              <w:rPr>
                <w:rFonts w:cstheme="minorHAnsi"/>
                <w:color w:val="000000"/>
                <w:sz w:val="21"/>
                <w:szCs w:val="21"/>
                <w:lang w:eastAsia="en-GB"/>
              </w:rPr>
              <w:t xml:space="preserve"> RDI indicator results from the sum of the three factors: the Simplicity Index of</w:t>
            </w:r>
          </w:p>
          <w:p w14:paraId="4124004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separation of materials, the Material Safety Index (MSI), and the assessment of technological maturity through the Technology Readiness Level (TRL). The closer the result of this indicator is to 3, the more desirable it is to recycle</w:t>
            </w:r>
          </w:p>
          <w:p w14:paraId="1D2BDD3E"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the product under study.</w:t>
            </w:r>
          </w:p>
        </w:tc>
        <w:tc>
          <w:tcPr>
            <w:tcW w:w="1559" w:type="dxa"/>
            <w:vAlign w:val="center"/>
          </w:tcPr>
          <w:p w14:paraId="36D35C8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6590978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Packaging, Automotive, General</w:t>
            </w:r>
          </w:p>
        </w:tc>
        <w:tc>
          <w:tcPr>
            <w:tcW w:w="1559" w:type="dxa"/>
            <w:vAlign w:val="center"/>
          </w:tcPr>
          <w:p w14:paraId="7713027E" w14:textId="2C98510F"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{"citationID":"5l2OmSbE","properties":{"formattedCitation":"[7,17,18]","plainCitation":"[7,17,18]","noteIndex":0},"citationItems":[{"id":2986,"uris":["http://zotero.org/users/local/05JQq5lJ/items/NZJZ35RN"],"itemData":{"id":2986,"type":"article-journal","abstract":"Plastic packaging, in the form of films, brought several advantages to the commercialization of products given its lightness and durability. It provided better ergonomics, ease of transport, increased shelf life, and easy handling and use. Despite that, plastic packaging is facing enormous sustainability concerns associated with the traditional practice of linear economy, combined with commonplace irresponsible handling by citizens since it is almost exclusively designed for single-use and its end-of-life (EOL) management is not planned for. To mitigate that, the circularity of plastic packaging must be more clearly studied and evaluated through approaches such as micro-level circular economy (CE) indicators. This paper focuses on the selection of relevant CE micro-indicators specifically for the plastic packaging sector among the plethora of indicators available. Relations are also established between CE micro-indicators and CE guiding principles, as well as the most prevalent Design for X (DfX) approaches, providing new insights into how these different aspects of sustainability can be linked together. Results show three micro-level indicators as the most relevant for circularity calculation in packaging, namely those termed ‘MCI’, ‘VRE’, and ‘CEIP’, because their methodology and approach address most of the CE guiding principles and DfX approaches relevant for the packaging sector. Finally, guidelines and good practices to promote circularity adoption in the plastic packaging sector are highlighted. This work can guide companies aiming to adopt CE micro-indicators in their practical implementation, overcoming the significant knowledge barrier that currently exists.","container-title":"Sustainability","DOI":"10.3390/su16052182","ISSN":"2071-1050","issue":"5","language":"en","license":"http://creativecommons.org/licenses/by/3.0/","note":"number: 5\npublisher: Multidisciplinary Digital Publishing Institute","page":"2182","source":"www.mdpi.com","title":"Circularity Micro-Indicators for Plastic Packaging and Their Relation to Circular Economy Principles and Design Tools","volume":"16","author":[{"family":"Matos","given":"Joana"},{"family":"Martins","given":"Carla I."},{"family":"Simoes","given":"Ricardo"}],"issued":{"date-parts":[["2024",1]]}}},{"id":2988,"uris":["http://zotero.org/users/local/05JQq5lJ/items/HAD8V55E"],"itemData":{"id":2988,"type":"article-journal","abstract":"With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[7,17,18]</w:t>
            </w:r>
            <w:r w:rsidRPr="001E1D5F">
              <w:rPr>
                <w:rFonts w:cstheme="minorHAnsi"/>
                <w:color w:val="000000"/>
                <w:sz w:val="21"/>
                <w:szCs w:val="21"/>
                <w:lang w:eastAsia="en-GB"/>
              </w:rPr>
              <w:fldChar w:fldCharType="end"/>
            </w:r>
          </w:p>
        </w:tc>
      </w:tr>
      <w:tr w:rsidR="001E1D5F" w:rsidRPr="001E1D5F" w14:paraId="2B4EAD55" w14:textId="77777777" w:rsidTr="00040455">
        <w:trPr>
          <w:trHeight w:val="300"/>
          <w:jc w:val="center"/>
        </w:trPr>
        <w:tc>
          <w:tcPr>
            <w:tcW w:w="1995" w:type="dxa"/>
            <w:noWrap/>
            <w:vAlign w:val="center"/>
          </w:tcPr>
          <w:p w14:paraId="32B3B8AD"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lastRenderedPageBreak/>
              <w:t>Index of Reusability/ Recyclability/Recoverability (RRR)</w:t>
            </w:r>
          </w:p>
        </w:tc>
        <w:tc>
          <w:tcPr>
            <w:tcW w:w="1560" w:type="dxa"/>
            <w:noWrap/>
            <w:vAlign w:val="center"/>
          </w:tcPr>
          <w:p w14:paraId="33C0920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7DAECD7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It is a weighted sum of four components: technical (RRRT​), environmental (</w:t>
            </w:r>
            <w:proofErr w:type="spellStart"/>
            <w:r w:rsidRPr="001E1D5F">
              <w:rPr>
                <w:rFonts w:cstheme="minorHAnsi"/>
                <w:color w:val="000000"/>
                <w:sz w:val="21"/>
                <w:szCs w:val="21"/>
                <w:lang w:eastAsia="en-GB"/>
              </w:rPr>
              <w:t>RRREn</w:t>
            </w:r>
            <w:proofErr w:type="spellEnd"/>
            <w:r w:rsidRPr="001E1D5F">
              <w:rPr>
                <w:rFonts w:cstheme="minorHAnsi"/>
                <w:color w:val="000000"/>
                <w:sz w:val="21"/>
                <w:szCs w:val="21"/>
                <w:lang w:eastAsia="en-GB"/>
              </w:rPr>
              <w:t>​), economic (</w:t>
            </w:r>
            <w:proofErr w:type="spellStart"/>
            <w:r w:rsidRPr="001E1D5F">
              <w:rPr>
                <w:rFonts w:cstheme="minorHAnsi"/>
                <w:color w:val="000000"/>
                <w:sz w:val="21"/>
                <w:szCs w:val="21"/>
                <w:lang w:eastAsia="en-GB"/>
              </w:rPr>
              <w:t>RRREc</w:t>
            </w:r>
            <w:proofErr w:type="spellEnd"/>
            <w:r w:rsidRPr="001E1D5F">
              <w:rPr>
                <w:rFonts w:cstheme="minorHAnsi"/>
                <w:color w:val="000000"/>
                <w:sz w:val="21"/>
                <w:szCs w:val="21"/>
                <w:lang w:eastAsia="en-GB"/>
              </w:rPr>
              <w:t>), and societal (</w:t>
            </w:r>
            <w:proofErr w:type="spellStart"/>
            <w:r w:rsidRPr="001E1D5F">
              <w:rPr>
                <w:rFonts w:cstheme="minorHAnsi"/>
                <w:color w:val="000000"/>
                <w:sz w:val="21"/>
                <w:szCs w:val="21"/>
                <w:lang w:eastAsia="en-GB"/>
              </w:rPr>
              <w:t>RRRSb</w:t>
            </w:r>
            <w:proofErr w:type="spellEnd"/>
            <w:r w:rsidRPr="001E1D5F">
              <w:rPr>
                <w:rFonts w:cstheme="minorHAnsi"/>
                <w:color w:val="000000"/>
                <w:sz w:val="21"/>
                <w:szCs w:val="21"/>
                <w:lang w:eastAsia="en-GB"/>
              </w:rPr>
              <w:t>​). Mathematically, it is expressed as:</w:t>
            </w:r>
          </w:p>
          <w:p w14:paraId="360D2D8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 xml:space="preserve">RRR </w:t>
            </w:r>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aT</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RRRT</w:t>
            </w:r>
            <w:proofErr w:type="spellEnd"/>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aEn</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RRREn</w:t>
            </w:r>
            <w:proofErr w:type="spellEnd"/>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aEc</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RRREc</w:t>
            </w:r>
            <w:proofErr w:type="spellEnd"/>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aSb</w:t>
            </w:r>
            <w:r w:rsidRPr="001E1D5F">
              <w:rPr>
                <w:rFonts w:ascii="Cambria Math" w:hAnsi="Cambria Math" w:cs="Cambria Math"/>
                <w:color w:val="000000"/>
                <w:sz w:val="21"/>
                <w:szCs w:val="21"/>
                <w:lang w:eastAsia="en-GB"/>
              </w:rPr>
              <w:t>⋅</w:t>
            </w:r>
            <w:r w:rsidRPr="001E1D5F">
              <w:rPr>
                <w:rFonts w:cstheme="minorHAnsi"/>
                <w:color w:val="000000"/>
                <w:sz w:val="21"/>
                <w:szCs w:val="21"/>
                <w:lang w:eastAsia="en-GB"/>
              </w:rPr>
              <w:t>RRRSb</w:t>
            </w:r>
            <w:proofErr w:type="spellEnd"/>
            <w:r w:rsidRPr="001E1D5F">
              <w:rPr>
                <w:rFonts w:cstheme="minorHAnsi"/>
                <w:color w:val="000000"/>
                <w:sz w:val="21"/>
                <w:szCs w:val="21"/>
                <w:lang w:eastAsia="en-GB"/>
              </w:rPr>
              <w:t xml:space="preserve">, where </w:t>
            </w:r>
            <w:proofErr w:type="spellStart"/>
            <w:r w:rsidRPr="001E1D5F">
              <w:rPr>
                <w:rFonts w:cstheme="minorHAnsi"/>
                <w:color w:val="000000"/>
                <w:sz w:val="21"/>
                <w:szCs w:val="21"/>
                <w:lang w:eastAsia="en-GB"/>
              </w:rPr>
              <w:t>aT</w:t>
            </w:r>
            <w:proofErr w:type="spellEnd"/>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aEn</w:t>
            </w:r>
            <w:proofErr w:type="spellEnd"/>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aEc</w:t>
            </w:r>
            <w:proofErr w:type="spellEnd"/>
            <w:r w:rsidRPr="001E1D5F">
              <w:rPr>
                <w:rFonts w:cstheme="minorHAnsi"/>
                <w:color w:val="000000"/>
                <w:sz w:val="21"/>
                <w:szCs w:val="21"/>
                <w:lang w:eastAsia="en-GB"/>
              </w:rPr>
              <w:t xml:space="preserve">​, and </w:t>
            </w:r>
            <w:proofErr w:type="spellStart"/>
            <w:r w:rsidRPr="001E1D5F">
              <w:rPr>
                <w:rFonts w:cstheme="minorHAnsi"/>
                <w:color w:val="000000"/>
                <w:sz w:val="21"/>
                <w:szCs w:val="21"/>
                <w:lang w:eastAsia="en-GB"/>
              </w:rPr>
              <w:t>aSb</w:t>
            </w:r>
            <w:proofErr w:type="spellEnd"/>
            <w:r w:rsidRPr="001E1D5F">
              <w:rPr>
                <w:rFonts w:cstheme="minorHAnsi"/>
                <w:color w:val="000000"/>
                <w:sz w:val="21"/>
                <w:szCs w:val="21"/>
                <w:lang w:eastAsia="en-GB"/>
              </w:rPr>
              <w:t xml:space="preserve">​ are the respective weights, and ST, </w:t>
            </w:r>
            <w:proofErr w:type="spellStart"/>
            <w:r w:rsidRPr="001E1D5F">
              <w:rPr>
                <w:rFonts w:cstheme="minorHAnsi"/>
                <w:color w:val="000000"/>
                <w:sz w:val="21"/>
                <w:szCs w:val="21"/>
                <w:lang w:eastAsia="en-GB"/>
              </w:rPr>
              <w:t>SEn</w:t>
            </w:r>
            <w:proofErr w:type="spellEnd"/>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SEc</w:t>
            </w:r>
            <w:proofErr w:type="spellEnd"/>
            <w:r w:rsidRPr="001E1D5F">
              <w:rPr>
                <w:rFonts w:cstheme="minorHAnsi"/>
                <w:color w:val="000000"/>
                <w:sz w:val="21"/>
                <w:szCs w:val="21"/>
                <w:lang w:eastAsia="en-GB"/>
              </w:rPr>
              <w:t xml:space="preserve">​, </w:t>
            </w:r>
            <w:proofErr w:type="spellStart"/>
            <w:r w:rsidRPr="001E1D5F">
              <w:rPr>
                <w:rFonts w:cstheme="minorHAnsi"/>
                <w:color w:val="000000"/>
                <w:sz w:val="21"/>
                <w:szCs w:val="21"/>
                <w:lang w:eastAsia="en-GB"/>
              </w:rPr>
              <w:t>SSb</w:t>
            </w:r>
            <w:proofErr w:type="spellEnd"/>
            <w:r w:rsidRPr="001E1D5F">
              <w:rPr>
                <w:rFonts w:cstheme="minorHAnsi"/>
                <w:color w:val="000000"/>
                <w:sz w:val="21"/>
                <w:szCs w:val="21"/>
                <w:lang w:eastAsia="en-GB"/>
              </w:rPr>
              <w:t>​ are the expert-assigned scores for each component.</w:t>
            </w:r>
          </w:p>
        </w:tc>
        <w:tc>
          <w:tcPr>
            <w:tcW w:w="1559" w:type="dxa"/>
            <w:vAlign w:val="center"/>
          </w:tcPr>
          <w:p w14:paraId="3298E2C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2E407F0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Energy, Chemical</w:t>
            </w:r>
          </w:p>
        </w:tc>
        <w:tc>
          <w:tcPr>
            <w:tcW w:w="1559" w:type="dxa"/>
            <w:vAlign w:val="center"/>
          </w:tcPr>
          <w:p w14:paraId="7B55F2C0" w14:textId="2520E6D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{"citationID":"Hs0Mp32W","properties":{"formattedCitation":"[35,36]","plainCitation":"[35,36]","noteIndex":0},"citationItems":[{"id":3088,"uris":["http://zotero.org/users/local/05JQq5lJ/items/9D4L6NCU"],"itemData":{"id":3088,"type":"article-journal","abstract":"A complex method developed to assess quality within a proposed framework and at a certain scope of measurement for circular economy (CE) quality indicators is presented. This was used to compare three different scenarios for municipal waste management systems: 1—incineration; 2—recycling and reuse of separated municipal waste and the transformation of the organic fraction into biodiesel and bio-coal; and 3—an upgraded Scenario 2 including decreased recycling of waste streams and the bioprocessing of paper/cardboard and processing the non-recycled fraction into bio-diesel, bio-coal, and second-generation biofuel. For the evaluation of the CE quality indicator, a set of technical, environmental, economic, and social elements was selected by a panel of experts, who also assigned them a qualitative assessment and weighting on the basis of the factors identified. The calculated Relative Increase in the CE indicator for the scenarios analyzed showed that Scenarios 3 and 2 are much more beneficial than Scenario 1 in technical, environmental, economic and social terms.","container-title":"Energies","DOI":"10.3390/en15228625","ISSN":"1996-1073","issue":"22","language":"en","license":"http://creativecommons.org/licenses/by/3.0/","note":"number: 22\npublisher: Multidisciplinary Digital Publishing Institute","page":"8625","source":"www.mdpi.com","title":"Assessment of Energy Recovery from Municipal Waste Management Systems Using Circular Economy Quality Indicators","volume":"15","author":[{"family":"Kowalski","given":"Zygmunt"},{"family":"Kulczycka","given":"Joanna"},{"family":"Makara","given":"Agnieszka"},{"family":"Verhé","given":"Roland"},{"family":"De Clercq","given":"Guy"}],"issued":{"date-parts":[["2022",1]]}}},{"id":3086,"uris":["http://zotero.org/users/local/05JQq5lJ/items/2B2CXPCP"],"itemData":{"id":3086,"type":"article-journal","abstract":"Measuring circular-economy progress requires indicators to examine the implementation of management systems. A complex quality indicator for assessing production systems at the circular-economy micro level was proposed. One innovative aspect of this evaluation of quality indicators is the classification of a set of sixty selected options divided into four core groups (technical, environmental, economic, and social). The second one is the use of a trimmed-mean method to summarize the individual options score into core groups and complex circular-economy indicators of analyzed production systems. The individual options were weighed according to indices defined by the professional team. Here is presented a case study of the use of developed complex quality indicators, including a comparison of two sodium tripolyphosphate production processes. The calculated indicator of the new method was higher, at 204.8%, than the indicator of the old method. This confirms the significant advantage of the new technology.","container-title":"Sustainability","DOI":"10.3390/su151813495","ISSN":"2071-1050","issue":"18","language":"en","license":"http://creativecommons.org/licenses/by/3.0/","note":"number: 18\npublisher: Multidisciplinary Digital Publishing Institute","page":"13495","source":"www.mdpi.com","title":"A Complex Circular-Economy Quality Indicator for Assessing Production Systems at the Micro Level","volume":"15","author":[{"family":"Kowalski","given":"Zygmunt"},{"family":"Kulczycka","given":"Joanna"},{"family":"Banach","given":"Marcin"},{"family":"Makara","given":"Agnieszka"}],"issued":{"date-parts":[["2023",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[35,36]</w:t>
            </w:r>
            <w:r w:rsidRPr="001E1D5F">
              <w:rPr>
                <w:rFonts w:cstheme="minorHAnsi"/>
                <w:color w:val="000000"/>
                <w:sz w:val="21"/>
                <w:szCs w:val="21"/>
                <w:lang w:eastAsia="en-GB"/>
              </w:rPr>
              <w:fldChar w:fldCharType="end"/>
            </w:r>
          </w:p>
        </w:tc>
      </w:tr>
      <w:tr w:rsidR="001E1D5F" w:rsidRPr="001E1D5F" w14:paraId="7A8C441C" w14:textId="77777777" w:rsidTr="00040455">
        <w:trPr>
          <w:trHeight w:val="300"/>
          <w:jc w:val="center"/>
        </w:trPr>
        <w:tc>
          <w:tcPr>
            <w:tcW w:w="1995" w:type="dxa"/>
            <w:noWrap/>
            <w:vAlign w:val="center"/>
          </w:tcPr>
          <w:p w14:paraId="045C59D8"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Reconfiguration Index (RI)</w:t>
            </w:r>
          </w:p>
        </w:tc>
        <w:tc>
          <w:tcPr>
            <w:tcW w:w="1560" w:type="dxa"/>
            <w:noWrap/>
            <w:vAlign w:val="center"/>
          </w:tcPr>
          <w:p w14:paraId="65EF5D4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2ADA544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RI = R*</w:t>
            </w:r>
            <w:proofErr w:type="spellStart"/>
            <w:r w:rsidRPr="001E1D5F">
              <w:rPr>
                <w:rFonts w:cstheme="minorHAnsi"/>
                <w:color w:val="000000"/>
                <w:sz w:val="21"/>
                <w:szCs w:val="21"/>
                <w:lang w:eastAsia="en-GB"/>
              </w:rPr>
              <w:t>P/</w:t>
            </w:r>
            <w:proofErr w:type="gramStart"/>
            <w:r w:rsidRPr="001E1D5F">
              <w:rPr>
                <w:rFonts w:cstheme="minorHAnsi"/>
                <w:color w:val="000000"/>
                <w:sz w:val="21"/>
                <w:szCs w:val="21"/>
                <w:lang w:eastAsia="en-GB"/>
              </w:rPr>
              <w:t>n</w:t>
            </w:r>
            <w:proofErr w:type="spellEnd"/>
            <w:r w:rsidRPr="001E1D5F">
              <w:rPr>
                <w:rFonts w:cstheme="minorHAnsi"/>
                <w:color w:val="000000"/>
                <w:sz w:val="21"/>
                <w:szCs w:val="21"/>
                <w:lang w:eastAsia="en-GB"/>
              </w:rPr>
              <w:t xml:space="preserve"> ,</w:t>
            </w:r>
            <w:proofErr w:type="gramEnd"/>
            <w:r w:rsidRPr="001E1D5F">
              <w:rPr>
                <w:rFonts w:cstheme="minorHAnsi"/>
                <w:color w:val="000000"/>
                <w:sz w:val="21"/>
                <w:szCs w:val="21"/>
                <w:lang w:eastAsia="en-GB"/>
              </w:rPr>
              <w:t xml:space="preserve"> where; </w:t>
            </w:r>
            <w:r w:rsidRPr="001E1D5F">
              <w:rPr>
                <w:rFonts w:cstheme="minorHAnsi"/>
                <w:b/>
                <w:bCs/>
                <w:color w:val="000000"/>
                <w:sz w:val="21"/>
                <w:szCs w:val="21"/>
                <w:lang w:eastAsia="en-GB"/>
              </w:rPr>
              <w:t>R</w:t>
            </w:r>
            <w:r w:rsidRPr="001E1D5F">
              <w:rPr>
                <w:rFonts w:cstheme="minorHAnsi"/>
                <w:color w:val="000000"/>
                <w:sz w:val="21"/>
                <w:szCs w:val="21"/>
                <w:lang w:eastAsia="en-GB"/>
              </w:rPr>
              <w:t xml:space="preserve"> is the number of possible reconfigurations in the product family, </w:t>
            </w:r>
            <w:r w:rsidRPr="001E1D5F">
              <w:rPr>
                <w:rFonts w:cstheme="minorHAnsi"/>
                <w:b/>
                <w:bCs/>
                <w:color w:val="000000"/>
                <w:sz w:val="21"/>
                <w:szCs w:val="21"/>
                <w:lang w:eastAsia="en-GB"/>
              </w:rPr>
              <w:t>P</w:t>
            </w:r>
            <w:r w:rsidRPr="001E1D5F">
              <w:rPr>
                <w:rFonts w:cstheme="minorHAnsi"/>
                <w:color w:val="000000"/>
                <w:sz w:val="21"/>
                <w:szCs w:val="21"/>
                <w:lang w:eastAsia="en-GB"/>
              </w:rPr>
              <w:t xml:space="preserve"> is the number of product variants within the product family, </w:t>
            </w:r>
            <w:r w:rsidRPr="001E1D5F">
              <w:rPr>
                <w:rFonts w:cstheme="minorHAnsi"/>
                <w:b/>
                <w:bCs/>
                <w:color w:val="000000"/>
                <w:sz w:val="21"/>
                <w:szCs w:val="21"/>
                <w:lang w:eastAsia="en-GB"/>
              </w:rPr>
              <w:t>n</w:t>
            </w:r>
            <w:r w:rsidRPr="001E1D5F">
              <w:rPr>
                <w:rFonts w:cstheme="minorHAnsi"/>
                <w:color w:val="000000"/>
                <w:sz w:val="21"/>
                <w:szCs w:val="21"/>
                <w:lang w:eastAsia="en-GB"/>
              </w:rPr>
              <w:t xml:space="preserve"> is the number of pieces in the whole product family.</w:t>
            </w:r>
          </w:p>
        </w:tc>
        <w:tc>
          <w:tcPr>
            <w:tcW w:w="1559" w:type="dxa"/>
            <w:vAlign w:val="center"/>
          </w:tcPr>
          <w:p w14:paraId="14DFAEF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6448E42B"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Healthcare Equipment</w:t>
            </w:r>
          </w:p>
        </w:tc>
        <w:tc>
          <w:tcPr>
            <w:tcW w:w="1559" w:type="dxa"/>
            <w:vAlign w:val="center"/>
          </w:tcPr>
          <w:p w14:paraId="5B6631AB" w14:textId="5283E69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{"citationID":"Y9XW7C05","properties":{"formattedCitation":"[37]","plainCitation":"[37]","noteIndex":0},"citationItems":[{"id":3046,"uris":["http://zotero.org/users/local/05JQq5lJ/items/5NZXA6DR"],"itemData":{"id":3046,"type":"article-journal","container-title":"Journal of cleaner production","note":"publisher: Elsevier","page":"1429–1442","source":"Google Scholar","title":"Developing a set of sustainability indicators for product families based on the circular economy model","volume":"196","author":[{"family":"Mesa","given":"Jaime"},{"family":"Esparragoza","given":"Iván"},{"family":"Maury","given":"Heriberto"}],"issued":{"date-parts":[["2018"]]}}}],"schema":"https://github.com/citation-style-language/schema/raw/master/csl-citation.json"}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[37]</w:t>
            </w:r>
            <w:r w:rsidRPr="001E1D5F">
              <w:rPr>
                <w:rFonts w:cstheme="minorHAnsi"/>
                <w:color w:val="000000"/>
                <w:sz w:val="21"/>
                <w:szCs w:val="21"/>
                <w:lang w:eastAsia="en-GB"/>
              </w:rPr>
              <w:fldChar w:fldCharType="end"/>
            </w:r>
          </w:p>
        </w:tc>
      </w:tr>
      <w:tr w:rsidR="001E1D5F" w:rsidRPr="001E1D5F" w14:paraId="7F722A2C" w14:textId="77777777" w:rsidTr="00040455">
        <w:trPr>
          <w:trHeight w:val="300"/>
          <w:jc w:val="center"/>
        </w:trPr>
        <w:tc>
          <w:tcPr>
            <w:tcW w:w="16170" w:type="dxa"/>
            <w:gridSpan w:val="6"/>
            <w:shd w:val="clear" w:color="auto" w:fill="E7E6E6" w:themeFill="background2"/>
            <w:noWrap/>
            <w:vAlign w:val="center"/>
            <w:hideMark/>
          </w:tcPr>
          <w:p w14:paraId="721DE1F3"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Indicator group C2: Disassembly &amp; Repair</w:t>
            </w:r>
          </w:p>
        </w:tc>
      </w:tr>
      <w:tr w:rsidR="001E1D5F" w:rsidRPr="001E1D5F" w14:paraId="4AABB3DD" w14:textId="77777777" w:rsidTr="00040455">
        <w:trPr>
          <w:trHeight w:val="300"/>
          <w:jc w:val="center"/>
        </w:trPr>
        <w:tc>
          <w:tcPr>
            <w:tcW w:w="1995" w:type="dxa"/>
            <w:noWrap/>
            <w:vAlign w:val="center"/>
          </w:tcPr>
          <w:p w14:paraId="59C8E6C6"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Cost of non-destructive disassembly</w:t>
            </w:r>
          </w:p>
        </w:tc>
        <w:tc>
          <w:tcPr>
            <w:tcW w:w="1560" w:type="dxa"/>
            <w:noWrap/>
            <w:vAlign w:val="center"/>
          </w:tcPr>
          <w:p w14:paraId="0B4A1F7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5A5AA1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The costs associated with the disassembly of products or components in a manner that does not cause damage to them, allowing for their reuse, remanufacture, or refurbishment.</w:t>
            </w:r>
          </w:p>
        </w:tc>
        <w:tc>
          <w:tcPr>
            <w:tcW w:w="1559" w:type="dxa"/>
            <w:vAlign w:val="center"/>
          </w:tcPr>
          <w:p w14:paraId="2F7A0A7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Monetary Units (e.g. $USD/unit)</w:t>
            </w:r>
          </w:p>
        </w:tc>
        <w:tc>
          <w:tcPr>
            <w:tcW w:w="3969" w:type="dxa"/>
            <w:vAlign w:val="center"/>
          </w:tcPr>
          <w:p w14:paraId="77F1661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General</w:t>
            </w:r>
          </w:p>
        </w:tc>
        <w:tc>
          <w:tcPr>
            <w:tcW w:w="1559" w:type="dxa"/>
            <w:vAlign w:val="center"/>
          </w:tcPr>
          <w:p w14:paraId="02E5F319" w14:textId="60854CE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{"citationID":"KwzRgXH2","properties":{"formattedCitation":"[38]","plainCitation":"[38]","noteIndex":0},"citationItems":[{"id":3049,"uris":["http://zotero.org/users/local/05JQq5lJ/items/C86FUP6R"],"itemData":{"id":3049,"type":"article-journal","abstract":"The concept of Circular Economy proposes an innovative alternative model to counter the failed support of society's current ‘linear’ mode of operating, with the goal of achieving increased sustainability. A wide range of approaches have been proposed to help businesses plan for and implement circular strategies. Despite positive claims about the potential of circular economy implementation to simultaneously reduce environmental burden whilst enhancing business benefits, not all circular solutions (or circumstances) bring the desired positive effects, especially in the broader context of sustainability. For this reason, any decision to adopt a circular economy strategy ought to be carefully assessed with regards to its potential sustainability performance, prior to its implementation. While several attempts to measure or estimate the sustainability effects of circular economy strategies have been made, they often deploy methodologies that rely on multifaceted input information. Furthermore, such efforts provide results by means of employing lagging indicators, which are complex and may not be easily understood by decision-makers in a manufacturing company context. This paper provides a review of leading sustainability-related performance indicators, identified through a systematic literature review. As a result, more than 270 leading performance indicators have been retrieved and consolidated in a database. Subsequently, these indicators have been classified according to three categories: sustainability dimensions; business processes; and circular economy strategies. The key findings show that leading sustainability-related performance indicators are available for a wide range of Circular Economy strategies, thus making it possible to measure the potential sustainability performance of circular strategies prior their implementation. Furthermore, the specificities of leading indicators available for each classification category are presented, several gaps are identified and direction for future research is established.","container-title":"Journal of Cleaner Production","DOI":"10.1016/j.jclepro.2019.118318","ISSN":"0959-6526","journalAbbreviation":"Journal of Cleaner Production","page":"118318","source":"ScienceDirect","title":"Towards the ex-ante sustainability screening of circular economy initiatives in manufacturing companies: Consolidation of leading sustainability-related performance indicators","title-short":"Towards the ex-ante sustainability screening of circular economy initiatives in manufacturing companies","volume":"241","author":[{"family":"Kravchenko","given":"Mariia"},{"family":"Pigosso","given":"Daniela CA."},{"family":"McAloone","given":"Tim C."}],"issued":{"date-parts":[["2019",12,20]]}}}],"schema":"https://github.com/citation-style-language/schema/raw/master/csl-citation.json"}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[38]</w:t>
            </w:r>
            <w:r w:rsidRPr="001E1D5F">
              <w:rPr>
                <w:rFonts w:cstheme="minorHAnsi"/>
                <w:color w:val="000000"/>
                <w:sz w:val="21"/>
                <w:szCs w:val="21"/>
                <w:lang w:eastAsia="en-GB"/>
              </w:rPr>
              <w:fldChar w:fldCharType="end"/>
            </w:r>
          </w:p>
        </w:tc>
      </w:tr>
      <w:tr w:rsidR="001E1D5F" w:rsidRPr="001E1D5F" w14:paraId="7AA05623" w14:textId="77777777" w:rsidTr="00040455">
        <w:trPr>
          <w:trHeight w:val="300"/>
          <w:jc w:val="center"/>
        </w:trPr>
        <w:tc>
          <w:tcPr>
            <w:tcW w:w="1995" w:type="dxa"/>
            <w:noWrap/>
            <w:vAlign w:val="center"/>
          </w:tcPr>
          <w:p w14:paraId="381FFE74" w14:textId="77777777" w:rsidR="001E1D5F" w:rsidRPr="001E1D5F" w:rsidDel="00C0691D"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Disassembly Effort Index (DEI)</w:t>
            </w:r>
          </w:p>
        </w:tc>
        <w:tc>
          <w:tcPr>
            <w:tcW w:w="1560" w:type="dxa"/>
            <w:noWrap/>
            <w:vAlign w:val="center"/>
          </w:tcPr>
          <w:p w14:paraId="3E717877"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22273C4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Work and processes required to disassemble a product to provide a score for the</w:t>
            </w:r>
          </w:p>
          <w:p w14:paraId="564061D5" w14:textId="77777777" w:rsidR="001E1D5F" w:rsidRPr="001E1D5F" w:rsidDel="00C0691D"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product.</w:t>
            </w:r>
          </w:p>
        </w:tc>
        <w:tc>
          <w:tcPr>
            <w:tcW w:w="1559" w:type="dxa"/>
            <w:vAlign w:val="center"/>
          </w:tcPr>
          <w:p w14:paraId="7EF613BF"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416091C1"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Chemical, General</w:t>
            </w:r>
          </w:p>
        </w:tc>
        <w:tc>
          <w:tcPr>
            <w:tcW w:w="1559" w:type="dxa"/>
            <w:vAlign w:val="center"/>
          </w:tcPr>
          <w:p w14:paraId="30C46D42" w14:textId="4D183632"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7bfIOw2O","properties":{"formattedCitation":"[4,17,18,39]","plainCitation":"[4,17,18,39]","noteIndex":0},"citationItems":[{"id":3052,"uris":["http://zotero.org/users/local/05JQq5lJ/items/QR6PUUCV"],"itemData":{"id":3052,"type":"article-journal","container-title":"International Journal of Production Research","DOI":"10.1080/002075400189356","ISSN":"0020-7543, 1366-588X","issue":"3","journalAbbreviation":"International Journal of Production Research","language":"en","page":"657-673","source":"DOI.org (Crossref)","title":"An approach for estimating the end-of-life product disassembly effort and cost","volume":"38","author":[{"family":"Das","given":"Sanchoy K."},{"family":"Yedlarajiah","given":"Pradeep"},{"family":"Narendra","given":"Raj"}],"issued":{"date-parts":[["2000",2]]}}},{"id":2977,"uris":["http://zotero.org/users/local/05JQq5lJ/items/9N3FM8MA"],"itemData":{"id":2977,"type":"article-journal","abstract":"The circular economy indices are increasingly recognized as a useful tool to support the development of policies in providing information, reducing environmental pressures and impacts through a circular recycling process. The aim of the paper is to provide a complete overview of circular economy indices.Starting by 137 articles published from 2000 to 2019, the analysis surveys 61 indicators measuring the circular economy. The indicators were grouped by using a double classification: first according to the three spatial dimensions of sustainability -macro, micro and meso- then on the basis of the 3R Core CE principles. Providing all the information related to the formulation strategy, scaling, normalization, weighting and aggregation methodology allows the readers to get a dedicate toolkit.","container-title":"Journal of Cleaner Production","DOI":"10.1016/j.jclepro.2020.124942","ISSN":"0959-6526","journalAbbreviation":"Journal of Cleaner Production","page":"124942","source":"ScienceDirect","title":"A systematic review for measuring circular economy: The 61 indicators","title-short":"A systematic review for measuring circular economy","volume":"281","author":[{"family":"De Pascale","given":"Angelina"},{"family":"Arbolino","given":"Roberta"},{"family":"Szopik-Depczyńska","given":"Katarzyna"},{"family":"Limosani","given":"Michele"},{"family":"Ioppolo","given":"Giuseppe"}],"issued":{"date-parts":[["2021",1,25]]}}},{"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[4,17,18,39]</w:t>
            </w:r>
            <w:r w:rsidRPr="001E1D5F">
              <w:rPr>
                <w:rFonts w:cstheme="minorHAnsi"/>
                <w:color w:val="000000"/>
                <w:sz w:val="21"/>
                <w:szCs w:val="21"/>
                <w:lang w:eastAsia="en-GB"/>
              </w:rPr>
              <w:fldChar w:fldCharType="end"/>
            </w:r>
          </w:p>
        </w:tc>
      </w:tr>
      <w:tr w:rsidR="001E1D5F" w:rsidRPr="001E1D5F" w14:paraId="742821B8" w14:textId="77777777" w:rsidTr="00040455">
        <w:trPr>
          <w:trHeight w:val="300"/>
          <w:jc w:val="center"/>
        </w:trPr>
        <w:tc>
          <w:tcPr>
            <w:tcW w:w="1995" w:type="dxa"/>
            <w:noWrap/>
            <w:vAlign w:val="center"/>
          </w:tcPr>
          <w:p w14:paraId="741582C2" w14:textId="77777777" w:rsidR="001E1D5F" w:rsidRPr="001E1D5F" w:rsidDel="00C0691D"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Effective Disassembly Time (EDT)</w:t>
            </w:r>
          </w:p>
        </w:tc>
        <w:tc>
          <w:tcPr>
            <w:tcW w:w="1560" w:type="dxa"/>
            <w:noWrap/>
            <w:vAlign w:val="center"/>
          </w:tcPr>
          <w:p w14:paraId="78464B07"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BB943CE" w14:textId="77777777" w:rsidR="001E1D5F" w:rsidRPr="001E1D5F" w:rsidDel="00C0691D"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It calculates the total time required to disassemble a product and isolate target components, using a simpler approach that focuses solely on disassembly time without breaking down specific tasks.</w:t>
            </w:r>
          </w:p>
        </w:tc>
        <w:tc>
          <w:tcPr>
            <w:tcW w:w="1559" w:type="dxa"/>
            <w:vAlign w:val="center"/>
          </w:tcPr>
          <w:p w14:paraId="4D6AFDD7"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Time (seconds)</w:t>
            </w:r>
          </w:p>
        </w:tc>
        <w:tc>
          <w:tcPr>
            <w:tcW w:w="3969" w:type="dxa"/>
            <w:vAlign w:val="center"/>
          </w:tcPr>
          <w:p w14:paraId="1C99104D"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 Chemical, General</w:t>
            </w:r>
          </w:p>
        </w:tc>
        <w:tc>
          <w:tcPr>
            <w:tcW w:w="1559" w:type="dxa"/>
            <w:vAlign w:val="center"/>
          </w:tcPr>
          <w:p w14:paraId="371322BB" w14:textId="23502D28"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{"citationID":"Ycrq3m7M","properties":{"formattedCitation":"[4,17,18]","plainCitation":"[4,17,18]","noteIndex":0},"citationItems":[{"id":2977,"uris":["http://zotero.org/users/local/05JQq5lJ/items/9N3FM8MA"],"itemData":{"id":2977,"type":"article-journal","abstract":"The circular economy indices are increasingly recognized as a useful tool to support the development of policies in providing information, reducing environmental pressures and impacts through a circular recycling process. The aim of the paper is to provide a complete overview of circular economy indices.Starting by 137 articles published from 2000 to 2019, the analysis surveys 61 indicators measuring the circular economy. The indicators were grouped by using a double classification: first according to the three spatial dimensions of sustainability -macro, micro and meso- then on the basis of the 3R Core CE principles. Providing all the information related to the formulation strategy, scaling, normalization, weighting and aggregation methodology allows the readers to get a dedicate toolkit.","container-title":"Journal of Cleaner Production","DOI":"10.1016/j.jclepro.2020.124942","ISSN":"0959-6526","journalAbbreviation":"Journal of Cleaner Production","page":"124942","source":"ScienceDirect","title":"A systematic review for measuring circular economy: The 61 indicators","title-short":"A systematic review for measuring circular economy","volume":"281","author":[{"family":"De Pascale","given":"Angelina"},{"family":"Arbolino","given":"Roberta"},{"family":"Szopik-Depczyńska","given":"Katarzyna"},{"family":"Limosani","given":"Michele"},{"family":"Ioppolo","given":"Giuseppe"}],"issued":{"date-parts":[["2021",1,25]]}}},{"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[4,17,18]</w:t>
            </w:r>
            <w:r w:rsidRPr="001E1D5F">
              <w:rPr>
                <w:rFonts w:cstheme="minorHAnsi"/>
                <w:color w:val="000000"/>
                <w:sz w:val="21"/>
                <w:szCs w:val="21"/>
                <w:lang w:eastAsia="en-GB"/>
              </w:rPr>
              <w:fldChar w:fldCharType="end"/>
            </w:r>
          </w:p>
        </w:tc>
      </w:tr>
      <w:tr w:rsidR="001E1D5F" w:rsidRPr="001E1D5F" w14:paraId="0DD532FC" w14:textId="77777777" w:rsidTr="00040455">
        <w:trPr>
          <w:trHeight w:val="300"/>
          <w:jc w:val="center"/>
        </w:trPr>
        <w:tc>
          <w:tcPr>
            <w:tcW w:w="1995" w:type="dxa"/>
            <w:noWrap/>
            <w:vAlign w:val="center"/>
          </w:tcPr>
          <w:p w14:paraId="42A27C1E"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Degree of repairability of product</w:t>
            </w:r>
          </w:p>
        </w:tc>
        <w:tc>
          <w:tcPr>
            <w:tcW w:w="1560" w:type="dxa"/>
            <w:noWrap/>
            <w:vAlign w:val="center"/>
          </w:tcPr>
          <w:p w14:paraId="6E80508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Semi-Quantitative</w:t>
            </w:r>
          </w:p>
        </w:tc>
        <w:tc>
          <w:tcPr>
            <w:tcW w:w="5528" w:type="dxa"/>
            <w:vAlign w:val="center"/>
          </w:tcPr>
          <w:p w14:paraId="4B9D5B4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It is defined by the product’s technical ease of repair—such as access to spare parts, repair instructions, and disassembly—and the availability of repair services.</w:t>
            </w:r>
          </w:p>
        </w:tc>
        <w:tc>
          <w:tcPr>
            <w:tcW w:w="1559" w:type="dxa"/>
            <w:vAlign w:val="center"/>
          </w:tcPr>
          <w:p w14:paraId="6EC27FC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Index/Score from the evaluation of factors such as ease of repair, availability of parts, etc.</w:t>
            </w:r>
          </w:p>
        </w:tc>
        <w:tc>
          <w:tcPr>
            <w:tcW w:w="3969" w:type="dxa"/>
            <w:vAlign w:val="center"/>
          </w:tcPr>
          <w:p w14:paraId="36AD448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302B7285" w14:textId="62647150"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{"citationID":"6p7XAqnY","properties":{"formattedCitation":"[34]","plainCitation":"[34]","noteIndex":0},"citationItems":[{"id":3047,"uris":["http://zotero.org/users/local/05JQq5lJ/items/86PCEPYM"],"itemData":{"id":3047,"type":"article-journal","abstract":"The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7C9410D6" w14:textId="77777777" w:rsidTr="00040455">
        <w:trPr>
          <w:trHeight w:val="300"/>
          <w:jc w:val="center"/>
        </w:trPr>
        <w:tc>
          <w:tcPr>
            <w:tcW w:w="1995" w:type="dxa"/>
            <w:noWrap/>
            <w:vAlign w:val="center"/>
          </w:tcPr>
          <w:p w14:paraId="471198C8" w14:textId="77777777" w:rsidR="001E1D5F" w:rsidRPr="001E1D5F" w:rsidDel="00C0691D"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lastRenderedPageBreak/>
              <w:t>Energy consumption for disassembly</w:t>
            </w:r>
          </w:p>
        </w:tc>
        <w:tc>
          <w:tcPr>
            <w:tcW w:w="1560" w:type="dxa"/>
            <w:noWrap/>
            <w:vAlign w:val="center"/>
          </w:tcPr>
          <w:p w14:paraId="091F0315"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05C5E89E" w14:textId="77777777" w:rsidR="001E1D5F" w:rsidRPr="001E1D5F" w:rsidDel="00C0691D"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It quantifies the energy required to perform disassembly tasks</w:t>
            </w:r>
          </w:p>
        </w:tc>
        <w:tc>
          <w:tcPr>
            <w:tcW w:w="1559" w:type="dxa"/>
            <w:vAlign w:val="center"/>
          </w:tcPr>
          <w:p w14:paraId="14799A6A"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kilowatt-hours (kWh) or joules (J)</w:t>
            </w:r>
          </w:p>
        </w:tc>
        <w:tc>
          <w:tcPr>
            <w:tcW w:w="3969" w:type="dxa"/>
            <w:vAlign w:val="center"/>
          </w:tcPr>
          <w:p w14:paraId="1825A402" w14:textId="77777777"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Outdoor Power Equipment</w:t>
            </w:r>
          </w:p>
        </w:tc>
        <w:tc>
          <w:tcPr>
            <w:tcW w:w="1559" w:type="dxa"/>
            <w:vAlign w:val="center"/>
          </w:tcPr>
          <w:p w14:paraId="7711AFD9" w14:textId="37B9FF80" w:rsidR="001E1D5F" w:rsidRPr="001E1D5F" w:rsidDel="00C0691D"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{"citationID":"9zGV9WcJ","properties":{"formattedCitation":"[3]","plainCitation":"[3]","noteIndex":0},"citationItems":[{"id":2984,"uris":["http://zotero.org/users/local/05JQq5lJ/items/BJSA6XZ7"],"itemData":{"id":2984,"type":"article-journal","abstract":"Circular economy (CE) and sustainable development are not systematically synonyms and some trade-offs might occur between circularity and sustainability. This study addresses the nexus—i.e., the potential concurrence, complementarity, or conflict—between circularity and sustainability indicators to develop and monitor more circular and sustainable systems, using two complementary research approaches: (i) a review and comparison of existing works covering circularity and sustainability performances concurrently (Part I), (ii) new experimentations on more circularity and sustainability to fill the gaps of previous works and bring more concrete insights for practitioners on this matter (Part II). In the present Part I, we provide a state-of-the-art summary of the solutions and challenges related to the measurement of the sustainability performance of CE strategies. The contributions and limitations of life cycle assessment (LCA), leading sustainability, and circularity indicator–based approaches are analyzed, compared, and illustrated. Ten independent studies experimenting and comparing LCA and circularity indicators on different products are analyzed and compared. Depending on the product context and the CE scenarios evaluated, several types of connections emerged: beneficial, conditional, or scenario-dependent trade-offs. To fill the gaps of the existing studies exposed at the end of this paper (Part I), a new set of experimentations is designed and conducted (Part II) to further understand how these different approaches and indicators could be appropriately deployed to develop more circular and sustainable product systems.","container-title":"Circular Economy and Sustainability","DOI":"10.1007/s43615-022-00159-9","ISSN":"2730-5988","issue":"3","journalAbbreviation":"Circ.Econ.Sust.","language":"en","page":"1143-1156","source":"Springer Link","title":"Nexus Between Life Cycle Assessment, Circularity, and Sustainability Indicators—Part I: a Review","title-short":"Nexus Between Life Cycle Assessment, Circularity, and Sustainability Indicators—Part I","volume":"2","author":[{"family":"Saidani","given":"Michael"},{"family":"Kim","given":"Harrison"}],"issued":{"date-parts":[["2022",9,1]]}}}],"schema":"https://github.com/citation-style-language/schema/raw/master/csl-citation.json"}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w:t>
            </w:r>
            <w:r w:rsidRPr="001E1D5F">
              <w:rPr>
                <w:rFonts w:cstheme="minorHAnsi"/>
                <w:color w:val="000000"/>
                <w:sz w:val="21"/>
                <w:szCs w:val="21"/>
                <w:lang w:eastAsia="en-GB"/>
              </w:rPr>
              <w:fldChar w:fldCharType="end"/>
            </w:r>
          </w:p>
        </w:tc>
      </w:tr>
      <w:tr w:rsidR="001E1D5F" w:rsidRPr="001E1D5F" w14:paraId="3D2C3B62" w14:textId="77777777" w:rsidTr="00040455">
        <w:trPr>
          <w:trHeight w:val="300"/>
          <w:jc w:val="center"/>
        </w:trPr>
        <w:tc>
          <w:tcPr>
            <w:tcW w:w="16170" w:type="dxa"/>
            <w:gridSpan w:val="6"/>
            <w:shd w:val="clear" w:color="auto" w:fill="E7E6E6" w:themeFill="background2"/>
            <w:noWrap/>
            <w:vAlign w:val="center"/>
            <w:hideMark/>
          </w:tcPr>
          <w:p w14:paraId="5756EF6E"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 xml:space="preserve">Indicator group C3: Material Input &amp; Composition </w:t>
            </w:r>
          </w:p>
        </w:tc>
      </w:tr>
      <w:tr w:rsidR="001E1D5F" w:rsidRPr="001E1D5F" w14:paraId="601F97E9" w14:textId="77777777" w:rsidTr="00040455">
        <w:trPr>
          <w:trHeight w:val="300"/>
          <w:jc w:val="center"/>
        </w:trPr>
        <w:tc>
          <w:tcPr>
            <w:tcW w:w="1995" w:type="dxa"/>
            <w:noWrap/>
            <w:vAlign w:val="center"/>
            <w:hideMark/>
          </w:tcPr>
          <w:p w14:paraId="64EEF212"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Fraction of renewable raw materials</w:t>
            </w:r>
          </w:p>
        </w:tc>
        <w:tc>
          <w:tcPr>
            <w:tcW w:w="1560" w:type="dxa"/>
            <w:noWrap/>
            <w:vAlign w:val="center"/>
          </w:tcPr>
          <w:p w14:paraId="3DC983B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6CEE1E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(Quantity of Renewable Raw Materials Used/Total Quantity of Raw Materials </w:t>
            </w:r>
            <w:proofErr w:type="gramStart"/>
            <w:r w:rsidRPr="001E1D5F">
              <w:rPr>
                <w:rFonts w:cstheme="minorHAnsi"/>
                <w:color w:val="000000"/>
                <w:sz w:val="21"/>
                <w:szCs w:val="21"/>
                <w:lang w:eastAsia="en-GB"/>
              </w:rPr>
              <w:t>Used)*</w:t>
            </w:r>
            <w:proofErr w:type="gramEnd"/>
            <w:r w:rsidRPr="001E1D5F">
              <w:rPr>
                <w:rFonts w:cstheme="minorHAnsi"/>
                <w:color w:val="000000"/>
                <w:sz w:val="21"/>
                <w:szCs w:val="21"/>
                <w:lang w:eastAsia="en-GB"/>
              </w:rPr>
              <w:t>100</w:t>
            </w:r>
          </w:p>
        </w:tc>
        <w:tc>
          <w:tcPr>
            <w:tcW w:w="1559" w:type="dxa"/>
            <w:vAlign w:val="center"/>
          </w:tcPr>
          <w:p w14:paraId="79BCBC9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89B17A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General</w:t>
            </w:r>
          </w:p>
        </w:tc>
        <w:tc>
          <w:tcPr>
            <w:tcW w:w="1559" w:type="dxa"/>
            <w:vAlign w:val="center"/>
          </w:tcPr>
          <w:p w14:paraId="50E79A84" w14:textId="4322DC5D"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{"citationID":"Msd4cCHc","properties":{"formattedCitation":"[38]","plainCitation":"[38]","noteIndex":0},"citationItems":[{"id":3049,"uris":["http://zotero.org/users/local/05JQq5lJ/items/C86FUP6R"],"itemData":{"id":3049,"type":"article-journal","abstract":"The concept of Circular Economy proposes an innovative alternative model to counter the failed support of society's current ‘linear’ mode of operating, with the goal of achieving increased sustainability. A wide range of approaches have been proposed to help businesses plan for and implement circular strategies. Despite positive claims about the potential of circular economy implementation to simultaneously reduce environmental burden whilst enhancing business benefits, not all circular solutions (or circumstances) bring the desired positive effects, especially in the broader context of sustainability. For this reason, any decision to adopt a circular economy strategy ought to be carefully assessed with regards to its potential sustainability performance, prior to its implementation. While several attempts to measure or estimate the sustainability effects of circular economy strategies have been made, they often deploy methodologies that rely on multifaceted input information. Furthermore, such efforts provide results by means of employing lagging indicators, which are complex and may not be easily understood by decision-makers in a manufacturing company context. This paper provides a review of leading sustainability-related performance indicators, identified through a systematic literature review. As a result, more than 270 leading performance indicators have been retrieved and consolidated in a database. Subsequently, these indicators have been classified according to three categories: sustainability dimensions; business processes; and circular economy strategies. The key findings show that leading sustainability-related performance indicators are available for a wide range of Circular Economy strategies, thus making it possible to measure the potential sustainability performance of circular strategies prior their implementation. Furthermore, the specificities of leading indicators available for each classification category are presented, several gaps are identified and direction for future research is established.","container-title":"Journal of Cleaner Production","DOI":"10.1016/j.jclepro.2019.118318","ISSN":"0959-6526","journalAbbreviation":"Journal of Cleaner Production","page":"118318","source":"ScienceDirect","title":"Towards the ex-ante sustainability screening of circular economy initiatives in manufacturing companies: Consolidation of leading sustainability-related performance indicators","title-short":"Towards the ex-ante sustainability screening of circular economy initiatives in manufacturing companies","volume":"241","author":[{"family":"Kravchenko","given":"Mariia"},{"family":"Pigosso","given":"Daniela CA."},{"family":"McAloone","given":"Tim C."}],"issued":{"date-parts":[["2019",12,20]]}}}],"schema":"https://github.com/citation-style-language/schema/raw/master/csl-citation.json"}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[38]</w:t>
            </w:r>
            <w:r w:rsidRPr="001E1D5F">
              <w:rPr>
                <w:rFonts w:cstheme="minorHAnsi"/>
                <w:color w:val="000000"/>
                <w:sz w:val="21"/>
                <w:szCs w:val="21"/>
                <w:lang w:eastAsia="en-GB"/>
              </w:rPr>
              <w:fldChar w:fldCharType="end"/>
            </w:r>
          </w:p>
        </w:tc>
      </w:tr>
      <w:tr w:rsidR="001E1D5F" w:rsidRPr="001E1D5F" w14:paraId="608DEC9C" w14:textId="77777777" w:rsidTr="00040455">
        <w:trPr>
          <w:trHeight w:val="300"/>
          <w:jc w:val="center"/>
        </w:trPr>
        <w:tc>
          <w:tcPr>
            <w:tcW w:w="1995" w:type="dxa"/>
            <w:noWrap/>
            <w:vAlign w:val="center"/>
            <w:hideMark/>
          </w:tcPr>
          <w:p w14:paraId="3713BD4E"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Reduction of Toxic Substances</w:t>
            </w:r>
          </w:p>
        </w:tc>
        <w:tc>
          <w:tcPr>
            <w:tcW w:w="1560" w:type="dxa"/>
            <w:noWrap/>
            <w:vAlign w:val="center"/>
          </w:tcPr>
          <w:p w14:paraId="0B52364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6BF7F1B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It aims to quantify the reduction of the use of toxic substances considering RoHS (Restriction of Certain Hazardous Substances).</w:t>
            </w:r>
          </w:p>
        </w:tc>
        <w:tc>
          <w:tcPr>
            <w:tcW w:w="1559" w:type="dxa"/>
            <w:vAlign w:val="center"/>
          </w:tcPr>
          <w:p w14:paraId="2200E9B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 concentration (ppm, mg/L) or weight (kg, t)</w:t>
            </w:r>
          </w:p>
        </w:tc>
        <w:tc>
          <w:tcPr>
            <w:tcW w:w="3969" w:type="dxa"/>
            <w:vAlign w:val="center"/>
          </w:tcPr>
          <w:p w14:paraId="18133BF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Electro-electronic, Plastics, Textiles &amp; Fashion</w:t>
            </w:r>
          </w:p>
        </w:tc>
        <w:tc>
          <w:tcPr>
            <w:tcW w:w="1559" w:type="dxa"/>
            <w:vAlign w:val="center"/>
          </w:tcPr>
          <w:p w14:paraId="34EF6F4F" w14:textId="04A22EA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{"citationID":"hWlWgO7h","properties":{"formattedCitation":"[40]","plainCitation":"[40]","noteIndex":0},"citationItems":[{"id":3098,"uris":["http://zotero.org/users/local/05JQq5lJ/items/DSJUSIYY"],"itemData":{"id":3098,"type":"article-journal","abstract":"Circular Economy is the optimal point of sustainability, given that it offers a set of practices capable of generating more sustainable operations, making sustainability feasible in organizations. To measure the innovations brought by Circular Economy, there is a recent need to develop circularity indicators, mainly for micro level (companies and products). Furthermore, the complexity of Circular Economy implies in a set of multi-dimensional indicators instead of a single one. This paper aims to develop a set of indicators linking Circular Economy principles, Circular Business Model and the pillars of Sustainability. The set of indicators was developed based in the hypothetic-deductive approach, following a number of iterations (cycles) and testing the theory in the empirical world. A mix of research methods (e.g. expert consulting, user’s feedback, and case studies) was applied. The proposed indicators should be able to achieve the principles of the Circular Economy, and, at the same time, help to meet the specificities and needs of each circular business model. The main contribution of this paper is the development of a group of indicators, focused in the three dimensions of Sustainability (environmental (from material perspective), economic and social), applied in Circular Business Models to capture the innovations brought by Circular Economy that conventional indicators do not measure. Moreover, they will help any company to identify areas with high importance and potential for improvement, and thus increase Circular Economy performance in an efficient, clear and prompt manner. These indicators were applied in three Brazilian companies which have three different Circular Business Models. The results show that data from economic and social dimensions was not available or was diffused in the companies. It represents a barrier because most of the positive impacts gained with Circular Economy are presented in the social dimension, including job creation, mindset change, etc.","container-title":"Journal of Cleaner Production","DOI":"10.1016/j.jclepro.2019.119137","ISSN":"0959-6526","journalAbbreviation":"Journal of Cleaner Production","page":"119137","source":"ScienceDirect","title":"Circular economy indicators for organizations considering sustainability and business models: Plastic, textile and electro-electronic cases","title-short":"Circular economy indicators for organizations considering sustainability and business models","volume":"247","author":[{"family":"Rossi","given":"Efigênia"},{"family":"Bertassini","given":"Ana Carolina"},{"family":"Ferreira","given":"Camila dos Santos"},{"family":"Neves do Amaral","given":"Weber Antonio"},{"family":"Ometto","given":"Aldo Roberto"}],"issued":{"date-parts":[["2020",2,20]]}}}],"schema":"https://github.com/citation-style-language/schema/raw/master/csl-citation.json"}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[40]</w:t>
            </w:r>
            <w:r w:rsidRPr="001E1D5F">
              <w:rPr>
                <w:rFonts w:cstheme="minorHAnsi"/>
                <w:color w:val="000000"/>
                <w:sz w:val="21"/>
                <w:szCs w:val="21"/>
                <w:lang w:eastAsia="en-GB"/>
              </w:rPr>
              <w:fldChar w:fldCharType="end"/>
            </w:r>
          </w:p>
        </w:tc>
      </w:tr>
      <w:tr w:rsidR="001E1D5F" w:rsidRPr="001E1D5F" w14:paraId="3EF15B55" w14:textId="77777777" w:rsidTr="00040455">
        <w:trPr>
          <w:trHeight w:val="300"/>
          <w:jc w:val="center"/>
        </w:trPr>
        <w:tc>
          <w:tcPr>
            <w:tcW w:w="1995" w:type="dxa"/>
            <w:noWrap/>
            <w:vAlign w:val="center"/>
          </w:tcPr>
          <w:p w14:paraId="3FBAFE61"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Proportion of recycled content in a product</w:t>
            </w:r>
          </w:p>
        </w:tc>
        <w:tc>
          <w:tcPr>
            <w:tcW w:w="1560" w:type="dxa"/>
            <w:noWrap/>
            <w:vAlign w:val="center"/>
          </w:tcPr>
          <w:p w14:paraId="03BDA3B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1D3D3F4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ENV CI1</w:t>
            </w:r>
            <w:r w:rsidRPr="001E1D5F">
              <w:rPr>
                <w:rFonts w:cstheme="minorHAnsi"/>
                <w:color w:val="000000"/>
                <w:sz w:val="21"/>
                <w:szCs w:val="21"/>
                <w:lang w:eastAsia="en-GB"/>
              </w:rPr>
              <w:t xml:space="preserve"> = (Mass of Recycled Material Used/ Total Mass of the </w:t>
            </w:r>
            <w:proofErr w:type="gramStart"/>
            <w:r w:rsidRPr="001E1D5F">
              <w:rPr>
                <w:rFonts w:cstheme="minorHAnsi"/>
                <w:color w:val="000000"/>
                <w:sz w:val="21"/>
                <w:szCs w:val="21"/>
                <w:lang w:eastAsia="en-GB"/>
              </w:rPr>
              <w:t>Product)*</w:t>
            </w:r>
            <w:proofErr w:type="gramEnd"/>
            <w:r w:rsidRPr="001E1D5F">
              <w:rPr>
                <w:rFonts w:cstheme="minorHAnsi"/>
                <w:color w:val="000000"/>
                <w:sz w:val="21"/>
                <w:szCs w:val="21"/>
                <w:lang w:eastAsia="en-GB"/>
              </w:rPr>
              <w:t>100</w:t>
            </w:r>
          </w:p>
        </w:tc>
        <w:tc>
          <w:tcPr>
            <w:tcW w:w="1559" w:type="dxa"/>
            <w:vAlign w:val="center"/>
          </w:tcPr>
          <w:p w14:paraId="51B0497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72FE9A6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2C75D176" w14:textId="41E2ACE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{"citationID":"8SeUEIhH","properties":{"formattedCitation":"[34]","plainCitation":"[34]","noteIndex":0},"citationItems":[{"id":3047,"uris":["http://zotero.org/users/local/05JQq5lJ/items/86PCEPYM"],"itemData":{"id":3047,"type":"article-journal","abstract":"The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2903EB53" w14:textId="77777777" w:rsidTr="00040455">
        <w:trPr>
          <w:trHeight w:val="300"/>
          <w:jc w:val="center"/>
        </w:trPr>
        <w:tc>
          <w:tcPr>
            <w:tcW w:w="1995" w:type="dxa"/>
            <w:noWrap/>
            <w:vAlign w:val="center"/>
          </w:tcPr>
          <w:p w14:paraId="4C499FF3"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Proportion of recyclable materials in a product</w:t>
            </w:r>
          </w:p>
        </w:tc>
        <w:tc>
          <w:tcPr>
            <w:tcW w:w="1560" w:type="dxa"/>
            <w:noWrap/>
            <w:vAlign w:val="center"/>
          </w:tcPr>
          <w:p w14:paraId="3F89FF7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2C1AA8C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(Mass of Recyclable Materials/Total Product </w:t>
            </w:r>
            <w:proofErr w:type="gramStart"/>
            <w:r w:rsidRPr="001E1D5F">
              <w:rPr>
                <w:rFonts w:cstheme="minorHAnsi"/>
                <w:color w:val="000000"/>
                <w:sz w:val="21"/>
                <w:szCs w:val="21"/>
                <w:lang w:eastAsia="en-GB"/>
              </w:rPr>
              <w:t>Mass)*</w:t>
            </w:r>
            <w:proofErr w:type="gramEnd"/>
            <w:r w:rsidRPr="001E1D5F">
              <w:rPr>
                <w:rFonts w:cstheme="minorHAnsi"/>
                <w:color w:val="000000"/>
                <w:sz w:val="21"/>
                <w:szCs w:val="21"/>
                <w:lang w:eastAsia="en-GB"/>
              </w:rPr>
              <w:t>100</w:t>
            </w:r>
          </w:p>
        </w:tc>
        <w:tc>
          <w:tcPr>
            <w:tcW w:w="1559" w:type="dxa"/>
            <w:vAlign w:val="center"/>
          </w:tcPr>
          <w:p w14:paraId="15C9189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EC0DA8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278B608E" w14:textId="7A74204B"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{"citationID":"aAEp8vSa","properties":{"formattedCitation":"[34]","plainCitation":"[34]","noteIndex":0},"citationItems":[{"id":3047,"uris":["http://zotero.org/users/local/05JQq5lJ/items/86PCEPYM"],"itemData":{"id":3047,"type":"article-journal","abstract":"The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1D361EB6" w14:textId="77777777" w:rsidTr="00040455">
        <w:trPr>
          <w:trHeight w:val="300"/>
          <w:jc w:val="center"/>
        </w:trPr>
        <w:tc>
          <w:tcPr>
            <w:tcW w:w="16170" w:type="dxa"/>
            <w:gridSpan w:val="6"/>
            <w:shd w:val="clear" w:color="auto" w:fill="E7E6E6" w:themeFill="background2"/>
            <w:noWrap/>
            <w:vAlign w:val="center"/>
            <w:hideMark/>
          </w:tcPr>
          <w:p w14:paraId="16678A6C"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 xml:space="preserve">Indicator group C4: Reuse, Remanufacturing </w:t>
            </w:r>
            <w:r w:rsidRPr="001E1D5F">
              <w:rPr>
                <w:rFonts w:cstheme="minorHAnsi"/>
                <w:b/>
                <w:bCs/>
                <w:color w:val="000000"/>
                <w:sz w:val="21"/>
                <w:szCs w:val="21"/>
                <w:lang w:val="en-US" w:eastAsia="en-GB"/>
              </w:rPr>
              <w:t>&amp;</w:t>
            </w:r>
            <w:r w:rsidRPr="001E1D5F">
              <w:rPr>
                <w:rFonts w:cstheme="minorHAnsi"/>
                <w:b/>
                <w:bCs/>
                <w:color w:val="000000"/>
                <w:sz w:val="21"/>
                <w:szCs w:val="21"/>
                <w:lang w:eastAsia="en-GB"/>
              </w:rPr>
              <w:t xml:space="preserve"> Refurbishment</w:t>
            </w:r>
          </w:p>
        </w:tc>
      </w:tr>
      <w:tr w:rsidR="001E1D5F" w:rsidRPr="001E1D5F" w14:paraId="069EF270" w14:textId="77777777" w:rsidTr="00040455">
        <w:trPr>
          <w:trHeight w:val="300"/>
          <w:jc w:val="center"/>
        </w:trPr>
        <w:tc>
          <w:tcPr>
            <w:tcW w:w="1995" w:type="dxa"/>
            <w:noWrap/>
            <w:vAlign w:val="center"/>
          </w:tcPr>
          <w:p w14:paraId="4044FEEA"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Reuse Potential Indicator (RPI)</w:t>
            </w:r>
          </w:p>
        </w:tc>
        <w:tc>
          <w:tcPr>
            <w:tcW w:w="1560" w:type="dxa"/>
            <w:noWrap/>
            <w:vAlign w:val="center"/>
          </w:tcPr>
          <w:p w14:paraId="31F425D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E5C3983"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RPI</w:t>
            </w:r>
            <w:r w:rsidRPr="001E1D5F">
              <w:rPr>
                <w:rFonts w:cstheme="minorHAnsi"/>
                <w:color w:val="000000"/>
                <w:sz w:val="21"/>
                <w:szCs w:val="21"/>
                <w:lang w:eastAsia="en-GB"/>
              </w:rPr>
              <w:t xml:space="preserve"> = Amount of Material Economically Recoverable through available technologies/ Total amount of material generated</w:t>
            </w:r>
          </w:p>
        </w:tc>
        <w:tc>
          <w:tcPr>
            <w:tcW w:w="1559" w:type="dxa"/>
            <w:vAlign w:val="center"/>
          </w:tcPr>
          <w:p w14:paraId="33174E5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2024AA2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Coal-fired electricity generation, General</w:t>
            </w:r>
          </w:p>
        </w:tc>
        <w:tc>
          <w:tcPr>
            <w:tcW w:w="1559" w:type="dxa"/>
            <w:vAlign w:val="center"/>
          </w:tcPr>
          <w:p w14:paraId="39A1935C" w14:textId="13DAD84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{"citationID":"dxJnc9nT","properties":{"formattedCitation":"[41,42]","plainCitation":"[41,42]","noteIndex":0},"citationItems":[{"id":3090,"uris":["http://zotero.org/users/local/05JQq5lJ/items/HMAVJKJ8"],"itemData":{"id":3090,"type":"article-journal","abstract":"This study advances contemporary ideas promoting the importance of managing wastes as resources such as closed-loop or circular material economies, and sustainable materials management by reinforcing the notion of a resource-based paradigm rather than a waste-based one. It features the creation of a quantitative tool, the “reuse potential indicator” to specify how “resource-like” versus how “waste-like” specific materials are on a continuum. Even with increasing attention to waste reuse and resource conservation, constant changes in product composition and complexity have left material managers without adequate guidance to make decisions about what is technically feasible to recover from the discard stream even before markets can be considered. The reuse potential indicator is developed to aid management decision-making about waste based not on perception but more objectively on the technical ability of the materials to be reused in commerce. This new indicator is based on the extent of technological innovation and commercial application of actual reuse approaches identified and cataloged. Coal combustion by-products (CCBs) provide the test case for calculating the reuse potential indicator. While CCBs are often perceived as wastes and then isolated in landfills or surface impoundments, there is also a century-long history in the industry of developing technologies to reuse CCBs. The recent statistics show that most CCBs generated in Europe and Japan are reused (90–95%), but only 40–45% of CCBs are used in the United States. According to the reuse potential calculation, however, CCBs in the United States have high technical reusability. Of the four CCBs examined under three different regulatory schemes, reuse potential for boiler slag and flue-gas desulfurization gypsum maintains a value greater than 0.8 on a 0–1 scale, indicating they are at least 80% resource-like. Under current regulation in the United States, both fly ash and bottom ash are 80–90% resource-like. Very strict regulation would remove many reuse options decreasing potential for these two CCBs to 30% resource-like. A more holistic view of waste and broad application of the new indicator would make clear what technologies are available and assist public and private decision makers in setting quantitative material reuse targets from a new knowledge base that reinforces a resource-based paradigm.","container-title":"Journal of Environmental Management","DOI":"10.1016/j.jenvman.2013.11.053","ISSN":"0301-4797","journalAbbreviation":"Journal of Environmental Management","page":"45-53","source":"ScienceDirect","title":"Establishing and testing the “reuse potential” indicator for managing wastes as resources","volume":"137","author":[{"family":"Park","given":"Joo Young"},{"family":"Chertow","given":"Marian R."}],"issued":{"date-parts":[["2014",5,1]]}}},{"id":3092,"uris":["http://zotero.org/users/local/05JQq5lJ/items/WN9MI7FK"],"itemData":{"id":3092,"type":"paper-conference","abstract":"Monitoring the circularity potential of products and materials is key to ensure environmental savings and economic profitability of circular economy loops, such as reuse, remanufacturing, or recycling. The choices and decisions made during the product design phase have a major influence and impact on the circularity performance of products. While numerous indicators and tools have been recently developed to assess, manage, and accelerate the transition to a more circular economy, their application and usability during the early design phases of products are often overlooked. Based on a screening of several tens of circular economy indicators, the present research work identified twelve product-centric circularity indicators, each of them coming with a computational tool, to be deployed during the design process in order to improve the circularity potential of products. To help designers and engineers selecting the appropriate solution, these circularity indicators and tools are positioned on a generic five-step design process, namely: requirements definition, conceptual design, detailed design, designs comparison, product monitoring and communication. Concrete examples are given on how these indicators and their assessment framework can support the design of more circular products. Current shortcomings of available approaches are finally highlighted and discussed (such as the lack of c-indicators for the detailed design phase or linkage with computer-aided design software) for an augmented integration of such promising circularity indicators and their associated tools within the design and development process of products.","container-title":"ASME 2021 International Design Engineering Technical Conferences and Computers and Information in Engineering Conference","DOI":"10.1115/DETC2021-69629","event-place":"Virtual, United States","publisher":"American Society of Mechanical Engineers","publisher-place":"Virtual, United States","source":"HAL Archives Ouvertes","title":"Design for Product Circularity: Circular Economy Indicators With Tools Mapped Along the Engineering Design Process","title-short":"Design for Product Circularity","URL":"https://hal.science/hal-03484302","author":[{"family":"Saidani","given":"Michael"},{"family":"Kim","given":"Harrison"}],"accessed":{"date-parts":[["2024",10,23]]},"issued":{"date-parts":[["2021",12]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[41,42]</w:t>
            </w:r>
            <w:r w:rsidRPr="001E1D5F">
              <w:rPr>
                <w:rFonts w:cstheme="minorHAnsi"/>
                <w:color w:val="000000"/>
                <w:sz w:val="21"/>
                <w:szCs w:val="21"/>
                <w:lang w:eastAsia="en-GB"/>
              </w:rPr>
              <w:fldChar w:fldCharType="end"/>
            </w:r>
          </w:p>
        </w:tc>
      </w:tr>
      <w:tr w:rsidR="001E1D5F" w:rsidRPr="001E1D5F" w14:paraId="1ECC4481" w14:textId="77777777" w:rsidTr="00040455">
        <w:trPr>
          <w:trHeight w:val="300"/>
          <w:jc w:val="center"/>
        </w:trPr>
        <w:tc>
          <w:tcPr>
            <w:tcW w:w="1995" w:type="dxa"/>
            <w:noWrap/>
            <w:vAlign w:val="center"/>
          </w:tcPr>
          <w:p w14:paraId="1AC76724"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Reuse Rate (</w:t>
            </w:r>
            <w:proofErr w:type="spellStart"/>
            <w:r w:rsidRPr="001E1D5F">
              <w:rPr>
                <w:rFonts w:cstheme="minorHAnsi"/>
                <w:color w:val="000000"/>
                <w:sz w:val="21"/>
                <w:szCs w:val="21"/>
                <w:lang w:eastAsia="en-GB"/>
              </w:rPr>
              <w:t>ReR</w:t>
            </w:r>
            <w:proofErr w:type="spellEnd"/>
            <w:r w:rsidRPr="001E1D5F">
              <w:rPr>
                <w:rFonts w:cstheme="minorHAnsi"/>
                <w:color w:val="000000"/>
                <w:sz w:val="21"/>
                <w:szCs w:val="21"/>
                <w:lang w:eastAsia="en-GB"/>
              </w:rPr>
              <w:t>)</w:t>
            </w:r>
          </w:p>
        </w:tc>
        <w:tc>
          <w:tcPr>
            <w:tcW w:w="1560" w:type="dxa"/>
            <w:noWrap/>
            <w:vAlign w:val="center"/>
          </w:tcPr>
          <w:p w14:paraId="6ECC893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37BA266E"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RER</w:t>
            </w:r>
            <w:r w:rsidRPr="001E1D5F">
              <w:rPr>
                <w:rFonts w:cstheme="minorHAnsi"/>
                <w:color w:val="000000"/>
                <w:sz w:val="21"/>
                <w:szCs w:val="21"/>
                <w:lang w:eastAsia="en-GB"/>
              </w:rPr>
              <w:t xml:space="preserve"> = (Mass of Reused Product/ Total Mass of the </w:t>
            </w:r>
            <w:proofErr w:type="gramStart"/>
            <w:r w:rsidRPr="001E1D5F">
              <w:rPr>
                <w:rFonts w:cstheme="minorHAnsi"/>
                <w:color w:val="000000"/>
                <w:sz w:val="21"/>
                <w:szCs w:val="21"/>
                <w:lang w:eastAsia="en-GB"/>
              </w:rPr>
              <w:t>Product)*</w:t>
            </w:r>
            <w:proofErr w:type="gramEnd"/>
            <w:r w:rsidRPr="001E1D5F">
              <w:rPr>
                <w:rFonts w:cstheme="minorHAnsi"/>
                <w:color w:val="000000"/>
                <w:sz w:val="21"/>
                <w:szCs w:val="21"/>
                <w:lang w:eastAsia="en-GB"/>
              </w:rPr>
              <w:t>100</w:t>
            </w:r>
          </w:p>
        </w:tc>
        <w:tc>
          <w:tcPr>
            <w:tcW w:w="1559" w:type="dxa"/>
          </w:tcPr>
          <w:p w14:paraId="7B611D3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7AA4C8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Packaging</w:t>
            </w:r>
          </w:p>
        </w:tc>
        <w:tc>
          <w:tcPr>
            <w:tcW w:w="1559" w:type="dxa"/>
            <w:vAlign w:val="center"/>
          </w:tcPr>
          <w:p w14:paraId="3B469B9A" w14:textId="062A8E03"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{"citationID":"In2ppewV","properties":{"formattedCitation":"[21]","plainCitation":"[21]","noteIndex":0},"citationItems":[{"id":3039,"uris":["http://zotero.org/users/local/05JQq5lJ/items/4WVMSF7E"],"itemData":{"id":3039,"type":"article-journal","container-title":"Resources, Conservation and Recycling","note":"publisher: Elsevier","page":"305–312","source":"Google Scholar","title":"Coupling material circularity indicators and life cycle based indicators: A proposal to advance the assessment of circular economy strategies at the product level","title-short":"Coupling material circularity indicators and life cycle based indicators","volume":"140","author":[{"family":"Niero","given":"Monia"},{"family":"Kalbar","given":"Pradip P."}],"issued":{"date-parts":[["2019"]]}}}],"schema":"https://github.com/citation-style-language/schema/raw/master/csl-citation.json"}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[21]</w:t>
            </w:r>
            <w:r w:rsidRPr="001E1D5F">
              <w:rPr>
                <w:rFonts w:cstheme="minorHAnsi"/>
                <w:color w:val="000000"/>
                <w:sz w:val="21"/>
                <w:szCs w:val="21"/>
                <w:lang w:eastAsia="en-GB"/>
              </w:rPr>
              <w:fldChar w:fldCharType="end"/>
            </w:r>
          </w:p>
        </w:tc>
      </w:tr>
      <w:tr w:rsidR="001E1D5F" w:rsidRPr="001E1D5F" w14:paraId="3393D3EB" w14:textId="77777777" w:rsidTr="00040455">
        <w:trPr>
          <w:trHeight w:val="300"/>
          <w:jc w:val="center"/>
        </w:trPr>
        <w:tc>
          <w:tcPr>
            <w:tcW w:w="1995" w:type="dxa"/>
            <w:noWrap/>
            <w:vAlign w:val="center"/>
          </w:tcPr>
          <w:p w14:paraId="1D6CCF60"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Proportion of reused components in manufacturing process</w:t>
            </w:r>
          </w:p>
        </w:tc>
        <w:tc>
          <w:tcPr>
            <w:tcW w:w="1560" w:type="dxa"/>
            <w:noWrap/>
            <w:vAlign w:val="center"/>
          </w:tcPr>
          <w:p w14:paraId="725C466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5906B869"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ENV CI7</w:t>
            </w:r>
            <w:r w:rsidRPr="001E1D5F">
              <w:rPr>
                <w:rFonts w:cstheme="minorHAnsi"/>
                <w:color w:val="000000"/>
                <w:sz w:val="21"/>
                <w:szCs w:val="21"/>
                <w:lang w:eastAsia="en-GB"/>
              </w:rPr>
              <w:t xml:space="preserve"> </w:t>
            </w:r>
            <w:proofErr w:type="gramStart"/>
            <w:r w:rsidRPr="001E1D5F">
              <w:rPr>
                <w:rFonts w:cstheme="minorHAnsi"/>
                <w:color w:val="000000"/>
                <w:sz w:val="21"/>
                <w:szCs w:val="21"/>
                <w:lang w:eastAsia="en-GB"/>
              </w:rPr>
              <w:t>=(</w:t>
            </w:r>
            <w:proofErr w:type="gramEnd"/>
            <w:r w:rsidRPr="001E1D5F">
              <w:rPr>
                <w:rFonts w:cstheme="minorHAnsi"/>
                <w:color w:val="000000"/>
                <w:sz w:val="21"/>
                <w:szCs w:val="21"/>
                <w:lang w:eastAsia="en-GB"/>
              </w:rPr>
              <w:t>Total number of reused components/Total number of components used in manufacturing) *100</w:t>
            </w:r>
          </w:p>
        </w:tc>
        <w:tc>
          <w:tcPr>
            <w:tcW w:w="1559" w:type="dxa"/>
            <w:vAlign w:val="center"/>
          </w:tcPr>
          <w:p w14:paraId="71DD74E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7D9A25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533501D3" w14:textId="6C97187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{"citationID":"udzSIE2Z","properties":{"formattedCitation":"[34]","plainCitation":"[34]","noteIndex":0},"citationItems":[{"id":3047,"uris":["http://zotero.org/users/local/05JQq5lJ/items/86PCEPYM"],"itemData":{"id":3047,"type":"article-journal","abstract":"The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55363723" w14:textId="77777777" w:rsidTr="00040455">
        <w:trPr>
          <w:trHeight w:val="300"/>
          <w:jc w:val="center"/>
        </w:trPr>
        <w:tc>
          <w:tcPr>
            <w:tcW w:w="1995" w:type="dxa"/>
            <w:noWrap/>
            <w:vAlign w:val="center"/>
          </w:tcPr>
          <w:p w14:paraId="4935B729"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 xml:space="preserve">Market share of repair and reuse services </w:t>
            </w:r>
            <w:r w:rsidRPr="001E1D5F">
              <w:rPr>
                <w:rFonts w:cstheme="minorHAnsi"/>
                <w:color w:val="000000"/>
                <w:sz w:val="21"/>
                <w:szCs w:val="21"/>
                <w:lang w:eastAsia="en-GB"/>
              </w:rPr>
              <w:lastRenderedPageBreak/>
              <w:t>compared to sales of new products</w:t>
            </w:r>
          </w:p>
        </w:tc>
        <w:tc>
          <w:tcPr>
            <w:tcW w:w="1560" w:type="dxa"/>
            <w:noWrap/>
            <w:vAlign w:val="center"/>
          </w:tcPr>
          <w:p w14:paraId="2CC0831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lastRenderedPageBreak/>
              <w:t>Quantitative</w:t>
            </w:r>
          </w:p>
        </w:tc>
        <w:tc>
          <w:tcPr>
            <w:tcW w:w="5528" w:type="dxa"/>
            <w:vAlign w:val="center"/>
          </w:tcPr>
          <w:p w14:paraId="707242CD"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 xml:space="preserve">(Total Value of Repair and Reuse Services/Total Value of New Product </w:t>
            </w:r>
            <w:proofErr w:type="gramStart"/>
            <w:r w:rsidRPr="001E1D5F">
              <w:rPr>
                <w:rFonts w:cstheme="minorHAnsi"/>
                <w:color w:val="000000"/>
                <w:sz w:val="21"/>
                <w:szCs w:val="21"/>
                <w:lang w:eastAsia="en-GB"/>
              </w:rPr>
              <w:t>Sales)*</w:t>
            </w:r>
            <w:proofErr w:type="gramEnd"/>
            <w:r w:rsidRPr="001E1D5F">
              <w:rPr>
                <w:rFonts w:cstheme="minorHAnsi"/>
                <w:color w:val="000000"/>
                <w:sz w:val="21"/>
                <w:szCs w:val="21"/>
                <w:lang w:eastAsia="en-GB"/>
              </w:rPr>
              <w:t>100</w:t>
            </w:r>
          </w:p>
        </w:tc>
        <w:tc>
          <w:tcPr>
            <w:tcW w:w="1559" w:type="dxa"/>
            <w:vAlign w:val="center"/>
          </w:tcPr>
          <w:p w14:paraId="6A79A1D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741A5C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&amp; Electronics</w:t>
            </w:r>
          </w:p>
        </w:tc>
        <w:tc>
          <w:tcPr>
            <w:tcW w:w="1559" w:type="dxa"/>
            <w:vAlign w:val="center"/>
          </w:tcPr>
          <w:p w14:paraId="0C813E0D" w14:textId="6114DF04"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{"citationID":"awetBmQg","properties":{"formattedCitation":"[34]","plainCitation":"[34]","noteIndex":0},"citationItems":[{"id":3047,"uris":["http://zotero.org/users/local/05JQq5lJ/items/86PCEPYM"],"itemData":{"id":3047,"type":"article-journal","abstract":"The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2276295D" w14:textId="77777777" w:rsidTr="00040455">
        <w:trPr>
          <w:trHeight w:val="300"/>
          <w:jc w:val="center"/>
        </w:trPr>
        <w:tc>
          <w:tcPr>
            <w:tcW w:w="1995" w:type="dxa"/>
            <w:noWrap/>
            <w:vAlign w:val="center"/>
            <w:hideMark/>
          </w:tcPr>
          <w:p w14:paraId="1BEE1F52"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Percentage of products remanufactured compared to total manufactured products</w:t>
            </w:r>
          </w:p>
        </w:tc>
        <w:tc>
          <w:tcPr>
            <w:tcW w:w="1560" w:type="dxa"/>
            <w:noWrap/>
            <w:vAlign w:val="center"/>
          </w:tcPr>
          <w:p w14:paraId="19344BF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0652AE3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ECO C12 =</w:t>
            </w:r>
            <w:r w:rsidRPr="001E1D5F">
              <w:rPr>
                <w:rFonts w:cstheme="minorHAnsi"/>
                <w:color w:val="000000"/>
                <w:sz w:val="21"/>
                <w:szCs w:val="21"/>
                <w:lang w:eastAsia="en-GB"/>
              </w:rPr>
              <w:t xml:space="preserve"> (Number of remanufactured products/Total Number of Manufactured </w:t>
            </w:r>
            <w:proofErr w:type="gramStart"/>
            <w:r w:rsidRPr="001E1D5F">
              <w:rPr>
                <w:rFonts w:cstheme="minorHAnsi"/>
                <w:color w:val="000000"/>
                <w:sz w:val="21"/>
                <w:szCs w:val="21"/>
                <w:lang w:eastAsia="en-GB"/>
              </w:rPr>
              <w:t>Products)*</w:t>
            </w:r>
            <w:proofErr w:type="gramEnd"/>
            <w:r w:rsidRPr="001E1D5F">
              <w:rPr>
                <w:rFonts w:cstheme="minorHAnsi"/>
                <w:color w:val="000000"/>
                <w:sz w:val="21"/>
                <w:szCs w:val="21"/>
                <w:lang w:eastAsia="en-GB"/>
              </w:rPr>
              <w:t>100</w:t>
            </w:r>
          </w:p>
        </w:tc>
        <w:tc>
          <w:tcPr>
            <w:tcW w:w="1559" w:type="dxa"/>
            <w:vAlign w:val="center"/>
          </w:tcPr>
          <w:p w14:paraId="2CF1BD3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0F47C8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Electrical and Electronics</w:t>
            </w:r>
          </w:p>
        </w:tc>
        <w:tc>
          <w:tcPr>
            <w:tcW w:w="1559" w:type="dxa"/>
            <w:vAlign w:val="center"/>
          </w:tcPr>
          <w:p w14:paraId="4E5B5FC7" w14:textId="4D63628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{"citationID":"hJtPCYAr","properties":{"formattedCitation":"[34]","plainCitation":"[34]","noteIndex":0},"citationItems":[{"id":3047,"uris":["http://zotero.org/users/local/05JQq5lJ/items/86PCEPYM"],"itemData":{"id":3047,"type":"article-journal","abstract":"The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[34]</w:t>
            </w:r>
            <w:r w:rsidRPr="001E1D5F">
              <w:rPr>
                <w:rFonts w:cstheme="minorHAnsi"/>
                <w:color w:val="000000"/>
                <w:sz w:val="21"/>
                <w:szCs w:val="21"/>
                <w:lang w:eastAsia="en-GB"/>
              </w:rPr>
              <w:fldChar w:fldCharType="end"/>
            </w:r>
          </w:p>
        </w:tc>
      </w:tr>
      <w:tr w:rsidR="001E1D5F" w:rsidRPr="001E1D5F" w14:paraId="15796611" w14:textId="77777777" w:rsidTr="00040455">
        <w:trPr>
          <w:trHeight w:val="300"/>
          <w:jc w:val="center"/>
        </w:trPr>
        <w:tc>
          <w:tcPr>
            <w:tcW w:w="1995" w:type="dxa"/>
            <w:noWrap/>
            <w:vAlign w:val="center"/>
            <w:hideMark/>
          </w:tcPr>
          <w:p w14:paraId="2A1DA6FC" w14:textId="77777777" w:rsidR="001E1D5F" w:rsidRPr="001E1D5F" w:rsidRDefault="001E1D5F" w:rsidP="001E1D5F">
            <w:pPr>
              <w:ind w:left="220"/>
              <w:jc w:val="center"/>
              <w:rPr>
                <w:rFonts w:cstheme="minorHAnsi"/>
                <w:color w:val="000000"/>
                <w:sz w:val="21"/>
                <w:szCs w:val="21"/>
                <w:highlight w:val="red"/>
                <w:lang w:eastAsia="en-GB"/>
              </w:rPr>
            </w:pPr>
            <w:r w:rsidRPr="001E1D5F">
              <w:rPr>
                <w:rFonts w:cstheme="minorHAnsi"/>
                <w:color w:val="000000"/>
                <w:sz w:val="21"/>
                <w:szCs w:val="21"/>
                <w:lang w:eastAsia="en-GB"/>
              </w:rPr>
              <w:t>Quantity of refurbished products</w:t>
            </w:r>
          </w:p>
        </w:tc>
        <w:tc>
          <w:tcPr>
            <w:tcW w:w="1560" w:type="dxa"/>
            <w:noWrap/>
            <w:vAlign w:val="center"/>
          </w:tcPr>
          <w:p w14:paraId="4E9BCEF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A6097A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It is the quantity of the total recovery or parts (components) of the product, without necessarily going through all stages of remanufacturing.</w:t>
            </w:r>
          </w:p>
        </w:tc>
        <w:tc>
          <w:tcPr>
            <w:tcW w:w="1559" w:type="dxa"/>
            <w:vAlign w:val="center"/>
          </w:tcPr>
          <w:p w14:paraId="76A6B00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 Number/ Percentage/ Weight/ Volume of total products /components refurbished</w:t>
            </w:r>
          </w:p>
        </w:tc>
        <w:tc>
          <w:tcPr>
            <w:tcW w:w="3969" w:type="dxa"/>
            <w:vAlign w:val="center"/>
          </w:tcPr>
          <w:p w14:paraId="73BC6FA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Electro-electronics, Plastics, Textiles &amp; Fashion</w:t>
            </w:r>
          </w:p>
        </w:tc>
        <w:tc>
          <w:tcPr>
            <w:tcW w:w="1559" w:type="dxa"/>
            <w:vAlign w:val="center"/>
          </w:tcPr>
          <w:p w14:paraId="1F1576C0" w14:textId="5FEC72ED"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{"citationID":"qazijdt2","properties":{"formattedCitation":"[40]","plainCitation":"[40]","noteIndex":0},"citationItems":[{"id":3098,"uris":["http://zotero.org/users/local/05JQq5lJ/items/DSJUSIYY"],"itemData":{"id":3098,"type":"article-journal","abstract":"Circular Economy is the optimal point of sustainability, given that it offers a set of practices capable of generating more sustainable operations, making sustainability feasible in organizations. To measure the innovations brought by Circular Economy, there is a recent need to develop circularity indicators, mainly for micro level (companies and products). Furthermore, the complexity of Circular Economy implies in a set of multi-dimensional indicators instead of a single one. This paper aims to develop a set of indicators linking Circular Economy principles, Circular Business Model and the pillars of Sustainability. The set of indicators was developed based in the hypothetic-deductive approach, following a number of iterations (cycles) and testing the theory in the empirical world. A mix of research methods (e.g. expert consulting, user’s feedback, and case studies) was applied. The proposed indicators should be able to achieve the principles of the Circular Economy, and, at the same time, help to meet the specificities and needs of each circular business model. The main contribution of this paper is the development of a group of indicators, focused in the three dimensions of Sustainability (environmental (from material perspective), economic and social), applied in Circular Business Models to capture the innovations brought by Circular Economy that conventional indicators do not measure. Moreover, they will help any company to identify areas with high importance and potential for improvement, and thus increase Circular Economy performance in an efficient, clear and prompt manner. These indicators were applied in three Brazilian companies which have three different Circular Business Models. The results show that data from economic and social dimensions was not available or was diffused in the companies. It represents a barrier because most of the positive impacts gained with Circular Economy are presented in the social dimension, including job creation, mindset change, etc.","container-title":"Journal of Cleaner Production","DOI":"10.1016/j.jclepro.2019.119137","ISSN":"0959-6526","journalAbbreviation":"Journal of Cleaner Production","page":"119137","source":"ScienceDirect","title":"Circular economy indicators for organizations considering sustainability and business models: Plastic, textile and electro-electronic cases","title-short":"Circular economy indicators for organizations considering sustainability and business models","volume":"247","author":[{"family":"Rossi","given":"Efigênia"},{"family":"Bertassini","given":"Ana Carolina"},{"family":"Ferreira","given":"Camila dos Santos"},{"family":"Neves do Amaral","given":"Weber Antonio"},{"family":"Ometto","given":"Aldo Roberto"}],"issued":{"date-parts":[["2020",2,20]]}}}],"schema":"https://github.com/citation-style-language/schema/raw/master/csl-citation.json"}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[40]</w:t>
            </w:r>
            <w:r w:rsidRPr="001E1D5F">
              <w:rPr>
                <w:rFonts w:cstheme="minorHAnsi"/>
                <w:color w:val="000000"/>
                <w:sz w:val="21"/>
                <w:szCs w:val="21"/>
                <w:lang w:eastAsia="en-GB"/>
              </w:rPr>
              <w:fldChar w:fldCharType="end"/>
            </w:r>
          </w:p>
        </w:tc>
      </w:tr>
      <w:tr w:rsidR="001E1D5F" w:rsidRPr="001E1D5F" w14:paraId="483BC1C4" w14:textId="77777777" w:rsidTr="00040455">
        <w:trPr>
          <w:trHeight w:val="300"/>
          <w:jc w:val="center"/>
        </w:trPr>
        <w:tc>
          <w:tcPr>
            <w:tcW w:w="16170" w:type="dxa"/>
            <w:gridSpan w:val="6"/>
            <w:shd w:val="clear" w:color="auto" w:fill="E7E6E6" w:themeFill="background2"/>
            <w:noWrap/>
            <w:vAlign w:val="center"/>
            <w:hideMark/>
          </w:tcPr>
          <w:p w14:paraId="6D4D4422"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Indicator group C5: Efficiency &amp; Value Performance</w:t>
            </w:r>
          </w:p>
        </w:tc>
      </w:tr>
      <w:tr w:rsidR="001E1D5F" w:rsidRPr="001E1D5F" w14:paraId="023B4249" w14:textId="77777777" w:rsidTr="00040455">
        <w:trPr>
          <w:trHeight w:val="300"/>
          <w:jc w:val="center"/>
        </w:trPr>
        <w:tc>
          <w:tcPr>
            <w:tcW w:w="1995" w:type="dxa"/>
            <w:noWrap/>
            <w:vAlign w:val="center"/>
            <w:hideMark/>
          </w:tcPr>
          <w:p w14:paraId="378547F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Resource Efficiency Account (REA)</w:t>
            </w:r>
          </w:p>
        </w:tc>
        <w:tc>
          <w:tcPr>
            <w:tcW w:w="1560" w:type="dxa"/>
            <w:noWrap/>
            <w:vAlign w:val="center"/>
          </w:tcPr>
          <w:p w14:paraId="0F264DF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B8A771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REA=f/(</w:t>
            </w:r>
            <w:proofErr w:type="spellStart"/>
            <w:r w:rsidRPr="001E1D5F">
              <w:rPr>
                <w:rFonts w:cstheme="minorHAnsi"/>
                <w:b/>
                <w:bCs/>
                <w:color w:val="000000"/>
                <w:sz w:val="21"/>
                <w:szCs w:val="21"/>
                <w:lang w:eastAsia="en-GB"/>
              </w:rPr>
              <w:t>Rv+De+Dp</w:t>
            </w:r>
            <w:proofErr w:type="spellEnd"/>
            <w:r w:rsidRPr="001E1D5F">
              <w:rPr>
                <w:rFonts w:cstheme="minorHAnsi"/>
                <w:b/>
                <w:bCs/>
                <w:color w:val="000000"/>
                <w:sz w:val="21"/>
                <w:szCs w:val="21"/>
                <w:lang w:eastAsia="en-GB"/>
              </w:rPr>
              <w:t>),</w:t>
            </w:r>
            <w:r w:rsidRPr="001E1D5F">
              <w:rPr>
                <w:rFonts w:cstheme="minorHAnsi"/>
                <w:color w:val="000000"/>
                <w:sz w:val="21"/>
                <w:szCs w:val="21"/>
                <w:lang w:eastAsia="en-GB"/>
              </w:rPr>
              <w:t xml:space="preserve"> where;</w:t>
            </w:r>
            <w:r w:rsidRPr="001E1D5F">
              <w:rPr>
                <w:rFonts w:cstheme="minorHAnsi"/>
                <w:sz w:val="21"/>
                <w:szCs w:val="21"/>
                <w:lang w:eastAsia="en-GB"/>
              </w:rPr>
              <w:t xml:space="preserve"> </w:t>
            </w:r>
            <w:r w:rsidRPr="001E1D5F">
              <w:rPr>
                <w:rFonts w:cstheme="minorHAnsi"/>
                <w:b/>
                <w:bCs/>
                <w:color w:val="000000"/>
                <w:sz w:val="21"/>
                <w:szCs w:val="21"/>
                <w:lang w:eastAsia="en-GB"/>
              </w:rPr>
              <w:t xml:space="preserve">f </w:t>
            </w:r>
            <w:r w:rsidRPr="001E1D5F">
              <w:rPr>
                <w:rFonts w:cstheme="minorHAnsi"/>
                <w:color w:val="000000"/>
                <w:sz w:val="21"/>
                <w:szCs w:val="21"/>
                <w:lang w:eastAsia="en-GB"/>
              </w:rPr>
              <w:t xml:space="preserve">= the function or service provided by the system (this represents the societal benefit or utility provided by the product or service over its lifecycle), </w:t>
            </w:r>
            <w:proofErr w:type="spellStart"/>
            <w:r w:rsidRPr="001E1D5F">
              <w:rPr>
                <w:rFonts w:cstheme="minorHAnsi"/>
                <w:b/>
                <w:bCs/>
                <w:color w:val="000000"/>
                <w:sz w:val="21"/>
                <w:szCs w:val="21"/>
                <w:lang w:eastAsia="en-GB"/>
              </w:rPr>
              <w:t>Rv</w:t>
            </w:r>
            <w:proofErr w:type="spellEnd"/>
            <w:r w:rsidRPr="001E1D5F">
              <w:rPr>
                <w:rFonts w:cstheme="minorHAnsi"/>
                <w:color w:val="000000"/>
                <w:sz w:val="21"/>
                <w:szCs w:val="21"/>
                <w:lang w:eastAsia="en-GB"/>
              </w:rPr>
              <w:t xml:space="preserve">: the total value of materials mined from the eco-sphere, </w:t>
            </w:r>
            <w:r w:rsidRPr="001E1D5F">
              <w:rPr>
                <w:rFonts w:cstheme="minorHAnsi"/>
                <w:b/>
                <w:bCs/>
                <w:color w:val="000000"/>
                <w:sz w:val="21"/>
                <w:szCs w:val="21"/>
                <w:lang w:eastAsia="en-GB"/>
              </w:rPr>
              <w:t>De</w:t>
            </w:r>
            <w:r w:rsidRPr="001E1D5F">
              <w:rPr>
                <w:rFonts w:cstheme="minorHAnsi"/>
                <w:color w:val="000000"/>
                <w:sz w:val="21"/>
                <w:szCs w:val="21"/>
                <w:lang w:eastAsia="en-GB"/>
              </w:rPr>
              <w:t xml:space="preserve">: the dissipation of resource value at the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stage, </w:t>
            </w:r>
            <w:proofErr w:type="spellStart"/>
            <w:r w:rsidRPr="001E1D5F">
              <w:rPr>
                <w:rFonts w:cstheme="minorHAnsi"/>
                <w:b/>
                <w:bCs/>
                <w:color w:val="000000"/>
                <w:sz w:val="21"/>
                <w:szCs w:val="21"/>
                <w:lang w:eastAsia="en-GB"/>
              </w:rPr>
              <w:t>Dp</w:t>
            </w:r>
            <w:proofErr w:type="spellEnd"/>
            <w:r w:rsidRPr="001E1D5F">
              <w:rPr>
                <w:rFonts w:cstheme="minorHAnsi"/>
                <w:color w:val="000000"/>
                <w:sz w:val="21"/>
                <w:szCs w:val="21"/>
                <w:lang w:eastAsia="en-GB"/>
              </w:rPr>
              <w:t>: the dissipation of resource value during the manufacturing and processing stages.</w:t>
            </w:r>
          </w:p>
        </w:tc>
        <w:tc>
          <w:tcPr>
            <w:tcW w:w="1559" w:type="dxa"/>
            <w:vAlign w:val="center"/>
          </w:tcPr>
          <w:p w14:paraId="1A069BB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Functional or Service Unit</w:t>
            </w:r>
            <w:proofErr w:type="gramStart"/>
            <w:r w:rsidRPr="001E1D5F">
              <w:rPr>
                <w:rFonts w:cstheme="minorHAnsi"/>
                <w:color w:val="000000"/>
                <w:sz w:val="21"/>
                <w:szCs w:val="21"/>
                <w:lang w:eastAsia="en-GB"/>
              </w:rPr>
              <w:t>/(</w:t>
            </w:r>
            <w:proofErr w:type="gramEnd"/>
            <w:r w:rsidRPr="001E1D5F">
              <w:rPr>
                <w:rFonts w:cstheme="minorHAnsi"/>
                <w:color w:val="000000"/>
                <w:sz w:val="21"/>
                <w:szCs w:val="21"/>
                <w:lang w:eastAsia="en-GB"/>
              </w:rPr>
              <w:t>Monetary Value/ kg)</w:t>
            </w:r>
          </w:p>
        </w:tc>
        <w:tc>
          <w:tcPr>
            <w:tcW w:w="3969" w:type="dxa"/>
            <w:vAlign w:val="center"/>
          </w:tcPr>
          <w:p w14:paraId="0A8FD15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w:t>
            </w:r>
          </w:p>
        </w:tc>
        <w:tc>
          <w:tcPr>
            <w:tcW w:w="1559" w:type="dxa"/>
            <w:vAlign w:val="center"/>
          </w:tcPr>
          <w:p w14:paraId="4A5D8EC7" w14:textId="3A82E82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{"citationID":"uFC3dcdF","properties":{"formattedCitation":"[5]","plainCitation":"[5]","noteIndex":0},"citationItems":[{"id":2981,"uris":["http://zotero.org/users/local/05JQq5lJ/items/YX5TXVFW"],"itemData":{"id":2981,"type":"article-journal","abstract":"This study proposes new indicator, Resource Efficiency Account (REA). REA represents the effects of eco-design efforts in achieving a circular system. The key concept of REA is “acircularity.” “Acircularity” is the distance to the ideal circular system to be achieved. REA is given as material efficiency (service per total value of constituent materials) divided by acircularity. Acircularity is the sum of the value of resources that the techno-sphere demands from the eco-sphere, and the value of resources that are dissipated within the techno-sphere. If an utterly circular state is reached, the acircularity value is zero. Additionally, this study proposes a new method to quantify the decline of the quality of scrap provided to the market as a decline in the value of the material to calculate the dissipation. The calculation focuses on the control level of impurities in scrap. The validity of these indicators is discussed using an automobile case. Differences in the current circulation level, eco-design for recycling, and refurbishment efforts can be quantitatively evaluated using REA and acircularity.","container-title":"International Journal of Automation Technology","DOI":"10.20965/ijat.2022.p0684","issue":"6","page":"684-695","source":"J-Stage","title":"New Indicators ‘Acircularity’ and ‘Resource Efficiency Account’ to Evaluate the Efforts of Eco-Design in Circular Economy","volume":"16","author":[{"family":"Halada","given":"Kohmei"},{"family":"Tahara","given":"Kiyotaka"},{"family":"Matsumoto","given":"Mitsutaka"}],"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[5]</w:t>
            </w:r>
            <w:r w:rsidRPr="001E1D5F">
              <w:rPr>
                <w:rFonts w:cstheme="minorHAnsi"/>
                <w:color w:val="000000"/>
                <w:sz w:val="21"/>
                <w:szCs w:val="21"/>
                <w:lang w:eastAsia="en-GB"/>
              </w:rPr>
              <w:fldChar w:fldCharType="end"/>
            </w:r>
          </w:p>
        </w:tc>
      </w:tr>
      <w:tr w:rsidR="001E1D5F" w:rsidRPr="001E1D5F" w14:paraId="5E36B852" w14:textId="77777777" w:rsidTr="00040455">
        <w:trPr>
          <w:trHeight w:val="300"/>
          <w:jc w:val="center"/>
        </w:trPr>
        <w:tc>
          <w:tcPr>
            <w:tcW w:w="1995" w:type="dxa"/>
            <w:noWrap/>
            <w:vAlign w:val="center"/>
          </w:tcPr>
          <w:p w14:paraId="366AA3C4"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Conversion efficiency ratio</w:t>
            </w:r>
          </w:p>
        </w:tc>
        <w:tc>
          <w:tcPr>
            <w:tcW w:w="1560" w:type="dxa"/>
            <w:noWrap/>
            <w:vAlign w:val="center"/>
          </w:tcPr>
          <w:p w14:paraId="3419675B"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D9ECDAC"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 xml:space="preserve">C </w:t>
            </w:r>
            <w:r w:rsidRPr="001E1D5F">
              <w:rPr>
                <w:rFonts w:cstheme="minorHAnsi"/>
                <w:color w:val="000000"/>
                <w:sz w:val="21"/>
                <w:szCs w:val="21"/>
                <w:lang w:eastAsia="en-GB"/>
              </w:rPr>
              <w:t>= Useful Output/Input Quantity required to meet the functional unit</w:t>
            </w:r>
          </w:p>
        </w:tc>
        <w:tc>
          <w:tcPr>
            <w:tcW w:w="1559" w:type="dxa"/>
            <w:vAlign w:val="center"/>
          </w:tcPr>
          <w:p w14:paraId="6045217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5722A8B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Furniture</w:t>
            </w:r>
          </w:p>
        </w:tc>
        <w:tc>
          <w:tcPr>
            <w:tcW w:w="1559" w:type="dxa"/>
            <w:vAlign w:val="center"/>
          </w:tcPr>
          <w:p w14:paraId="67AFCC1F" w14:textId="39B0ACE2"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{"citationID":"TyN6jlHw","properties":{"formattedCitation":"[43]","plainCitation":"[43]","noteIndex":0},"citationItems":[{"id":3066,"uris":["http://zotero.org/users/local/05JQq5lJ/items/I2RKCQUQ"],"itemData":{"id":3066,"type":"article-journal","abstract":"The growing popularity of the concepts of circular economy and resource cascade has intensified the need for consistent handling of multifunctionality-related challenges when modeling multiple cycles in life cycle assessment (LCA). In LCA, end-of-life upcycling and downcycling effects (also known as quality changes), triggered by the presence of multiple life cycles, have only recently begun to be studied from a consequential perspective, and no studies exist investigating attributional aspects. In this paper, a novel approach that considers quality in attributional LCA is proposed. The attributional, cut-off, open loop, and proposed approaches are compared in the form of a cascading case study. The implications of integrating quality in both perspectives are contrasted by modeling the same case study under a consequential perspective. By performing sensitivity analysis on the quality parameters in attributional LCA, we found that the integration of quality influences the results of the proposed approach by up to 15%. In the case of consequential LCA, the implementation of quality yields an influence between 97% and 138% of the results for each unit variation of quality. Comparison between the two perspectives of quality shows the same trend of supporting high-quality cascades. However, the attributional perspective of quality accomplishes this by redistributing impacts, while the consequential perspective affects the external benefits generated by the cascade. Considering the influence of quality on the results of both perspectives, future work should focus on establishing the technical or economic properties that would allow for practical use of quality in various circular economy and resource cascade applications.","container-title":"Journal of Industrial Ecology","DOI":"10.1111/jiec.13167","ISSN":"1530-9290","issue":"6","language":"en","license":"© 2021 by Yale University","note":"_eprint: https://onlinelibrary.wiley.com/doi/pdf/10.1111/jiec.13167","page":"1462-1473","source":"Wiley Online Library","title":"Attributional and consequential life cycle assessments in a circular economy with integration of a quality indicator: A case study of cascading wood products","title-short":"Attributional and consequential life cycle assessments in a circular economy with integration of a quality indicator","volume":"25","author":[{"family":"Tanguay","given":"Xavier"},{"family":"Essoua Essoua","given":"Gatien Geraud"},{"family":"Amor","given":"Ben"}],"issued":{"date-parts":[["2021"]]}}}],"schema":"https://github.com/citation-style-language/schema/raw/master/csl-citation.json"}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[43]</w:t>
            </w:r>
            <w:r w:rsidRPr="001E1D5F">
              <w:rPr>
                <w:rFonts w:cstheme="minorHAnsi"/>
                <w:color w:val="000000"/>
                <w:sz w:val="21"/>
                <w:szCs w:val="21"/>
                <w:lang w:eastAsia="en-GB"/>
              </w:rPr>
              <w:fldChar w:fldCharType="end"/>
            </w:r>
          </w:p>
        </w:tc>
      </w:tr>
      <w:tr w:rsidR="001E1D5F" w:rsidRPr="001E1D5F" w14:paraId="2E188201" w14:textId="77777777" w:rsidTr="00040455">
        <w:trPr>
          <w:trHeight w:val="300"/>
          <w:jc w:val="center"/>
        </w:trPr>
        <w:tc>
          <w:tcPr>
            <w:tcW w:w="1995" w:type="dxa"/>
            <w:noWrap/>
            <w:vAlign w:val="center"/>
          </w:tcPr>
          <w:p w14:paraId="744A13AD"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Eco-cost/Value Creation (EVR)</w:t>
            </w:r>
          </w:p>
        </w:tc>
        <w:tc>
          <w:tcPr>
            <w:tcW w:w="1560" w:type="dxa"/>
            <w:noWrap/>
            <w:vAlign w:val="center"/>
          </w:tcPr>
          <w:p w14:paraId="58E1D7A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6B1AC24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EVR</w:t>
            </w:r>
            <w:r w:rsidRPr="001E1D5F">
              <w:rPr>
                <w:rFonts w:cstheme="minorHAnsi"/>
                <w:color w:val="000000"/>
                <w:sz w:val="21"/>
                <w:szCs w:val="21"/>
                <w:lang w:eastAsia="en-GB"/>
              </w:rPr>
              <w:t xml:space="preserve">=Eco-costs/Value Creation where; </w:t>
            </w:r>
          </w:p>
          <w:p w14:paraId="7C9B5EB3"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Eco-costs</w:t>
            </w:r>
            <w:r w:rsidRPr="001E1D5F">
              <w:rPr>
                <w:rFonts w:cstheme="minorHAnsi"/>
                <w:color w:val="000000"/>
                <w:sz w:val="21"/>
                <w:szCs w:val="21"/>
                <w:lang w:eastAsia="en-GB"/>
              </w:rPr>
              <w:t xml:space="preserve"> represent the environmental burden associated with the production, use, and EOL stages of a product, </w:t>
            </w:r>
            <w:r w:rsidRPr="001E1D5F">
              <w:rPr>
                <w:rFonts w:cstheme="minorHAnsi"/>
                <w:b/>
                <w:bCs/>
                <w:color w:val="000000"/>
                <w:sz w:val="21"/>
                <w:szCs w:val="21"/>
                <w:lang w:eastAsia="en-GB"/>
              </w:rPr>
              <w:t xml:space="preserve">Value </w:t>
            </w:r>
            <w:r w:rsidRPr="001E1D5F">
              <w:rPr>
                <w:rFonts w:cstheme="minorHAnsi"/>
                <w:b/>
                <w:bCs/>
                <w:color w:val="000000"/>
                <w:sz w:val="21"/>
                <w:szCs w:val="21"/>
                <w:lang w:eastAsia="en-GB"/>
              </w:rPr>
              <w:lastRenderedPageBreak/>
              <w:t>creation</w:t>
            </w:r>
            <w:r w:rsidRPr="001E1D5F">
              <w:rPr>
                <w:rFonts w:cstheme="minorHAnsi"/>
                <w:color w:val="000000"/>
                <w:sz w:val="21"/>
                <w:szCs w:val="21"/>
                <w:lang w:eastAsia="en-GB"/>
              </w:rPr>
              <w:t xml:space="preserve"> refers to the economic value generated by the product for the stakeholders.</w:t>
            </w:r>
          </w:p>
        </w:tc>
        <w:tc>
          <w:tcPr>
            <w:tcW w:w="1559" w:type="dxa"/>
            <w:vAlign w:val="center"/>
          </w:tcPr>
          <w:p w14:paraId="6F8CFBA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lastRenderedPageBreak/>
              <w:t xml:space="preserve">Dimensionless </w:t>
            </w:r>
          </w:p>
        </w:tc>
        <w:tc>
          <w:tcPr>
            <w:tcW w:w="3969" w:type="dxa"/>
            <w:vAlign w:val="center"/>
          </w:tcPr>
          <w:p w14:paraId="0E9E1A0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Chemical, Healthcare Equipment, General</w:t>
            </w:r>
          </w:p>
        </w:tc>
        <w:tc>
          <w:tcPr>
            <w:tcW w:w="1559" w:type="dxa"/>
            <w:vAlign w:val="center"/>
          </w:tcPr>
          <w:p w14:paraId="6259E7A5" w14:textId="7B627B1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{"citationID":"9QFkBdAK","properties":{"formattedCitation":"[4,17,19]","plainCitation":"[4,17,19]","noteIndex":0},"citationItems":[{"id":2977,"uris":["http://zotero.org/users/local/05JQq5lJ/items/9N3FM8MA"],"itemData":{"id":2977,"type":"article-journal","abstract":"The circular economy indices are increasingly recognized as a useful tool to support the development of policies in providing information, reducing environmental pressures and impacts through a circular recycling process. The aim of the paper is to provide a complete overview of circular economy indices.Starting by 137 articles published from 2000 to 2019, the analysis surveys 61 indicators measuring the circular economy. The indicators were grouped by using a double classification: first according to the three spatial dimensions of sustainability -macro, micro and meso- then on the basis of the 3R Core CE principles. Providing all the information related to the formulation strategy, scaling, normalization, weighting and aggregation methodology allows the readers to get a dedicate toolkit.","container-title":"Journal of Cleaner Production","DOI":"10.1016/j.jclepro.2020.124942","ISSN":"0959-6526","journalAbbreviation":"Journal of Cleaner Production","page":"124942","source":"ScienceDirect","title":"A systematic review for measuring circular economy: The 61 indicators","title-short":"A systematic review for measuring circular economy","volume":"281","author":[{"family":"De Pascale","given":"Angelina"},{"family":"Arbolino","given":"Roberta"},{"family":"Szopik-Depczyńska","given":"Katarzyna"},{"family":"Limosani","given":"Michele"},{"family":"Ioppolo","given":"Giuseppe"}],"issued":{"date-parts":[["2021",1,25]]}}},{"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L."},{"family":"Simoes","given":"Ricardo"}],"issued":{"date-parts":[["2023",7,1]]}}},{"id":3012,"uris":["http://zotero.org/users/local/05JQq5lJ/items/GNRCA3WE"],"itemData":{"id":3012,"type":"article-journal","abstract":"The Circular Economy comprises several strategies to enhance the sustainability of products. However, most of the research in this area has focused on Recycling, Recovering and final disposal. Strategies for lifespan extension such as Reuse, Repair, Refurbish, Remanufacture and Repurpose lead to higher circularity and value throughout the lifecycle but are less studied. Here we propose a single generic indicator based on durability and environmental footprint for material selection as an early step in the design process towards extending product lifespan. The material durability indicator or MDI integrates into a single calculation chemical and mechanical durability, together with environmental impacts associated with the material. The proposed indicator incorporates parameters such as flammability resistance, resistance to ultraviolet radiation, resistance to water, resistance to organic solvents, mechanical strength, energy consumption, and carbon footprint, among others. A case study based on polymer materials selection demonstrates the usefulness of the MDI indicator, providing a holistic calculation and comparison of selection alternatives, including conventional and multicriteria approaches. The proposed indicator offers a balanced and technical measurement of durability and environmental burdens in the material selection process and can potentially be applied to any engineering material.","container-title":"Resources, Conservation and Recycling","DOI":"10.1016/j.resconrec.2020.104887","ISSN":"0921-3449","journalAbbreviation":"Resources, Conservation and Recycling","page":"104887","source":"ScienceDirect","title":"Developing an indicator for material selection based on durability and environmental footprint: A Circular Economy perspective","title-short":"Developing an indicator for material selection based on durability and environmental footprint","volume":"160","author":[{"family":"Mesa","given":"Jaime"},{"family":"González-Quiroga","given":"Arturo"},{"family":"Maury","given":"Heriberto"}],"issued":{"date-parts":[["2020",9,1]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[4,17,19]</w:t>
            </w:r>
            <w:r w:rsidRPr="001E1D5F">
              <w:rPr>
                <w:rFonts w:cstheme="minorHAnsi"/>
                <w:color w:val="000000"/>
                <w:sz w:val="21"/>
                <w:szCs w:val="21"/>
                <w:lang w:eastAsia="en-GB"/>
              </w:rPr>
              <w:fldChar w:fldCharType="end"/>
            </w:r>
          </w:p>
        </w:tc>
      </w:tr>
      <w:tr w:rsidR="001E1D5F" w:rsidRPr="001E1D5F" w14:paraId="38B45782" w14:textId="77777777" w:rsidTr="00040455">
        <w:trPr>
          <w:trHeight w:val="300"/>
          <w:jc w:val="center"/>
        </w:trPr>
        <w:tc>
          <w:tcPr>
            <w:tcW w:w="1995" w:type="dxa"/>
            <w:noWrap/>
            <w:vAlign w:val="center"/>
            <w:hideMark/>
          </w:tcPr>
          <w:p w14:paraId="7D402AC3"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Value-Based Resource Efficiency Indicator (VRE)</w:t>
            </w:r>
          </w:p>
        </w:tc>
        <w:tc>
          <w:tcPr>
            <w:tcW w:w="1560" w:type="dxa"/>
            <w:noWrap/>
            <w:vAlign w:val="center"/>
          </w:tcPr>
          <w:p w14:paraId="21B5893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C5D6E3A" w14:textId="77777777" w:rsidR="001E1D5F" w:rsidRPr="001E1D5F" w:rsidRDefault="001E1D5F" w:rsidP="001E1D5F">
            <w:pPr>
              <w:jc w:val="center"/>
              <w:rPr>
                <w:rFonts w:cstheme="minorHAnsi"/>
                <w:color w:val="000000"/>
                <w:sz w:val="21"/>
                <w:szCs w:val="21"/>
                <w:lang w:eastAsia="en-GB"/>
              </w:rPr>
            </w:pPr>
            <w:r w:rsidRPr="001E1D5F">
              <w:rPr>
                <w:rFonts w:cstheme="minorHAnsi"/>
                <w:b/>
                <w:bCs/>
                <w:color w:val="000000"/>
                <w:sz w:val="21"/>
                <w:szCs w:val="21"/>
                <w:lang w:eastAsia="en-GB"/>
              </w:rPr>
              <w:t>VRE=Y/∑pi​*Xi​,</w:t>
            </w:r>
            <w:r w:rsidRPr="001E1D5F">
              <w:rPr>
                <w:rFonts w:cstheme="minorHAnsi"/>
                <w:color w:val="000000"/>
                <w:sz w:val="21"/>
                <w:szCs w:val="21"/>
                <w:lang w:eastAsia="en-GB"/>
              </w:rPr>
              <w:t xml:space="preserve"> where; </w:t>
            </w:r>
            <w:r w:rsidRPr="001E1D5F">
              <w:rPr>
                <w:rFonts w:cstheme="minorHAnsi"/>
                <w:b/>
                <w:bCs/>
                <w:color w:val="000000"/>
                <w:sz w:val="21"/>
                <w:szCs w:val="21"/>
                <w:lang w:eastAsia="en-GB"/>
              </w:rPr>
              <w:t xml:space="preserve">Y </w:t>
            </w:r>
            <w:r w:rsidRPr="001E1D5F">
              <w:rPr>
                <w:rFonts w:cstheme="minorHAnsi"/>
                <w:color w:val="000000"/>
                <w:sz w:val="21"/>
                <w:szCs w:val="21"/>
                <w:lang w:eastAsia="en-GB"/>
              </w:rPr>
              <w:t xml:space="preserve">= output value (which could be the value added by a product, process, or industry), </w:t>
            </w:r>
            <w:r w:rsidRPr="001E1D5F">
              <w:rPr>
                <w:rFonts w:cstheme="minorHAnsi"/>
                <w:b/>
                <w:bCs/>
                <w:color w:val="000000"/>
                <w:sz w:val="21"/>
                <w:szCs w:val="21"/>
                <w:lang w:eastAsia="en-GB"/>
              </w:rPr>
              <w:t>Xi​</w:t>
            </w:r>
            <w:r w:rsidRPr="001E1D5F">
              <w:rPr>
                <w:rFonts w:cstheme="minorHAnsi"/>
                <w:color w:val="000000"/>
                <w:sz w:val="21"/>
                <w:szCs w:val="21"/>
                <w:lang w:eastAsia="en-GB"/>
              </w:rPr>
              <w:t xml:space="preserve"> = volume of the resource </w:t>
            </w:r>
            <w:proofErr w:type="spellStart"/>
            <w:r w:rsidRPr="001E1D5F">
              <w:rPr>
                <w:rFonts w:cstheme="minorHAnsi"/>
                <w:color w:val="000000"/>
                <w:sz w:val="21"/>
                <w:szCs w:val="21"/>
                <w:lang w:eastAsia="en-GB"/>
              </w:rPr>
              <w:t>i</w:t>
            </w:r>
            <w:proofErr w:type="spellEnd"/>
            <w:r w:rsidRPr="001E1D5F">
              <w:rPr>
                <w:rFonts w:cstheme="minorHAnsi"/>
                <w:color w:val="000000"/>
                <w:sz w:val="21"/>
                <w:szCs w:val="21"/>
                <w:lang w:eastAsia="en-GB"/>
              </w:rPr>
              <w:t xml:space="preserve"> used in production, </w:t>
            </w:r>
            <w:r w:rsidRPr="001E1D5F">
              <w:rPr>
                <w:rFonts w:cstheme="minorHAnsi"/>
                <w:b/>
                <w:bCs/>
                <w:color w:val="000000"/>
                <w:sz w:val="21"/>
                <w:szCs w:val="21"/>
                <w:lang w:eastAsia="en-GB"/>
              </w:rPr>
              <w:t>pi​</w:t>
            </w:r>
            <w:r w:rsidRPr="001E1D5F">
              <w:rPr>
                <w:rFonts w:cstheme="minorHAnsi"/>
                <w:color w:val="000000"/>
                <w:sz w:val="21"/>
                <w:szCs w:val="21"/>
                <w:lang w:eastAsia="en-GB"/>
              </w:rPr>
              <w:t xml:space="preserve"> = market price of resource </w:t>
            </w:r>
            <w:proofErr w:type="spellStart"/>
            <w:r w:rsidRPr="001E1D5F">
              <w:rPr>
                <w:rFonts w:cstheme="minorHAnsi"/>
                <w:color w:val="000000"/>
                <w:sz w:val="21"/>
                <w:szCs w:val="21"/>
                <w:lang w:eastAsia="en-GB"/>
              </w:rPr>
              <w:t>i</w:t>
            </w:r>
            <w:proofErr w:type="spellEnd"/>
            <w:r w:rsidRPr="001E1D5F">
              <w:rPr>
                <w:rFonts w:cstheme="minorHAnsi"/>
                <w:color w:val="000000"/>
                <w:sz w:val="21"/>
                <w:szCs w:val="21"/>
                <w:lang w:eastAsia="en-GB"/>
              </w:rPr>
              <w:t>, used as a weight to reflect both the scarcity and quality of the resource.</w:t>
            </w:r>
          </w:p>
        </w:tc>
        <w:tc>
          <w:tcPr>
            <w:tcW w:w="1559" w:type="dxa"/>
            <w:vAlign w:val="center"/>
          </w:tcPr>
          <w:p w14:paraId="375A74D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2441712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General</w:t>
            </w:r>
          </w:p>
        </w:tc>
        <w:tc>
          <w:tcPr>
            <w:tcW w:w="1559" w:type="dxa"/>
            <w:vAlign w:val="center"/>
          </w:tcPr>
          <w:p w14:paraId="7D9E306A" w14:textId="11FD84E6"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{"citationID":"pICtgycE","properties":{"formattedCitation":"[17,44]","plainCitation":"[17,44]","noteIndex":0},"citationItems":[{"id":3076,"uris":["http://zotero.org/users/local/05JQq5lJ/items/Y9JN3IF3"],"itemData":{"id":3076,"type":"article-journal","abstract":"This paper proposes a new value-based indicator to assess the performance of actors in the supply chain in terms of resource efficiency and circular economy. Most of the methodologies developed so far measure resource efficiency on the basis of the environmental burden of the resource relative to the value of output. However, the key point of circular economy is keeping resources within the economy when products no longer serve their functions so that materials can be used again and therefore generate more value. The unit in which resource efficiency and circular economy are measured greatly affects both the ease of acceptance by policymakers and the direction in which green policy will change our society. Whereas the most common approaches to assessing resource efficiency and circular economy use mass, in this paper we advocate measuring both resource efficiency and circular economy in terms of the market value of ‘stressed’ resources, since this value incorporates the elements of scarcity versus competition as well as taxes representing urgent social and environmental externalities. The market value of resources is well-documented and responds automatically to the locality and time at which resources are used. Applying this unit, circularity is defined as the percentage of the value of stressed resources incorporated in a service or product that is returned after its end-of-life. Resource efficiency is the ratio of added product value divided by the value of stressed resources used in production or a process thereof. It is argued that precisely the concept of a free market, in which materials, parts and components are exchanged purely on the basis of their functionality and cost, allows the resource efficiency of a process (KPI for industry and governance) to be distinguished from the resource efficiency of a product (KPI for consumers and governance). Using standard industry data from Statistics Netherlands, the resource efficiency of several Dutch industries were evaluated using the new methodology and compared with a traditional mass-based approach.","container-title":"Resources, Conservation and Recycling","DOI":"10.1016/j.resconrec.2017.02.009","ISSN":"0921-3449","journalAbbreviation":"Resources, Conservation and Recycling","page":"163-171","source":"ScienceDirect","title":"Measuring resource efficiency and circular economy: A market value approach","title-short":"Measuring resource efficiency and circular economy","volume":"122","author":[{"family":"Di Maio","given":"Francesco"},{"family":"Rem","given":"Peter Carlo"},{"family":"Baldé","given":"Kees"},{"family":"Polder","given":"Michael"}],"issued":{"date-parts":[["2017",7,1]]}}},{"id":2988,"uris":["http://zotero.org/users/local/05JQq5lJ/items/HAD8V55E"],"itemData":{"id":2988,"type":"article-journal","abstract":"With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[17,44]</w:t>
            </w:r>
            <w:r w:rsidRPr="001E1D5F">
              <w:rPr>
                <w:rFonts w:cstheme="minorHAnsi"/>
                <w:color w:val="000000"/>
                <w:sz w:val="21"/>
                <w:szCs w:val="21"/>
                <w:lang w:eastAsia="en-GB"/>
              </w:rPr>
              <w:fldChar w:fldCharType="end"/>
            </w:r>
          </w:p>
        </w:tc>
      </w:tr>
      <w:tr w:rsidR="001E1D5F" w:rsidRPr="001E1D5F" w14:paraId="7382CA4E" w14:textId="77777777" w:rsidTr="00040455">
        <w:trPr>
          <w:trHeight w:val="300"/>
          <w:jc w:val="center"/>
        </w:trPr>
        <w:tc>
          <w:tcPr>
            <w:tcW w:w="1995" w:type="dxa"/>
            <w:noWrap/>
            <w:vAlign w:val="center"/>
          </w:tcPr>
          <w:p w14:paraId="798DD99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Material Loss during Production</w:t>
            </w:r>
          </w:p>
        </w:tc>
        <w:tc>
          <w:tcPr>
            <w:tcW w:w="1560" w:type="dxa"/>
            <w:noWrap/>
            <w:vAlign w:val="center"/>
          </w:tcPr>
          <w:p w14:paraId="51E134A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47AD802C" w14:textId="77777777" w:rsidR="001E1D5F" w:rsidRPr="001E1D5F" w:rsidRDefault="001E1D5F" w:rsidP="001E1D5F">
            <w:pPr>
              <w:jc w:val="center"/>
              <w:rPr>
                <w:rFonts w:cstheme="minorHAnsi"/>
                <w:b/>
                <w:bCs/>
                <w:color w:val="000000"/>
                <w:sz w:val="21"/>
                <w:szCs w:val="21"/>
                <w:lang w:eastAsia="en-GB"/>
              </w:rPr>
            </w:pPr>
            <w:r w:rsidRPr="001E1D5F">
              <w:rPr>
                <w:rFonts w:cstheme="minorHAnsi"/>
                <w:b/>
                <w:bCs/>
                <w:color w:val="000000"/>
                <w:sz w:val="21"/>
                <w:szCs w:val="21"/>
                <w:lang w:eastAsia="en-GB"/>
              </w:rPr>
              <w:t>Material Loss (%)</w:t>
            </w:r>
            <w:r w:rsidRPr="001E1D5F">
              <w:rPr>
                <w:rFonts w:cstheme="minorHAnsi"/>
                <w:color w:val="000000"/>
                <w:sz w:val="21"/>
                <w:szCs w:val="21"/>
                <w:lang w:eastAsia="en-GB"/>
              </w:rPr>
              <w:t xml:space="preserve"> = (Total Material Wasted/Total Material </w:t>
            </w:r>
            <w:proofErr w:type="gramStart"/>
            <w:r w:rsidRPr="001E1D5F">
              <w:rPr>
                <w:rFonts w:cstheme="minorHAnsi"/>
                <w:color w:val="000000"/>
                <w:sz w:val="21"/>
                <w:szCs w:val="21"/>
                <w:lang w:eastAsia="en-GB"/>
              </w:rPr>
              <w:t>Input)*</w:t>
            </w:r>
            <w:proofErr w:type="gramEnd"/>
            <w:r w:rsidRPr="001E1D5F">
              <w:rPr>
                <w:rFonts w:cstheme="minorHAnsi"/>
                <w:color w:val="000000"/>
                <w:sz w:val="21"/>
                <w:szCs w:val="21"/>
                <w:lang w:eastAsia="en-GB"/>
              </w:rPr>
              <w:t>100</w:t>
            </w:r>
          </w:p>
        </w:tc>
        <w:tc>
          <w:tcPr>
            <w:tcW w:w="1559" w:type="dxa"/>
            <w:vAlign w:val="center"/>
          </w:tcPr>
          <w:p w14:paraId="661AF6D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337C94A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Household Products</w:t>
            </w:r>
          </w:p>
        </w:tc>
        <w:tc>
          <w:tcPr>
            <w:tcW w:w="1559" w:type="dxa"/>
            <w:vAlign w:val="center"/>
          </w:tcPr>
          <w:p w14:paraId="4D5FE937" w14:textId="6573F3D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{"citationID":"Uryi53v6","properties":{"formattedCitation":"[45]","plainCitation":"[45]","noteIndex":0},"citationItems":[{"id":3069,"uris":["http://zotero.org/users/local/05JQq5lJ/items/VC3UY372"],"itemData":{"id":3069,"type":"article-journal","abstract":"Measuring circularity is a hot topic and has gained a lot of attention among policy makers, companies and academia. Such indicators are often applied to assess the implementation level of more circular supply chains. Although life cycle assessment (LCA) will remain important to ensure our industrial activities contribute to an economic system with an overall lower environmental burden, existing characterization methods for the use of abiotic resources have been heavily debated and criticized by the scientific community and by industry. Due to these limitations in current LCA methods, circularity metrics are useful to evaluate the performance of systems in terms of resource effectiveness. BSH Hausgeräte GmbH (BSH) is the largest manufacturer of home appliances in Europe and one of the leading companies in the sector worldwide. BSH is seeking a new Key Performance Indicator (KPI) to measure their progress in implementing circular strategies such as product service system and improving post-consumer material recycling. This KPI will be used in combination with other indicators already monitored by BSH such as the environmental impact of their products using LCA. In this paper, the suitability of the Product Circularity Indicator (PCI) developed by the KU Leuven as a KPI for circularity within a manufacturing company of household products is investigated. The PCI is a novel circularity indicator that aims to measure the circularity of product at micro-level. Based on the baseline results, the main hotspots that contribute to a low PCI are identified. A sensitivity analysis allows to better understand the potential of specific system parameters to improve the circularity performance of the assessed products and services. The PCI has proven to be suitable for application in an industrial company because it captures all relevant factors influencing the circularity of a product.","collection-title":"The 29th CIRP Conference on Life Cycle Engineering, April 4 – 6, 2022, Leuven, Belgium.","container-title":"Procedia CIRP","DOI":"10.1016/j.procir.2022.02.110","ISSN":"2212-8271","journalAbbreviation":"Procedia CIRP","page":"660-665","source":"ScienceDirect","title":"Implementation of circularity indicators in a household product manufacturing company","volume":"105","author":[{"family":"Bracquené","given":"Ellen"},{"family":"Lindemann","given":"Joerg"},{"family":"Duflou","given":"Joost"}],"issued":{"date-parts":[["2022",1,1]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[45]</w:t>
            </w:r>
            <w:r w:rsidRPr="001E1D5F">
              <w:rPr>
                <w:rFonts w:cstheme="minorHAnsi"/>
                <w:color w:val="000000"/>
                <w:sz w:val="21"/>
                <w:szCs w:val="21"/>
                <w:lang w:eastAsia="en-GB"/>
              </w:rPr>
              <w:fldChar w:fldCharType="end"/>
            </w:r>
          </w:p>
        </w:tc>
      </w:tr>
      <w:tr w:rsidR="001E1D5F" w:rsidRPr="001E1D5F" w14:paraId="11124C3B" w14:textId="77777777" w:rsidTr="00040455">
        <w:trPr>
          <w:trHeight w:val="300"/>
          <w:jc w:val="center"/>
        </w:trPr>
        <w:tc>
          <w:tcPr>
            <w:tcW w:w="16170" w:type="dxa"/>
            <w:gridSpan w:val="6"/>
            <w:shd w:val="clear" w:color="auto" w:fill="E7E6E6" w:themeFill="background2"/>
            <w:noWrap/>
            <w:vAlign w:val="center"/>
            <w:hideMark/>
          </w:tcPr>
          <w:p w14:paraId="7B97FEAE"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Indicator group C6: Waste Generation &amp; Management</w:t>
            </w:r>
          </w:p>
        </w:tc>
      </w:tr>
      <w:tr w:rsidR="001E1D5F" w:rsidRPr="001E1D5F" w14:paraId="1D122099" w14:textId="77777777" w:rsidTr="00040455">
        <w:trPr>
          <w:trHeight w:val="300"/>
          <w:jc w:val="center"/>
        </w:trPr>
        <w:tc>
          <w:tcPr>
            <w:tcW w:w="1995" w:type="dxa"/>
            <w:noWrap/>
            <w:vAlign w:val="center"/>
            <w:hideMark/>
          </w:tcPr>
          <w:p w14:paraId="0603200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 xml:space="preserve">Total Waste Generated (W) </w:t>
            </w:r>
          </w:p>
        </w:tc>
        <w:tc>
          <w:tcPr>
            <w:tcW w:w="1560" w:type="dxa"/>
            <w:noWrap/>
            <w:vAlign w:val="center"/>
          </w:tcPr>
          <w:p w14:paraId="40F0163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559110E0" w14:textId="77777777" w:rsidR="001E1D5F" w:rsidRPr="001E1D5F" w:rsidRDefault="001E1D5F" w:rsidP="001E1D5F">
            <w:pPr>
              <w:jc w:val="center"/>
              <w:rPr>
                <w:rFonts w:cstheme="minorHAnsi"/>
                <w:color w:val="000000"/>
                <w:sz w:val="21"/>
                <w:szCs w:val="21"/>
                <w:lang w:eastAsia="en-GB"/>
              </w:rPr>
            </w:pPr>
            <w:r w:rsidRPr="001E1D5F">
              <w:rPr>
                <w:rFonts w:cstheme="minorHAnsi"/>
                <w:b/>
                <w:bCs/>
                <w:color w:val="000000"/>
                <w:sz w:val="21"/>
                <w:szCs w:val="21"/>
                <w:lang w:eastAsia="en-GB"/>
              </w:rPr>
              <w:t>W</w:t>
            </w:r>
            <w:r w:rsidRPr="001E1D5F">
              <w:rPr>
                <w:rFonts w:cstheme="minorHAnsi"/>
                <w:color w:val="000000"/>
                <w:sz w:val="21"/>
                <w:szCs w:val="21"/>
                <w:lang w:eastAsia="en-GB"/>
              </w:rPr>
              <w:t>: Total waste generated</w:t>
            </w:r>
          </w:p>
          <w:p w14:paraId="3941337F" w14:textId="77777777" w:rsidR="001E1D5F" w:rsidRPr="001E1D5F" w:rsidRDefault="001E1D5F" w:rsidP="001E1D5F">
            <w:pPr>
              <w:jc w:val="center"/>
              <w:rPr>
                <w:rFonts w:cstheme="minorHAnsi"/>
                <w:color w:val="000000"/>
                <w:sz w:val="21"/>
                <w:szCs w:val="21"/>
                <w:lang w:eastAsia="en-GB"/>
              </w:rPr>
            </w:pPr>
          </w:p>
        </w:tc>
        <w:tc>
          <w:tcPr>
            <w:tcW w:w="1559" w:type="dxa"/>
            <w:vAlign w:val="center"/>
          </w:tcPr>
          <w:p w14:paraId="15616BF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Mass (kg)</w:t>
            </w:r>
          </w:p>
        </w:tc>
        <w:tc>
          <w:tcPr>
            <w:tcW w:w="3969" w:type="dxa"/>
            <w:vAlign w:val="center"/>
          </w:tcPr>
          <w:p w14:paraId="55780B5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Construction</w:t>
            </w:r>
          </w:p>
        </w:tc>
        <w:tc>
          <w:tcPr>
            <w:tcW w:w="1559" w:type="dxa"/>
            <w:vAlign w:val="center"/>
          </w:tcPr>
          <w:p w14:paraId="795716C9" w14:textId="4B221A6E"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{"citationID":"ZZ9RN4Fj","properties":{"formattedCitation":"[26]","plainCitation":"[26]","noteIndex":0},"citationItems":[{"id":3035,"uris":["http://zotero.org/users/local/05JQq5lJ/items/CXL8IRXR"],"itemData":{"id":3035,"type":"article-journal","container-title":"Sustainable Production and Consumption","note":"publisher: Elsevier","page":"360–371","source":"Google Scholar","title":"Re-refining of Lubricant Oil Used and Contaminated (LOUC) or its combustion in cement plants? An exploratory study in Brazil based on the life cycle assessment and circularity indicators","title-short":"Re-refining of Lubricant Oil Used and Contaminated (LOUC) or its combustion in cement plants?","volume":"33","author":[{"family":"Silva","given":"Nathalia Ribeiro"},{"family":"Rodrigues","given":"Thiago Oliveira"},{"family":"Braga","given":"Tiago Emmanuel Nunes"},{"family":"Christoforo","given":"André Luis"},{"family":"Silva","given":"Diogo Aparecido Lopes"}],"issued":{"date-parts":[["2022"]]}}}],"schema":"https://github.com/citation-style-language/schema/raw/master/csl-citation.json"}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[26]</w:t>
            </w:r>
            <w:r w:rsidRPr="001E1D5F">
              <w:rPr>
                <w:rFonts w:cstheme="minorHAnsi"/>
                <w:color w:val="000000"/>
                <w:sz w:val="21"/>
                <w:szCs w:val="21"/>
                <w:lang w:eastAsia="en-GB"/>
              </w:rPr>
              <w:fldChar w:fldCharType="end"/>
            </w:r>
          </w:p>
        </w:tc>
      </w:tr>
      <w:tr w:rsidR="001E1D5F" w:rsidRPr="001E1D5F" w14:paraId="42B56F7E" w14:textId="77777777" w:rsidTr="00040455">
        <w:trPr>
          <w:trHeight w:val="300"/>
          <w:jc w:val="center"/>
        </w:trPr>
        <w:tc>
          <w:tcPr>
            <w:tcW w:w="1995" w:type="dxa"/>
            <w:noWrap/>
            <w:vAlign w:val="center"/>
          </w:tcPr>
          <w:p w14:paraId="5B793F8F"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Waste from Recycled Content (WF)</w:t>
            </w:r>
          </w:p>
        </w:tc>
        <w:tc>
          <w:tcPr>
            <w:tcW w:w="1560" w:type="dxa"/>
            <w:noWrap/>
            <w:vAlign w:val="center"/>
          </w:tcPr>
          <w:p w14:paraId="558830B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64C16ED6" w14:textId="77777777" w:rsidR="001E1D5F" w:rsidRPr="001E1D5F" w:rsidRDefault="001E1D5F" w:rsidP="001E1D5F">
            <w:pPr>
              <w:jc w:val="center"/>
              <w:rPr>
                <w:rFonts w:cstheme="minorHAnsi"/>
                <w:color w:val="000000"/>
                <w:sz w:val="21"/>
                <w:szCs w:val="21"/>
                <w:lang w:eastAsia="en-GB"/>
              </w:rPr>
            </w:pPr>
            <w:r w:rsidRPr="001E1D5F">
              <w:rPr>
                <w:rFonts w:cstheme="minorHAnsi"/>
                <w:b/>
                <w:bCs/>
                <w:color w:val="000000"/>
                <w:sz w:val="21"/>
                <w:szCs w:val="21"/>
                <w:lang w:eastAsia="en-GB"/>
              </w:rPr>
              <w:t>WF</w:t>
            </w:r>
            <w:r w:rsidRPr="001E1D5F">
              <w:rPr>
                <w:rFonts w:cstheme="minorHAnsi"/>
                <w:color w:val="000000"/>
                <w:sz w:val="21"/>
                <w:szCs w:val="21"/>
                <w:lang w:eastAsia="en-GB"/>
              </w:rPr>
              <w:t>: Waste generated to produce any recycled content used as raw material. It is calculated as (1−</w:t>
            </w:r>
            <w:proofErr w:type="gramStart"/>
            <w:r w:rsidRPr="001E1D5F">
              <w:rPr>
                <w:rFonts w:cstheme="minorHAnsi"/>
                <w:color w:val="000000"/>
                <w:sz w:val="21"/>
                <w:szCs w:val="21"/>
                <w:lang w:eastAsia="en-GB"/>
              </w:rPr>
              <w:t>EF)×</w:t>
            </w:r>
            <w:proofErr w:type="gramEnd"/>
            <w:r w:rsidRPr="001E1D5F">
              <w:rPr>
                <w:rFonts w:cstheme="minorHAnsi"/>
                <w:color w:val="000000"/>
                <w:sz w:val="21"/>
                <w:szCs w:val="21"/>
                <w:lang w:eastAsia="en-GB"/>
              </w:rPr>
              <w:t xml:space="preserve">(FR−EF), where </w:t>
            </w:r>
            <w:r w:rsidRPr="001E1D5F">
              <w:rPr>
                <w:rFonts w:cstheme="minorHAnsi"/>
                <w:b/>
                <w:bCs/>
                <w:color w:val="000000"/>
                <w:sz w:val="21"/>
                <w:szCs w:val="21"/>
                <w:lang w:eastAsia="en-GB"/>
              </w:rPr>
              <w:t>EF</w:t>
            </w:r>
            <w:r w:rsidRPr="001E1D5F">
              <w:rPr>
                <w:rFonts w:cstheme="minorHAnsi"/>
                <w:color w:val="000000"/>
                <w:sz w:val="21"/>
                <w:szCs w:val="21"/>
                <w:lang w:eastAsia="en-GB"/>
              </w:rPr>
              <w:t xml:space="preserve"> is the efficiency of the recycling process, and </w:t>
            </w:r>
            <w:r w:rsidRPr="001E1D5F">
              <w:rPr>
                <w:rFonts w:cstheme="minorHAnsi"/>
                <w:b/>
                <w:bCs/>
                <w:color w:val="000000"/>
                <w:sz w:val="21"/>
                <w:szCs w:val="21"/>
                <w:lang w:eastAsia="en-GB"/>
              </w:rPr>
              <w:t>FR</w:t>
            </w:r>
            <w:r w:rsidRPr="001E1D5F">
              <w:rPr>
                <w:rFonts w:cstheme="minorHAnsi"/>
                <w:color w:val="000000"/>
                <w:sz w:val="21"/>
                <w:szCs w:val="21"/>
                <w:lang w:eastAsia="en-GB"/>
              </w:rPr>
              <w:t xml:space="preserve"> is the mass fraction of product raw material from recycled resources</w:t>
            </w:r>
          </w:p>
        </w:tc>
        <w:tc>
          <w:tcPr>
            <w:tcW w:w="1559" w:type="dxa"/>
            <w:vAlign w:val="center"/>
          </w:tcPr>
          <w:p w14:paraId="6BC5F4D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Mass (kg)</w:t>
            </w:r>
          </w:p>
        </w:tc>
        <w:tc>
          <w:tcPr>
            <w:tcW w:w="3969" w:type="dxa"/>
            <w:vAlign w:val="center"/>
          </w:tcPr>
          <w:p w14:paraId="244EA19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Construction</w:t>
            </w:r>
          </w:p>
        </w:tc>
        <w:tc>
          <w:tcPr>
            <w:tcW w:w="1559" w:type="dxa"/>
            <w:vAlign w:val="center"/>
          </w:tcPr>
          <w:p w14:paraId="7798F9D6" w14:textId="2D2F5464"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{"citationID":"Mtqm34T7","properties":{"formattedCitation":"[26]","plainCitation":"[26]","noteIndex":0},"citationItems":[{"id":3035,"uris":["http://zotero.org/users/local/05JQq5lJ/items/CXL8IRXR"],"itemData":{"id":3035,"type":"article-journal","container-title":"Sustainable Production and Consumption","note":"publisher: Elsevier","page":"360–371","source":"Google Scholar","title":"Re-refining of Lubricant Oil Used and Contaminated (LOUC) or its combustion in cement plants? An exploratory study in Brazil based on the life cycle assessment and circularity indicators","title-short":"Re-refining of Lubricant Oil Used and Contaminated (LOUC) or its combustion in cement plants?","volume":"33","author":[{"family":"Silva","given":"Nathalia Ribeiro"},{"family":"Rodrigues","given":"Thiago Oliveira"},{"family":"Braga","given":"Tiago Emmanuel Nunes"},{"family":"Christoforo","given":"André Luis"},{"family":"Silva","given":"Diogo Aparecido Lopes"}],"issued":{"date-parts":[["2022"]]}}}],"schema":"https://github.com/citation-style-language/schema/raw/master/csl-citation.json"}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[26]</w:t>
            </w:r>
            <w:r w:rsidRPr="001E1D5F">
              <w:rPr>
                <w:rFonts w:cstheme="minorHAnsi"/>
                <w:color w:val="000000"/>
                <w:sz w:val="21"/>
                <w:szCs w:val="21"/>
                <w:lang w:eastAsia="en-GB"/>
              </w:rPr>
              <w:fldChar w:fldCharType="end"/>
            </w:r>
          </w:p>
        </w:tc>
      </w:tr>
      <w:tr w:rsidR="001E1D5F" w:rsidRPr="001E1D5F" w14:paraId="10BD35C0" w14:textId="77777777" w:rsidTr="00040455">
        <w:tblPrEx>
          <w:jc w:val="left"/>
        </w:tblPrEx>
        <w:trPr>
          <w:trHeight w:val="300"/>
        </w:trPr>
        <w:tc>
          <w:tcPr>
            <w:tcW w:w="1995" w:type="dxa"/>
            <w:noWrap/>
            <w:vAlign w:val="center"/>
          </w:tcPr>
          <w:p w14:paraId="45830C37"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Irrecoverable Waste (WO)</w:t>
            </w:r>
          </w:p>
        </w:tc>
        <w:tc>
          <w:tcPr>
            <w:tcW w:w="1560" w:type="dxa"/>
            <w:noWrap/>
            <w:vAlign w:val="center"/>
          </w:tcPr>
          <w:p w14:paraId="4F7872D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5ADAB2A4" w14:textId="77777777" w:rsidR="001E1D5F" w:rsidRPr="001E1D5F" w:rsidRDefault="001E1D5F" w:rsidP="001E1D5F">
            <w:pPr>
              <w:jc w:val="center"/>
              <w:rPr>
                <w:rFonts w:cstheme="minorHAnsi"/>
                <w:color w:val="000000"/>
                <w:sz w:val="21"/>
                <w:szCs w:val="21"/>
                <w:lang w:eastAsia="en-GB"/>
              </w:rPr>
            </w:pPr>
            <w:r w:rsidRPr="001E1D5F">
              <w:rPr>
                <w:rFonts w:cstheme="minorHAnsi"/>
                <w:b/>
                <w:bCs/>
                <w:color w:val="000000"/>
                <w:sz w:val="21"/>
                <w:szCs w:val="21"/>
                <w:lang w:eastAsia="en-GB"/>
              </w:rPr>
              <w:t>WO</w:t>
            </w:r>
            <w:r w:rsidRPr="001E1D5F">
              <w:rPr>
                <w:rFonts w:cstheme="minorHAnsi"/>
                <w:color w:val="000000"/>
                <w:sz w:val="21"/>
                <w:szCs w:val="21"/>
                <w:lang w:eastAsia="en-GB"/>
              </w:rPr>
              <w:t xml:space="preserve">: Irrecoverable waste, which is calculated as 1−CR−CU, where </w:t>
            </w:r>
            <w:r w:rsidRPr="001E1D5F">
              <w:rPr>
                <w:rFonts w:cstheme="minorHAnsi"/>
                <w:b/>
                <w:bCs/>
                <w:color w:val="000000"/>
                <w:sz w:val="21"/>
                <w:szCs w:val="21"/>
                <w:lang w:eastAsia="en-GB"/>
              </w:rPr>
              <w:t>CR</w:t>
            </w:r>
            <w:r w:rsidRPr="001E1D5F">
              <w:rPr>
                <w:rFonts w:cstheme="minorHAnsi"/>
                <w:color w:val="000000"/>
                <w:sz w:val="21"/>
                <w:szCs w:val="21"/>
                <w:lang w:eastAsia="en-GB"/>
              </w:rPr>
              <w:t xml:space="preserve"> is the mass fraction of the product being collected for recycling, and </w:t>
            </w:r>
            <w:r w:rsidRPr="001E1D5F">
              <w:rPr>
                <w:rFonts w:cstheme="minorHAnsi"/>
                <w:b/>
                <w:bCs/>
                <w:color w:val="000000"/>
                <w:sz w:val="21"/>
                <w:szCs w:val="21"/>
                <w:lang w:eastAsia="en-GB"/>
              </w:rPr>
              <w:t>CU</w:t>
            </w:r>
            <w:r w:rsidRPr="001E1D5F">
              <w:rPr>
                <w:rFonts w:cstheme="minorHAnsi"/>
                <w:color w:val="000000"/>
                <w:sz w:val="21"/>
                <w:szCs w:val="21"/>
                <w:lang w:eastAsia="en-GB"/>
              </w:rPr>
              <w:t xml:space="preserve"> is the mass fraction of the product taken for component reuse</w:t>
            </w:r>
          </w:p>
          <w:p w14:paraId="1304262E" w14:textId="77777777" w:rsidR="001E1D5F" w:rsidRPr="001E1D5F" w:rsidRDefault="001E1D5F" w:rsidP="001E1D5F">
            <w:pPr>
              <w:spacing w:before="60"/>
              <w:jc w:val="center"/>
              <w:rPr>
                <w:rFonts w:cstheme="minorHAnsi"/>
                <w:b/>
                <w:bCs/>
                <w:color w:val="000000"/>
                <w:sz w:val="21"/>
                <w:szCs w:val="21"/>
                <w:lang w:eastAsia="en-GB"/>
              </w:rPr>
            </w:pPr>
          </w:p>
        </w:tc>
        <w:tc>
          <w:tcPr>
            <w:tcW w:w="1559" w:type="dxa"/>
            <w:vAlign w:val="center"/>
          </w:tcPr>
          <w:p w14:paraId="21397C1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Mass (kg)</w:t>
            </w:r>
          </w:p>
        </w:tc>
        <w:tc>
          <w:tcPr>
            <w:tcW w:w="3969" w:type="dxa"/>
            <w:vAlign w:val="center"/>
          </w:tcPr>
          <w:p w14:paraId="35596B5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Construction</w:t>
            </w:r>
          </w:p>
        </w:tc>
        <w:tc>
          <w:tcPr>
            <w:tcW w:w="1559" w:type="dxa"/>
            <w:vAlign w:val="center"/>
          </w:tcPr>
          <w:p w14:paraId="427800A3" w14:textId="6AB1E5D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{"citationID":"EMdZx13D","properties":{"formattedCitation":"[26]","plainCitation":"[26]","noteIndex":0},"citationItems":[{"id":3035,"uris":["http://zotero.org/users/local/05JQq5lJ/items/CXL8IRXR"],"itemData":{"id":3035,"type":"article-journal","container-title":"Sustainable Production and Consumption","note":"publisher: Elsevier","page":"360–371","source":"Google Scholar","title":"Re-refining of Lubricant Oil Used and Contaminated (LOUC) or its combustion in cement plants? An exploratory study in Brazil based on the life cycle assessment and circularity indicators","title-short":"Re-refining of Lubricant Oil Used and Contaminated (LOUC) or its combustion in cement plants?","volume":"33","author":[{"family":"Silva","given":"Nathalia Ribeiro"},{"family":"Rodrigues","given":"Thiago Oliveira"},{"family":"Braga","given":"Tiago Emmanuel Nunes"},{"family":"Christoforo","given":"André Luis"},{"family":"Silva","given":"Diogo Aparecido Lopes"}],"issued":{"date-parts":[["2022"]]}}}],"schema":"https://github.com/citation-style-language/schema/raw/master/csl-citation.json"}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[26]</w:t>
            </w:r>
            <w:r w:rsidRPr="001E1D5F">
              <w:rPr>
                <w:rFonts w:cstheme="minorHAnsi"/>
                <w:color w:val="000000"/>
                <w:sz w:val="21"/>
                <w:szCs w:val="21"/>
                <w:lang w:eastAsia="en-GB"/>
              </w:rPr>
              <w:fldChar w:fldCharType="end"/>
            </w:r>
          </w:p>
        </w:tc>
      </w:tr>
      <w:tr w:rsidR="001E1D5F" w:rsidRPr="001E1D5F" w14:paraId="2F8B9A86" w14:textId="77777777" w:rsidTr="00040455">
        <w:tblPrEx>
          <w:jc w:val="left"/>
        </w:tblPrEx>
        <w:trPr>
          <w:trHeight w:val="300"/>
        </w:trPr>
        <w:tc>
          <w:tcPr>
            <w:tcW w:w="1995" w:type="dxa"/>
            <w:noWrap/>
            <w:vAlign w:val="center"/>
          </w:tcPr>
          <w:p w14:paraId="45C3B3A2"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Waste Generated in Recycling (WC)</w:t>
            </w:r>
          </w:p>
        </w:tc>
        <w:tc>
          <w:tcPr>
            <w:tcW w:w="1560" w:type="dxa"/>
            <w:noWrap/>
            <w:vAlign w:val="center"/>
          </w:tcPr>
          <w:p w14:paraId="7FCF201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48103009"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WC</w:t>
            </w:r>
            <w:r w:rsidRPr="001E1D5F">
              <w:rPr>
                <w:rFonts w:cstheme="minorHAnsi"/>
                <w:color w:val="000000"/>
                <w:sz w:val="21"/>
                <w:szCs w:val="21"/>
                <w:lang w:eastAsia="en-GB"/>
              </w:rPr>
              <w:t>: Waste generated in the recycling process, calculated as (1−</w:t>
            </w:r>
            <w:proofErr w:type="gramStart"/>
            <w:r w:rsidRPr="001E1D5F">
              <w:rPr>
                <w:rFonts w:cstheme="minorHAnsi"/>
                <w:color w:val="000000"/>
                <w:sz w:val="21"/>
                <w:szCs w:val="21"/>
                <w:lang w:eastAsia="en-GB"/>
              </w:rPr>
              <w:t>EC)×</w:t>
            </w:r>
            <w:proofErr w:type="gramEnd"/>
            <w:r w:rsidRPr="001E1D5F">
              <w:rPr>
                <w:rFonts w:cstheme="minorHAnsi"/>
                <w:color w:val="000000"/>
                <w:sz w:val="21"/>
                <w:szCs w:val="21"/>
                <w:lang w:eastAsia="en-GB"/>
              </w:rPr>
              <w:t xml:space="preserve">CR, where </w:t>
            </w:r>
            <w:r w:rsidRPr="001E1D5F">
              <w:rPr>
                <w:rFonts w:cstheme="minorHAnsi"/>
                <w:b/>
                <w:bCs/>
                <w:color w:val="000000"/>
                <w:sz w:val="21"/>
                <w:szCs w:val="21"/>
                <w:lang w:eastAsia="en-GB"/>
              </w:rPr>
              <w:t>EC</w:t>
            </w:r>
            <w:r w:rsidRPr="001E1D5F">
              <w:rPr>
                <w:rFonts w:cstheme="minorHAnsi"/>
                <w:color w:val="000000"/>
                <w:sz w:val="21"/>
                <w:szCs w:val="21"/>
                <w:lang w:eastAsia="en-GB"/>
              </w:rPr>
              <w:t xml:space="preserve"> is the efficiency of the recycling process for the part of the product collected for recycling.</w:t>
            </w:r>
          </w:p>
        </w:tc>
        <w:tc>
          <w:tcPr>
            <w:tcW w:w="1559" w:type="dxa"/>
            <w:vAlign w:val="center"/>
          </w:tcPr>
          <w:p w14:paraId="300F9CF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Mass (kg)</w:t>
            </w:r>
          </w:p>
        </w:tc>
        <w:tc>
          <w:tcPr>
            <w:tcW w:w="3969" w:type="dxa"/>
            <w:vAlign w:val="center"/>
          </w:tcPr>
          <w:p w14:paraId="6205857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Construction</w:t>
            </w:r>
          </w:p>
        </w:tc>
        <w:tc>
          <w:tcPr>
            <w:tcW w:w="1559" w:type="dxa"/>
            <w:vAlign w:val="center"/>
          </w:tcPr>
          <w:p w14:paraId="08DD5ED4" w14:textId="22A99D9C"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{"citationID":"JntqKoaa","properties":{"formattedCitation":"[26]","plainCitation":"[26]","noteIndex":0},"citationItems":[{"id":3035,"uris":["http://zotero.org/users/local/05JQq5lJ/items/CXL8IRXR"],"itemData":{"id":3035,"type":"article-journal","container-title":"Sustainable Production and Consumption","note":"publisher: Elsevier","page":"360–371","source":"Google Scholar","title":"Re-refining of Lubricant Oil Used and Contaminated (LOUC) or its combustion in cement plants? An exploratory study in Brazil based on the life cycle assessment and circularity indicators","title-short":"Re-refining of Lubricant Oil Used and Contaminated (LOUC) or its combustion in cement plants?","volume":"33","author":[{"family":"Silva","given":"Nathalia Ribeiro"},{"family":"Rodrigues","given":"Thiago Oliveira"},{"family":"Braga","given":"Tiago Emmanuel Nunes"},{"family":"Christoforo","given":"André Luis"},{"family":"Silva","given":"Diogo Aparecido Lopes"}],"issued":{"date-parts":[["2022"]]}}}],"schema":"https://github.com/citation-style-language/schema/raw/master/csl-citation.json"}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[26]</w:t>
            </w:r>
            <w:r w:rsidRPr="001E1D5F">
              <w:rPr>
                <w:rFonts w:cstheme="minorHAnsi"/>
                <w:color w:val="000000"/>
                <w:sz w:val="21"/>
                <w:szCs w:val="21"/>
                <w:lang w:eastAsia="en-GB"/>
              </w:rPr>
              <w:fldChar w:fldCharType="end"/>
            </w:r>
          </w:p>
        </w:tc>
      </w:tr>
      <w:tr w:rsidR="001E1D5F" w:rsidRPr="001E1D5F" w14:paraId="390E42D1" w14:textId="77777777" w:rsidTr="00040455">
        <w:tblPrEx>
          <w:jc w:val="left"/>
        </w:tblPrEx>
        <w:trPr>
          <w:trHeight w:val="300"/>
        </w:trPr>
        <w:tc>
          <w:tcPr>
            <w:tcW w:w="1995" w:type="dxa"/>
            <w:noWrap/>
            <w:vAlign w:val="center"/>
          </w:tcPr>
          <w:p w14:paraId="19B3C04D"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Environmental Factor</w:t>
            </w:r>
          </w:p>
        </w:tc>
        <w:tc>
          <w:tcPr>
            <w:tcW w:w="1560" w:type="dxa"/>
            <w:noWrap/>
            <w:vAlign w:val="center"/>
          </w:tcPr>
          <w:p w14:paraId="1FE5179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2C72951"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b/>
                <w:bCs/>
                <w:color w:val="000000"/>
                <w:sz w:val="21"/>
                <w:szCs w:val="21"/>
                <w:lang w:eastAsia="en-GB"/>
              </w:rPr>
              <w:t xml:space="preserve">EF </w:t>
            </w:r>
            <w:r w:rsidRPr="001E1D5F">
              <w:rPr>
                <w:rFonts w:cstheme="minorHAnsi"/>
                <w:color w:val="000000"/>
                <w:sz w:val="21"/>
                <w:szCs w:val="21"/>
                <w:lang w:eastAsia="en-GB"/>
              </w:rPr>
              <w:t xml:space="preserve">= </w:t>
            </w:r>
            <w:proofErr w:type="gramStart"/>
            <w:r w:rsidRPr="001E1D5F">
              <w:rPr>
                <w:rFonts w:cstheme="minorHAnsi"/>
                <w:color w:val="000000"/>
                <w:sz w:val="21"/>
                <w:szCs w:val="21"/>
                <w:lang w:eastAsia="en-GB"/>
              </w:rPr>
              <w:t>Non-product</w:t>
            </w:r>
            <w:proofErr w:type="gramEnd"/>
            <w:r w:rsidRPr="001E1D5F">
              <w:rPr>
                <w:rFonts w:cstheme="minorHAnsi"/>
                <w:color w:val="000000"/>
                <w:sz w:val="21"/>
                <w:szCs w:val="21"/>
                <w:lang w:eastAsia="en-GB"/>
              </w:rPr>
              <w:t xml:space="preserve"> mass/Mass of product, where: </w:t>
            </w:r>
            <w:r w:rsidRPr="001E1D5F">
              <w:rPr>
                <w:rFonts w:cstheme="minorHAnsi"/>
                <w:b/>
                <w:bCs/>
                <w:color w:val="000000"/>
                <w:sz w:val="21"/>
                <w:szCs w:val="21"/>
                <w:lang w:eastAsia="en-GB"/>
              </w:rPr>
              <w:t>Non-product mass</w:t>
            </w:r>
            <w:r w:rsidRPr="001E1D5F">
              <w:rPr>
                <w:rFonts w:cstheme="minorHAnsi"/>
                <w:color w:val="000000"/>
                <w:sz w:val="21"/>
                <w:szCs w:val="21"/>
                <w:lang w:eastAsia="en-GB"/>
              </w:rPr>
              <w:t xml:space="preserve"> includes all mass generated in the process that does not contribute to the final product, such as waste or by-products, </w:t>
            </w:r>
            <w:r w:rsidRPr="001E1D5F">
              <w:rPr>
                <w:rFonts w:cstheme="minorHAnsi"/>
                <w:b/>
                <w:bCs/>
                <w:color w:val="000000"/>
                <w:sz w:val="21"/>
                <w:szCs w:val="21"/>
                <w:lang w:eastAsia="en-GB"/>
              </w:rPr>
              <w:t>Mass of product</w:t>
            </w:r>
            <w:r w:rsidRPr="001E1D5F">
              <w:rPr>
                <w:rFonts w:cstheme="minorHAnsi"/>
                <w:color w:val="000000"/>
                <w:sz w:val="21"/>
                <w:szCs w:val="21"/>
                <w:lang w:eastAsia="en-GB"/>
              </w:rPr>
              <w:t xml:space="preserve"> is the total mass of the desired product output.</w:t>
            </w:r>
          </w:p>
        </w:tc>
        <w:tc>
          <w:tcPr>
            <w:tcW w:w="1559" w:type="dxa"/>
            <w:vAlign w:val="center"/>
          </w:tcPr>
          <w:p w14:paraId="1D88CF0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Dimensionless unit</w:t>
            </w:r>
          </w:p>
        </w:tc>
        <w:tc>
          <w:tcPr>
            <w:tcW w:w="3969" w:type="dxa"/>
            <w:vAlign w:val="center"/>
          </w:tcPr>
          <w:p w14:paraId="247A5D9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Chemical and Petrochemical Sector</w:t>
            </w:r>
          </w:p>
        </w:tc>
        <w:tc>
          <w:tcPr>
            <w:tcW w:w="1559" w:type="dxa"/>
            <w:vAlign w:val="center"/>
          </w:tcPr>
          <w:p w14:paraId="05661A5E" w14:textId="4040ECF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{"citationID":"a20m8vedbdd","properties":{"formattedCitation":"[46]","plainCitation":"[46]","noteIndex":0},"citationItems":[{"id":3119,"uris":["http://zotero.org/users/local/05JQq5lJ/items/ABYDPSB3"],"itemData":{"id":3119,"type":"article-journal","abstract":"Climate change and fossil resource depletion are driving a transition to a bio-based economy, for which novel bio-based chemical processes need to be developed. The environmental performance of the novel bio-based chemicals should be assessed during their development, when the production process can still be adapted, although data availability is limited. Many environmental assessment methods applicable during product development (‘early-stage methods’) exist in the literature. The aim of this study is to provide an overview of these early-stage methods and to evaluate to what extent they are suitable for assessing bio-based chemicals in their early-stage development. The paper first describes the characteristics of early-stage chemical design and the environmental impacts of bio-based products based on published life cycle assessments. Low data requirements, the inclusion of climate change and energy indicators, and the inclusion of environmental impacts from biomass feedstock production are identified as three good-practice principles for early-stage assessment of bio-based chemicals. In the second step, 27 early-stage assessment methods are reviewed and categorized based on their scope and environmental indicators used. Finally, the reviewed methods are evaluated using the good-practice principles. A perfect early-stage method does not exist. However, choosing the most suitable method(s) based on the goal of an assessment and using complementary indicators leads to the most effective assessment for novel bio-based chemicals in development. © 2017 The Authors. Biofuels, Bioproducts and Biorefining published by Society of Chemical Industry and John Wiley &amp; Sons, Ltd.","container-title":"Biofuels, Bioproducts and Biorefining","DOI":"10.1002/bbb.1772","ISSN":"1932-1031","issue":"4","language":"en","license":"© 2017 The Authors. Biofuels, Bioproducts and Biorefining published by Society of Chemical Industry and John Wiley &amp; Sons, Ltd.","note":"_eprint: https://onlinelibrary.wiley.com/doi/pdf/10.1002/bbb.1772","page":"701-718","source":"Wiley Online Library","title":"Environmental assessment of bio-based chemicals in early-stage development: a review of methods and indicators","title-short":"Environmental assessment of bio-based chemicals in early-stage development","volume":"11","author":[{"family":"Broeren","given":"Martijn L.M."},{"family":"Zijp","given":"Michiel C."},{"family":"Waaijers-van der Loop","given":"Susanne L."},{"family":"Heugens","given":"Evelyn H.W."},{"family":"Posthuma","given":"Leo"},{"family":"Worrell","given":"Ernst"},{"family":"Shen","given":"Li"}],"issued":{"date-parts":[["2017"]]}}}],"schema":"https://github.com/citation-style-language/schema/raw/master/csl-citation.json"}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[46]</w:t>
            </w:r>
            <w:r w:rsidRPr="001E1D5F">
              <w:rPr>
                <w:rFonts w:cstheme="minorHAnsi"/>
                <w:color w:val="000000"/>
                <w:sz w:val="21"/>
                <w:szCs w:val="21"/>
                <w:lang w:eastAsia="en-GB"/>
              </w:rPr>
              <w:fldChar w:fldCharType="end"/>
            </w:r>
          </w:p>
        </w:tc>
      </w:tr>
      <w:tr w:rsidR="001E1D5F" w:rsidRPr="001E1D5F" w14:paraId="09032185" w14:textId="77777777" w:rsidTr="00040455">
        <w:tblPrEx>
          <w:jc w:val="left"/>
        </w:tblPrEx>
        <w:trPr>
          <w:trHeight w:val="300"/>
        </w:trPr>
        <w:tc>
          <w:tcPr>
            <w:tcW w:w="1995" w:type="dxa"/>
            <w:noWrap/>
            <w:vAlign w:val="center"/>
          </w:tcPr>
          <w:p w14:paraId="73262E61"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lastRenderedPageBreak/>
              <w:t>By-Product Recovery Rate</w:t>
            </w:r>
          </w:p>
        </w:tc>
        <w:tc>
          <w:tcPr>
            <w:tcW w:w="1560" w:type="dxa"/>
            <w:noWrap/>
            <w:vAlign w:val="center"/>
          </w:tcPr>
          <w:p w14:paraId="1ACE330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3877943"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It is the proportion of by-products generated during production that are successfully recovered and repurposed for secondary uses.</w:t>
            </w:r>
          </w:p>
        </w:tc>
        <w:tc>
          <w:tcPr>
            <w:tcW w:w="1559" w:type="dxa"/>
            <w:vAlign w:val="center"/>
          </w:tcPr>
          <w:p w14:paraId="2F43FF9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EB2290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Agri-food</w:t>
            </w:r>
          </w:p>
        </w:tc>
        <w:tc>
          <w:tcPr>
            <w:tcW w:w="1559" w:type="dxa"/>
            <w:vAlign w:val="center"/>
          </w:tcPr>
          <w:p w14:paraId="73DD39E6" w14:textId="5D81A7F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{"citationID":"70uS1F1Y","properties":{"formattedCitation":"[14]","plainCitation":"[14]","noteIndex":0},"citationItems":[{"id":3033,"uris":["http://zotero.org/users/local/05JQq5lJ/items/I8KXG7IX"],"itemData":{"id":3033,"type":"article-journal","source":"Google Scholar","title":"Circular Economy: Assessment of Circularity in Olive Oil Mills","title-short":"Circular Economy","URL":"https://cms.gnest.org/sites/default/files/Proceedings/cest2023_00011/cest2023_00011.pdf","author":[{"family":"Kounani","given":"A."},{"family":"PAVLOUDI","given":"A."},{"family":"AGGELOPOULOS","given":"S."},{"family":"KONTOGEORGOS","given":"A."}],"accessed":{"date-parts":[["2024",10,21]]},"issued":{"date-parts":[["2023"]]}}}],"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[14]</w:t>
            </w:r>
            <w:r w:rsidRPr="001E1D5F">
              <w:rPr>
                <w:rFonts w:cstheme="minorHAnsi"/>
                <w:color w:val="000000"/>
                <w:sz w:val="21"/>
                <w:szCs w:val="21"/>
                <w:lang w:eastAsia="en-GB"/>
              </w:rPr>
              <w:fldChar w:fldCharType="end"/>
            </w:r>
          </w:p>
        </w:tc>
      </w:tr>
      <w:tr w:rsidR="001E1D5F" w:rsidRPr="001E1D5F" w14:paraId="6174F8CA" w14:textId="77777777" w:rsidTr="00040455">
        <w:tblPrEx>
          <w:jc w:val="left"/>
        </w:tblPrEx>
        <w:trPr>
          <w:trHeight w:val="300"/>
        </w:trPr>
        <w:tc>
          <w:tcPr>
            <w:tcW w:w="1995" w:type="dxa"/>
            <w:noWrap/>
            <w:vAlign w:val="center"/>
          </w:tcPr>
          <w:p w14:paraId="5829B39F"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Energy Recovery</w:t>
            </w:r>
          </w:p>
        </w:tc>
        <w:tc>
          <w:tcPr>
            <w:tcW w:w="1560" w:type="dxa"/>
            <w:noWrap/>
            <w:vAlign w:val="center"/>
          </w:tcPr>
          <w:p w14:paraId="52DCBF7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9AA16DD" w14:textId="77777777" w:rsidR="001E1D5F" w:rsidRPr="001E1D5F" w:rsidRDefault="001E1D5F" w:rsidP="001E1D5F">
            <w:pPr>
              <w:spacing w:before="60"/>
              <w:jc w:val="center"/>
              <w:rPr>
                <w:rFonts w:cstheme="minorHAnsi"/>
                <w:b/>
                <w:bCs/>
                <w:color w:val="000000"/>
                <w:sz w:val="21"/>
                <w:szCs w:val="21"/>
                <w:lang w:eastAsia="en-GB"/>
              </w:rPr>
            </w:pPr>
            <w:r w:rsidRPr="001E1D5F">
              <w:rPr>
                <w:rFonts w:cstheme="minorHAnsi"/>
                <w:color w:val="000000"/>
                <w:sz w:val="21"/>
                <w:szCs w:val="21"/>
                <w:lang w:eastAsia="en-GB"/>
              </w:rPr>
              <w:t>It measures the extent to which energy is recovered from waste instead of landfilling. It is considered a lower-tier circular practice but preferable to disposal without recovery.</w:t>
            </w:r>
          </w:p>
        </w:tc>
        <w:tc>
          <w:tcPr>
            <w:tcW w:w="1559" w:type="dxa"/>
            <w:vAlign w:val="center"/>
          </w:tcPr>
          <w:p w14:paraId="0D3C05F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Megajoules (MJ) or Kilowatt-hours (kWh)</w:t>
            </w:r>
          </w:p>
        </w:tc>
        <w:tc>
          <w:tcPr>
            <w:tcW w:w="3969" w:type="dxa"/>
            <w:vAlign w:val="center"/>
          </w:tcPr>
          <w:p w14:paraId="52BC802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Construction, Electrical &amp; Electronics</w:t>
            </w:r>
          </w:p>
        </w:tc>
        <w:tc>
          <w:tcPr>
            <w:tcW w:w="1559" w:type="dxa"/>
            <w:vAlign w:val="center"/>
          </w:tcPr>
          <w:p w14:paraId="248D72AC" w14:textId="272842C8"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{"citationID":"A8lNM4xi","properties":{"formattedCitation":"[12,34]","plainCitation":"[12,34]","noteIndex":0},"citationItems":[{"id":3023,"uris":["http://zotero.org/users/local/05JQq5lJ/items/ZA7EAYU2"],"itemData":{"id":3023,"type":"article-journal","abstract":"This study addresses the challenges and barriers associated with the implementation of circular economy principles in architectural design and construction practices. It highlights the fragmented knowledge and lack of a unified approach to circular design as a major obstacle hindering the adoption of circularity. The existing frameworks for assessing circularity, such as the Material Circularity Indicator (MCI) protocol and the Level(s) assessment protocol, are applied to two projects with a high degree of deconstruction to understand their applicability in the architectural design process and identify their limitations. The study emphasises the significance of considering structural connectivity and circularity strategies during the concept-design stage, advocating for the incorporation of circularity at various scales beyond the microscale of materials. Furthermore, it emphasises the need for early implementation of Design for Disassembly (DfD) strategies on circularity scoring to enable meaningful comparisons of alternative designs using circularity metrics. The findings reveal the variability of circularity indicators based on the hierarchy of disassembly and highlights an early-stage design approach to deconstruction strategies to achieve circularity in architectural design. Overall, this study upscales the significance of a comprehensive and integrated approach to circularity in architectural design practices.","container-title":"Buildings","DOI":"10.3390/buildings13071706","ISSN":"2075-5309","issue":"7","language":"en","license":"http://creativecommons.org/licenses/by/3.0/","note":"number: 7\npublisher: Multidisciplinary Digital Publishing Institute","page":"1706","source":"www.mdpi.com","title":"Circularity Indicators as a Design Tool for Design and Construction Strategies in Architecture","volume":"13","author":[{"family":"Incelli","given":"Francesco"},{"family":"Cardellicchio","given":"Luciano"},{"family":"Rossetti","given":"Massimo"}],"issued":{"date-parts":[["2023",7]]}}},{"id":3047,"uris":["http://zotero.org/users/local/05JQq5lJ/items/86PCEPYM"],"itemData":{"id":3047,"type":"article-journal","abstract":"The adoption of circularity indicators in the electrical and electronic sector is understood to play a critical role in organisational decision making during the transition from a linear to a circular economy. Yet, it is widely recognised that there is no standardised method of measuring circularity performance. Additionally, the extent of literature uncovers a range of shortcomings of existing cross-sector circularity indicators, including a predominant focus on end-of-life, limited coverage of social measurements, a lack of sector specificity and limited capture of product functionality, durability or sharing. Furthermore, the current electrical and electronic sector-specific circularity indicators focus greatly on repair and recycling, failing to acknowledge the significant impact on circularity of the design and manufacturing, distribution and use phases. Therefore, this research set out to answer how electrical and electronic manufacturers can measure the circular economy performance of their products by developing and testing multidimensional circularity indicators for all products’ life cycle stages. To achieve this, a two-fold qualitative approach was adopted. Firstly, a stakeholders’ workshop aiming to generate, categorise and rate novel circularity indicators was held. Secondly, a focus group piloted the resulting workshop’s circularity indicators. The findings highlight key factors that influence circularity indicators’ applicability to electrical and electronic products, including product function, service arrangement, and customer type. The research has implications for electrical and electronic organisations seeking pathways to the circular economy by understanding, assessing, and measuring the circularity of their products.","container-title":"Sustainability","DOI":"10.3390/su14031154","ISSN":"2071-1050","issue":"3","language":"en","license":"http://creativecommons.org/licenses/by/3.0/","note":"number: 3\npublisher: Multidisciplinary Digital Publishing Institute","page":"1154","source":"www.mdpi.com","title":"Developing and Applying Circularity Indicators for the Electrical and Electronic Sector: A Product Lifecycle Approach","title-short":"Developing and Applying Circularity Indicators for the Electrical and Electronic Sector","volume":"14","author":[{"family":"Pollard","given":"Jennifer"},{"family":"Osmani","given":"Mohamed"},{"family":"Cole","given":"Christine"},{"family":"Grubnic","given":"Suzana"},{"family":"Colwill","given":"James"},{"family":"Díaz","given":"Ana Isabel"}],"issued":{"date-parts":[["2022",1]]}}}],"schema":"https://github.com/citation-style-language/schema/raw/master/csl-citation.json"}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[12,34]</w:t>
            </w:r>
            <w:r w:rsidRPr="001E1D5F">
              <w:rPr>
                <w:rFonts w:cstheme="minorHAnsi"/>
                <w:color w:val="000000"/>
                <w:sz w:val="21"/>
                <w:szCs w:val="21"/>
                <w:lang w:eastAsia="en-GB"/>
              </w:rPr>
              <w:fldChar w:fldCharType="end"/>
            </w:r>
          </w:p>
        </w:tc>
      </w:tr>
      <w:tr w:rsidR="001E1D5F" w:rsidRPr="001E1D5F" w14:paraId="49E924A0" w14:textId="77777777" w:rsidTr="00040455">
        <w:trPr>
          <w:trHeight w:val="300"/>
          <w:jc w:val="center"/>
        </w:trPr>
        <w:tc>
          <w:tcPr>
            <w:tcW w:w="16170" w:type="dxa"/>
            <w:gridSpan w:val="6"/>
            <w:shd w:val="clear" w:color="auto" w:fill="E7E6E6" w:themeFill="background2"/>
            <w:noWrap/>
            <w:vAlign w:val="center"/>
            <w:hideMark/>
          </w:tcPr>
          <w:p w14:paraId="5F794216"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 xml:space="preserve">Indicator group C7: Recycling Performance </w:t>
            </w:r>
          </w:p>
        </w:tc>
      </w:tr>
      <w:tr w:rsidR="001E1D5F" w:rsidRPr="001E1D5F" w14:paraId="1C1F0099" w14:textId="77777777" w:rsidTr="00040455">
        <w:tblPrEx>
          <w:jc w:val="left"/>
        </w:tblPrEx>
        <w:trPr>
          <w:trHeight w:val="300"/>
        </w:trPr>
        <w:tc>
          <w:tcPr>
            <w:tcW w:w="1995" w:type="dxa"/>
            <w:noWrap/>
            <w:vAlign w:val="center"/>
          </w:tcPr>
          <w:p w14:paraId="102EF7C7"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Potential Recycle Index</w:t>
            </w:r>
          </w:p>
        </w:tc>
        <w:tc>
          <w:tcPr>
            <w:tcW w:w="1560" w:type="dxa"/>
            <w:noWrap/>
            <w:vAlign w:val="center"/>
          </w:tcPr>
          <w:p w14:paraId="74E4451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43C4FBC" w14:textId="77777777" w:rsidR="001E1D5F" w:rsidRPr="001E1D5F" w:rsidRDefault="001E1D5F" w:rsidP="001E1D5F">
            <w:pPr>
              <w:spacing w:line="276" w:lineRule="auto"/>
              <w:jc w:val="center"/>
              <w:rPr>
                <w:rFonts w:cstheme="minorHAnsi"/>
                <w:color w:val="000000"/>
                <w:sz w:val="21"/>
                <w:szCs w:val="21"/>
              </w:rPr>
            </w:pPr>
            <w:r w:rsidRPr="001E1D5F">
              <w:rPr>
                <w:rFonts w:cstheme="minorHAnsi"/>
                <w:b/>
                <w:bCs/>
                <w:color w:val="000000"/>
                <w:sz w:val="21"/>
                <w:szCs w:val="21"/>
                <w:lang w:eastAsia="en-GB"/>
              </w:rPr>
              <w:t>PRI</w:t>
            </w:r>
            <w:r w:rsidRPr="001E1D5F">
              <w:rPr>
                <w:rFonts w:cstheme="minorHAnsi"/>
                <w:color w:val="000000"/>
                <w:sz w:val="21"/>
                <w:szCs w:val="21"/>
                <w:lang w:eastAsia="en-GB"/>
              </w:rPr>
              <w:t xml:space="preserve"> = </w:t>
            </w:r>
            <w:r w:rsidRPr="001E1D5F">
              <w:rPr>
                <w:rFonts w:cstheme="minorHAnsi"/>
                <w:color w:val="000000"/>
                <w:sz w:val="21"/>
                <w:szCs w:val="21"/>
                <w:lang w:val="el-GR" w:eastAsia="en-GB"/>
              </w:rPr>
              <w:t>Σ</w:t>
            </w:r>
            <w:r w:rsidRPr="001E1D5F">
              <w:rPr>
                <w:rFonts w:cstheme="minorHAnsi"/>
                <w:color w:val="000000"/>
                <w:sz w:val="21"/>
                <w:szCs w:val="21"/>
                <w:lang w:eastAsia="en-GB"/>
              </w:rPr>
              <w:t>(mi*Fi*Ei)/</w:t>
            </w:r>
            <w:proofErr w:type="spellStart"/>
            <w:r w:rsidRPr="001E1D5F">
              <w:rPr>
                <w:rFonts w:cstheme="minorHAnsi"/>
                <w:color w:val="000000"/>
                <w:sz w:val="21"/>
                <w:szCs w:val="21"/>
                <w:lang w:eastAsia="en-GB"/>
              </w:rPr>
              <w:t>Mf</w:t>
            </w:r>
            <w:proofErr w:type="spellEnd"/>
            <w:r w:rsidRPr="001E1D5F">
              <w:rPr>
                <w:rFonts w:cstheme="minorHAnsi"/>
                <w:color w:val="000000"/>
                <w:sz w:val="21"/>
                <w:szCs w:val="21"/>
                <w:lang w:eastAsia="en-GB"/>
              </w:rPr>
              <w:t>, w</w:t>
            </w:r>
            <w:r w:rsidRPr="001E1D5F">
              <w:rPr>
                <w:rFonts w:cstheme="minorHAnsi"/>
                <w:color w:val="000000"/>
                <w:sz w:val="21"/>
                <w:szCs w:val="21"/>
              </w:rPr>
              <w:t>here:</w:t>
            </w:r>
          </w:p>
          <w:p w14:paraId="48CBD635" w14:textId="77777777" w:rsidR="001E1D5F" w:rsidRPr="001E1D5F" w:rsidRDefault="001E1D5F" w:rsidP="001E1D5F">
            <w:pPr>
              <w:tabs>
                <w:tab w:val="num" w:pos="720"/>
              </w:tabs>
              <w:jc w:val="center"/>
              <w:rPr>
                <w:rFonts w:cstheme="minorHAnsi"/>
                <w:color w:val="000000"/>
                <w:sz w:val="21"/>
                <w:szCs w:val="21"/>
                <w:lang w:eastAsia="en-GB"/>
              </w:rPr>
            </w:pPr>
            <w:r w:rsidRPr="001E1D5F">
              <w:rPr>
                <w:rFonts w:cstheme="minorHAnsi"/>
                <w:b/>
                <w:bCs/>
                <w:color w:val="000000"/>
                <w:sz w:val="21"/>
                <w:szCs w:val="21"/>
                <w:lang w:eastAsia="en-GB"/>
              </w:rPr>
              <w:t>mi​:</w:t>
            </w:r>
            <w:r w:rsidRPr="001E1D5F">
              <w:rPr>
                <w:rFonts w:cstheme="minorHAnsi"/>
                <w:color w:val="000000"/>
                <w:sz w:val="21"/>
                <w:szCs w:val="21"/>
                <w:lang w:eastAsia="en-GB"/>
              </w:rPr>
              <w:t xml:space="preserve"> the mass of the </w:t>
            </w:r>
            <w:proofErr w:type="spellStart"/>
            <w:r w:rsidRPr="001E1D5F">
              <w:rPr>
                <w:rFonts w:cstheme="minorHAnsi"/>
                <w:color w:val="000000"/>
                <w:sz w:val="21"/>
                <w:szCs w:val="21"/>
                <w:lang w:eastAsia="en-GB"/>
              </w:rPr>
              <w:t>i-th</w:t>
            </w:r>
            <w:proofErr w:type="spellEnd"/>
            <w:r w:rsidRPr="001E1D5F">
              <w:rPr>
                <w:rFonts w:cstheme="minorHAnsi"/>
                <w:color w:val="000000"/>
                <w:sz w:val="21"/>
                <w:szCs w:val="21"/>
                <w:lang w:eastAsia="en-GB"/>
              </w:rPr>
              <w:t xml:space="preserve"> component,</w:t>
            </w:r>
          </w:p>
          <w:p w14:paraId="4EE59348" w14:textId="77777777" w:rsidR="001E1D5F" w:rsidRPr="001E1D5F" w:rsidRDefault="001E1D5F" w:rsidP="001E1D5F">
            <w:pPr>
              <w:tabs>
                <w:tab w:val="num" w:pos="720"/>
              </w:tabs>
              <w:jc w:val="center"/>
              <w:rPr>
                <w:rFonts w:cstheme="minorHAnsi"/>
                <w:color w:val="000000"/>
                <w:sz w:val="21"/>
                <w:szCs w:val="21"/>
                <w:lang w:eastAsia="en-GB"/>
              </w:rPr>
            </w:pPr>
            <w:r w:rsidRPr="001E1D5F">
              <w:rPr>
                <w:rFonts w:cstheme="minorHAnsi"/>
                <w:b/>
                <w:bCs/>
                <w:color w:val="000000"/>
                <w:sz w:val="21"/>
                <w:szCs w:val="21"/>
                <w:lang w:eastAsia="en-GB"/>
              </w:rPr>
              <w:t>Fi​:</w:t>
            </w:r>
            <w:r w:rsidRPr="001E1D5F">
              <w:rPr>
                <w:rFonts w:cstheme="minorHAnsi"/>
                <w:color w:val="000000"/>
                <w:sz w:val="21"/>
                <w:szCs w:val="21"/>
                <w:lang w:eastAsia="en-GB"/>
              </w:rPr>
              <w:t xml:space="preserve"> the fraction of recyclable mass for the </w:t>
            </w:r>
            <w:proofErr w:type="spellStart"/>
            <w:r w:rsidRPr="001E1D5F">
              <w:rPr>
                <w:rFonts w:cstheme="minorHAnsi"/>
                <w:color w:val="000000"/>
                <w:sz w:val="21"/>
                <w:szCs w:val="21"/>
                <w:lang w:eastAsia="en-GB"/>
              </w:rPr>
              <w:t>i-th</w:t>
            </w:r>
            <w:proofErr w:type="spellEnd"/>
            <w:r w:rsidRPr="001E1D5F">
              <w:rPr>
                <w:rFonts w:cstheme="minorHAnsi"/>
                <w:color w:val="000000"/>
                <w:sz w:val="21"/>
                <w:szCs w:val="21"/>
                <w:lang w:eastAsia="en-GB"/>
              </w:rPr>
              <w:t xml:space="preserve"> component,</w:t>
            </w:r>
          </w:p>
          <w:p w14:paraId="58501DCD" w14:textId="77777777" w:rsidR="001E1D5F" w:rsidRPr="001E1D5F" w:rsidRDefault="001E1D5F" w:rsidP="001E1D5F">
            <w:pPr>
              <w:tabs>
                <w:tab w:val="num" w:pos="720"/>
              </w:tabs>
              <w:jc w:val="center"/>
              <w:rPr>
                <w:rFonts w:cstheme="minorHAnsi"/>
                <w:color w:val="000000"/>
                <w:sz w:val="21"/>
                <w:szCs w:val="21"/>
                <w:lang w:eastAsia="en-GB"/>
              </w:rPr>
            </w:pPr>
            <w:r w:rsidRPr="001E1D5F">
              <w:rPr>
                <w:rFonts w:cstheme="minorHAnsi"/>
                <w:b/>
                <w:bCs/>
                <w:color w:val="000000"/>
                <w:sz w:val="21"/>
                <w:szCs w:val="21"/>
                <w:lang w:eastAsia="en-GB"/>
              </w:rPr>
              <w:t>Ei​:</w:t>
            </w:r>
            <w:r w:rsidRPr="001E1D5F">
              <w:rPr>
                <w:rFonts w:cstheme="minorHAnsi"/>
                <w:color w:val="000000"/>
                <w:sz w:val="21"/>
                <w:szCs w:val="21"/>
                <w:lang w:eastAsia="en-GB"/>
              </w:rPr>
              <w:t xml:space="preserve"> the efficiency of the recycling process for the same component,</w:t>
            </w:r>
          </w:p>
          <w:p w14:paraId="149429DA"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b/>
                <w:bCs/>
                <w:color w:val="000000"/>
                <w:sz w:val="21"/>
                <w:szCs w:val="21"/>
                <w:lang w:eastAsia="en-GB"/>
              </w:rPr>
              <w:t>Mf</w:t>
            </w:r>
            <w:proofErr w:type="spellEnd"/>
            <w:r w:rsidRPr="001E1D5F">
              <w:rPr>
                <w:rFonts w:cstheme="minorHAnsi"/>
                <w:b/>
                <w:bCs/>
                <w:color w:val="000000"/>
                <w:sz w:val="21"/>
                <w:szCs w:val="21"/>
                <w:lang w:eastAsia="en-GB"/>
              </w:rPr>
              <w:t>​:</w:t>
            </w:r>
            <w:r w:rsidRPr="001E1D5F">
              <w:rPr>
                <w:rFonts w:cstheme="minorHAnsi"/>
                <w:color w:val="000000"/>
                <w:sz w:val="21"/>
                <w:szCs w:val="21"/>
                <w:lang w:eastAsia="en-GB"/>
              </w:rPr>
              <w:t xml:space="preserve"> the total mass of the product family.</w:t>
            </w:r>
          </w:p>
        </w:tc>
        <w:tc>
          <w:tcPr>
            <w:tcW w:w="1559" w:type="dxa"/>
            <w:vAlign w:val="center"/>
          </w:tcPr>
          <w:p w14:paraId="131644A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58544D7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Healthcare Equipment</w:t>
            </w:r>
          </w:p>
        </w:tc>
        <w:tc>
          <w:tcPr>
            <w:tcW w:w="1559" w:type="dxa"/>
            <w:vAlign w:val="center"/>
          </w:tcPr>
          <w:p w14:paraId="352D0B80" w14:textId="4EC5380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{"citationID":"UtRkC90J","properties":{"formattedCitation":"[37]","plainCitation":"[37]","noteIndex":0},"citationItems":[{"id":3046,"uris":["http://zotero.org/users/local/05JQq5lJ/items/5NZXA6DR"],"itemData":{"id":3046,"type":"article-journal","container-title":"Journal of cleaner production","note":"publisher: Elsevier","page":"1429–1442","source":"Google Scholar","title":"Developing a set of sustainability indicators for product families based on the circular economy model","volume":"196","author":[{"family":"Mesa","given":"Jaime"},{"family":"Esparragoza","given":"Iván"},{"family":"Maury","given":"Heriberto"}],"issued":{"date-parts":[["2018"]]}}}],"schema":"https://github.com/citation-style-language/schema/raw/master/csl-citation.json"}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[37]</w:t>
            </w:r>
            <w:r w:rsidRPr="001E1D5F">
              <w:rPr>
                <w:rFonts w:cstheme="minorHAnsi"/>
                <w:color w:val="000000"/>
                <w:sz w:val="21"/>
                <w:szCs w:val="21"/>
                <w:lang w:eastAsia="en-GB"/>
              </w:rPr>
              <w:fldChar w:fldCharType="end"/>
            </w:r>
          </w:p>
        </w:tc>
      </w:tr>
      <w:tr w:rsidR="001E1D5F" w:rsidRPr="001E1D5F" w14:paraId="79608CB3" w14:textId="77777777" w:rsidTr="00040455">
        <w:tblPrEx>
          <w:jc w:val="left"/>
        </w:tblPrEx>
        <w:trPr>
          <w:trHeight w:val="300"/>
        </w:trPr>
        <w:tc>
          <w:tcPr>
            <w:tcW w:w="1995" w:type="dxa"/>
            <w:noWrap/>
            <w:vAlign w:val="center"/>
          </w:tcPr>
          <w:p w14:paraId="6C66B1EA"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Resource Footprint of the Recycling Process (R)</w:t>
            </w:r>
          </w:p>
        </w:tc>
        <w:tc>
          <w:tcPr>
            <w:tcW w:w="1560" w:type="dxa"/>
            <w:noWrap/>
            <w:vAlign w:val="center"/>
          </w:tcPr>
          <w:p w14:paraId="3AC4510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1865262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R</w:t>
            </w:r>
            <w:r w:rsidRPr="001E1D5F">
              <w:rPr>
                <w:rFonts w:cstheme="minorHAnsi"/>
                <w:color w:val="000000"/>
                <w:sz w:val="21"/>
                <w:szCs w:val="21"/>
                <w:lang w:eastAsia="en-GB"/>
              </w:rPr>
              <w:t xml:space="preserve"> = CEENE value of the recycling process (Cumulative Exergy Extraction from the Natural Environment)</w:t>
            </w:r>
          </w:p>
        </w:tc>
        <w:tc>
          <w:tcPr>
            <w:tcW w:w="1559" w:type="dxa"/>
            <w:vAlign w:val="center"/>
          </w:tcPr>
          <w:p w14:paraId="7B74766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Megajoules of exergy (</w:t>
            </w:r>
            <w:proofErr w:type="spellStart"/>
            <w:r w:rsidRPr="001E1D5F">
              <w:rPr>
                <w:rFonts w:cstheme="minorHAnsi"/>
                <w:color w:val="000000"/>
                <w:sz w:val="21"/>
                <w:szCs w:val="21"/>
                <w:lang w:eastAsia="en-GB"/>
              </w:rPr>
              <w:t>MJex</w:t>
            </w:r>
            <w:proofErr w:type="spellEnd"/>
            <w:r w:rsidRPr="001E1D5F">
              <w:rPr>
                <w:rFonts w:cstheme="minorHAnsi"/>
                <w:color w:val="000000"/>
                <w:sz w:val="21"/>
                <w:szCs w:val="21"/>
                <w:lang w:eastAsia="en-GB"/>
              </w:rPr>
              <w:t>)</w:t>
            </w:r>
          </w:p>
        </w:tc>
        <w:tc>
          <w:tcPr>
            <w:tcW w:w="3969" w:type="dxa"/>
            <w:vAlign w:val="center"/>
          </w:tcPr>
          <w:p w14:paraId="3DEE88D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Plastics</w:t>
            </w:r>
          </w:p>
        </w:tc>
        <w:tc>
          <w:tcPr>
            <w:tcW w:w="1559" w:type="dxa"/>
            <w:vAlign w:val="center"/>
          </w:tcPr>
          <w:p w14:paraId="0305321F" w14:textId="439FFA43"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{"citationID":"ezl3gbd2","properties":{"formattedCitation":"[31]","plainCitation":"[31]","noteIndex":0},"citationItems":[{"id":3002,"uris":["http://zotero.org/users/local/05JQq5lJ/items/VZVN9LCJ"],"itemData":{"id":3002,"type":"article-journal","abstract":"A linear economy approach results in many environmental challenges: resources become depleted and end up as waste and emissions. One of the key strategies to overcome these problems is using waste as a resource, i.e. evolving toward a circular economy. To monitor this transition, suitable indicators are needed that focus on sustainability issues whilst taking into account the technical reality. In this paper, we develop such an indicator to quantify the circular economy performance of different plastic waste treatment options. This indicator is based on the technical quality of the plastic waste stream and evaluates resource consumption by using the Cumulative Exergy Extraction from the Natural Environment (CEENE) method. To illustrate the use of this new indicator, it was applied in a case study on post-industrial plastic waste treatment. The results show that the indicator can be a very useful approach to guide waste streams towards their optimal valorization option, based on quality of the waste flow and the environmental benefit of the different options.","container-title":"Resources, Conservation &amp; Recycling","issue":"C","language":"en","note":"publisher: Elsevier","page":"46-54","source":"ideas.repec.org","title":"Performance indicators for a circular economy: A case study on post-industrial plastic waste","title-short":"Performance indicators for a circular economy","volume":"120","author":[{"family":"Huysman","given":"Sofie"},{"family":"De Schaepmeester","given":"Jonas"},{"family":"Ragaert","given":"Kim"},{"family":"Dewulf","given":"Jo"},{"family":"De Meester","given":"Steven"}],"issued":{"date-parts":[["2017"]]}}}],"schema":"https://github.com/citation-style-language/schema/raw/master/csl-citation.json"}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[31]</w:t>
            </w:r>
            <w:r w:rsidRPr="001E1D5F">
              <w:rPr>
                <w:rFonts w:cstheme="minorHAnsi"/>
                <w:color w:val="000000"/>
                <w:sz w:val="21"/>
                <w:szCs w:val="21"/>
                <w:lang w:eastAsia="en-GB"/>
              </w:rPr>
              <w:fldChar w:fldCharType="end"/>
            </w:r>
          </w:p>
        </w:tc>
      </w:tr>
      <w:tr w:rsidR="001E1D5F" w:rsidRPr="001E1D5F" w14:paraId="7AC0B6D9" w14:textId="77777777" w:rsidTr="00040455">
        <w:tblPrEx>
          <w:jc w:val="left"/>
        </w:tblPrEx>
        <w:trPr>
          <w:trHeight w:val="300"/>
        </w:trPr>
        <w:tc>
          <w:tcPr>
            <w:tcW w:w="1995" w:type="dxa"/>
            <w:noWrap/>
            <w:vAlign w:val="center"/>
          </w:tcPr>
          <w:p w14:paraId="0802AD23"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Overall Processing Rate (Overall PR)</w:t>
            </w:r>
          </w:p>
        </w:tc>
        <w:tc>
          <w:tcPr>
            <w:tcW w:w="1560" w:type="dxa"/>
            <w:noWrap/>
            <w:vAlign w:val="center"/>
          </w:tcPr>
          <w:p w14:paraId="69B8D6B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7312948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OPR</w:t>
            </w:r>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i+k</w:t>
            </w:r>
            <w:proofErr w:type="spellEnd"/>
            <w:r w:rsidRPr="001E1D5F">
              <w:rPr>
                <w:rFonts w:cstheme="minorHAnsi"/>
                <w:color w:val="000000"/>
                <w:sz w:val="21"/>
                <w:szCs w:val="21"/>
                <w:lang w:eastAsia="en-GB"/>
              </w:rPr>
              <w:t>)/(</w:t>
            </w:r>
            <w:proofErr w:type="spellStart"/>
            <w:r w:rsidRPr="001E1D5F">
              <w:rPr>
                <w:rFonts w:cstheme="minorHAnsi"/>
                <w:color w:val="000000"/>
                <w:sz w:val="21"/>
                <w:szCs w:val="21"/>
                <w:lang w:eastAsia="en-GB"/>
              </w:rPr>
              <w:t>g+j</w:t>
            </w:r>
            <w:proofErr w:type="spellEnd"/>
            <w:r w:rsidRPr="001E1D5F">
              <w:rPr>
                <w:rFonts w:cstheme="minorHAnsi"/>
                <w:color w:val="000000"/>
                <w:sz w:val="21"/>
                <w:szCs w:val="21"/>
                <w:lang w:eastAsia="en-GB"/>
              </w:rPr>
              <w:t xml:space="preserve">), </w:t>
            </w:r>
            <w:proofErr w:type="gramStart"/>
            <w:r w:rsidRPr="001E1D5F">
              <w:rPr>
                <w:rFonts w:cstheme="minorHAnsi"/>
                <w:color w:val="000000"/>
                <w:sz w:val="21"/>
                <w:szCs w:val="21"/>
                <w:lang w:eastAsia="en-GB"/>
              </w:rPr>
              <w:t xml:space="preserve">where; </w:t>
            </w:r>
            <w:r w:rsidRPr="001E1D5F">
              <w:rPr>
                <w:rFonts w:cstheme="minorHAnsi"/>
                <w:b/>
                <w:bCs/>
                <w:color w:val="000000"/>
                <w:sz w:val="21"/>
                <w:szCs w:val="21"/>
                <w:lang w:eastAsia="en-GB"/>
              </w:rPr>
              <w:t xml:space="preserve"> i</w:t>
            </w:r>
            <w:proofErr w:type="gramEnd"/>
            <w:r w:rsidRPr="001E1D5F">
              <w:rPr>
                <w:rFonts w:cstheme="minorHAnsi"/>
                <w:b/>
                <w:bCs/>
                <w:color w:val="000000"/>
                <w:sz w:val="21"/>
                <w:szCs w:val="21"/>
                <w:lang w:eastAsia="en-GB"/>
              </w:rPr>
              <w:t>:</w:t>
            </w:r>
            <w:r w:rsidRPr="001E1D5F">
              <w:rPr>
                <w:rFonts w:cstheme="minorHAnsi"/>
                <w:color w:val="000000"/>
                <w:sz w:val="21"/>
                <w:szCs w:val="21"/>
                <w:lang w:eastAsia="en-GB"/>
              </w:rPr>
              <w:t xml:space="preserve"> the amount of product contained in separated old scrap sent to recovery, </w:t>
            </w:r>
            <w:r w:rsidRPr="001E1D5F">
              <w:rPr>
                <w:rFonts w:cstheme="minorHAnsi"/>
                <w:b/>
                <w:bCs/>
                <w:color w:val="000000"/>
                <w:sz w:val="21"/>
                <w:szCs w:val="21"/>
                <w:lang w:eastAsia="en-GB"/>
              </w:rPr>
              <w:t>k:</w:t>
            </w:r>
            <w:r w:rsidRPr="001E1D5F">
              <w:rPr>
                <w:rFonts w:cstheme="minorHAnsi"/>
                <w:color w:val="000000"/>
                <w:sz w:val="21"/>
                <w:szCs w:val="21"/>
                <w:lang w:eastAsia="en-GB"/>
              </w:rPr>
              <w:t xml:space="preserve"> the amount of product contained in separated new scrap sent to recovery, </w:t>
            </w:r>
            <w:r w:rsidRPr="001E1D5F">
              <w:rPr>
                <w:rFonts w:cstheme="minorHAnsi"/>
                <w:b/>
                <w:bCs/>
                <w:color w:val="000000"/>
                <w:sz w:val="21"/>
                <w:szCs w:val="21"/>
                <w:lang w:eastAsia="en-GB"/>
              </w:rPr>
              <w:t>g:</w:t>
            </w:r>
            <w:r w:rsidRPr="001E1D5F">
              <w:rPr>
                <w:rFonts w:cstheme="minorHAnsi"/>
                <w:color w:val="000000"/>
                <w:sz w:val="21"/>
                <w:szCs w:val="21"/>
                <w:lang w:eastAsia="en-GB"/>
              </w:rPr>
              <w:t xml:space="preserve"> the amount of product contained in collected old scrap,</w:t>
            </w:r>
            <w:r w:rsidRPr="001E1D5F">
              <w:rPr>
                <w:rFonts w:cstheme="minorHAnsi"/>
                <w:b/>
                <w:bCs/>
                <w:color w:val="000000"/>
                <w:sz w:val="21"/>
                <w:szCs w:val="21"/>
                <w:lang w:eastAsia="en-GB"/>
              </w:rPr>
              <w:t xml:space="preserve"> j:</w:t>
            </w:r>
            <w:r w:rsidRPr="001E1D5F">
              <w:rPr>
                <w:rFonts w:cstheme="minorHAnsi"/>
                <w:color w:val="000000"/>
                <w:sz w:val="21"/>
                <w:szCs w:val="21"/>
                <w:lang w:eastAsia="en-GB"/>
              </w:rPr>
              <w:t xml:space="preserve"> the amount of product contained in new scrap available for recycling</w:t>
            </w:r>
          </w:p>
        </w:tc>
        <w:tc>
          <w:tcPr>
            <w:tcW w:w="1559" w:type="dxa"/>
            <w:vAlign w:val="center"/>
          </w:tcPr>
          <w:p w14:paraId="2AD9F68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06D2BADD"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Metal</w:t>
            </w:r>
          </w:p>
        </w:tc>
        <w:tc>
          <w:tcPr>
            <w:tcW w:w="1559" w:type="dxa"/>
            <w:vAlign w:val="center"/>
          </w:tcPr>
          <w:p w14:paraId="5D575765" w14:textId="43FC9DB5"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{"citationID":"RxUA529H","properties":{"formattedCitation":"[47,48]","plainCitation":"[47,48]","noteIndex":0},"citationItems":[{"id":3071,"uris":["http://zotero.org/users/local/05JQq5lJ/items/IIQQDS57"],"itemData":{"id":3071,"type":"article-journal","container-title":"Resources, Conservation and Recycling","note":"publisher: Elsevier","page":"120–128","source":"Google Scholar","title":"Defining regional recycling indicators for metals","volume":"129","author":[{"family":"Espinoza","given":"Luis A. Tercero"},{"family":"Soulier","given":"Marcel"}],"issued":{"date-parts":[["2018"]]}}},{"id":3064,"uris":["http://zotero.org/users/local/05JQq5lJ/items/BLZNR6CE"],"itemData":{"id":3064,"type":"article-journal","abstract":"We present a dynamic model of global copper stocks and flows which allows a detailed analysis of recycling efficiencies, copper stocks in use, and dissipated and landfilled copper. The model is based on historical mining and refined copper production data (1910–2010) enhanced by a unique data set of recent global semifinished goods production and copper end-use sectors provided by the copper industry. To enable the consistency of the simulated copper life cycle in terms of a closed mass balance, particularly the matching of recycled metal flows to reported historical annual production data, a method was developed to estimate the yearly global collection rates of end-of-life (postconsumer) scrap. Based on this method, we provide estimates of 8 different recycling indicators over time. The main indicator for the efficiency of global copper recycling from end-of-life (EoL) scrap—the EoL recycling rate—was estimated to be 45% on average, ± 5% (one standard deviation) due to uncertainty and variability over time in the period 2000–2010. As uncertainties of specific input data—mainly concerning assumptions on end-use lifetimes and their distribution—are high, a sensitivity analysis with regard to the effect of uncertainties in the input data on the calculated recycling indicators was performed. The sensitivity analysis included a stochastic (Monte Carlo) uncertainty evaluation with 105 simulation runs.","container-title":"Environmental Science &amp; Technology","DOI":"10.1021/es400069b","ISSN":"0013-936X","issue":"12","journalAbbreviation":"Environ. Sci. Technol.","note":"publisher: American Chemical Society","page":"6564-6572","source":"ACS Publications","title":"Dynamic Analysis of Global Copper Flows. Global Stocks, Postconsumer Material Flows, Recycling Indicators, and Uncertainty Evaluation","volume":"47","author":[{"family":"Glöser","given":"Simon"},{"family":"Soulier","given":"Marcel"},{"family":"Tercero Espinoza","given":"Luis A."}],"issued":{"date-parts":[["2013",6,18]]}}}],"schema":"https://github.com/citation-style-language/schema/raw/master/csl-citation.json"}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[47,48]</w:t>
            </w:r>
            <w:r w:rsidRPr="001E1D5F">
              <w:rPr>
                <w:rFonts w:cstheme="minorHAnsi"/>
                <w:color w:val="000000"/>
                <w:sz w:val="21"/>
                <w:szCs w:val="21"/>
                <w:lang w:eastAsia="en-GB"/>
              </w:rPr>
              <w:fldChar w:fldCharType="end"/>
            </w:r>
          </w:p>
        </w:tc>
      </w:tr>
      <w:tr w:rsidR="001E1D5F" w:rsidRPr="001E1D5F" w14:paraId="7617ED6B" w14:textId="77777777" w:rsidTr="00040455">
        <w:tblPrEx>
          <w:jc w:val="left"/>
        </w:tblPrEx>
        <w:trPr>
          <w:trHeight w:val="300"/>
        </w:trPr>
        <w:tc>
          <w:tcPr>
            <w:tcW w:w="1995" w:type="dxa"/>
            <w:noWrap/>
            <w:vAlign w:val="center"/>
          </w:tcPr>
          <w:p w14:paraId="4E33980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End of Life Recycled Content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RC)</w:t>
            </w:r>
          </w:p>
        </w:tc>
        <w:tc>
          <w:tcPr>
            <w:tcW w:w="1560" w:type="dxa"/>
            <w:noWrap/>
            <w:vAlign w:val="center"/>
          </w:tcPr>
          <w:p w14:paraId="2C5BD4F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5A056603"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sz w:val="21"/>
                <w:szCs w:val="21"/>
                <w:lang w:eastAsia="en-GB"/>
              </w:rPr>
              <w:t>EOL RC</w:t>
            </w:r>
            <w:r w:rsidRPr="001E1D5F">
              <w:rPr>
                <w:rFonts w:cstheme="minorHAnsi"/>
                <w:sz w:val="21"/>
                <w:szCs w:val="21"/>
                <w:lang w:eastAsia="en-GB"/>
              </w:rPr>
              <w:t xml:space="preserve"> = (</w:t>
            </w:r>
            <w:proofErr w:type="spellStart"/>
            <w:r w:rsidRPr="001E1D5F">
              <w:rPr>
                <w:rFonts w:cstheme="minorHAnsi"/>
                <w:sz w:val="21"/>
                <w:szCs w:val="21"/>
                <w:lang w:eastAsia="en-GB"/>
              </w:rPr>
              <w:t>i+k</w:t>
            </w:r>
            <w:proofErr w:type="spellEnd"/>
            <w:r w:rsidRPr="001E1D5F">
              <w:rPr>
                <w:rFonts w:cstheme="minorHAnsi"/>
                <w:sz w:val="21"/>
                <w:szCs w:val="21"/>
                <w:lang w:eastAsia="en-GB"/>
              </w:rPr>
              <w:t>)/(</w:t>
            </w:r>
            <w:proofErr w:type="spellStart"/>
            <w:r w:rsidRPr="001E1D5F">
              <w:rPr>
                <w:rFonts w:cstheme="minorHAnsi"/>
                <w:sz w:val="21"/>
                <w:szCs w:val="21"/>
                <w:lang w:eastAsia="en-GB"/>
              </w:rPr>
              <w:t>a+i+k</w:t>
            </w:r>
            <w:proofErr w:type="spellEnd"/>
            <w:r w:rsidRPr="001E1D5F">
              <w:rPr>
                <w:rFonts w:cstheme="minorHAnsi"/>
                <w:sz w:val="21"/>
                <w:szCs w:val="21"/>
                <w:lang w:eastAsia="en-GB"/>
              </w:rPr>
              <w:t xml:space="preserve">), where </w:t>
            </w:r>
            <w:r w:rsidRPr="001E1D5F">
              <w:rPr>
                <w:rFonts w:cstheme="minorHAnsi"/>
                <w:b/>
                <w:bCs/>
                <w:sz w:val="21"/>
                <w:szCs w:val="21"/>
                <w:lang w:eastAsia="en-GB"/>
              </w:rPr>
              <w:t>i</w:t>
            </w:r>
            <w:r w:rsidRPr="001E1D5F">
              <w:rPr>
                <w:rFonts w:cstheme="minorHAnsi"/>
                <w:sz w:val="21"/>
                <w:szCs w:val="21"/>
                <w:lang w:eastAsia="en-GB"/>
              </w:rPr>
              <w:t xml:space="preserve">: Flow of collected and separated old scrap (EOL scrap), </w:t>
            </w:r>
            <w:r w:rsidRPr="001E1D5F">
              <w:rPr>
                <w:rFonts w:cstheme="minorHAnsi"/>
                <w:b/>
                <w:bCs/>
                <w:sz w:val="21"/>
                <w:szCs w:val="21"/>
                <w:lang w:eastAsia="en-GB"/>
              </w:rPr>
              <w:t>k</w:t>
            </w:r>
            <w:r w:rsidRPr="001E1D5F">
              <w:rPr>
                <w:rFonts w:cstheme="minorHAnsi"/>
                <w:sz w:val="21"/>
                <w:szCs w:val="21"/>
                <w:lang w:eastAsia="en-GB"/>
              </w:rPr>
              <w:t xml:space="preserve">: Flow of collected and separated new scrap (manufacturing scrap), </w:t>
            </w:r>
            <w:r w:rsidRPr="001E1D5F">
              <w:rPr>
                <w:rFonts w:cstheme="minorHAnsi"/>
                <w:b/>
                <w:bCs/>
                <w:sz w:val="21"/>
                <w:szCs w:val="21"/>
                <w:lang w:eastAsia="en-GB"/>
              </w:rPr>
              <w:t>a</w:t>
            </w:r>
            <w:r w:rsidRPr="001E1D5F">
              <w:rPr>
                <w:rFonts w:cstheme="minorHAnsi"/>
                <w:sz w:val="21"/>
                <w:szCs w:val="21"/>
                <w:lang w:eastAsia="en-GB"/>
              </w:rPr>
              <w:t>: Flow of primary product into the anthropogenic cycle</w:t>
            </w:r>
          </w:p>
        </w:tc>
        <w:tc>
          <w:tcPr>
            <w:tcW w:w="1559" w:type="dxa"/>
            <w:vAlign w:val="center"/>
          </w:tcPr>
          <w:p w14:paraId="1C2764F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2E595CC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Metal</w:t>
            </w:r>
          </w:p>
        </w:tc>
        <w:tc>
          <w:tcPr>
            <w:tcW w:w="1559" w:type="dxa"/>
            <w:vAlign w:val="center"/>
          </w:tcPr>
          <w:p w14:paraId="354A1517" w14:textId="5C57558E"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{"citationID":"QwNASdun","properties":{"formattedCitation":"[47]","plainCitation":"[47]","noteIndex":0},"citationItems":[{"id":3071,"uris":["http://zotero.org/users/local/05JQq5lJ/items/IIQQDS57"],"itemData":{"id":3071,"type":"article-journal","container-title":"Resources, Conservation and Recycling","note":"publisher: Elsevier","page":"120–128","source":"Google Scholar","title":"Defining regional recycling indicators for metals","volume":"129","author":[{"family":"Espinoza","given":"Luis A. Tercero"},{"family":"Soulier","given":"Marcel"}],"issued":{"date-parts":[["2018"]]}}}],"schema":"https://github.com/citation-style-language/schema/raw/master/csl-citation.json"}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[47]</w:t>
            </w:r>
            <w:r w:rsidRPr="001E1D5F">
              <w:rPr>
                <w:rFonts w:cstheme="minorHAnsi"/>
                <w:color w:val="000000"/>
                <w:sz w:val="21"/>
                <w:szCs w:val="21"/>
                <w:lang w:eastAsia="en-GB"/>
              </w:rPr>
              <w:fldChar w:fldCharType="end"/>
            </w:r>
          </w:p>
        </w:tc>
      </w:tr>
      <w:tr w:rsidR="001E1D5F" w:rsidRPr="001E1D5F" w14:paraId="30AE5A2F" w14:textId="77777777" w:rsidTr="00040455">
        <w:tblPrEx>
          <w:jc w:val="left"/>
        </w:tblPrEx>
        <w:trPr>
          <w:trHeight w:val="300"/>
        </w:trPr>
        <w:tc>
          <w:tcPr>
            <w:tcW w:w="1995" w:type="dxa"/>
            <w:noWrap/>
            <w:vAlign w:val="center"/>
          </w:tcPr>
          <w:p w14:paraId="0EFC0874"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lastRenderedPageBreak/>
              <w:t>End of Life Recycling Input Rate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RIR)</w:t>
            </w:r>
          </w:p>
        </w:tc>
        <w:tc>
          <w:tcPr>
            <w:tcW w:w="1560" w:type="dxa"/>
            <w:noWrap/>
            <w:vAlign w:val="center"/>
          </w:tcPr>
          <w:p w14:paraId="75DCF0E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3811BE0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EOL RIR</w:t>
            </w:r>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i</w:t>
            </w:r>
            <w:proofErr w:type="spellEnd"/>
            <w:r w:rsidRPr="001E1D5F">
              <w:rPr>
                <w:rFonts w:cstheme="minorHAnsi"/>
                <w:color w:val="000000"/>
                <w:sz w:val="21"/>
                <w:szCs w:val="21"/>
                <w:lang w:eastAsia="en-GB"/>
              </w:rPr>
              <w:t>/(</w:t>
            </w:r>
            <w:proofErr w:type="spellStart"/>
            <w:r w:rsidRPr="001E1D5F">
              <w:rPr>
                <w:rFonts w:cstheme="minorHAnsi"/>
                <w:color w:val="000000"/>
                <w:sz w:val="21"/>
                <w:szCs w:val="21"/>
                <w:lang w:eastAsia="en-GB"/>
              </w:rPr>
              <w:t>a+i+k</w:t>
            </w:r>
            <w:proofErr w:type="spellEnd"/>
            <w:r w:rsidRPr="001E1D5F">
              <w:rPr>
                <w:rFonts w:cstheme="minorHAnsi"/>
                <w:color w:val="000000"/>
                <w:sz w:val="21"/>
                <w:szCs w:val="21"/>
                <w:lang w:eastAsia="en-GB"/>
              </w:rPr>
              <w:t xml:space="preserve">), where:  </w:t>
            </w:r>
            <w:r w:rsidRPr="001E1D5F">
              <w:rPr>
                <w:rFonts w:cstheme="minorHAnsi"/>
                <w:b/>
                <w:bCs/>
                <w:color w:val="000000"/>
                <w:sz w:val="21"/>
                <w:szCs w:val="21"/>
                <w:lang w:eastAsia="en-GB"/>
              </w:rPr>
              <w:t>a:</w:t>
            </w:r>
            <w:r w:rsidRPr="001E1D5F">
              <w:rPr>
                <w:rFonts w:cstheme="minorHAnsi"/>
                <w:color w:val="000000"/>
                <w:sz w:val="21"/>
                <w:szCs w:val="21"/>
                <w:lang w:eastAsia="en-GB"/>
              </w:rPr>
              <w:t xml:space="preserve"> the flow of primary product into the anthropogenic cycle, </w:t>
            </w:r>
            <w:r w:rsidRPr="001E1D5F">
              <w:rPr>
                <w:rFonts w:cstheme="minorHAnsi"/>
                <w:b/>
                <w:bCs/>
                <w:color w:val="000000"/>
                <w:sz w:val="21"/>
                <w:szCs w:val="21"/>
                <w:lang w:eastAsia="en-GB"/>
              </w:rPr>
              <w:t>i</w:t>
            </w:r>
            <w:r w:rsidRPr="001E1D5F">
              <w:rPr>
                <w:rFonts w:cstheme="minorHAnsi"/>
                <w:color w:val="000000"/>
                <w:sz w:val="21"/>
                <w:szCs w:val="21"/>
                <w:lang w:eastAsia="en-GB"/>
              </w:rPr>
              <w:t xml:space="preserve">: the amount of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scrap collected and separated for recycling, </w:t>
            </w:r>
            <w:r w:rsidRPr="001E1D5F">
              <w:rPr>
                <w:rFonts w:cstheme="minorHAnsi"/>
                <w:b/>
                <w:bCs/>
                <w:color w:val="000000"/>
                <w:sz w:val="21"/>
                <w:szCs w:val="21"/>
                <w:lang w:eastAsia="en-GB"/>
              </w:rPr>
              <w:t>k</w:t>
            </w:r>
            <w:r w:rsidRPr="001E1D5F">
              <w:rPr>
                <w:rFonts w:cstheme="minorHAnsi"/>
                <w:color w:val="000000"/>
                <w:sz w:val="21"/>
                <w:szCs w:val="21"/>
                <w:lang w:eastAsia="en-GB"/>
              </w:rPr>
              <w:t>: the amount of new scrap (generated during manufacturing) collected and separated for recycling</w:t>
            </w:r>
          </w:p>
        </w:tc>
        <w:tc>
          <w:tcPr>
            <w:tcW w:w="1559" w:type="dxa"/>
            <w:vAlign w:val="center"/>
          </w:tcPr>
          <w:p w14:paraId="1BB5028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0A2E5D38"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Metal, Energy &amp; Plastics</w:t>
            </w:r>
          </w:p>
        </w:tc>
        <w:tc>
          <w:tcPr>
            <w:tcW w:w="1559" w:type="dxa"/>
            <w:vAlign w:val="center"/>
          </w:tcPr>
          <w:p w14:paraId="2FBAE9F6" w14:textId="57908890"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QBiigQQS","properties":{"formattedCitation":"[22,47,48]","plainCitation":"[22,47,48]","noteIndex":0},"citationItems":[{"id":3071,"uris":["http://zotero.org/users/local/05JQq5lJ/items/IIQQDS57"],"itemData":{"id":3071,"type":"article-journal","container-title":"Resources, Conservation and Recycling","note":"publisher: Elsevier","page":"120–128","source":"Google Scholar","title":"Defining regional recycling indicators for metals","volume":"129","author":[{"family":"Espinoza","given":"Luis A. Tercero"},{"family":"Soulier","given":"Marcel"}],"issued":{"date-parts":[["2018"]]}}},{"id":3064,"uris":["http://zotero.org/users/local/05JQq5lJ/items/BLZNR6CE"],"itemData":{"id":3064,"type":"article-journal","abstract":"We present a dynamic model of global copper stocks and flows which allows a detailed analysis of recycling efficiencies, copper stocks in use, and dissipated and landfilled copper. The model is based on historical mining and refined copper production data (1910–2010) enhanced by a unique data set of recent global semifinished goods production and copper end-use sectors provided by the copper industry. To enable the consistency of the simulated copper life cycle in terms of a closed mass balance, particularly the matching of recycled metal flows to reported historical annual production data, a method was developed to estimate the yearly global collection rates of end-of-life (postconsumer) scrap. Based on this method, we provide estimates of 8 different recycling indicators over time. The main indicator for the efficiency of global copper recycling from end-of-life (EoL) scrap—the EoL recycling rate—was estimated to be 45% on average, ± 5% (one standard deviation) due to uncertainty and variability over time in the period 2000–2010. As uncertainties of specific input data—mainly concerning assumptions on end-use lifetimes and their distribution—are high, a sensitivity analysis with regard to the effect of uncertainties in the input data on the calculated recycling indicators was performed. The sensitivity analysis included a stochastic (Monte Carlo) uncertainty evaluation with 105 simulation runs.","container-title":"Environmental Science &amp; Technology","DOI":"10.1021/es400069b","ISSN":"0013-936X","issue":"12","journalAbbreviation":"Environ. Sci. Technol.","note":"publisher: American Chemical Society","page":"6564-6572","source":"ACS Publications","title":"Dynamic Analysis of Global Copper Flows. Global Stocks, Postconsumer Material Flows, Recycling Indicators, and Uncertainty Evaluation","volume":"47","author":[{"family":"Glöser","given":"Simon"},{"family":"Soulier","given":"Marcel"},{"family":"Tercero Espinoza","given":"Luis A."}],"issued":{"date-parts":[["2013",6,18]]}}},{"id":3016,"uris":["http://zotero.org/users/local/05JQq5lJ/items/3YS3VF2Q"],"itemData":{"id":3016,"type":"article-journal","abstract":"To promote their public image, a growing number of companies have adopted corporate social responsibility (CSR) projects that benefit various social interests. As such, it is imperative to audit the social, environmental, and economic dimensions of CSR projects for their sustainable development. This paper presents an assessment of three CSR projects undertaken by the energy industry (renewable energy) and commercial sector (plastic waste recycling) in Thailand to transition towards the circular economy (CE) business model. A set of CE indicators were selected from the World Business Council for Sustainable Development: WBCSD 2018 European Commission 2018, and British Standard Institution 2017 and compared with the sustainability indicators listed in the ISO 26000:2010 (referenced in the Global Reporting Initiative (GRI): G4 Guidelines). These indicators were established to assess the readiness of companies to implement sustainable CSR projects. The assessment results showed that the CSR projects in the case study were conducive to the CE model, as most of the CE concepts evaluated by the performance indicators were already in place. This study aimed to support the implementation of CSR projects that contribute to adopting a CE business model and determine key performance indicators (KPIs) to measure and monitor CSR projects in terms of their CE concepts. The sustainability KPIs proposed in this study can serve as a set of guidelines to drive CE strategy adoption and allow for the identification of sustainable CSR projects that can simultaneously offer more value creation and satisfaction for all stakeholders, including society and the companies, while reducing environmental impacts. This paper integrates CSR into a CE approach that results in business sustainability and contributes to Sustainability Development Goal (SDG) targets.","container-title":"Journal of Cleaner Production","DOI":"10.1016/j.jclepro.2023.136203","ISSN":"0959-6526","journalAbbreviation":"Journal of Cleaner Production","page":"136203","source":"ScienceDirect","title":"Sustainability indicators to achieve a circular economy: A case study of renewable energy and plastic waste recycling corporate social responsibility (CSR) projects in Thailand","title-short":"Sustainability indicators to achieve a circular economy","volume":"391","author":[{"family":"Niyommaneerat","given":"Wilailuk"},{"family":"Suwanteep","given":"Kultip"},{"family":"Chavalparit","given":"Orathai"}],"issued":{"date-parts":[["2023",3,10]]}}}],"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[22,47,48]</w:t>
            </w:r>
            <w:r w:rsidRPr="001E1D5F">
              <w:rPr>
                <w:rFonts w:cstheme="minorHAnsi"/>
                <w:color w:val="000000"/>
                <w:sz w:val="21"/>
                <w:szCs w:val="21"/>
                <w:lang w:eastAsia="en-GB"/>
              </w:rPr>
              <w:fldChar w:fldCharType="end"/>
            </w:r>
          </w:p>
        </w:tc>
      </w:tr>
      <w:tr w:rsidR="001E1D5F" w:rsidRPr="001E1D5F" w14:paraId="56D72C1B" w14:textId="77777777" w:rsidTr="00040455">
        <w:tblPrEx>
          <w:jc w:val="left"/>
        </w:tblPrEx>
        <w:trPr>
          <w:trHeight w:val="300"/>
        </w:trPr>
        <w:tc>
          <w:tcPr>
            <w:tcW w:w="1995" w:type="dxa"/>
            <w:noWrap/>
            <w:vAlign w:val="center"/>
          </w:tcPr>
          <w:p w14:paraId="2BC6926B"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End of Life Process Efficiency Rate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ER)</w:t>
            </w:r>
          </w:p>
        </w:tc>
        <w:tc>
          <w:tcPr>
            <w:tcW w:w="1560" w:type="dxa"/>
            <w:noWrap/>
            <w:vAlign w:val="center"/>
          </w:tcPr>
          <w:p w14:paraId="7BEBE87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tcPr>
          <w:p w14:paraId="2440FB2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EOL ER</w:t>
            </w:r>
            <w:r w:rsidRPr="001E1D5F">
              <w:rPr>
                <w:rFonts w:cstheme="minorHAnsi"/>
                <w:color w:val="000000"/>
                <w:sz w:val="21"/>
                <w:szCs w:val="21"/>
                <w:lang w:eastAsia="en-GB"/>
              </w:rPr>
              <w:t xml:space="preserve"> = g/e2, where; </w:t>
            </w:r>
            <w:r w:rsidRPr="001E1D5F">
              <w:rPr>
                <w:rFonts w:cstheme="minorHAnsi"/>
                <w:b/>
                <w:bCs/>
                <w:color w:val="000000"/>
                <w:sz w:val="21"/>
                <w:szCs w:val="21"/>
                <w:lang w:eastAsia="en-GB"/>
              </w:rPr>
              <w:t>g</w:t>
            </w:r>
            <w:r w:rsidRPr="001E1D5F">
              <w:rPr>
                <w:rFonts w:cstheme="minorHAnsi"/>
                <w:color w:val="000000"/>
                <w:sz w:val="21"/>
                <w:szCs w:val="21"/>
                <w:lang w:eastAsia="en-GB"/>
              </w:rPr>
              <w:t xml:space="preserve"> represents the amount of secondary material recovered (after processing), </w:t>
            </w:r>
            <w:r w:rsidRPr="001E1D5F">
              <w:rPr>
                <w:rFonts w:cstheme="minorHAnsi"/>
                <w:b/>
                <w:bCs/>
                <w:color w:val="000000"/>
                <w:sz w:val="21"/>
                <w:szCs w:val="21"/>
                <w:lang w:eastAsia="en-GB"/>
              </w:rPr>
              <w:t xml:space="preserve">e2 </w:t>
            </w:r>
            <w:r w:rsidRPr="001E1D5F">
              <w:rPr>
                <w:rFonts w:cstheme="minorHAnsi"/>
                <w:color w:val="000000"/>
                <w:sz w:val="21"/>
                <w:szCs w:val="21"/>
                <w:lang w:eastAsia="en-GB"/>
              </w:rPr>
              <w:t>represents the amount of material that enters the EOL recycling system (after collection)</w:t>
            </w:r>
          </w:p>
        </w:tc>
        <w:tc>
          <w:tcPr>
            <w:tcW w:w="1559" w:type="dxa"/>
            <w:vAlign w:val="center"/>
          </w:tcPr>
          <w:p w14:paraId="6BF0321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78BE0F77"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Automotive </w:t>
            </w:r>
          </w:p>
        </w:tc>
        <w:tc>
          <w:tcPr>
            <w:tcW w:w="1559" w:type="dxa"/>
            <w:vAlign w:val="center"/>
          </w:tcPr>
          <w:p w14:paraId="2E643F25" w14:textId="374D2E3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{"citationID":"2IrhMM0I","properties":{"formattedCitation":"[49]","plainCitation":"[49]","noteIndex":0},"citationItems":[{"id":3062,"uris":["http://zotero.org/users/local/05JQq5lJ/items/WDB5ULEQ"],"itemData":{"id":3062,"type":"article-journal","abstract":"In this study, material flow analysis (MFA) is applied to quantify and break the obstacles for advancing a circular economy (CE) of platinum (Pt) from catalytic converters (CC) in Europe. First , the value chain and related stakeholders are mapped out in a MFA-like model to both facilitate the assessment of stocks and flows, and get a comprehensive view of potential action levers and resources to close-the-loop. Then, through the cross analysis of numerous data sources, two MFA are completed: (i) one general MFA, and (ii) one sector-specific MFA, drawing a distinction between the fate of Pt from (a) light-duty vehicles, under the ELV Directive 2000/EC/53, and (b) heavy-duty and off-road vehicles. Key findings reveal a leakage of around 15 tons of Pt outside the European market in 2017. Although approximately one quarter of the losses are due to in-use dissipation, 65 % are attributed to insufficient collections and unregulated exports. Comparing the environmental impact between primary and secondary production, it has been estimated that halving the leakages of Pt during usage and collection could prevent the energetic consumption of 1.3x10^3  TJ and the greenhouse gases emission of 2.5x10^2 kt CO2 eq. Through the lens of circularity indicators, activating appropriate action levers to enhance the CE performance of Pt in Europe is of the utmost importance in order to secure future productions of new generations of CC and fuel cells. Moreover, the growing stockpile of Pt from CC in use urges for better collection mechanisms. Also, the CC attrition during use and associated Pt emission s in the environment appears as non-negligible. Based on the scarce and dated publications in this regard, we encourage further research for a sound understanding of this phenomenon that can negatively impact human health.","container-title":"Journal of Industrial Ecology","DOI":"10.1111/jiec.12852","note":"publisher: Wiley","source":"HAL Archives Ouvertes","title":"Closing the loop on platinum from catalytic converters: Contributions from material flow analysis and circularity indicators","title-short":"Closing the loop on platinum from catalytic converters","URL":"https://hal.science/hal-02094798","author":[{"family":"Saidani","given":"Michael"},{"family":"Kendall","given":"Alissa"},{"family":"Yannou","given":"Bernard"},{"family":"Leroy","given":"Yann"},{"family":"Cluzel","given":"François"}],"accessed":{"date-parts":[["2024",10,21]]},"issued":{"date-parts":[["2019"]]}}}],"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[49]</w:t>
            </w:r>
            <w:r w:rsidRPr="001E1D5F">
              <w:rPr>
                <w:rFonts w:cstheme="minorHAnsi"/>
                <w:color w:val="000000"/>
                <w:sz w:val="21"/>
                <w:szCs w:val="21"/>
                <w:lang w:eastAsia="en-GB"/>
              </w:rPr>
              <w:fldChar w:fldCharType="end"/>
            </w:r>
          </w:p>
        </w:tc>
      </w:tr>
      <w:tr w:rsidR="001E1D5F" w:rsidRPr="001E1D5F" w14:paraId="55E1584D" w14:textId="77777777" w:rsidTr="00040455">
        <w:tblPrEx>
          <w:jc w:val="left"/>
        </w:tblPrEx>
        <w:trPr>
          <w:trHeight w:val="300"/>
        </w:trPr>
        <w:tc>
          <w:tcPr>
            <w:tcW w:w="1995" w:type="dxa"/>
            <w:noWrap/>
            <w:vAlign w:val="center"/>
          </w:tcPr>
          <w:p w14:paraId="17C3F475"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End of Life Processing Rate (</w:t>
            </w:r>
            <w:proofErr w:type="spellStart"/>
            <w:r w:rsidRPr="001E1D5F">
              <w:rPr>
                <w:rFonts w:cstheme="minorHAnsi"/>
                <w:color w:val="000000"/>
                <w:sz w:val="21"/>
                <w:szCs w:val="21"/>
                <w:lang w:eastAsia="en-GB"/>
              </w:rPr>
              <w:t>EoL</w:t>
            </w:r>
            <w:proofErr w:type="spellEnd"/>
            <w:r w:rsidRPr="001E1D5F">
              <w:rPr>
                <w:rFonts w:cstheme="minorHAnsi"/>
                <w:color w:val="000000"/>
                <w:sz w:val="21"/>
                <w:szCs w:val="21"/>
                <w:lang w:eastAsia="en-GB"/>
              </w:rPr>
              <w:t xml:space="preserve"> PR)</w:t>
            </w:r>
          </w:p>
        </w:tc>
        <w:tc>
          <w:tcPr>
            <w:tcW w:w="1560" w:type="dxa"/>
            <w:noWrap/>
            <w:vAlign w:val="center"/>
          </w:tcPr>
          <w:p w14:paraId="5385EE8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Quantitative</w:t>
            </w:r>
          </w:p>
        </w:tc>
        <w:tc>
          <w:tcPr>
            <w:tcW w:w="5528" w:type="dxa"/>
            <w:vAlign w:val="center"/>
          </w:tcPr>
          <w:p w14:paraId="541C18C4"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b/>
                <w:bCs/>
                <w:sz w:val="21"/>
                <w:szCs w:val="21"/>
                <w:lang w:eastAsia="en-GB"/>
              </w:rPr>
              <w:t>EoL</w:t>
            </w:r>
            <w:proofErr w:type="spellEnd"/>
            <w:r w:rsidRPr="001E1D5F">
              <w:rPr>
                <w:rFonts w:cstheme="minorHAnsi"/>
                <w:b/>
                <w:bCs/>
                <w:sz w:val="21"/>
                <w:szCs w:val="21"/>
                <w:lang w:eastAsia="en-GB"/>
              </w:rPr>
              <w:t> PR</w:t>
            </w:r>
            <w:r w:rsidRPr="001E1D5F">
              <w:rPr>
                <w:rFonts w:cstheme="minorHAnsi"/>
                <w:sz w:val="21"/>
                <w:szCs w:val="21"/>
                <w:lang w:eastAsia="en-GB"/>
              </w:rPr>
              <w:t>=</w:t>
            </w:r>
            <w:proofErr w:type="spellStart"/>
            <w:r w:rsidRPr="001E1D5F">
              <w:rPr>
                <w:rFonts w:cstheme="minorHAnsi"/>
                <w:sz w:val="21"/>
                <w:szCs w:val="21"/>
                <w:lang w:eastAsia="en-GB"/>
              </w:rPr>
              <w:t>i</w:t>
            </w:r>
            <w:proofErr w:type="spellEnd"/>
            <w:r w:rsidRPr="001E1D5F">
              <w:rPr>
                <w:rFonts w:cstheme="minorHAnsi"/>
                <w:sz w:val="21"/>
                <w:szCs w:val="21"/>
                <w:lang w:eastAsia="en-GB"/>
              </w:rPr>
              <w:t>/g where;</w:t>
            </w:r>
            <w:r w:rsidRPr="001E1D5F">
              <w:rPr>
                <w:rFonts w:cstheme="minorHAnsi"/>
                <w:b/>
                <w:bCs/>
                <w:sz w:val="21"/>
                <w:szCs w:val="21"/>
                <w:lang w:eastAsia="en-GB"/>
              </w:rPr>
              <w:t xml:space="preserve"> </w:t>
            </w:r>
            <w:proofErr w:type="spellStart"/>
            <w:r w:rsidRPr="001E1D5F">
              <w:rPr>
                <w:rFonts w:cstheme="minorHAnsi"/>
                <w:b/>
                <w:bCs/>
                <w:sz w:val="21"/>
                <w:szCs w:val="21"/>
                <w:lang w:eastAsia="en-GB"/>
              </w:rPr>
              <w:t>i</w:t>
            </w:r>
            <w:proofErr w:type="spellEnd"/>
            <w:r w:rsidRPr="001E1D5F">
              <w:rPr>
                <w:rFonts w:cstheme="minorHAnsi"/>
                <w:sz w:val="21"/>
                <w:szCs w:val="21"/>
                <w:lang w:eastAsia="en-GB"/>
              </w:rPr>
              <w:t xml:space="preserve"> represents the amount of secondary product from post-consumer flows, </w:t>
            </w:r>
            <w:r w:rsidRPr="001E1D5F">
              <w:rPr>
                <w:rFonts w:cstheme="minorHAnsi"/>
                <w:b/>
                <w:bCs/>
                <w:sz w:val="21"/>
                <w:szCs w:val="21"/>
                <w:lang w:eastAsia="en-GB"/>
              </w:rPr>
              <w:t>g</w:t>
            </w:r>
            <w:r w:rsidRPr="001E1D5F">
              <w:rPr>
                <w:rFonts w:cstheme="minorHAnsi"/>
                <w:sz w:val="21"/>
                <w:szCs w:val="21"/>
                <w:lang w:eastAsia="en-GB"/>
              </w:rPr>
              <w:t xml:space="preserve"> represents the total </w:t>
            </w:r>
            <w:proofErr w:type="spellStart"/>
            <w:r w:rsidRPr="001E1D5F">
              <w:rPr>
                <w:rFonts w:cstheme="minorHAnsi"/>
                <w:sz w:val="21"/>
                <w:szCs w:val="21"/>
                <w:lang w:eastAsia="en-GB"/>
              </w:rPr>
              <w:t>EoL</w:t>
            </w:r>
            <w:proofErr w:type="spellEnd"/>
            <w:r w:rsidRPr="001E1D5F">
              <w:rPr>
                <w:rFonts w:cstheme="minorHAnsi"/>
                <w:sz w:val="21"/>
                <w:szCs w:val="21"/>
                <w:lang w:eastAsia="en-GB"/>
              </w:rPr>
              <w:t xml:space="preserve"> product flows that are collected for recycling</w:t>
            </w:r>
          </w:p>
        </w:tc>
        <w:tc>
          <w:tcPr>
            <w:tcW w:w="1559" w:type="dxa"/>
            <w:vAlign w:val="center"/>
          </w:tcPr>
          <w:p w14:paraId="54EEF6B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6E7C7AD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Metal</w:t>
            </w:r>
          </w:p>
        </w:tc>
        <w:tc>
          <w:tcPr>
            <w:tcW w:w="1559" w:type="dxa"/>
            <w:vAlign w:val="center"/>
          </w:tcPr>
          <w:p w14:paraId="38815D34" w14:textId="2E0B5D3A"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{"citationID":"X234jb85","properties":{"formattedCitation":"[48]","plainCitation":"[48]","noteIndex":0},"citationItems":[{"id":3064,"uris":["http://zotero.org/users/local/05JQq5lJ/items/BLZNR6CE"],"itemData":{"id":3064,"type":"article-journal","abstract":"We present a dynamic model of global copper stocks and flows which allows a detailed analysis of recycling efficiencies, copper stocks in use, and dissipated and landfilled copper. The model is based on historical mining and refined copper production data (1910–2010) enhanced by a unique data set of recent global semifinished goods production and copper end-use sectors provided by the copper industry. To enable the consistency of the simulated copper life cycle in terms of a closed mass balance, particularly the matching of recycled metal flows to reported historical annual production data, a method was developed to estimate the yearly global collection rates of end-of-life (postconsumer) scrap. Based on this method, we provide estimates of 8 different recycling indicators over time. The main indicator for the efficiency of global copper recycling from end-of-life (EoL) scrap—the EoL recycling rate—was estimated to be 45% on average, ± 5% (one standard deviation) due to uncertainty and variability over time in the period 2000–2010. As uncertainties of specific input data—mainly concerning assumptions on end-use lifetimes and their distribution—are high, a sensitivity analysis with regard to the effect of uncertainties in the input data on the calculated recycling indicators was performed. The sensitivity analysis included a stochastic (Monte Carlo) uncertainty evaluation with 105 simulation runs.","container-title":"Environmental Science &amp; Technology","DOI":"10.1021/es400069b","ISSN":"0013-936X","issue":"12","journalAbbreviation":"Environ. Sci. Technol.","note":"publisher: American Chemical Society","page":"6564-6572","source":"ACS Publications","title":"Dynamic Analysis of Global Copper Flows. Global Stocks, Postconsumer Material Flows, Recycling Indicators, and Uncertainty Evaluation","volume":"47","author":[{"family":"Glöser","given":"Simon"},{"family":"Soulier","given":"Marcel"},{"family":"Tercero Espinoza","given":"Luis A."}],"issued":{"date-parts":[["2013",6,18]]}}}],"schema":"https://github.com/citation-style-language/schema/raw/master/csl-citation.json"}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[48]</w:t>
            </w:r>
            <w:r w:rsidRPr="001E1D5F">
              <w:rPr>
                <w:rFonts w:cstheme="minorHAnsi"/>
                <w:color w:val="000000"/>
                <w:sz w:val="21"/>
                <w:szCs w:val="21"/>
                <w:lang w:eastAsia="en-GB"/>
              </w:rPr>
              <w:fldChar w:fldCharType="end"/>
            </w:r>
          </w:p>
        </w:tc>
      </w:tr>
      <w:tr w:rsidR="001E1D5F" w:rsidRPr="001E1D5F" w14:paraId="04B176F9" w14:textId="77777777" w:rsidTr="00040455">
        <w:trPr>
          <w:trHeight w:val="300"/>
          <w:jc w:val="center"/>
        </w:trPr>
        <w:tc>
          <w:tcPr>
            <w:tcW w:w="16170" w:type="dxa"/>
            <w:gridSpan w:val="6"/>
            <w:shd w:val="clear" w:color="auto" w:fill="E7E6E6" w:themeFill="background2"/>
            <w:noWrap/>
            <w:hideMark/>
          </w:tcPr>
          <w:p w14:paraId="41055598" w14:textId="77777777" w:rsidR="001E1D5F" w:rsidRPr="001E1D5F" w:rsidRDefault="001E1D5F" w:rsidP="001E1D5F">
            <w:pPr>
              <w:spacing w:before="60"/>
              <w:rPr>
                <w:rFonts w:cstheme="minorHAnsi"/>
                <w:b/>
                <w:bCs/>
                <w:color w:val="000000"/>
                <w:sz w:val="21"/>
                <w:szCs w:val="21"/>
                <w:lang w:eastAsia="en-GB"/>
              </w:rPr>
            </w:pPr>
            <w:r w:rsidRPr="001E1D5F">
              <w:rPr>
                <w:rFonts w:cstheme="minorHAnsi"/>
                <w:b/>
                <w:bCs/>
                <w:color w:val="000000"/>
                <w:sz w:val="21"/>
                <w:szCs w:val="21"/>
                <w:lang w:eastAsia="en-GB"/>
              </w:rPr>
              <w:t>Indicator group C8: Resource Retention &amp; Product Lifespan</w:t>
            </w:r>
          </w:p>
        </w:tc>
      </w:tr>
      <w:tr w:rsidR="001E1D5F" w:rsidRPr="001E1D5F" w14:paraId="0D128118" w14:textId="77777777" w:rsidTr="00040455">
        <w:tblPrEx>
          <w:jc w:val="left"/>
        </w:tblPrEx>
        <w:trPr>
          <w:trHeight w:val="300"/>
        </w:trPr>
        <w:tc>
          <w:tcPr>
            <w:tcW w:w="1995" w:type="dxa"/>
            <w:noWrap/>
            <w:vAlign w:val="center"/>
          </w:tcPr>
          <w:p w14:paraId="272DDE43" w14:textId="77777777" w:rsidR="001E1D5F" w:rsidRPr="001E1D5F" w:rsidRDefault="001E1D5F" w:rsidP="001E1D5F">
            <w:pPr>
              <w:spacing w:before="60"/>
              <w:ind w:firstLineChars="100" w:firstLine="210"/>
              <w:jc w:val="center"/>
              <w:rPr>
                <w:rFonts w:cstheme="minorHAnsi"/>
                <w:color w:val="000000"/>
                <w:sz w:val="21"/>
                <w:szCs w:val="21"/>
                <w:lang w:eastAsia="en-GB"/>
              </w:rPr>
            </w:pPr>
            <w:proofErr w:type="spellStart"/>
            <w:r w:rsidRPr="001E1D5F">
              <w:rPr>
                <w:rFonts w:cstheme="minorHAnsi"/>
                <w:color w:val="000000"/>
                <w:sz w:val="21"/>
                <w:szCs w:val="21"/>
                <w:lang w:eastAsia="en-GB"/>
              </w:rPr>
              <w:t>Acircularity</w:t>
            </w:r>
            <w:proofErr w:type="spellEnd"/>
            <w:r w:rsidRPr="001E1D5F">
              <w:rPr>
                <w:rFonts w:cstheme="minorHAnsi"/>
                <w:color w:val="000000"/>
                <w:sz w:val="21"/>
                <w:szCs w:val="21"/>
                <w:lang w:eastAsia="en-GB"/>
              </w:rPr>
              <w:t xml:space="preserve"> Indicator</w:t>
            </w:r>
          </w:p>
        </w:tc>
        <w:tc>
          <w:tcPr>
            <w:tcW w:w="1560" w:type="dxa"/>
            <w:noWrap/>
            <w:vAlign w:val="center"/>
          </w:tcPr>
          <w:p w14:paraId="25B485D6"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tcPr>
          <w:p w14:paraId="197F1FE3"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b/>
                <w:bCs/>
                <w:color w:val="000000"/>
                <w:sz w:val="21"/>
                <w:szCs w:val="21"/>
                <w:lang w:eastAsia="en-GB"/>
              </w:rPr>
              <w:t>Acircularity</w:t>
            </w:r>
            <w:proofErr w:type="spellEnd"/>
            <w:r w:rsidRPr="001E1D5F">
              <w:rPr>
                <w:rFonts w:cstheme="minorHAnsi"/>
                <w:color w:val="000000"/>
                <w:sz w:val="21"/>
                <w:szCs w:val="21"/>
                <w:lang w:eastAsia="en-GB"/>
              </w:rPr>
              <w:t>=(</w:t>
            </w:r>
            <w:proofErr w:type="spellStart"/>
            <w:r w:rsidRPr="001E1D5F">
              <w:rPr>
                <w:rFonts w:cstheme="minorHAnsi"/>
                <w:color w:val="000000"/>
                <w:sz w:val="21"/>
                <w:szCs w:val="21"/>
                <w:lang w:eastAsia="en-GB"/>
              </w:rPr>
              <w:t>Rv+De+Dp</w:t>
            </w:r>
            <w:proofErr w:type="spellEnd"/>
            <w:r w:rsidRPr="001E1D5F">
              <w:rPr>
                <w:rFonts w:cstheme="minorHAnsi"/>
                <w:color w:val="000000"/>
                <w:sz w:val="21"/>
                <w:szCs w:val="21"/>
                <w:lang w:eastAsia="en-GB"/>
              </w:rPr>
              <w:t xml:space="preserve">)/M, where; </w:t>
            </w:r>
            <w:proofErr w:type="spellStart"/>
            <w:r w:rsidRPr="001E1D5F">
              <w:rPr>
                <w:rFonts w:cstheme="minorHAnsi"/>
                <w:color w:val="000000"/>
                <w:sz w:val="21"/>
                <w:szCs w:val="21"/>
                <w:lang w:eastAsia="en-GB"/>
              </w:rPr>
              <w:t>Rv</w:t>
            </w:r>
            <w:proofErr w:type="spellEnd"/>
            <w:r w:rsidRPr="001E1D5F">
              <w:rPr>
                <w:rFonts w:cstheme="minorHAnsi"/>
                <w:color w:val="000000"/>
                <w:sz w:val="21"/>
                <w:szCs w:val="21"/>
                <w:lang w:eastAsia="en-GB"/>
              </w:rPr>
              <w:t xml:space="preserve">= Residual value loss, De= Downcycling effect cost, </w:t>
            </w:r>
            <w:proofErr w:type="spellStart"/>
            <w:r w:rsidRPr="001E1D5F">
              <w:rPr>
                <w:rFonts w:cstheme="minorHAnsi"/>
                <w:color w:val="000000"/>
                <w:sz w:val="21"/>
                <w:szCs w:val="21"/>
                <w:lang w:eastAsia="en-GB"/>
              </w:rPr>
              <w:t>Dp</w:t>
            </w:r>
            <w:proofErr w:type="spellEnd"/>
            <w:r w:rsidRPr="001E1D5F">
              <w:rPr>
                <w:rFonts w:cstheme="minorHAnsi"/>
                <w:color w:val="000000"/>
                <w:sz w:val="21"/>
                <w:szCs w:val="21"/>
                <w:lang w:eastAsia="en-GB"/>
              </w:rPr>
              <w:t>= Dissipative loss, M = value of the total constituent material in the product. It shows the fraction of material value lost due to waste, downcycling, and dissipation, compared to the total material value of the product.</w:t>
            </w:r>
          </w:p>
        </w:tc>
        <w:tc>
          <w:tcPr>
            <w:tcW w:w="1559" w:type="dxa"/>
            <w:vAlign w:val="center"/>
          </w:tcPr>
          <w:p w14:paraId="3CF70355"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 xml:space="preserve">Dimensionless </w:t>
            </w:r>
          </w:p>
        </w:tc>
        <w:tc>
          <w:tcPr>
            <w:tcW w:w="3969" w:type="dxa"/>
            <w:vAlign w:val="center"/>
          </w:tcPr>
          <w:p w14:paraId="6B47B2BC"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Automotive, Electronics</w:t>
            </w:r>
          </w:p>
        </w:tc>
        <w:tc>
          <w:tcPr>
            <w:tcW w:w="1559" w:type="dxa"/>
            <w:vAlign w:val="center"/>
          </w:tcPr>
          <w:p w14:paraId="38A0D4DA" w14:textId="48982744"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{"citationID":"9uxukLwf","properties":{"formattedCitation":"[5,20]","plainCitation":"[5,20]","noteIndex":0},"citationItems":[{"id":2981,"uris":["http://zotero.org/users/local/05JQq5lJ/items/YX5TXVFW"],"itemData":{"id":2981,"type":"article-journal","abstract":"This study proposes new indicator, Resource Efficiency Account (REA). REA represents the effects of eco-design efforts in achieving a circular system. The key concept of REA is “acircularity.” “Acircularity” is the distance to the ideal circular system to be achieved. REA is given as material efficiency (service per total value of constituent materials) divided by acircularity. Acircularity is the sum of the value of resources that the techno-sphere demands from the eco-sphere, and the value of resources that are dissipated within the techno-sphere. If an utterly circular state is reached, the acircularity value is zero. Additionally, this study proposes a new method to quantify the decline of the quality of scrap provided to the market as a decline in the value of the material to calculate the dissipation. The calculation focuses on the control level of impurities in scrap. The validity of these indicators is discussed using an automobile case. Differences in the current circulation level, eco-design for recycling, and refurbishment efforts can be quantitatively evaluated using REA and acircularity.","container-title":"International Journal of Automation Technology","DOI":"10.20965/ijat.2022.p0684","issue":"6","page":"684-695","source":"J-Stage","title":"New Indicators ‘Acircularity’ and ‘Resource Efficiency Account’ to Evaluate the Efforts of Eco-Design in Circular Economy","volume":"16","author":[{"family":"Halada","given":"Kohmei"},{"family":"Tahara","given":"Kiyotaka"},{"family":"Matsumoto","given":"Mitsutaka"}],"issued":{"date-parts":[["2022"]]}}},{"id":3041,"uris":["http://zotero.org/users/local/05JQq5lJ/items/7I52IFQH"],"itemData":{"id":3041,"type":"article-journal","container-title":"Journal of Cleaner Production","note":"publisher: Elsevier","page":"123889","source":"Google Scholar","title":"Development of circularity indicators based on the in-use occupation of materials","volume":"279","author":[{"family":"Moraga","given":"Gustavo"},{"family":"Huysveld","given":"Sophie"},{"family":"De Meester","given":"Steven"},{"family":"Dewulf","given":"Jo"}],"issued":{"date-parts":[["2021"]]}}}],"schema":"https://github.com/citation-style-language/schema/raw/master/csl-citation.json"}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[5,20]</w:t>
            </w:r>
            <w:r w:rsidRPr="001E1D5F">
              <w:rPr>
                <w:rFonts w:cstheme="minorHAnsi"/>
                <w:color w:val="000000"/>
                <w:sz w:val="21"/>
                <w:szCs w:val="21"/>
                <w:lang w:eastAsia="en-GB"/>
              </w:rPr>
              <w:fldChar w:fldCharType="end"/>
            </w:r>
          </w:p>
        </w:tc>
      </w:tr>
      <w:tr w:rsidR="001E1D5F" w:rsidRPr="001E1D5F" w14:paraId="70B5A09F" w14:textId="77777777" w:rsidTr="00040455">
        <w:tblPrEx>
          <w:jc w:val="left"/>
        </w:tblPrEx>
        <w:trPr>
          <w:trHeight w:val="300"/>
        </w:trPr>
        <w:tc>
          <w:tcPr>
            <w:tcW w:w="1995" w:type="dxa"/>
            <w:noWrap/>
            <w:vAlign w:val="center"/>
          </w:tcPr>
          <w:p w14:paraId="19EF3DA7" w14:textId="77777777" w:rsidR="001E1D5F" w:rsidRPr="001E1D5F" w:rsidRDefault="001E1D5F" w:rsidP="001E1D5F">
            <w:pPr>
              <w:spacing w:before="60"/>
              <w:ind w:firstLineChars="100" w:firstLine="210"/>
              <w:jc w:val="center"/>
              <w:rPr>
                <w:rFonts w:cstheme="minorHAnsi"/>
                <w:color w:val="000000"/>
                <w:sz w:val="21"/>
                <w:szCs w:val="21"/>
                <w:lang w:eastAsia="en-GB"/>
              </w:rPr>
            </w:pPr>
            <w:r w:rsidRPr="001E1D5F">
              <w:rPr>
                <w:rFonts w:cstheme="minorHAnsi"/>
                <w:color w:val="000000"/>
                <w:sz w:val="21"/>
                <w:szCs w:val="21"/>
                <w:lang w:eastAsia="en-GB"/>
              </w:rPr>
              <w:t>Final Retention in Society (FRS)</w:t>
            </w:r>
          </w:p>
        </w:tc>
        <w:tc>
          <w:tcPr>
            <w:tcW w:w="1560" w:type="dxa"/>
            <w:noWrap/>
            <w:vAlign w:val="center"/>
          </w:tcPr>
          <w:p w14:paraId="0A1CF18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136ABB49"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FRS</w:t>
            </w:r>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mth</w:t>
            </w:r>
            <w:proofErr w:type="spellEnd"/>
            <w:r w:rsidRPr="001E1D5F">
              <w:rPr>
                <w:rFonts w:cstheme="minorHAnsi"/>
                <w:color w:val="000000"/>
                <w:sz w:val="21"/>
                <w:szCs w:val="21"/>
                <w:lang w:eastAsia="en-GB"/>
              </w:rPr>
              <w:t>/ms,</w:t>
            </w:r>
            <w:proofErr w:type="gramStart"/>
            <w:r w:rsidRPr="001E1D5F">
              <w:rPr>
                <w:rFonts w:cstheme="minorHAnsi"/>
                <w:color w:val="000000"/>
                <w:sz w:val="21"/>
                <w:szCs w:val="21"/>
                <w:lang w:eastAsia="en-GB"/>
              </w:rPr>
              <w:t>1)*</w:t>
            </w:r>
            <w:proofErr w:type="gramEnd"/>
            <w:r w:rsidRPr="001E1D5F">
              <w:rPr>
                <w:rFonts w:cstheme="minorHAnsi"/>
                <w:color w:val="000000"/>
                <w:sz w:val="21"/>
                <w:szCs w:val="21"/>
                <w:lang w:eastAsia="en-GB"/>
              </w:rPr>
              <w:t xml:space="preserve">100%, where; </w:t>
            </w:r>
            <w:proofErr w:type="spellStart"/>
            <w:r w:rsidRPr="001E1D5F">
              <w:rPr>
                <w:rFonts w:cstheme="minorHAnsi"/>
                <w:color w:val="000000"/>
                <w:sz w:val="21"/>
                <w:szCs w:val="21"/>
                <w:lang w:eastAsia="en-GB"/>
              </w:rPr>
              <w:t>mth</w:t>
            </w:r>
            <w:proofErr w:type="spellEnd"/>
            <w:r w:rsidRPr="001E1D5F">
              <w:rPr>
                <w:rFonts w:cstheme="minorHAnsi"/>
                <w:color w:val="000000"/>
                <w:sz w:val="21"/>
                <w:szCs w:val="21"/>
                <w:lang w:eastAsia="en-GB"/>
              </w:rPr>
              <w:t>: the mass of the primary raw material still available at the end of the time horizon,</w:t>
            </w:r>
          </w:p>
          <w:p w14:paraId="009FA0F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ms,1​: the mass of the primary raw material initially used in the first product cycle.</w:t>
            </w:r>
          </w:p>
        </w:tc>
        <w:tc>
          <w:tcPr>
            <w:tcW w:w="1559" w:type="dxa"/>
            <w:vAlign w:val="center"/>
          </w:tcPr>
          <w:p w14:paraId="06EDBA42"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Percentage (%)</w:t>
            </w:r>
          </w:p>
        </w:tc>
        <w:tc>
          <w:tcPr>
            <w:tcW w:w="3969" w:type="dxa"/>
            <w:vAlign w:val="center"/>
          </w:tcPr>
          <w:p w14:paraId="690F29C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Electronics</w:t>
            </w:r>
          </w:p>
        </w:tc>
        <w:tc>
          <w:tcPr>
            <w:tcW w:w="1559" w:type="dxa"/>
            <w:vAlign w:val="center"/>
          </w:tcPr>
          <w:p w14:paraId="05C1A3CD" w14:textId="779ABEB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{"citationID":"2QC1loax","properties":{"formattedCitation":"[20]","plainCitation":"[20]","noteIndex":0},"citationItems":[{"id":3041,"uris":["http://zotero.org/users/local/05JQq5lJ/items/7I52IFQH"],"itemData":{"id":3041,"type":"article-journal","container-title":"Journal of Cleaner Production","note":"publisher: Elsevier","page":"123889","source":"Google Scholar","title":"Development of circularity indicators based on the in-use occupation of materials","volume":"279","author":[{"family":"Moraga","given":"Gustavo"},{"family":"Huysveld","given":"Sophie"},{"family":"De Meester","given":"Steven"},{"family":"Dewulf","given":"Jo"}],"issued":{"date-parts":[["2021"]]}}}],"schema":"https://github.com/citation-style-language/schema/raw/master/csl-citation.json"}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[20]</w:t>
            </w:r>
            <w:r w:rsidRPr="001E1D5F">
              <w:rPr>
                <w:rFonts w:cstheme="minorHAnsi"/>
                <w:color w:val="000000"/>
                <w:sz w:val="21"/>
                <w:szCs w:val="21"/>
                <w:lang w:eastAsia="en-GB"/>
              </w:rPr>
              <w:fldChar w:fldCharType="end"/>
            </w:r>
          </w:p>
        </w:tc>
      </w:tr>
      <w:tr w:rsidR="001E1D5F" w:rsidRPr="001E1D5F" w14:paraId="0E3BE3FF" w14:textId="77777777" w:rsidTr="00040455">
        <w:tblPrEx>
          <w:jc w:val="left"/>
        </w:tblPrEx>
        <w:trPr>
          <w:trHeight w:val="300"/>
        </w:trPr>
        <w:tc>
          <w:tcPr>
            <w:tcW w:w="1995" w:type="dxa"/>
            <w:noWrap/>
            <w:vAlign w:val="center"/>
          </w:tcPr>
          <w:p w14:paraId="02DFF9F6"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In-Use Occupation Ratio (UOR)</w:t>
            </w:r>
          </w:p>
        </w:tc>
        <w:tc>
          <w:tcPr>
            <w:tcW w:w="1560" w:type="dxa"/>
            <w:noWrap/>
            <w:vAlign w:val="center"/>
          </w:tcPr>
          <w:p w14:paraId="6585122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3D156BEF"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b/>
                <w:bCs/>
                <w:color w:val="000000"/>
                <w:sz w:val="21"/>
                <w:szCs w:val="21"/>
                <w:lang w:eastAsia="en-GB"/>
              </w:rPr>
              <w:t>UOR</w:t>
            </w:r>
            <w:r w:rsidRPr="001E1D5F">
              <w:rPr>
                <w:rFonts w:cstheme="minorHAnsi"/>
                <w:color w:val="000000"/>
                <w:sz w:val="21"/>
                <w:szCs w:val="21"/>
                <w:lang w:eastAsia="en-GB"/>
              </w:rPr>
              <w:t>=(</w:t>
            </w:r>
            <w:r w:rsidRPr="001E1D5F">
              <w:rPr>
                <w:rFonts w:cstheme="minorHAnsi"/>
                <w:color w:val="000000"/>
                <w:sz w:val="21"/>
                <w:szCs w:val="21"/>
                <w:lang w:val="el-GR" w:eastAsia="en-GB"/>
              </w:rPr>
              <w:t>Σ</w:t>
            </w:r>
            <w:proofErr w:type="spellStart"/>
            <w:r w:rsidRPr="001E1D5F">
              <w:rPr>
                <w:rFonts w:cstheme="minorHAnsi"/>
                <w:color w:val="000000"/>
                <w:sz w:val="21"/>
                <w:szCs w:val="21"/>
                <w:lang w:eastAsia="en-GB"/>
              </w:rPr>
              <w:t>OccUj</w:t>
            </w:r>
            <w:proofErr w:type="spellEnd"/>
            <w:r w:rsidRPr="001E1D5F">
              <w:rPr>
                <w:rFonts w:cstheme="minorHAnsi"/>
                <w:color w:val="000000"/>
                <w:sz w:val="21"/>
                <w:szCs w:val="21"/>
                <w:lang w:eastAsia="en-GB"/>
              </w:rPr>
              <w:t>/</w:t>
            </w:r>
            <w:proofErr w:type="spellStart"/>
            <w:proofErr w:type="gramStart"/>
            <w:r w:rsidRPr="001E1D5F">
              <w:rPr>
                <w:rFonts w:cstheme="minorHAnsi"/>
                <w:color w:val="000000"/>
                <w:sz w:val="21"/>
                <w:szCs w:val="21"/>
                <w:lang w:eastAsia="en-GB"/>
              </w:rPr>
              <w:t>OccUmax</w:t>
            </w:r>
            <w:proofErr w:type="spellEnd"/>
            <w:r w:rsidRPr="001E1D5F">
              <w:rPr>
                <w:rFonts w:cstheme="minorHAnsi"/>
                <w:color w:val="000000"/>
                <w:sz w:val="21"/>
                <w:szCs w:val="21"/>
                <w:lang w:eastAsia="en-GB"/>
              </w:rPr>
              <w:t>)*</w:t>
            </w:r>
            <w:proofErr w:type="gramEnd"/>
            <w:r w:rsidRPr="001E1D5F">
              <w:rPr>
                <w:rFonts w:cstheme="minorHAnsi"/>
                <w:color w:val="000000"/>
                <w:sz w:val="21"/>
                <w:szCs w:val="21"/>
                <w:lang w:eastAsia="en-GB"/>
              </w:rPr>
              <w:t>100%, where;</w:t>
            </w:r>
          </w:p>
          <w:p w14:paraId="79DA8889" w14:textId="77777777" w:rsidR="001E1D5F" w:rsidRPr="001E1D5F" w:rsidRDefault="001E1D5F" w:rsidP="001E1D5F">
            <w:pPr>
              <w:spacing w:before="60"/>
              <w:jc w:val="center"/>
              <w:rPr>
                <w:rFonts w:cstheme="minorHAnsi"/>
                <w:color w:val="000000"/>
                <w:sz w:val="21"/>
                <w:szCs w:val="21"/>
                <w:lang w:eastAsia="en-GB"/>
              </w:rPr>
            </w:pPr>
            <w:proofErr w:type="spellStart"/>
            <w:r w:rsidRPr="001E1D5F">
              <w:rPr>
                <w:rFonts w:cstheme="minorHAnsi"/>
                <w:color w:val="000000"/>
                <w:sz w:val="21"/>
                <w:szCs w:val="21"/>
                <w:lang w:eastAsia="en-GB"/>
              </w:rPr>
              <w:t>OccUj</w:t>
            </w:r>
            <w:proofErr w:type="spellEnd"/>
            <w:r w:rsidRPr="001E1D5F">
              <w:rPr>
                <w:rFonts w:cstheme="minorHAnsi"/>
                <w:color w:val="000000"/>
                <w:sz w:val="21"/>
                <w:szCs w:val="21"/>
                <w:lang w:eastAsia="en-GB"/>
              </w:rPr>
              <w:t xml:space="preserve"> = (</w:t>
            </w:r>
            <w:proofErr w:type="spellStart"/>
            <w:r w:rsidRPr="001E1D5F">
              <w:rPr>
                <w:rFonts w:cstheme="minorHAnsi"/>
                <w:color w:val="000000"/>
                <w:sz w:val="21"/>
                <w:szCs w:val="21"/>
                <w:lang w:eastAsia="en-GB"/>
              </w:rPr>
              <w:t>mu,j-lu,j</w:t>
            </w:r>
            <w:proofErr w:type="spellEnd"/>
            <w:r w:rsidRPr="001E1D5F">
              <w:rPr>
                <w:rFonts w:cstheme="minorHAnsi"/>
                <w:color w:val="000000"/>
                <w:sz w:val="21"/>
                <w:szCs w:val="21"/>
                <w:lang w:eastAsia="en-GB"/>
              </w:rPr>
              <w:t>/2)*</w:t>
            </w:r>
            <w:r w:rsidRPr="001E1D5F">
              <w:rPr>
                <w:rFonts w:cstheme="minorHAnsi"/>
                <w:color w:val="000000"/>
                <w:sz w:val="21"/>
                <w:szCs w:val="21"/>
                <w:lang w:val="el-GR" w:eastAsia="en-GB"/>
              </w:rPr>
              <w:t>Δ</w:t>
            </w:r>
            <w:proofErr w:type="spellStart"/>
            <w:r w:rsidRPr="001E1D5F">
              <w:rPr>
                <w:rFonts w:cstheme="minorHAnsi"/>
                <w:color w:val="000000"/>
                <w:sz w:val="21"/>
                <w:szCs w:val="21"/>
                <w:lang w:eastAsia="en-GB"/>
              </w:rPr>
              <w:t>tu,j</w:t>
            </w:r>
            <w:proofErr w:type="spellEnd"/>
            <w:r w:rsidRPr="001E1D5F">
              <w:rPr>
                <w:rFonts w:cstheme="minorHAnsi"/>
                <w:color w:val="000000"/>
                <w:sz w:val="21"/>
                <w:szCs w:val="21"/>
                <w:lang w:eastAsia="en-GB"/>
              </w:rPr>
              <w:t xml:space="preserve">,  where; </w:t>
            </w:r>
            <w:proofErr w:type="spellStart"/>
            <w:r w:rsidRPr="001E1D5F">
              <w:rPr>
                <w:rFonts w:cstheme="minorHAnsi"/>
                <w:b/>
                <w:bCs/>
                <w:color w:val="000000"/>
                <w:sz w:val="21"/>
                <w:szCs w:val="21"/>
                <w:lang w:eastAsia="en-GB"/>
              </w:rPr>
              <w:t>mu,j</w:t>
            </w:r>
            <w:proofErr w:type="spellEnd"/>
            <w:r w:rsidRPr="001E1D5F">
              <w:rPr>
                <w:rFonts w:cstheme="minorHAnsi"/>
                <w:b/>
                <w:bCs/>
                <w:color w:val="000000"/>
                <w:sz w:val="21"/>
                <w:szCs w:val="21"/>
                <w:lang w:eastAsia="en-GB"/>
              </w:rPr>
              <w:t>​:</w:t>
            </w:r>
            <w:r w:rsidRPr="001E1D5F">
              <w:rPr>
                <w:rFonts w:cstheme="minorHAnsi"/>
                <w:color w:val="000000"/>
                <w:sz w:val="21"/>
                <w:szCs w:val="21"/>
                <w:lang w:eastAsia="en-GB"/>
              </w:rPr>
              <w:t xml:space="preserve"> the mass of material entering the in-use phase in product cycle </w:t>
            </w:r>
            <w:proofErr w:type="spellStart"/>
            <w:r w:rsidRPr="001E1D5F">
              <w:rPr>
                <w:rFonts w:cstheme="minorHAnsi"/>
                <w:color w:val="000000"/>
                <w:sz w:val="21"/>
                <w:szCs w:val="21"/>
                <w:lang w:eastAsia="en-GB"/>
              </w:rPr>
              <w:t>j,</w:t>
            </w:r>
            <w:r w:rsidRPr="001E1D5F">
              <w:rPr>
                <w:rFonts w:cstheme="minorHAnsi"/>
                <w:b/>
                <w:bCs/>
                <w:color w:val="000000"/>
                <w:sz w:val="21"/>
                <w:szCs w:val="21"/>
                <w:lang w:eastAsia="en-GB"/>
              </w:rPr>
              <w:t>lu,</w:t>
            </w:r>
            <w:r w:rsidRPr="001E1D5F">
              <w:rPr>
                <w:rFonts w:cstheme="minorHAnsi"/>
                <w:color w:val="000000"/>
                <w:sz w:val="21"/>
                <w:szCs w:val="21"/>
                <w:lang w:eastAsia="en-GB"/>
              </w:rPr>
              <w:t>j</w:t>
            </w:r>
            <w:proofErr w:type="spellEnd"/>
            <w:r w:rsidRPr="001E1D5F">
              <w:rPr>
                <w:rFonts w:cstheme="minorHAnsi"/>
                <w:color w:val="000000"/>
                <w:sz w:val="21"/>
                <w:szCs w:val="21"/>
                <w:lang w:eastAsia="en-GB"/>
              </w:rPr>
              <w:t xml:space="preserve">​: the material loss during the in-use phase in product cycle j, </w:t>
            </w:r>
            <w:proofErr w:type="spellStart"/>
            <w:r w:rsidRPr="001E1D5F">
              <w:rPr>
                <w:rFonts w:cstheme="minorHAnsi"/>
                <w:b/>
                <w:bCs/>
                <w:color w:val="000000"/>
                <w:sz w:val="21"/>
                <w:szCs w:val="21"/>
                <w:lang w:eastAsia="en-GB"/>
              </w:rPr>
              <w:t>Δtu,j</w:t>
            </w:r>
            <w:proofErr w:type="spellEnd"/>
            <w:r w:rsidRPr="001E1D5F">
              <w:rPr>
                <w:rFonts w:cstheme="minorHAnsi"/>
                <w:b/>
                <w:bCs/>
                <w:color w:val="000000"/>
                <w:sz w:val="21"/>
                <w:szCs w:val="21"/>
                <w:lang w:eastAsia="en-GB"/>
              </w:rPr>
              <w:t>​:</w:t>
            </w:r>
            <w:r w:rsidRPr="001E1D5F">
              <w:rPr>
                <w:rFonts w:cstheme="minorHAnsi"/>
                <w:color w:val="000000"/>
                <w:sz w:val="21"/>
                <w:szCs w:val="21"/>
                <w:lang w:eastAsia="en-GB"/>
              </w:rPr>
              <w:t xml:space="preserve"> the duration of the in-use phase for product cycle j, </w:t>
            </w:r>
            <w:proofErr w:type="spellStart"/>
            <w:r w:rsidRPr="001E1D5F">
              <w:rPr>
                <w:rFonts w:cstheme="minorHAnsi"/>
                <w:b/>
                <w:bCs/>
                <w:color w:val="000000"/>
                <w:sz w:val="21"/>
                <w:szCs w:val="21"/>
                <w:lang w:eastAsia="en-GB"/>
              </w:rPr>
              <w:t>OccUmax</w:t>
            </w:r>
            <w:proofErr w:type="spellEnd"/>
            <w:r w:rsidRPr="001E1D5F">
              <w:rPr>
                <w:rFonts w:cstheme="minorHAnsi"/>
                <w:color w:val="000000"/>
                <w:sz w:val="21"/>
                <w:szCs w:val="21"/>
                <w:lang w:eastAsia="en-GB"/>
              </w:rPr>
              <w:t xml:space="preserve"> = ms,1*TH, where;  </w:t>
            </w:r>
            <w:r w:rsidRPr="001E1D5F">
              <w:rPr>
                <w:rFonts w:cstheme="minorHAnsi"/>
                <w:b/>
                <w:bCs/>
                <w:color w:val="000000"/>
                <w:sz w:val="21"/>
                <w:szCs w:val="21"/>
                <w:lang w:eastAsia="en-GB"/>
              </w:rPr>
              <w:t>mS,1</w:t>
            </w:r>
            <w:r w:rsidRPr="001E1D5F">
              <w:rPr>
                <w:rFonts w:cstheme="minorHAnsi"/>
                <w:color w:val="000000"/>
                <w:sz w:val="21"/>
                <w:szCs w:val="21"/>
                <w:lang w:eastAsia="en-GB"/>
              </w:rPr>
              <w:t xml:space="preserve">​: the mass of the primary raw material </w:t>
            </w:r>
            <w:r w:rsidRPr="001E1D5F">
              <w:rPr>
                <w:rFonts w:cstheme="minorHAnsi"/>
                <w:color w:val="000000"/>
                <w:sz w:val="21"/>
                <w:szCs w:val="21"/>
                <w:lang w:eastAsia="en-GB"/>
              </w:rPr>
              <w:lastRenderedPageBreak/>
              <w:t xml:space="preserve">entering the supply phase of the first product cycle, </w:t>
            </w:r>
            <w:r w:rsidRPr="001E1D5F">
              <w:rPr>
                <w:rFonts w:cstheme="minorHAnsi"/>
                <w:b/>
                <w:bCs/>
                <w:color w:val="000000"/>
                <w:sz w:val="21"/>
                <w:szCs w:val="21"/>
                <w:lang w:eastAsia="en-GB"/>
              </w:rPr>
              <w:t>TH</w:t>
            </w:r>
            <w:r w:rsidRPr="001E1D5F">
              <w:rPr>
                <w:rFonts w:cstheme="minorHAnsi"/>
                <w:color w:val="000000"/>
                <w:sz w:val="21"/>
                <w:szCs w:val="21"/>
                <w:lang w:eastAsia="en-GB"/>
              </w:rPr>
              <w:t>: the given time horizon, typically measured in years.</w:t>
            </w:r>
          </w:p>
        </w:tc>
        <w:tc>
          <w:tcPr>
            <w:tcW w:w="1559" w:type="dxa"/>
            <w:vAlign w:val="center"/>
          </w:tcPr>
          <w:p w14:paraId="4FB4F25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lastRenderedPageBreak/>
              <w:t>Percentage (%)</w:t>
            </w:r>
          </w:p>
        </w:tc>
        <w:tc>
          <w:tcPr>
            <w:tcW w:w="3969" w:type="dxa"/>
            <w:vAlign w:val="center"/>
          </w:tcPr>
          <w:p w14:paraId="6BC2F110"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Electronics</w:t>
            </w:r>
          </w:p>
        </w:tc>
        <w:tc>
          <w:tcPr>
            <w:tcW w:w="1559" w:type="dxa"/>
            <w:vAlign w:val="center"/>
          </w:tcPr>
          <w:p w14:paraId="30A6E8C0" w14:textId="4DCB6F2E"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{"citationID":"jEF2t7u9","properties":{"formattedCitation":"[20]","plainCitation":"[20]","noteIndex":0},"citationItems":[{"id":3041,"uris":["http://zotero.org/users/local/05JQq5lJ/items/7I52IFQH"],"itemData":{"id":3041,"type":"article-journal","container-title":"Journal of Cleaner Production","note":"publisher: Elsevier","page":"123889","source":"Google Scholar","title":"Development of circularity indicators based on the in-use occupation of materials","volume":"279","author":[{"family":"Moraga","given":"Gustavo"},{"family":"Huysveld","given":"Sophie"},{"family":"De Meester","given":"Steven"},{"family":"Dewulf","given":"Jo"}],"issued":{"date-parts":[["2021"]]}}}],"schema":"https://github.com/citation-style-language/schema/raw/master/csl-citation.json"}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[20]</w:t>
            </w:r>
            <w:r w:rsidRPr="001E1D5F">
              <w:rPr>
                <w:rFonts w:cstheme="minorHAnsi"/>
                <w:color w:val="000000"/>
                <w:sz w:val="21"/>
                <w:szCs w:val="21"/>
                <w:lang w:eastAsia="en-GB"/>
              </w:rPr>
              <w:fldChar w:fldCharType="end"/>
            </w:r>
          </w:p>
        </w:tc>
      </w:tr>
      <w:tr w:rsidR="001E1D5F" w:rsidRPr="001E1D5F" w14:paraId="68E164FC" w14:textId="77777777" w:rsidTr="00040455">
        <w:tblPrEx>
          <w:jc w:val="left"/>
        </w:tblPrEx>
        <w:trPr>
          <w:trHeight w:val="300"/>
        </w:trPr>
        <w:tc>
          <w:tcPr>
            <w:tcW w:w="1995" w:type="dxa"/>
            <w:noWrap/>
            <w:vAlign w:val="center"/>
          </w:tcPr>
          <w:p w14:paraId="2AA663BD" w14:textId="77777777" w:rsidR="001E1D5F" w:rsidRPr="001E1D5F" w:rsidRDefault="001E1D5F" w:rsidP="001E1D5F">
            <w:pPr>
              <w:ind w:left="220"/>
              <w:jc w:val="center"/>
              <w:rPr>
                <w:rFonts w:cstheme="minorHAnsi"/>
                <w:color w:val="000000"/>
                <w:sz w:val="21"/>
                <w:szCs w:val="21"/>
                <w:lang w:eastAsia="en-GB"/>
              </w:rPr>
            </w:pPr>
            <w:r w:rsidRPr="001E1D5F">
              <w:rPr>
                <w:rFonts w:cstheme="minorHAnsi"/>
                <w:color w:val="000000"/>
                <w:sz w:val="21"/>
                <w:szCs w:val="21"/>
                <w:lang w:eastAsia="en-GB"/>
              </w:rPr>
              <w:t>Resource Duration Indicator (RDI)</w:t>
            </w:r>
          </w:p>
        </w:tc>
        <w:tc>
          <w:tcPr>
            <w:tcW w:w="1560" w:type="dxa"/>
            <w:noWrap/>
            <w:vAlign w:val="center"/>
          </w:tcPr>
          <w:p w14:paraId="4C4D02AE"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Composite</w:t>
            </w:r>
          </w:p>
        </w:tc>
        <w:tc>
          <w:tcPr>
            <w:tcW w:w="5528" w:type="dxa"/>
            <w:vAlign w:val="center"/>
          </w:tcPr>
          <w:p w14:paraId="416CAFD1"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It measures the total time a resource is retained within a product system to maximize its exploitation through use, reuse, and recycling. It is expressed as the sum of three components: the product's initial lifetime (</w:t>
            </w:r>
            <w:r w:rsidRPr="001E1D5F">
              <w:rPr>
                <w:rFonts w:cstheme="minorHAnsi"/>
                <w:b/>
                <w:bCs/>
                <w:color w:val="000000"/>
                <w:sz w:val="21"/>
                <w:szCs w:val="21"/>
                <w:lang w:eastAsia="en-GB"/>
              </w:rPr>
              <w:t>A</w:t>
            </w:r>
            <w:r w:rsidRPr="001E1D5F">
              <w:rPr>
                <w:rFonts w:cstheme="minorHAnsi"/>
                <w:color w:val="000000"/>
                <w:sz w:val="21"/>
                <w:szCs w:val="21"/>
                <w:lang w:eastAsia="en-GB"/>
              </w:rPr>
              <w:t>), the additional lifetime gained through refurbishment (</w:t>
            </w:r>
            <w:r w:rsidRPr="001E1D5F">
              <w:rPr>
                <w:rFonts w:cstheme="minorHAnsi"/>
                <w:b/>
                <w:bCs/>
                <w:color w:val="000000"/>
                <w:sz w:val="21"/>
                <w:szCs w:val="21"/>
                <w:lang w:eastAsia="en-GB"/>
              </w:rPr>
              <w:t>B</w:t>
            </w:r>
            <w:r w:rsidRPr="001E1D5F">
              <w:rPr>
                <w:rFonts w:cstheme="minorHAnsi"/>
                <w:color w:val="000000"/>
                <w:sz w:val="21"/>
                <w:szCs w:val="21"/>
                <w:lang w:eastAsia="en-GB"/>
              </w:rPr>
              <w:t>), and the lifetime extended through material recycling (</w:t>
            </w:r>
            <w:r w:rsidRPr="001E1D5F">
              <w:rPr>
                <w:rFonts w:cstheme="minorHAnsi"/>
                <w:b/>
                <w:bCs/>
                <w:color w:val="000000"/>
                <w:sz w:val="21"/>
                <w:szCs w:val="21"/>
                <w:lang w:eastAsia="en-GB"/>
              </w:rPr>
              <w:t>C</w:t>
            </w:r>
            <w:r w:rsidRPr="001E1D5F">
              <w:rPr>
                <w:rFonts w:cstheme="minorHAnsi"/>
                <w:color w:val="000000"/>
                <w:sz w:val="21"/>
                <w:szCs w:val="21"/>
                <w:lang w:eastAsia="en-GB"/>
              </w:rPr>
              <w:t>).</w:t>
            </w:r>
          </w:p>
        </w:tc>
        <w:tc>
          <w:tcPr>
            <w:tcW w:w="1559" w:type="dxa"/>
            <w:vAlign w:val="center"/>
          </w:tcPr>
          <w:p w14:paraId="01A1C044"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Time (e.g. years)</w:t>
            </w:r>
          </w:p>
        </w:tc>
        <w:tc>
          <w:tcPr>
            <w:tcW w:w="3969" w:type="dxa"/>
            <w:vAlign w:val="center"/>
          </w:tcPr>
          <w:p w14:paraId="3559B44A" w14:textId="77777777"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t>Electronics, Automotive, Packaging</w:t>
            </w:r>
          </w:p>
        </w:tc>
        <w:tc>
          <w:tcPr>
            <w:tcW w:w="1559" w:type="dxa"/>
            <w:vAlign w:val="center"/>
          </w:tcPr>
          <w:p w14:paraId="4D664E94" w14:textId="6ED381B9" w:rsidR="001E1D5F" w:rsidRPr="001E1D5F" w:rsidRDefault="001E1D5F" w:rsidP="001E1D5F">
            <w:pPr>
              <w:spacing w:before="60"/>
              <w:jc w:val="center"/>
              <w:rPr>
                <w:rFonts w:cstheme="minorHAnsi"/>
                <w:color w:val="000000"/>
                <w:sz w:val="21"/>
                <w:szCs w:val="21"/>
                <w:lang w:eastAsia="en-GB"/>
              </w:rPr>
            </w:pPr>
            <w:r w:rsidRPr="001E1D5F">
              <w:rPr>
                <w:rFonts w:cstheme="minorHAnsi"/>
                <w:color w:val="000000"/>
                <w:sz w:val="21"/>
                <w:szCs w:val="21"/>
                <w:lang w:eastAsia="en-GB"/>
              </w:rPr>
              <w:fldChar w:fldCharType="begin"/>
            </w:r>
            <w:r w:rsidR="00C41CDD">
              <w:rPr>
                <w:rFonts w:cstheme="minorHAnsi"/>
                <w:color w:val="000000"/>
                <w:sz w:val="21"/>
                <w:szCs w:val="21"/>
                <w:lang w:eastAsia="en-GB"/>
              </w:rPr>
              <w:instrText xml:space="preserve"> ADDIN ZOTERO_ITEM CSL_CITATION {"citationID":"0cu7NbtN","properties":{"formattedCitation":"[7,17,18,24,50]","plainCitation":"[7,17,18,24,50]","noteIndex":0},"citationItems":[{"id":2979,"uris":["http://zotero.org/users/local/05JQq5lJ/items/6HG56V9K"],"itemData":{"id":2979,"type":"article-journal","container-title":"Journal of cleaner production","note":"publisher: Elsevier","page":"51–60","source":"Google Scholar","title":"What should be recycled: An integrated model for product recycling desirability","title-short":"What should be recycled","volume":"154","author":[{"family":"Lou","given":"Eric"},{"family":"Mativenga","given":"Paul Tarisai"}],"issued":{"date-parts":[["2017"]]}}},{"id":2986,"uris":["http://zotero.org/users/local/05JQq5lJ/items/NZJZ35RN"],"itemData":{"id":2986,"type":"article-journal","abstract":"Plastic packaging, in the form of films, brought several advantages to the commercialization of products given its lightness and durability. It provided better ergonomics, ease of transport, increased shelf life, and easy handling and use. Despite that, plastic packaging is facing enormous sustainability concerns associated with the traditional practice of linear economy, combined with commonplace irresponsible handling by citizens since it is almost exclusively designed for single-use and its end-of-life (EOL) management is not planned for. To mitigate that, the circularity of plastic packaging must be more clearly studied and evaluated through approaches such as micro-level circular economy (CE) indicators. This paper focuses on the selection of relevant CE micro-indicators specifically for the plastic packaging sector among the plethora of indicators available. Relations are also established between CE micro-indicators and CE guiding principles, as well as the most prevalent Design for X (DfX) approaches, providing new insights into how these different aspects of sustainability can be linked together. Results show three micro-level indicators as the most relevant for circularity calculation in packaging, namely those termed ‘MCI’, ‘VRE’, and ‘CEIP’, because their methodology and approach address most of the CE guiding principles and DfX approaches relevant for the packaging sector. Finally, guidelines and good practices to promote circularity adoption in the plastic packaging sector are highlighted. This work can guide companies aiming to adopt CE micro-indicators in their practical implementation, overcoming the significant knowledge barrier that currently exists.","container-title":"Sustainability","DOI":"10.3390/su16052182","ISSN":"2071-1050","issue":"5","language":"en","license":"http://creativecommons.org/licenses/by/3.0/","note":"number: 5\npublisher: Multidisciplinary Digital Publishing Institute","page":"2182","source":"www.mdpi.com","title":"Circularity Micro-Indicators for Plastic Packaging and Their Relation to Circular Economy Principles and Design Tools","volume":"16","author":[{"family":"Matos","given":"Joana"},{"family":"Martins","given":"Carla I."},{"family":"Simoes","given":"Ricardo"}],"issued":{"date-parts":[["2024",1]]}}},{"id":2988,"uris":["http://zotero.org/users/local/05JQq5lJ/items/HAD8V55E"],"itemData":{"id":2988,"type":"article-journal","abstract":"With the transition from a linear to a more circular economic model, tools are required to monitor the effect of adopted changes, and to assist in further decision-making along time. Within this context, circularity micro-indicators have been proposed by many authors as a fairly simple tool to measure progress towards a more circular economy, at the product or company level. However, these circularity micro-indicators do not follow a standard, vary widely in complexity and approach, and some of them are extremely narrow focused on only a few aspects of the entire product life cycle, hampering their practical adoption by companies. Based on existing literature on categorization and assessment of micro-level indicators, we have further explored a large number of indicators, identifying common features, and highlighting particularly relevant correlations between indicators as we cross-reference different classification schemes. We further assessed their characteristics to assist companies in selecting which micro-indicators to adopt in different stages of their product development processes. Results show an unbalance towards indicators focused on environmental and economic dimensions compared to the social dimension, with indicators that incorporate multiple dimensions associated only to end-of-life management and remanufacturing. We conclude also that most indicators that tackle more than a single dimension of sustainability require collecting external data, and that the measure of circularity for a significant number of them is dependent on external conditions (market and legislation) that go beyond the decisions and strategy of the company. This study will further help in the understanding of the practical application of the micro-indicators as well as their adoption by industry, which will promote the transition to a more circular economy.","container-title":"Sustainable Production and Consumption","DOI":"10.1016/j.spc.2023.06.002","ISSN":"2352-5509","journalAbbreviation":"Sustainable Production and Consumption","page":"521-533","source":"ScienceDirect","title":"Comparative analysis of micro level indicators for evaluating the progress towards a circular economy","volume":"39","author":[{"family":"Matos","given":"Joana"},{"family":"Martins","given":"Carla"},{"family":"Simões","given":"Carla L."},{"family":"Simoes","given":"Ricardo"}],"issued":{"date-parts":[["2023",7,1]]}}},{"id":2997,"uris":["http://zotero.org/users/local/05JQq5lJ/items/C9IPT945"],"itemData":{"id":2997,"type":"article-journal","abstract":"The increasing amount of plastics in new vehicles, and the consequent growth of plastics in the automotive shredder residue, makes it imperative and urgent to improve reuse and/or recovery of plastics at the vehicle's end-of-life. Circularity micro-indicators can identify improvement guidelines and monitor the transition to a more circular economic model; however, the complexity, variety of scope and approach, and scarcity of information on most of the circularity micro-indicators hamper their practical adoption by companies. In this paper, we identify relevant micro-indicators for the automotive sector, focusing on key aspects for automotive plastic parts. Further, to showcase the application of these micro-indicators in a real industrial context, a case-study plastic automotive component was identified in collaboration with a tier II supplier and five complementary circularity micro-indicators were evaluated. We found 23 circularity micro-indicators (at the product level) that are highly relevant for automotive parts and we discuss individually how each can provide useful information. Results indicate an enormous improvement opportunity to improve circularity of plastic automotive parts, namely in the use of more sustainable material sources (recycled, bio-based, or compostable materials) and promotion of end-of-life recovery approaches (reuse or refurbish, and take-back systems). We concluded that practices adopted by industry to optimize production, in terms of design for manufacturing and design for assembly, as well as in the composition of plastic automotive parts, namely integral design, multi-material parts, or welding components made from different materials, severely limit the implementation of circular economy approaches, a situation that needs to be reverted by legislators and companies.","container-title":"Sustainable Production and Consumption","DOI":"10.1016/j.spc.2023.11.009","ISSN":"2352-5509","journalAbbreviation":"Sustainable Production and Consumption","page":"155-167","source":"ScienceDirect","title":"Practical application of circularity micro-indicators to automotive plastic parts in an industrial context","volume":"43","author":[{"family":"Matos","given":"Joana"},{"family":"Santos","given":"Sara"},{"family":"Simões","given":"Carla L."},{"family":"Martins","given":"Carla I."},{"family":"Simoes","given":"Ricardo"}],"issued":{"date-parts":[["2023",12,1]]}}},{"id":2995,"uris":["http://zotero.org/users/local/05JQq5lJ/items/A84T79VD"],"itemData":{"id":2995,"type":"article-journal","abstract":"Monitoring properly the circularity performance of technical products is a point of increasing importance. Yet, evaluating the circularity potential of products during (re)design and development phases is a challenging task. In this study, several C-indicators are experienced by doctoral students and industrialists through two workshops on a real-world industrial product. The values obtained for each indicator are collected and analyzed: as all participant are working on the same technical product with the same dataset, the circularity scores calculated are compared to discuss the reliability and the uncertainty related to these indicators. These new empirical insights are put in parallel with the existing critical analyses of C-indicators from literature. As a result, future research directions on circularity indicators are advanced and discussed, including: the integration of uncertainty considerations into the assessment methodology of circularity indicators; the uptake by industry of such indicators during product design and development; the link between circularity and sustainability scores.","container-title":"Proceedings of the Design Society: International Conference on Engineering Design","DOI":"10.1017/dsi.2019.347","ISSN":"2220-4342","issue":"1","language":"en","page":"3401-3410","source":"Cambridge University Press","title":"Testing the Robustness of Circularity Indicators: Empirical Insights from Workshops on an Industrial Product","title-short":"Testing the Robustness of Circularity Indicators","volume":"1","author":[{"family":"Saidani","given":"Michael"},{"family":"Cluzel","given":"François"},{"family":"Leroy","given":"Yann"},{"family":"Yannou","given":"Bernard"}],"issued":{"date-parts":[["2019",7]]}}}],"schema":"https://github.com/citation-style-language/schema/raw/master/csl-citation.json"} </w:instrText>
            </w:r>
            <w:r w:rsidRPr="001E1D5F">
              <w:rPr>
                <w:rFonts w:cstheme="minorHAnsi"/>
                <w:color w:val="000000"/>
                <w:sz w:val="21"/>
                <w:szCs w:val="21"/>
                <w:lang w:eastAsia="en-GB"/>
              </w:rPr>
              <w:fldChar w:fldCharType="separate"/>
            </w:r>
            <w:r w:rsidR="00C41CDD" w:rsidRPr="00C41CDD">
              <w:rPr>
                <w:rFonts w:ascii="Calibri" w:hAnsi="Calibri" w:cs="Calibri"/>
                <w:sz w:val="21"/>
              </w:rPr>
              <w:t>[7,17,18,24,50]</w:t>
            </w:r>
            <w:r w:rsidRPr="001E1D5F">
              <w:rPr>
                <w:rFonts w:cstheme="minorHAnsi"/>
                <w:color w:val="000000"/>
                <w:sz w:val="21"/>
                <w:szCs w:val="21"/>
                <w:lang w:eastAsia="en-GB"/>
              </w:rPr>
              <w:fldChar w:fldCharType="end"/>
            </w:r>
          </w:p>
        </w:tc>
      </w:tr>
    </w:tbl>
    <w:p w14:paraId="29EBF835" w14:textId="77777777" w:rsidR="001E1D5F" w:rsidRPr="001E1D5F" w:rsidRDefault="001E1D5F" w:rsidP="001E1D5F">
      <w:pPr>
        <w:spacing w:after="0"/>
        <w:rPr>
          <w:b/>
          <w:bCs/>
          <w:sz w:val="21"/>
          <w:szCs w:val="21"/>
        </w:rPr>
      </w:pPr>
    </w:p>
    <w:p w14:paraId="5C9DC8DE" w14:textId="77777777" w:rsidR="001E1D5F" w:rsidRPr="001E1D5F" w:rsidRDefault="001E1D5F" w:rsidP="001E1D5F">
      <w:pPr>
        <w:spacing w:after="0"/>
        <w:rPr>
          <w:sz w:val="21"/>
          <w:szCs w:val="21"/>
        </w:rPr>
      </w:pPr>
      <w:r w:rsidRPr="001E1D5F">
        <w:rPr>
          <w:b/>
          <w:bCs/>
          <w:sz w:val="21"/>
          <w:szCs w:val="21"/>
        </w:rPr>
        <w:t xml:space="preserve">Table A2: </w:t>
      </w:r>
      <w:r w:rsidRPr="001E1D5F">
        <w:rPr>
          <w:sz w:val="21"/>
          <w:szCs w:val="21"/>
        </w:rPr>
        <w:t>Categorization of Environmental Sustainability Indicators: Types and Definitions</w:t>
      </w:r>
    </w:p>
    <w:p w14:paraId="2C2FCEA8" w14:textId="77777777" w:rsidR="001E1D5F" w:rsidRPr="001E1D5F" w:rsidRDefault="001E1D5F" w:rsidP="001E1D5F">
      <w:pPr>
        <w:spacing w:after="0"/>
        <w:rPr>
          <w:sz w:val="21"/>
          <w:szCs w:val="21"/>
        </w:rPr>
      </w:pPr>
    </w:p>
    <w:tbl>
      <w:tblPr>
        <w:tblStyle w:val="ae"/>
        <w:tblW w:w="16165" w:type="dxa"/>
        <w:jc w:val="center"/>
        <w:tblLayout w:type="fixed"/>
        <w:tblLook w:val="04A0" w:firstRow="1" w:lastRow="0" w:firstColumn="1" w:lastColumn="0" w:noHBand="0" w:noVBand="1"/>
      </w:tblPr>
      <w:tblGrid>
        <w:gridCol w:w="1985"/>
        <w:gridCol w:w="1560"/>
        <w:gridCol w:w="5528"/>
        <w:gridCol w:w="1559"/>
        <w:gridCol w:w="3915"/>
        <w:gridCol w:w="1618"/>
      </w:tblGrid>
      <w:tr w:rsidR="001E1D5F" w:rsidRPr="001E1D5F" w14:paraId="7148A946" w14:textId="77777777" w:rsidTr="00040455">
        <w:trPr>
          <w:trHeight w:val="927"/>
          <w:jc w:val="center"/>
        </w:trPr>
        <w:tc>
          <w:tcPr>
            <w:tcW w:w="1985" w:type="dxa"/>
            <w:vAlign w:val="center"/>
          </w:tcPr>
          <w:p w14:paraId="4117CCFC" w14:textId="77777777" w:rsidR="001E1D5F" w:rsidRPr="001E1D5F" w:rsidRDefault="001E1D5F" w:rsidP="001E1D5F">
            <w:pPr>
              <w:spacing w:before="60"/>
              <w:jc w:val="center"/>
              <w:rPr>
                <w:sz w:val="21"/>
                <w:szCs w:val="21"/>
              </w:rPr>
            </w:pPr>
            <w:r w:rsidRPr="001E1D5F">
              <w:rPr>
                <w:rFonts w:cs="Calibri"/>
                <w:b/>
                <w:bCs/>
                <w:color w:val="000000"/>
                <w:sz w:val="21"/>
                <w:szCs w:val="21"/>
                <w:lang w:eastAsia="en-GB"/>
              </w:rPr>
              <w:t xml:space="preserve">Environmental Sustainability Indicator </w:t>
            </w:r>
          </w:p>
        </w:tc>
        <w:tc>
          <w:tcPr>
            <w:tcW w:w="1560" w:type="dxa"/>
            <w:vAlign w:val="center"/>
          </w:tcPr>
          <w:p w14:paraId="491FC41A" w14:textId="77777777" w:rsidR="001E1D5F" w:rsidRPr="001E1D5F" w:rsidRDefault="001E1D5F" w:rsidP="001E1D5F">
            <w:pPr>
              <w:spacing w:before="60"/>
              <w:jc w:val="center"/>
              <w:rPr>
                <w:sz w:val="21"/>
                <w:szCs w:val="21"/>
              </w:rPr>
            </w:pPr>
            <w:r w:rsidRPr="001E1D5F">
              <w:rPr>
                <w:rFonts w:cs="Calibri"/>
                <w:b/>
                <w:bCs/>
                <w:color w:val="000000"/>
                <w:sz w:val="21"/>
                <w:szCs w:val="21"/>
                <w:lang w:eastAsia="en-GB"/>
              </w:rPr>
              <w:t>Indicator Type</w:t>
            </w:r>
          </w:p>
        </w:tc>
        <w:tc>
          <w:tcPr>
            <w:tcW w:w="5528" w:type="dxa"/>
            <w:vAlign w:val="center"/>
          </w:tcPr>
          <w:p w14:paraId="62B2EA24"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 xml:space="preserve">Definition/ Description </w:t>
            </w:r>
          </w:p>
        </w:tc>
        <w:tc>
          <w:tcPr>
            <w:tcW w:w="1559" w:type="dxa"/>
            <w:vAlign w:val="center"/>
          </w:tcPr>
          <w:p w14:paraId="04CD58F9"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Measurement Unit</w:t>
            </w:r>
          </w:p>
        </w:tc>
        <w:tc>
          <w:tcPr>
            <w:tcW w:w="3915" w:type="dxa"/>
            <w:vAlign w:val="center"/>
          </w:tcPr>
          <w:p w14:paraId="54DAFF87"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Manufacturing Sector(s) from reference(s)</w:t>
            </w:r>
          </w:p>
        </w:tc>
        <w:tc>
          <w:tcPr>
            <w:tcW w:w="1618" w:type="dxa"/>
            <w:vAlign w:val="center"/>
          </w:tcPr>
          <w:p w14:paraId="7089CB49"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Reference(s)</w:t>
            </w:r>
          </w:p>
        </w:tc>
      </w:tr>
      <w:tr w:rsidR="001E1D5F" w:rsidRPr="001E1D5F" w14:paraId="1E04677B" w14:textId="77777777" w:rsidTr="00040455">
        <w:tblPrEx>
          <w:jc w:val="left"/>
        </w:tblPrEx>
        <w:trPr>
          <w:trHeight w:val="300"/>
        </w:trPr>
        <w:tc>
          <w:tcPr>
            <w:tcW w:w="16165" w:type="dxa"/>
            <w:gridSpan w:val="6"/>
            <w:shd w:val="clear" w:color="auto" w:fill="E7E6E6" w:themeFill="background2"/>
            <w:noWrap/>
            <w:vAlign w:val="center"/>
          </w:tcPr>
          <w:p w14:paraId="0B92E914" w14:textId="77777777" w:rsidR="001E1D5F" w:rsidRPr="001E1D5F" w:rsidRDefault="001E1D5F" w:rsidP="001E1D5F">
            <w:pPr>
              <w:spacing w:before="60"/>
              <w:rPr>
                <w:rFonts w:cs="Calibri"/>
                <w:color w:val="000000"/>
                <w:sz w:val="21"/>
                <w:szCs w:val="21"/>
                <w:lang w:eastAsia="en-GB"/>
              </w:rPr>
            </w:pPr>
            <w:r w:rsidRPr="001E1D5F">
              <w:rPr>
                <w:rFonts w:cs="Calibri"/>
                <w:b/>
                <w:bCs/>
                <w:color w:val="000000"/>
                <w:sz w:val="21"/>
                <w:szCs w:val="21"/>
                <w:lang w:eastAsia="en-GB"/>
              </w:rPr>
              <w:t>Indicator Group E0: Air Pollutant Emissions</w:t>
            </w:r>
          </w:p>
        </w:tc>
      </w:tr>
      <w:tr w:rsidR="001E1D5F" w:rsidRPr="001E1D5F" w14:paraId="073ADBD9" w14:textId="77777777" w:rsidTr="00040455">
        <w:tblPrEx>
          <w:jc w:val="left"/>
        </w:tblPrEx>
        <w:trPr>
          <w:trHeight w:val="300"/>
        </w:trPr>
        <w:tc>
          <w:tcPr>
            <w:tcW w:w="1985" w:type="dxa"/>
            <w:noWrap/>
            <w:vAlign w:val="center"/>
          </w:tcPr>
          <w:p w14:paraId="2A028A8A"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NOx Emissions</w:t>
            </w:r>
          </w:p>
        </w:tc>
        <w:tc>
          <w:tcPr>
            <w:tcW w:w="1560" w:type="dxa"/>
            <w:noWrap/>
            <w:vAlign w:val="center"/>
          </w:tcPr>
          <w:p w14:paraId="3E89941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F032CE4" w14:textId="77777777" w:rsidR="001E1D5F" w:rsidRPr="001E1D5F" w:rsidRDefault="001E1D5F" w:rsidP="001E1D5F">
            <w:pPr>
              <w:jc w:val="center"/>
              <w:rPr>
                <w:sz w:val="21"/>
                <w:szCs w:val="21"/>
                <w:lang w:eastAsia="en-GB"/>
              </w:rPr>
            </w:pPr>
            <w:r w:rsidRPr="001E1D5F">
              <w:rPr>
                <w:rFonts w:cs="Calibri"/>
                <w:b/>
                <w:bCs/>
                <w:color w:val="000000"/>
                <w:sz w:val="21"/>
                <w:szCs w:val="21"/>
                <w:lang w:eastAsia="en-GB"/>
              </w:rPr>
              <w:t>NOx Emissions</w:t>
            </w:r>
            <w:r w:rsidRPr="001E1D5F">
              <w:rPr>
                <w:rFonts w:cs="Calibri"/>
                <w:color w:val="000000"/>
                <w:sz w:val="21"/>
                <w:szCs w:val="21"/>
                <w:lang w:eastAsia="en-GB"/>
              </w:rPr>
              <w:t xml:space="preserve"> = </w:t>
            </w:r>
            <w:proofErr w:type="spellStart"/>
            <w:r w:rsidRPr="001E1D5F">
              <w:rPr>
                <w:rFonts w:cs="Calibri"/>
                <w:color w:val="000000"/>
                <w:sz w:val="21"/>
                <w:szCs w:val="21"/>
                <w:lang w:eastAsia="en-GB"/>
              </w:rPr>
              <w:t>Efuel</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EFNOx</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 xml:space="preserve">, where: </w:t>
            </w:r>
            <w:proofErr w:type="spellStart"/>
            <w:r w:rsidRPr="001E1D5F">
              <w:rPr>
                <w:rFonts w:cs="Calibri"/>
                <w:b/>
                <w:bCs/>
                <w:color w:val="000000"/>
                <w:sz w:val="21"/>
                <w:szCs w:val="21"/>
                <w:lang w:eastAsia="en-GB"/>
              </w:rPr>
              <w:t>Efuel</w:t>
            </w:r>
            <w:proofErr w:type="spellEnd"/>
            <w:r w:rsidRPr="001E1D5F">
              <w:rPr>
                <w:rFonts w:ascii="Arial" w:hAnsi="Arial" w:cs="Arial"/>
                <w:b/>
                <w:bCs/>
                <w:color w:val="000000"/>
                <w:sz w:val="21"/>
                <w:szCs w:val="21"/>
                <w:lang w:eastAsia="en-GB"/>
              </w:rPr>
              <w:t>​</w:t>
            </w:r>
            <w:r w:rsidRPr="001E1D5F">
              <w:rPr>
                <w:rFonts w:cs="Calibri"/>
                <w:color w:val="000000"/>
                <w:sz w:val="21"/>
                <w:szCs w:val="21"/>
                <w:lang w:eastAsia="en-GB"/>
              </w:rPr>
              <w:t xml:space="preserve"> is the total fuel consumption (e.g., in metric tons) over a given period or operational cycle, </w:t>
            </w:r>
            <w:proofErr w:type="spellStart"/>
            <w:r w:rsidRPr="001E1D5F">
              <w:rPr>
                <w:rFonts w:cs="Calibri"/>
                <w:b/>
                <w:bCs/>
                <w:color w:val="000000"/>
                <w:sz w:val="21"/>
                <w:szCs w:val="21"/>
                <w:lang w:eastAsia="en-GB"/>
              </w:rPr>
              <w:t>EFNOx</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 xml:space="preserve"> is the NOx emission factor specific to the type of fuel used.</w:t>
            </w:r>
          </w:p>
        </w:tc>
        <w:tc>
          <w:tcPr>
            <w:tcW w:w="1559" w:type="dxa"/>
            <w:vAlign w:val="center"/>
          </w:tcPr>
          <w:p w14:paraId="77DE0E4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g/kWh</w:t>
            </w:r>
          </w:p>
        </w:tc>
        <w:tc>
          <w:tcPr>
            <w:tcW w:w="3915" w:type="dxa"/>
            <w:vAlign w:val="center"/>
          </w:tcPr>
          <w:p w14:paraId="1CD79A4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Maritime</w:t>
            </w:r>
          </w:p>
        </w:tc>
        <w:tc>
          <w:tcPr>
            <w:tcW w:w="1618" w:type="dxa"/>
            <w:vAlign w:val="center"/>
          </w:tcPr>
          <w:p w14:paraId="16459A3D" w14:textId="5DB79042"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{"citationID":"3OcMqix7","properties":{"formattedCitation":"[51]","plainCitation":"[51]","noteIndex":0},"citationItems":[{"id":3109,"uris":["http://zotero.org/users/local/05JQq5lJ/items/NHH5B8XG"],"itemData":{"id":3109,"type":"article-journal","source":"Google Scholar","title":"LCA/LCC","URL":"https://www.scitepress.org/Papers/2020/88954/88954.pdf","author":[{"family":"Smirlis","given":"Yiannis"},{"family":"Bonazountas","given":"Marc"}],"accessed":{"date-parts":[["2024",10,25]]},"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[51]</w:t>
            </w:r>
            <w:r w:rsidRPr="001E1D5F">
              <w:rPr>
                <w:rFonts w:cs="Calibri"/>
                <w:color w:val="000000"/>
                <w:sz w:val="21"/>
                <w:szCs w:val="21"/>
                <w:lang w:eastAsia="en-GB"/>
              </w:rPr>
              <w:fldChar w:fldCharType="end"/>
            </w:r>
          </w:p>
        </w:tc>
      </w:tr>
      <w:tr w:rsidR="001E1D5F" w:rsidRPr="001E1D5F" w14:paraId="425D2917" w14:textId="77777777" w:rsidTr="00040455">
        <w:tblPrEx>
          <w:jc w:val="left"/>
        </w:tblPrEx>
        <w:trPr>
          <w:trHeight w:val="300"/>
        </w:trPr>
        <w:tc>
          <w:tcPr>
            <w:tcW w:w="1985" w:type="dxa"/>
            <w:noWrap/>
            <w:vAlign w:val="center"/>
          </w:tcPr>
          <w:p w14:paraId="7810C475" w14:textId="77777777" w:rsidR="001E1D5F" w:rsidRPr="001E1D5F" w:rsidRDefault="001E1D5F" w:rsidP="001E1D5F">
            <w:pPr>
              <w:jc w:val="center"/>
              <w:rPr>
                <w:rFonts w:cs="Calibri"/>
                <w:b/>
                <w:bCs/>
                <w:color w:val="000000"/>
                <w:sz w:val="21"/>
                <w:szCs w:val="21"/>
                <w:lang w:eastAsia="en-GB"/>
              </w:rPr>
            </w:pPr>
            <w:r w:rsidRPr="001E1D5F">
              <w:rPr>
                <w:rFonts w:cs="Calibri"/>
                <w:color w:val="000000"/>
                <w:sz w:val="21"/>
                <w:szCs w:val="21"/>
                <w:lang w:eastAsia="en-GB"/>
              </w:rPr>
              <w:t>Particulate Matter (PM) Concentration</w:t>
            </w:r>
          </w:p>
        </w:tc>
        <w:tc>
          <w:tcPr>
            <w:tcW w:w="1560" w:type="dxa"/>
            <w:noWrap/>
            <w:vAlign w:val="center"/>
          </w:tcPr>
          <w:p w14:paraId="364DB849"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Quantitative</w:t>
            </w:r>
          </w:p>
        </w:tc>
        <w:tc>
          <w:tcPr>
            <w:tcW w:w="5528" w:type="dxa"/>
            <w:vAlign w:val="center"/>
          </w:tcPr>
          <w:p w14:paraId="5EA3A50E"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PM Concentration =</w:t>
            </w:r>
            <w:r w:rsidRPr="001E1D5F">
              <w:rPr>
                <w:rFonts w:cs="Calibri"/>
                <w:color w:val="000000"/>
                <w:sz w:val="21"/>
                <w:szCs w:val="21"/>
                <w:lang w:eastAsia="en-GB"/>
              </w:rPr>
              <w:t xml:space="preserve"> Mass of Collected Particles/Volume of Air Sampled</w:t>
            </w:r>
          </w:p>
        </w:tc>
        <w:tc>
          <w:tcPr>
            <w:tcW w:w="1559" w:type="dxa"/>
            <w:vAlign w:val="center"/>
          </w:tcPr>
          <w:p w14:paraId="46FFF070"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val="el-GR" w:eastAsia="en-GB"/>
              </w:rPr>
              <w:t>μ</w:t>
            </w:r>
            <w:r w:rsidRPr="001E1D5F">
              <w:rPr>
                <w:rFonts w:cs="Calibri"/>
                <w:color w:val="000000"/>
                <w:sz w:val="21"/>
                <w:szCs w:val="21"/>
                <w:lang w:eastAsia="en-GB"/>
              </w:rPr>
              <w:t>g</w:t>
            </w:r>
            <w:r w:rsidRPr="001E1D5F">
              <w:rPr>
                <w:rFonts w:cs="Calibri"/>
                <w:b/>
                <w:bCs/>
                <w:color w:val="000000"/>
                <w:sz w:val="21"/>
                <w:szCs w:val="21"/>
                <w:lang w:eastAsia="en-GB"/>
              </w:rPr>
              <w:t>/</w:t>
            </w:r>
            <m:oMath>
              <m:sSup>
                <m:sSupPr>
                  <m:ctrlPr>
                    <w:rPr>
                      <w:rFonts w:ascii="Cambria Math" w:hAnsi="Cambria Math" w:cs="Calibri"/>
                      <w:bCs/>
                      <w:color w:val="000000"/>
                      <w:sz w:val="21"/>
                      <w:szCs w:val="21"/>
                      <w:lang w:eastAsia="en-GB"/>
                    </w:rPr>
                  </m:ctrlPr>
                </m:sSupPr>
                <m:e>
                  <m:r>
                    <w:rPr>
                      <w:rFonts w:ascii="Cambria Math" w:hAnsi="Cambria Math" w:cs="Calibri"/>
                      <w:color w:val="000000"/>
                      <w:sz w:val="21"/>
                      <w:szCs w:val="21"/>
                      <w:lang w:eastAsia="en-GB"/>
                    </w:rPr>
                    <m:t>m</m:t>
                  </m:r>
                </m:e>
                <m:sup>
                  <m:r>
                    <w:rPr>
                      <w:rFonts w:ascii="Cambria Math" w:hAnsi="Cambria Math" w:cs="Calibri"/>
                      <w:color w:val="000000"/>
                      <w:sz w:val="21"/>
                      <w:szCs w:val="21"/>
                      <w:lang w:eastAsia="en-GB"/>
                    </w:rPr>
                    <m:t>3</m:t>
                  </m:r>
                </m:sup>
              </m:sSup>
            </m:oMath>
          </w:p>
        </w:tc>
        <w:tc>
          <w:tcPr>
            <w:tcW w:w="3915" w:type="dxa"/>
            <w:vAlign w:val="center"/>
          </w:tcPr>
          <w:p w14:paraId="63B7D72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Electrical Equipment &amp; Components, Food Packaging </w:t>
            </w:r>
          </w:p>
        </w:tc>
        <w:tc>
          <w:tcPr>
            <w:tcW w:w="1618" w:type="dxa"/>
            <w:vAlign w:val="center"/>
          </w:tcPr>
          <w:p w14:paraId="1EC68EB3" w14:textId="4593D152"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fldChar w:fldCharType="begin"/>
            </w:r>
            <w:r w:rsidR="00C41CDD">
              <w:rPr>
                <w:rFonts w:cs="Calibri"/>
                <w:b/>
                <w:bCs/>
                <w:color w:val="000000"/>
                <w:sz w:val="21"/>
                <w:szCs w:val="21"/>
                <w:lang w:eastAsia="en-GB"/>
              </w:rPr>
              <w:instrText xml:space="preserve"> ADDIN ZOTERO_ITEM CSL_CITATION {"citationID":"fVext3Ru","properties":{"formattedCitation":"[52,53]","plainCitation":"[52,53]","noteIndex":0},"citationItems":[{"id":3146,"uris":["http://zotero.org/users/local/05JQq5lJ/items/9BATZU2T"],"itemData":{"id":3146,"type":"article-journal","abstract":"Sodium-ion batteries are considered promising alternatives to lithium-ion technology; however, the diffusion on a commercial scale is hindered by the struggle to identify materials with high electrochemical performances. Studies available in the literature are mainly focused on electrochemical performance and neglect aspects related to the environmental sustainability. In fact, the current state-of-the-art (presented in this study) shows that life cycle assessment (LCA) studies related to the production processes of electrode materials for Na-ion batteries are still very limited. The LCA methodology applied during the development of a technology phase can constitute a valid support for an eco-oriented design and, therefore, to the choice of solutions characterized by a lower environmental impact with the same electrochemical performance. In this context, a life cycle-based environmental–economic assessment was performed to evaluate the environmental impacts of the production process of cathode and anode materials for sodium-ion batteries. The study is focused on the cathodic active material Na0.66MnO2, considering two synthesis paths, and the anodic material consisting of tin (Sn) and Sn-carbon nanofiber (Sn-Cn) active material, binder, and other additives. Results illustrate the environmental performance of the different materials and constitute a useful input for their selection within an eco-design view.","container-title":"Energies","DOI":"10.3390/en16176220","ISSN":"1996-1073","issue":"17","language":"en","license":"http://creativecommons.org/licenses/by/3.0/","note":"number: 17\npublisher: Multidisciplinary Digital Publishing Institute","page":"6220","source":"www.mdpi.com","title":"LCA and C-LCC Indicator as Tools for Sodium-Ion Batteries’ Eco-Design","volume":"16","author":[{"family":"Carvalho","given":"Maria Leonor"},{"family":"Cusenza","given":"Maria Anna"},{"family":"Mela","given":"Giulio"},{"family":"Temporelli","given":"Andrea"},{"family":"Quinzeni","given":"Irene"},{"family":"Girardi","given":"Pierpaolo"}],"issued":{"date-parts":[["2023",1]]}}},{"id":3107,"uris":["http://zotero.org/users/local/05JQq5lJ/items/9NMSG525"],"itemData":{"id":3107,"type":"article-journal","abstract":"This study discusses the significance of the use of non-renewable fossil cumulative energy demand (CED) as proxy indicator in the beverage packaging sector, in order to detect those situations in which companies can benefit from the use of proxy indicators before a full life cycle assessment (LCA) application. Starting from a case study of two milk containers, the objectives of this paper are to assess if the use of this inventory indicator can be a suitable proxy indicator both (1) to decide which is the packaging alternative with the lowest environmental impact and (2) to identify the most impacting process units of the two products under study.","container-title":"The International Journal of Life Cycle Assessment","DOI":"10.1007/s11367-012-0484-x","ISSN":"1614-7502","issue":"3","journalAbbreviation":"Int J Life Cycle Assess","language":"en","page":"673-682","source":"Springer Link","title":"Significance of the use of non-renewable fossil CED as proxy indicator for screening LCA in the beverage packaging sector","volume":"18","author":[{"family":"Scipioni","given":"Antonio"},{"family":"Niero","given":"Monia"},{"family":"Mazzi","given":"Anna"},{"family":"Manzardo","given":"Alessandro"},{"family":"Piubello","given":"Sara"}],"issued":{"date-parts":[["2013",3,1]]}}}],"schema":"https://github.com/citation-style-language/schema/raw/master/csl-citation.json"} </w:instrText>
            </w:r>
            <w:r w:rsidRPr="001E1D5F">
              <w:rPr>
                <w:rFonts w:cs="Calibri"/>
                <w:b/>
                <w:bCs/>
                <w:color w:val="000000"/>
                <w:sz w:val="21"/>
                <w:szCs w:val="21"/>
                <w:lang w:eastAsia="en-GB"/>
              </w:rPr>
              <w:fldChar w:fldCharType="separate"/>
            </w:r>
            <w:r w:rsidR="00C41CDD" w:rsidRPr="00C41CDD">
              <w:rPr>
                <w:rFonts w:ascii="Calibri" w:hAnsi="Calibri" w:cs="Calibri"/>
                <w:sz w:val="21"/>
              </w:rPr>
              <w:t>[52,53]</w:t>
            </w:r>
            <w:r w:rsidRPr="001E1D5F">
              <w:rPr>
                <w:rFonts w:cs="Calibri"/>
                <w:b/>
                <w:bCs/>
                <w:color w:val="000000"/>
                <w:sz w:val="21"/>
                <w:szCs w:val="21"/>
                <w:lang w:eastAsia="en-GB"/>
              </w:rPr>
              <w:fldChar w:fldCharType="end"/>
            </w:r>
          </w:p>
        </w:tc>
      </w:tr>
      <w:tr w:rsidR="001E1D5F" w:rsidRPr="001E1D5F" w14:paraId="3328CE12" w14:textId="77777777" w:rsidTr="00040455">
        <w:tblPrEx>
          <w:jc w:val="left"/>
        </w:tblPrEx>
        <w:trPr>
          <w:trHeight w:val="300"/>
        </w:trPr>
        <w:tc>
          <w:tcPr>
            <w:tcW w:w="1985" w:type="dxa"/>
            <w:noWrap/>
            <w:vAlign w:val="center"/>
          </w:tcPr>
          <w:p w14:paraId="0AFE3CD0" w14:textId="77777777" w:rsidR="001E1D5F" w:rsidRPr="001E1D5F" w:rsidRDefault="001E1D5F" w:rsidP="001E1D5F">
            <w:pPr>
              <w:ind w:left="220"/>
              <w:jc w:val="center"/>
              <w:rPr>
                <w:rFonts w:cs="Calibri"/>
                <w:color w:val="000000"/>
                <w:sz w:val="21"/>
                <w:szCs w:val="21"/>
                <w:lang w:eastAsia="en-GB"/>
              </w:rPr>
            </w:pPr>
            <w:proofErr w:type="spellStart"/>
            <w:r w:rsidRPr="001E1D5F">
              <w:rPr>
                <w:rFonts w:cs="Calibri"/>
                <w:color w:val="000000"/>
                <w:sz w:val="21"/>
                <w:szCs w:val="21"/>
                <w:lang w:eastAsia="en-GB"/>
              </w:rPr>
              <w:t>SOx</w:t>
            </w:r>
            <w:proofErr w:type="spellEnd"/>
            <w:r w:rsidRPr="001E1D5F">
              <w:rPr>
                <w:rFonts w:cs="Calibri"/>
                <w:color w:val="000000"/>
                <w:sz w:val="21"/>
                <w:szCs w:val="21"/>
                <w:lang w:eastAsia="en-GB"/>
              </w:rPr>
              <w:t xml:space="preserve"> Emissions</w:t>
            </w:r>
          </w:p>
        </w:tc>
        <w:tc>
          <w:tcPr>
            <w:tcW w:w="1560" w:type="dxa"/>
            <w:noWrap/>
            <w:vAlign w:val="center"/>
          </w:tcPr>
          <w:p w14:paraId="566FA8C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14AB3430"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SOx Emissions</w:t>
            </w:r>
            <w:r w:rsidRPr="001E1D5F">
              <w:rPr>
                <w:rFonts w:cs="Calibri"/>
                <w:color w:val="000000"/>
                <w:sz w:val="21"/>
                <w:szCs w:val="21"/>
                <w:lang w:eastAsia="en-GB"/>
              </w:rPr>
              <w:t xml:space="preserve">=Fuel Consumption×Sulfur Content in Fuel×Emission Factor, </w:t>
            </w:r>
            <w:r w:rsidRPr="001E1D5F">
              <w:rPr>
                <w:rFonts w:cs="Calibri"/>
                <w:color w:val="000000"/>
                <w:sz w:val="21"/>
                <w:szCs w:val="21"/>
              </w:rPr>
              <w:t xml:space="preserve">where: </w:t>
            </w:r>
            <w:r w:rsidRPr="001E1D5F">
              <w:rPr>
                <w:rFonts w:cs="Calibri"/>
                <w:b/>
                <w:bCs/>
                <w:color w:val="000000"/>
                <w:sz w:val="21"/>
                <w:szCs w:val="21"/>
                <w:lang w:eastAsia="en-GB"/>
              </w:rPr>
              <w:t>Fuel Consumption</w:t>
            </w:r>
            <w:r w:rsidRPr="001E1D5F">
              <w:rPr>
                <w:rFonts w:cs="Calibri"/>
                <w:color w:val="000000"/>
                <w:sz w:val="21"/>
                <w:szCs w:val="21"/>
                <w:lang w:eastAsia="en-GB"/>
              </w:rPr>
              <w:t xml:space="preserve"> is measured in tons of fuel burned over a specific period or distance, </w:t>
            </w:r>
            <w:proofErr w:type="spellStart"/>
            <w:r w:rsidRPr="001E1D5F">
              <w:rPr>
                <w:rFonts w:cs="Calibri"/>
                <w:b/>
                <w:bCs/>
                <w:color w:val="000000"/>
                <w:sz w:val="21"/>
                <w:szCs w:val="21"/>
                <w:lang w:eastAsia="en-GB"/>
              </w:rPr>
              <w:t>Sulfur</w:t>
            </w:r>
            <w:proofErr w:type="spellEnd"/>
            <w:r w:rsidRPr="001E1D5F">
              <w:rPr>
                <w:rFonts w:cs="Calibri"/>
                <w:b/>
                <w:bCs/>
                <w:color w:val="000000"/>
                <w:sz w:val="21"/>
                <w:szCs w:val="21"/>
                <w:lang w:eastAsia="en-GB"/>
              </w:rPr>
              <w:t xml:space="preserve"> Content in Fuel</w:t>
            </w:r>
            <w:r w:rsidRPr="001E1D5F">
              <w:rPr>
                <w:rFonts w:cs="Calibri"/>
                <w:color w:val="000000"/>
                <w:sz w:val="21"/>
                <w:szCs w:val="21"/>
                <w:lang w:eastAsia="en-GB"/>
              </w:rPr>
              <w:t xml:space="preserve"> is a percentage representing the </w:t>
            </w:r>
            <w:proofErr w:type="spellStart"/>
            <w:r w:rsidRPr="001E1D5F">
              <w:rPr>
                <w:rFonts w:cs="Calibri"/>
                <w:color w:val="000000"/>
                <w:sz w:val="21"/>
                <w:szCs w:val="21"/>
                <w:lang w:eastAsia="en-GB"/>
              </w:rPr>
              <w:t>sulfur</w:t>
            </w:r>
            <w:proofErr w:type="spellEnd"/>
            <w:r w:rsidRPr="001E1D5F">
              <w:rPr>
                <w:rFonts w:cs="Calibri"/>
                <w:color w:val="000000"/>
                <w:sz w:val="21"/>
                <w:szCs w:val="21"/>
                <w:lang w:eastAsia="en-GB"/>
              </w:rPr>
              <w:t xml:space="preserve"> concentration in the fuel, </w:t>
            </w:r>
            <w:r w:rsidRPr="001E1D5F">
              <w:rPr>
                <w:rFonts w:cs="Calibri"/>
                <w:b/>
                <w:bCs/>
                <w:color w:val="000000"/>
                <w:sz w:val="21"/>
                <w:szCs w:val="21"/>
                <w:lang w:eastAsia="en-GB"/>
              </w:rPr>
              <w:t>Emission Factor</w:t>
            </w:r>
            <w:r w:rsidRPr="001E1D5F">
              <w:rPr>
                <w:rFonts w:cs="Calibri"/>
                <w:color w:val="000000"/>
                <w:sz w:val="21"/>
                <w:szCs w:val="21"/>
                <w:lang w:eastAsia="en-GB"/>
              </w:rPr>
              <w:t xml:space="preserve"> (EF) is based on the chemical assumption that most </w:t>
            </w:r>
            <w:proofErr w:type="spellStart"/>
            <w:r w:rsidRPr="001E1D5F">
              <w:rPr>
                <w:rFonts w:cs="Calibri"/>
                <w:color w:val="000000"/>
                <w:sz w:val="21"/>
                <w:szCs w:val="21"/>
                <w:lang w:eastAsia="en-GB"/>
              </w:rPr>
              <w:t>sulfur</w:t>
            </w:r>
            <w:proofErr w:type="spellEnd"/>
            <w:r w:rsidRPr="001E1D5F">
              <w:rPr>
                <w:rFonts w:cs="Calibri"/>
                <w:color w:val="000000"/>
                <w:sz w:val="21"/>
                <w:szCs w:val="21"/>
                <w:lang w:eastAsia="en-GB"/>
              </w:rPr>
              <w:t xml:space="preserve"> in the fuel converts to </w:t>
            </w:r>
            <w:proofErr w:type="spellStart"/>
            <w:r w:rsidRPr="001E1D5F">
              <w:rPr>
                <w:rFonts w:cs="Calibri"/>
                <w:color w:val="000000"/>
                <w:sz w:val="21"/>
                <w:szCs w:val="21"/>
                <w:lang w:eastAsia="en-GB"/>
              </w:rPr>
              <w:t>SOx</w:t>
            </w:r>
            <w:proofErr w:type="spellEnd"/>
            <w:r w:rsidRPr="001E1D5F">
              <w:rPr>
                <w:rFonts w:cs="Calibri"/>
                <w:color w:val="000000"/>
                <w:sz w:val="21"/>
                <w:szCs w:val="21"/>
                <w:lang w:eastAsia="en-GB"/>
              </w:rPr>
              <w:t xml:space="preserve"> during combustion</w:t>
            </w:r>
          </w:p>
        </w:tc>
        <w:tc>
          <w:tcPr>
            <w:tcW w:w="1559" w:type="dxa"/>
            <w:vAlign w:val="center"/>
          </w:tcPr>
          <w:p w14:paraId="06FDD102" w14:textId="77777777" w:rsidR="001E1D5F" w:rsidRPr="001E1D5F" w:rsidRDefault="001E1D5F" w:rsidP="001E1D5F">
            <w:pPr>
              <w:jc w:val="center"/>
              <w:rPr>
                <w:rFonts w:cs="Calibri"/>
                <w:color w:val="000000"/>
                <w:sz w:val="21"/>
                <w:szCs w:val="21"/>
                <w:lang w:eastAsia="en-GB"/>
              </w:rPr>
            </w:pPr>
            <w:r w:rsidRPr="001E1D5F">
              <w:rPr>
                <w:rFonts w:cs="Calibri"/>
                <w:color w:val="000000"/>
                <w:sz w:val="21"/>
                <w:szCs w:val="21"/>
                <w:lang w:eastAsia="en-GB"/>
              </w:rPr>
              <w:t>Mass (</w:t>
            </w:r>
            <w:proofErr w:type="spellStart"/>
            <w:proofErr w:type="gramStart"/>
            <w:r w:rsidRPr="001E1D5F">
              <w:rPr>
                <w:rFonts w:cs="Calibri"/>
                <w:color w:val="000000"/>
                <w:sz w:val="21"/>
                <w:szCs w:val="21"/>
                <w:lang w:eastAsia="en-GB"/>
              </w:rPr>
              <w:t>g,t</w:t>
            </w:r>
            <w:proofErr w:type="spellEnd"/>
            <w:proofErr w:type="gramEnd"/>
            <w:r w:rsidRPr="001E1D5F">
              <w:rPr>
                <w:rFonts w:cs="Calibri"/>
                <w:color w:val="000000"/>
                <w:sz w:val="21"/>
                <w:szCs w:val="21"/>
                <w:lang w:eastAsia="en-GB"/>
              </w:rPr>
              <w:t>) or g/kWh or g/km</w:t>
            </w:r>
          </w:p>
        </w:tc>
        <w:tc>
          <w:tcPr>
            <w:tcW w:w="3915" w:type="dxa"/>
            <w:vAlign w:val="center"/>
          </w:tcPr>
          <w:p w14:paraId="5247FCB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Maritime</w:t>
            </w:r>
          </w:p>
        </w:tc>
        <w:tc>
          <w:tcPr>
            <w:tcW w:w="1618" w:type="dxa"/>
            <w:vAlign w:val="center"/>
          </w:tcPr>
          <w:p w14:paraId="2EB6BACB" w14:textId="6BE8F202"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{"citationID":"NOpjUMTw","properties":{"formattedCitation":"[51]","plainCitation":"[51]","noteIndex":0},"citationItems":[{"id":3109,"uris":["http://zotero.org/users/local/05JQq5lJ/items/NHH5B8XG"],"itemData":{"id":3109,"type":"article-journal","source":"Google Scholar","title":"LCA/LCC","URL":"https://www.scitepress.org/Papers/2020/88954/88954.pdf","author":[{"family":"Smirlis","given":"Yiannis"},{"family":"Bonazountas","given":"Marc"}],"accessed":{"date-parts":[["2024",10,25]]},"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[51]</w:t>
            </w:r>
            <w:r w:rsidRPr="001E1D5F">
              <w:rPr>
                <w:rFonts w:cs="Calibri"/>
                <w:color w:val="000000"/>
                <w:sz w:val="21"/>
                <w:szCs w:val="21"/>
                <w:lang w:eastAsia="en-GB"/>
              </w:rPr>
              <w:fldChar w:fldCharType="end"/>
            </w:r>
          </w:p>
        </w:tc>
      </w:tr>
      <w:tr w:rsidR="001E1D5F" w:rsidRPr="001E1D5F" w14:paraId="3A0B0789" w14:textId="77777777" w:rsidTr="00040455">
        <w:tblPrEx>
          <w:jc w:val="left"/>
        </w:tblPrEx>
        <w:trPr>
          <w:trHeight w:val="300"/>
        </w:trPr>
        <w:tc>
          <w:tcPr>
            <w:tcW w:w="16165" w:type="dxa"/>
            <w:gridSpan w:val="6"/>
            <w:shd w:val="clear" w:color="auto" w:fill="E7E6E6" w:themeFill="background2"/>
            <w:noWrap/>
            <w:vAlign w:val="center"/>
          </w:tcPr>
          <w:p w14:paraId="3F765797" w14:textId="77777777" w:rsidR="001E1D5F" w:rsidRPr="001E1D5F" w:rsidRDefault="001E1D5F" w:rsidP="001E1D5F">
            <w:pPr>
              <w:spacing w:before="60"/>
              <w:rPr>
                <w:rFonts w:cs="Calibri"/>
                <w:b/>
                <w:bCs/>
                <w:color w:val="000000"/>
                <w:sz w:val="21"/>
                <w:szCs w:val="21"/>
                <w:lang w:eastAsia="en-GB"/>
              </w:rPr>
            </w:pPr>
            <w:r w:rsidRPr="001E1D5F">
              <w:rPr>
                <w:rFonts w:cs="Calibri"/>
                <w:b/>
                <w:bCs/>
                <w:color w:val="000000"/>
                <w:sz w:val="21"/>
                <w:szCs w:val="21"/>
                <w:lang w:eastAsia="en-GB"/>
              </w:rPr>
              <w:t xml:space="preserve">Indicator Group E1: Atmospheric Impact </w:t>
            </w:r>
          </w:p>
        </w:tc>
      </w:tr>
      <w:tr w:rsidR="001E1D5F" w:rsidRPr="001E1D5F" w14:paraId="6C3691FC" w14:textId="77777777" w:rsidTr="00040455">
        <w:tblPrEx>
          <w:jc w:val="left"/>
        </w:tblPrEx>
        <w:trPr>
          <w:trHeight w:val="300"/>
        </w:trPr>
        <w:tc>
          <w:tcPr>
            <w:tcW w:w="1985" w:type="dxa"/>
            <w:noWrap/>
            <w:vAlign w:val="center"/>
          </w:tcPr>
          <w:p w14:paraId="542CD7C7"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lastRenderedPageBreak/>
              <w:t>Ozone Depletion Potential (ODP)</w:t>
            </w:r>
          </w:p>
        </w:tc>
        <w:tc>
          <w:tcPr>
            <w:tcW w:w="1560" w:type="dxa"/>
            <w:noWrap/>
            <w:vAlign w:val="center"/>
          </w:tcPr>
          <w:p w14:paraId="575ED24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tcPr>
          <w:p w14:paraId="6BB681C0"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ODP</w:t>
            </w:r>
            <w:r w:rsidRPr="001E1D5F">
              <w:rPr>
                <w:rFonts w:cs="Calibri"/>
                <w:color w:val="000000"/>
                <w:sz w:val="21"/>
                <w:szCs w:val="21"/>
                <w:lang w:eastAsia="en-GB"/>
              </w:rPr>
              <w:t xml:space="preserve"> = </w:t>
            </w:r>
            <w:proofErr w:type="gramStart"/>
            <w:r w:rsidRPr="001E1D5F">
              <w:rPr>
                <w:rFonts w:cs="Calibri"/>
                <w:color w:val="000000"/>
                <w:sz w:val="21"/>
                <w:szCs w:val="21"/>
                <w:lang w:val="el-GR" w:eastAsia="en-GB"/>
              </w:rPr>
              <w:t>Σ</w:t>
            </w:r>
            <w:r w:rsidRPr="001E1D5F">
              <w:rPr>
                <w:rFonts w:cs="Calibri"/>
                <w:color w:val="000000"/>
                <w:sz w:val="21"/>
                <w:szCs w:val="21"/>
                <w:lang w:eastAsia="en-GB"/>
              </w:rPr>
              <w:t>(</w:t>
            </w:r>
            <w:proofErr w:type="gramEnd"/>
            <w:r w:rsidRPr="001E1D5F">
              <w:rPr>
                <w:rFonts w:cs="Calibri"/>
                <w:color w:val="000000"/>
                <w:sz w:val="21"/>
                <w:szCs w:val="21"/>
                <w:lang w:eastAsia="en-GB"/>
              </w:rPr>
              <w:t xml:space="preserve">mi x </w:t>
            </w:r>
            <w:proofErr w:type="spellStart"/>
            <w:r w:rsidRPr="001E1D5F">
              <w:rPr>
                <w:rFonts w:cs="Calibri"/>
                <w:color w:val="000000"/>
                <w:sz w:val="21"/>
                <w:szCs w:val="21"/>
                <w:lang w:eastAsia="en-GB"/>
              </w:rPr>
              <w:t>ODPi</w:t>
            </w:r>
            <w:proofErr w:type="spellEnd"/>
            <w:r w:rsidRPr="001E1D5F">
              <w:rPr>
                <w:rFonts w:cs="Calibri"/>
                <w:color w:val="000000"/>
                <w:sz w:val="21"/>
                <w:szCs w:val="21"/>
                <w:lang w:eastAsia="en-GB"/>
              </w:rPr>
              <w:t>), where: mi</w:t>
            </w:r>
            <w:r w:rsidRPr="001E1D5F">
              <w:rPr>
                <w:rFonts w:ascii="Arial" w:hAnsi="Arial" w:cs="Arial"/>
                <w:color w:val="000000"/>
                <w:sz w:val="21"/>
                <w:szCs w:val="21"/>
                <w:lang w:eastAsia="en-GB"/>
              </w:rPr>
              <w:t>​</w:t>
            </w:r>
            <w:r w:rsidRPr="001E1D5F">
              <w:rPr>
                <w:rFonts w:cs="Calibri"/>
                <w:color w:val="000000"/>
                <w:sz w:val="21"/>
                <w:szCs w:val="21"/>
                <w:lang w:eastAsia="en-GB"/>
              </w:rPr>
              <w:t xml:space="preserve"> is the mass of substance I emitted, and </w:t>
            </w:r>
            <w:proofErr w:type="spellStart"/>
            <w:r w:rsidRPr="001E1D5F">
              <w:rPr>
                <w:rFonts w:cs="Calibri"/>
                <w:color w:val="000000"/>
                <w:sz w:val="21"/>
                <w:szCs w:val="21"/>
                <w:lang w:eastAsia="en-GB"/>
              </w:rPr>
              <w:t>ODPi</w:t>
            </w:r>
            <w:proofErr w:type="spellEnd"/>
            <w:r w:rsidRPr="001E1D5F">
              <w:rPr>
                <w:rFonts w:cs="Calibri"/>
                <w:color w:val="000000"/>
                <w:sz w:val="21"/>
                <w:szCs w:val="21"/>
                <w:lang w:eastAsia="en-GB"/>
              </w:rPr>
              <w:t xml:space="preserve"> is the ozone depletion potential factor of substance </w:t>
            </w:r>
            <w:proofErr w:type="spellStart"/>
            <w:r w:rsidRPr="001E1D5F">
              <w:rPr>
                <w:rFonts w:cs="Calibri"/>
                <w:color w:val="000000"/>
                <w:sz w:val="21"/>
                <w:szCs w:val="21"/>
                <w:lang w:eastAsia="en-GB"/>
              </w:rPr>
              <w:t>i</w:t>
            </w:r>
            <w:proofErr w:type="spellEnd"/>
          </w:p>
          <w:p w14:paraId="539CA247"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ODP</w:t>
            </w:r>
            <w:r w:rsidRPr="001E1D5F">
              <w:rPr>
                <w:rFonts w:cs="Calibri"/>
                <w:color w:val="000000"/>
                <w:sz w:val="21"/>
                <w:szCs w:val="21"/>
                <w:lang w:eastAsia="en-GB"/>
              </w:rPr>
              <w:t xml:space="preserve"> refers to the impact of substances on the </w:t>
            </w:r>
            <w:r w:rsidRPr="001E1D5F">
              <w:rPr>
                <w:rFonts w:cs="Calibri"/>
                <w:b/>
                <w:bCs/>
                <w:color w:val="000000"/>
                <w:sz w:val="21"/>
                <w:szCs w:val="21"/>
                <w:lang w:eastAsia="en-GB"/>
              </w:rPr>
              <w:t>stratospheric ozone layer</w:t>
            </w:r>
            <w:r w:rsidRPr="001E1D5F">
              <w:rPr>
                <w:rFonts w:cs="Calibri"/>
                <w:color w:val="000000"/>
                <w:sz w:val="21"/>
                <w:szCs w:val="21"/>
                <w:lang w:eastAsia="en-GB"/>
              </w:rPr>
              <w:t xml:space="preserve">, which protects life on Earth from harmful ultraviolet radiation. It measures the potential of a substance to contribute to ozone layer depletion in the </w:t>
            </w:r>
            <w:r w:rsidRPr="001E1D5F">
              <w:rPr>
                <w:rFonts w:cs="Calibri"/>
                <w:b/>
                <w:bCs/>
                <w:color w:val="000000"/>
                <w:sz w:val="21"/>
                <w:szCs w:val="21"/>
                <w:lang w:eastAsia="en-GB"/>
              </w:rPr>
              <w:t>upper atmosphere (stratosphere).</w:t>
            </w:r>
          </w:p>
        </w:tc>
        <w:tc>
          <w:tcPr>
            <w:tcW w:w="1559" w:type="dxa"/>
          </w:tcPr>
          <w:p w14:paraId="3B0A5DA0" w14:textId="77777777" w:rsidR="001E1D5F" w:rsidRPr="001E1D5F" w:rsidRDefault="001E1D5F" w:rsidP="001E1D5F">
            <w:pPr>
              <w:jc w:val="center"/>
              <w:rPr>
                <w:rFonts w:cs="Calibri"/>
                <w:color w:val="000000"/>
                <w:sz w:val="21"/>
                <w:szCs w:val="21"/>
                <w:lang w:eastAsia="en-GB"/>
              </w:rPr>
            </w:pPr>
            <w:r w:rsidRPr="001E1D5F">
              <w:rPr>
                <w:rFonts w:cs="Calibri"/>
                <w:color w:val="000000"/>
                <w:sz w:val="21"/>
                <w:szCs w:val="21"/>
                <w:lang w:eastAsia="en-GB"/>
              </w:rPr>
              <w:t>kg CFC-11 equivalents (trichlorofluoromethane)</w:t>
            </w:r>
          </w:p>
        </w:tc>
        <w:tc>
          <w:tcPr>
            <w:tcW w:w="3915" w:type="dxa"/>
          </w:tcPr>
          <w:p w14:paraId="17B6A92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Food (Chocolate Production)</w:t>
            </w:r>
          </w:p>
        </w:tc>
        <w:tc>
          <w:tcPr>
            <w:tcW w:w="1618" w:type="dxa"/>
          </w:tcPr>
          <w:p w14:paraId="55850C52" w14:textId="4D8A44D4"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{"citationID":"FwYQF4NC","properties":{"formattedCitation":"[54]","plainCitation":"[54]","noteIndex":0},"citationItems":[{"id":3117,"uris":["http://zotero.org/users/local/05JQq5lJ/items/VXJXUJQI"],"itemData":{"id":3117,"type":"article-journal","abstract":"Environmental indicators help to understand impacts and pollution issues. In the food production field, there is a need for an indicator (index) that provides the right information to the decision-maker regarding improvements and that is useful for making comparisons among companies. Among the research methodologies for establishing thresholds and assigning scores, the life-cycle assessment (LCA) approach was selected. The LCA was applied to chocolate production in an Italian medium-sized enterprise in the Piedmont region. Results have been used as a starting point to identify the critical environmental aspects of the 'gate-to-gate' life-cycle system, evaluating them like scores to compare other local chocolate production. The LCA case study shows that the most significant environmental aspects are energy consumption, depletion of non-renewable resources, and climate change. Some of the primary unavailable data for the life-cycle inventory phase and the need to adopt the same initial hypotheses to carry out comparative studies are the main limitations of the LCA application.","container-title":"International Journal of Environment and Health","DOI":"10.1504/IJENVH.2016.077660","ISSN":"1743-4955","issue":"1","note":"publisher: Inderscience Publishers","page":"21-37","source":"inderscienceonline.com (Atypon)","title":"Life cycle assessment as a tool to integrate environmental indicators in food products: a chocolate LCA case study","title-short":"Life cycle assessment as a tool to integrate environmental indicators in food products","volume":"8","author":[{"family":"Vesce","given":"Enrica"},{"family":"Olivieri","given":"Germana"},{"family":"Pairotti","given":"Maria Beatrice"},{"family":"Romani","given":"Annalisa"},{"family":"Beltramo","given":"Riccardo"}],"issued":{"date-parts":[["2016",1]]}}}],"schema":"https://github.com/citation-style-language/schema/raw/master/csl-citation.json"}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[54]</w:t>
            </w:r>
            <w:r w:rsidRPr="001E1D5F">
              <w:rPr>
                <w:rFonts w:cs="Calibri"/>
                <w:color w:val="000000"/>
                <w:sz w:val="21"/>
                <w:szCs w:val="21"/>
                <w:lang w:eastAsia="en-GB"/>
              </w:rPr>
              <w:fldChar w:fldCharType="end"/>
            </w:r>
          </w:p>
        </w:tc>
      </w:tr>
      <w:tr w:rsidR="001E1D5F" w:rsidRPr="001E1D5F" w14:paraId="328A4BFC" w14:textId="77777777" w:rsidTr="00040455">
        <w:tblPrEx>
          <w:jc w:val="left"/>
        </w:tblPrEx>
        <w:trPr>
          <w:trHeight w:val="300"/>
        </w:trPr>
        <w:tc>
          <w:tcPr>
            <w:tcW w:w="1985" w:type="dxa"/>
            <w:noWrap/>
            <w:vAlign w:val="center"/>
          </w:tcPr>
          <w:p w14:paraId="048B557B"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Photochemical Ozone Formation Potential (POFP)</w:t>
            </w:r>
          </w:p>
        </w:tc>
        <w:tc>
          <w:tcPr>
            <w:tcW w:w="1560" w:type="dxa"/>
            <w:noWrap/>
            <w:vAlign w:val="center"/>
          </w:tcPr>
          <w:p w14:paraId="705AF69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6CB2234A" w14:textId="77777777" w:rsidR="001E1D5F" w:rsidRPr="001E1D5F" w:rsidRDefault="001E1D5F" w:rsidP="001E1D5F">
            <w:pPr>
              <w:tabs>
                <w:tab w:val="num" w:pos="720"/>
              </w:tabs>
              <w:spacing w:before="60"/>
              <w:jc w:val="center"/>
              <w:rPr>
                <w:rFonts w:cs="Calibri"/>
                <w:color w:val="000000"/>
                <w:sz w:val="21"/>
                <w:szCs w:val="21"/>
                <w:lang w:eastAsia="en-GB"/>
              </w:rPr>
            </w:pPr>
            <w:r w:rsidRPr="001E1D5F">
              <w:rPr>
                <w:rFonts w:cs="Calibri"/>
                <w:b/>
                <w:bCs/>
                <w:color w:val="000000"/>
                <w:sz w:val="21"/>
                <w:szCs w:val="21"/>
                <w:lang w:eastAsia="en-GB"/>
              </w:rPr>
              <w:t>POFP</w:t>
            </w:r>
            <w:r w:rsidRPr="001E1D5F">
              <w:rPr>
                <w:rFonts w:cs="Calibri"/>
                <w:color w:val="000000"/>
                <w:sz w:val="21"/>
                <w:szCs w:val="21"/>
                <w:lang w:eastAsia="en-GB"/>
              </w:rPr>
              <w:t>=∑</w:t>
            </w:r>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Emissionsi</w:t>
            </w:r>
            <w:proofErr w:type="spellEnd"/>
            <w:r w:rsidRPr="001E1D5F">
              <w:rPr>
                <w:rFonts w:ascii="Arial" w:hAnsi="Arial" w:cs="Arial"/>
                <w:color w:val="000000"/>
                <w:sz w:val="21"/>
                <w:szCs w:val="21"/>
                <w:lang w:eastAsia="en-GB"/>
              </w:rPr>
              <w:t xml:space="preserve">​ </w:t>
            </w:r>
            <w:r w:rsidRPr="001E1D5F">
              <w:rPr>
                <w:rFonts w:cs="Calibri"/>
                <w:color w:val="000000"/>
                <w:sz w:val="21"/>
                <w:szCs w:val="21"/>
                <w:lang w:eastAsia="en-GB"/>
              </w:rPr>
              <w:t>×Characterization </w:t>
            </w:r>
            <w:proofErr w:type="spellStart"/>
            <w:r w:rsidRPr="001E1D5F">
              <w:rPr>
                <w:rFonts w:cs="Calibri"/>
                <w:color w:val="000000"/>
                <w:sz w:val="21"/>
                <w:szCs w:val="21"/>
                <w:lang w:eastAsia="en-GB"/>
              </w:rPr>
              <w:t>Factori</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 xml:space="preserve">), </w:t>
            </w:r>
            <w:r w:rsidRPr="001E1D5F">
              <w:rPr>
                <w:rFonts w:cs="Calibri"/>
                <w:color w:val="000000"/>
                <w:sz w:val="21"/>
                <w:szCs w:val="21"/>
              </w:rPr>
              <w:t xml:space="preserve">where: </w:t>
            </w:r>
            <w:proofErr w:type="spellStart"/>
            <w:r w:rsidRPr="001E1D5F">
              <w:rPr>
                <w:rFonts w:cs="Calibri"/>
                <w:color w:val="000000"/>
                <w:sz w:val="21"/>
                <w:szCs w:val="21"/>
                <w:lang w:eastAsia="en-GB"/>
              </w:rPr>
              <w:t>Emissionsi</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 xml:space="preserve">: The amount of each ozone precursor pollutant </w:t>
            </w:r>
            <w:proofErr w:type="spellStart"/>
            <w:r w:rsidRPr="001E1D5F">
              <w:rPr>
                <w:rFonts w:cs="Calibri"/>
                <w:color w:val="000000"/>
                <w:sz w:val="21"/>
                <w:szCs w:val="21"/>
                <w:lang w:eastAsia="en-GB"/>
              </w:rPr>
              <w:t>i</w:t>
            </w:r>
            <w:proofErr w:type="spellEnd"/>
            <w:r w:rsidRPr="001E1D5F">
              <w:rPr>
                <w:rFonts w:cs="Calibri"/>
                <w:color w:val="000000"/>
                <w:sz w:val="21"/>
                <w:szCs w:val="21"/>
                <w:lang w:eastAsia="en-GB"/>
              </w:rPr>
              <w:t xml:space="preserve"> (e.g., VOCs, NOx) emitted, Characterization </w:t>
            </w:r>
            <w:proofErr w:type="spellStart"/>
            <w:r w:rsidRPr="001E1D5F">
              <w:rPr>
                <w:rFonts w:cs="Calibri"/>
                <w:color w:val="000000"/>
                <w:sz w:val="21"/>
                <w:szCs w:val="21"/>
                <w:lang w:eastAsia="en-GB"/>
              </w:rPr>
              <w:t>Factori</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 xml:space="preserve">: The relative ozone formation potential of pollutant </w:t>
            </w:r>
            <w:proofErr w:type="spellStart"/>
            <w:r w:rsidRPr="001E1D5F">
              <w:rPr>
                <w:rFonts w:cs="Calibri"/>
                <w:color w:val="000000"/>
                <w:sz w:val="21"/>
                <w:szCs w:val="21"/>
                <w:lang w:eastAsia="en-GB"/>
              </w:rPr>
              <w:t>i</w:t>
            </w:r>
            <w:proofErr w:type="spellEnd"/>
            <w:r w:rsidRPr="001E1D5F">
              <w:rPr>
                <w:rFonts w:cs="Calibri"/>
                <w:color w:val="000000"/>
                <w:sz w:val="21"/>
                <w:szCs w:val="21"/>
                <w:lang w:eastAsia="en-GB"/>
              </w:rPr>
              <w:t xml:space="preserve"> compared to a reference substance, typically ethylene (C2H4 equivalents).</w:t>
            </w:r>
          </w:p>
          <w:p w14:paraId="0900CF96"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POFP</w:t>
            </w:r>
            <w:r w:rsidRPr="001E1D5F">
              <w:rPr>
                <w:rFonts w:cs="Calibri"/>
                <w:color w:val="000000"/>
                <w:sz w:val="21"/>
                <w:szCs w:val="21"/>
                <w:lang w:eastAsia="en-GB"/>
              </w:rPr>
              <w:t xml:space="preserve"> assesses the contribution of emissions (e.g., VOCs, NOx) to the formation of </w:t>
            </w:r>
            <w:r w:rsidRPr="001E1D5F">
              <w:rPr>
                <w:rFonts w:cs="Calibri"/>
                <w:b/>
                <w:bCs/>
                <w:color w:val="000000"/>
                <w:sz w:val="21"/>
                <w:szCs w:val="21"/>
                <w:lang w:eastAsia="en-GB"/>
              </w:rPr>
              <w:t>ground-level (tropospheric) ozone</w:t>
            </w:r>
            <w:r w:rsidRPr="001E1D5F">
              <w:rPr>
                <w:rFonts w:cs="Calibri"/>
                <w:color w:val="000000"/>
                <w:sz w:val="21"/>
                <w:szCs w:val="21"/>
                <w:lang w:eastAsia="en-GB"/>
              </w:rPr>
              <w:t xml:space="preserve">, a key component of smog. This indicator measures how pollutants react in the presence of sunlight to form ozone at </w:t>
            </w:r>
            <w:r w:rsidRPr="001E1D5F">
              <w:rPr>
                <w:rFonts w:cs="Calibri"/>
                <w:b/>
                <w:bCs/>
                <w:color w:val="000000"/>
                <w:sz w:val="21"/>
                <w:szCs w:val="21"/>
                <w:lang w:eastAsia="en-GB"/>
              </w:rPr>
              <w:t>lower atmospheric levels (troposphere).</w:t>
            </w:r>
          </w:p>
        </w:tc>
        <w:tc>
          <w:tcPr>
            <w:tcW w:w="1559" w:type="dxa"/>
            <w:vAlign w:val="center"/>
          </w:tcPr>
          <w:p w14:paraId="7F287126" w14:textId="77777777" w:rsidR="001E1D5F" w:rsidRPr="001E1D5F" w:rsidRDefault="001E1D5F" w:rsidP="001E1D5F">
            <w:pPr>
              <w:jc w:val="center"/>
              <w:rPr>
                <w:rFonts w:cs="Calibri"/>
                <w:color w:val="000000"/>
                <w:sz w:val="21"/>
                <w:szCs w:val="21"/>
                <w:lang w:eastAsia="en-GB"/>
              </w:rPr>
            </w:pPr>
            <w:r w:rsidRPr="001E1D5F">
              <w:rPr>
                <w:rFonts w:cs="Calibri"/>
                <w:color w:val="000000"/>
                <w:sz w:val="21"/>
                <w:szCs w:val="21"/>
                <w:lang w:eastAsia="en-GB"/>
              </w:rPr>
              <w:t>kilogram ethylene equivalents (kg C₂H₄-eq.)</w:t>
            </w:r>
          </w:p>
        </w:tc>
        <w:tc>
          <w:tcPr>
            <w:tcW w:w="3915" w:type="dxa"/>
            <w:vAlign w:val="center"/>
          </w:tcPr>
          <w:p w14:paraId="4D89BFD5" w14:textId="77777777" w:rsidR="001E1D5F" w:rsidRPr="001E1D5F" w:rsidRDefault="001E1D5F" w:rsidP="001E1D5F">
            <w:pPr>
              <w:spacing w:before="60"/>
              <w:jc w:val="center"/>
              <w:rPr>
                <w:rFonts w:cs="Calibri"/>
                <w:color w:val="000000"/>
                <w:sz w:val="21"/>
                <w:szCs w:val="21"/>
                <w:lang w:val="el-GR" w:eastAsia="en-GB"/>
              </w:rPr>
            </w:pPr>
            <w:r w:rsidRPr="001E1D5F">
              <w:rPr>
                <w:rFonts w:ascii="Calibri" w:hAnsi="Calibri" w:cs="Calibri"/>
                <w:color w:val="000000"/>
                <w:sz w:val="21"/>
                <w:szCs w:val="21"/>
              </w:rPr>
              <w:t>Electrical Equipment &amp; Components</w:t>
            </w:r>
          </w:p>
        </w:tc>
        <w:tc>
          <w:tcPr>
            <w:tcW w:w="1618" w:type="dxa"/>
            <w:vAlign w:val="center"/>
          </w:tcPr>
          <w:p w14:paraId="38912020" w14:textId="5D23F4D6"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{"citationID":"G0qa0Lhs","properties":{"formattedCitation":"[52]","plainCitation":"[52]","noteIndex":0},"citationItems":[{"id":3146,"uris":["http://zotero.org/users/local/05JQq5lJ/items/9BATZU2T"],"itemData":{"id":3146,"type":"article-journal","abstract":"Sodium-ion batteries are considered promising alternatives to lithium-ion technology; however, the diffusion on a commercial scale is hindered by the struggle to identify materials with high electrochemical performances. Studies available in the literature are mainly focused on electrochemical performance and neglect aspects related to the environmental sustainability. In fact, the current state-of-the-art (presented in this study) shows that life cycle assessment (LCA) studies related to the production processes of electrode materials for Na-ion batteries are still very limited. The LCA methodology applied during the development of a technology phase can constitute a valid support for an eco-oriented design and, therefore, to the choice of solutions characterized by a lower environmental impact with the same electrochemical performance. In this context, a life cycle-based environmental–economic assessment was performed to evaluate the environmental impacts of the production process of cathode and anode materials for sodium-ion batteries. The study is focused on the cathodic active material Na0.66MnO2, considering two synthesis paths, and the anodic material consisting of tin (Sn) and Sn-carbon nanofiber (Sn-Cn) active material, binder, and other additives. Results illustrate the environmental performance of the different materials and constitute a useful input for their selection within an eco-design view.","container-title":"Energies","DOI":"10.3390/en16176220","ISSN":"1996-1073","issue":"17","language":"en","license":"http://creativecommons.org/licenses/by/3.0/","note":"number: 17\npublisher: Multidisciplinary Digital Publishing Institute","page":"6220","source":"www.mdpi.com","title":"LCA and C-LCC Indicator as Tools for Sodium-Ion Batteries’ Eco-Design","volume":"16","author":[{"family":"Carvalho","given":"Maria Leonor"},{"family":"Cusenza","given":"Maria Anna"},{"family":"Mela","given":"Giulio"},{"family":"Temporelli","given":"Andrea"},{"family":"Quinzeni","given":"Irene"},{"family":"Girardi","given":"Pierpaolo"}],"issued":{"date-parts":[["2023",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[52]</w:t>
            </w:r>
            <w:r w:rsidRPr="001E1D5F">
              <w:rPr>
                <w:rFonts w:cs="Calibri"/>
                <w:color w:val="000000"/>
                <w:sz w:val="21"/>
                <w:szCs w:val="21"/>
                <w:lang w:eastAsia="en-GB"/>
              </w:rPr>
              <w:fldChar w:fldCharType="end"/>
            </w:r>
          </w:p>
        </w:tc>
      </w:tr>
      <w:tr w:rsidR="001E1D5F" w:rsidRPr="001E1D5F" w14:paraId="388DF4AD" w14:textId="77777777" w:rsidTr="00040455">
        <w:tblPrEx>
          <w:jc w:val="left"/>
        </w:tblPrEx>
        <w:trPr>
          <w:trHeight w:val="300"/>
        </w:trPr>
        <w:tc>
          <w:tcPr>
            <w:tcW w:w="1985" w:type="dxa"/>
            <w:noWrap/>
            <w:vAlign w:val="center"/>
          </w:tcPr>
          <w:p w14:paraId="7E91CCA6"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Acidification Potential (AP)</w:t>
            </w:r>
          </w:p>
        </w:tc>
        <w:tc>
          <w:tcPr>
            <w:tcW w:w="1560" w:type="dxa"/>
            <w:noWrap/>
            <w:vAlign w:val="center"/>
          </w:tcPr>
          <w:p w14:paraId="3A64EEC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4D29D091"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AP</w:t>
            </w:r>
            <w:r w:rsidRPr="001E1D5F">
              <w:rPr>
                <w:rFonts w:cs="Calibri"/>
                <w:color w:val="000000"/>
                <w:sz w:val="21"/>
                <w:szCs w:val="21"/>
                <w:lang w:eastAsia="en-GB"/>
              </w:rPr>
              <w:t xml:space="preserve"> = </w:t>
            </w:r>
            <w:r w:rsidRPr="001E1D5F">
              <w:rPr>
                <w:rFonts w:cs="Calibri"/>
                <w:color w:val="000000"/>
                <w:sz w:val="21"/>
                <w:szCs w:val="21"/>
                <w:lang w:val="el-GR" w:eastAsia="en-GB"/>
              </w:rPr>
              <w:t>Σ</w:t>
            </w:r>
            <w:r w:rsidRPr="001E1D5F">
              <w:rPr>
                <w:rFonts w:cs="Calibri"/>
                <w:color w:val="000000"/>
                <w:sz w:val="21"/>
                <w:szCs w:val="21"/>
                <w:lang w:eastAsia="en-GB"/>
              </w:rPr>
              <w:t xml:space="preserve"> (</w:t>
            </w:r>
            <w:r w:rsidRPr="001E1D5F">
              <w:rPr>
                <w:rFonts w:cs="Calibri"/>
                <w:color w:val="000000"/>
                <w:sz w:val="21"/>
                <w:szCs w:val="21"/>
                <w:lang w:val="el-GR" w:eastAsia="en-GB"/>
              </w:rPr>
              <w:t>Ε</w:t>
            </w:r>
            <w:proofErr w:type="spellStart"/>
            <w:r w:rsidRPr="001E1D5F">
              <w:rPr>
                <w:rFonts w:cs="Calibri"/>
                <w:color w:val="000000"/>
                <w:sz w:val="21"/>
                <w:szCs w:val="21"/>
                <w:lang w:eastAsia="en-GB"/>
              </w:rPr>
              <w:t>i</w:t>
            </w:r>
            <w:proofErr w:type="spellEnd"/>
            <w:r w:rsidRPr="001E1D5F">
              <w:rPr>
                <w:rFonts w:cs="Calibri"/>
                <w:color w:val="000000"/>
                <w:sz w:val="21"/>
                <w:szCs w:val="21"/>
                <w:lang w:eastAsia="en-GB"/>
              </w:rPr>
              <w:t xml:space="preserve">**Api), </w:t>
            </w:r>
            <w:r w:rsidRPr="001E1D5F">
              <w:rPr>
                <w:rFonts w:cs="Calibri"/>
                <w:b/>
                <w:bCs/>
                <w:color w:val="000000"/>
                <w:sz w:val="21"/>
                <w:szCs w:val="21"/>
                <w:lang w:eastAsia="en-GB"/>
              </w:rPr>
              <w:t>Ei</w:t>
            </w:r>
            <w:r w:rsidRPr="001E1D5F">
              <w:rPr>
                <w:rFonts w:ascii="Arial" w:hAnsi="Arial" w:cs="Arial"/>
                <w:b/>
                <w:bCs/>
                <w:color w:val="000000"/>
                <w:sz w:val="21"/>
                <w:szCs w:val="21"/>
                <w:lang w:eastAsia="en-GB"/>
              </w:rPr>
              <w:t>​</w:t>
            </w:r>
            <w:r w:rsidRPr="001E1D5F">
              <w:rPr>
                <w:rFonts w:cs="Arial"/>
                <w:b/>
                <w:bCs/>
                <w:color w:val="000000"/>
                <w:sz w:val="21"/>
                <w:szCs w:val="21"/>
                <w:lang w:eastAsia="en-GB"/>
              </w:rPr>
              <w:t>:</w:t>
            </w:r>
            <w:r w:rsidRPr="001E1D5F">
              <w:rPr>
                <w:rFonts w:cs="Calibri"/>
                <w:color w:val="000000"/>
                <w:sz w:val="21"/>
                <w:szCs w:val="21"/>
                <w:lang w:eastAsia="en-GB"/>
              </w:rPr>
              <w:t xml:space="preserve"> the emission amount of each acidifying substance iii (e.g., NOx, SO2</w:t>
            </w:r>
            <w:r w:rsidRPr="001E1D5F">
              <w:rPr>
                <w:rFonts w:ascii="Arial" w:hAnsi="Arial" w:cs="Arial"/>
                <w:color w:val="000000"/>
                <w:sz w:val="21"/>
                <w:szCs w:val="21"/>
                <w:lang w:eastAsia="en-GB"/>
              </w:rPr>
              <w:t>​</w:t>
            </w:r>
            <w:r w:rsidRPr="001E1D5F">
              <w:rPr>
                <w:rFonts w:cs="Calibri"/>
                <w:color w:val="000000"/>
                <w:sz w:val="21"/>
                <w:szCs w:val="21"/>
                <w:lang w:eastAsia="en-GB"/>
              </w:rPr>
              <w:t>, NH3</w:t>
            </w:r>
            <w:r w:rsidRPr="001E1D5F">
              <w:rPr>
                <w:rFonts w:ascii="Arial" w:hAnsi="Arial" w:cs="Arial"/>
                <w:color w:val="000000"/>
                <w:sz w:val="21"/>
                <w:szCs w:val="21"/>
                <w:lang w:eastAsia="en-GB"/>
              </w:rPr>
              <w:t>​</w:t>
            </w:r>
            <w:r w:rsidRPr="001E1D5F">
              <w:rPr>
                <w:rFonts w:cs="Calibri"/>
                <w:color w:val="000000"/>
                <w:sz w:val="21"/>
                <w:szCs w:val="21"/>
                <w:lang w:eastAsia="en-GB"/>
              </w:rPr>
              <w:t>),</w:t>
            </w:r>
          </w:p>
          <w:p w14:paraId="583316F4" w14:textId="77777777" w:rsidR="001E1D5F" w:rsidRPr="001E1D5F" w:rsidRDefault="001E1D5F" w:rsidP="001E1D5F">
            <w:pPr>
              <w:spacing w:before="60"/>
              <w:jc w:val="center"/>
              <w:rPr>
                <w:rFonts w:cs="Calibri"/>
                <w:b/>
                <w:bCs/>
                <w:color w:val="000000"/>
                <w:sz w:val="21"/>
                <w:szCs w:val="21"/>
                <w:lang w:eastAsia="en-GB"/>
              </w:rPr>
            </w:pPr>
            <w:proofErr w:type="spellStart"/>
            <w:r w:rsidRPr="001E1D5F">
              <w:rPr>
                <w:rFonts w:cs="Calibri"/>
                <w:b/>
                <w:bCs/>
                <w:color w:val="000000"/>
                <w:sz w:val="21"/>
                <w:szCs w:val="21"/>
                <w:lang w:eastAsia="en-GB"/>
              </w:rPr>
              <w:t>APi</w:t>
            </w:r>
            <w:proofErr w:type="spellEnd"/>
            <w:r w:rsidRPr="001E1D5F">
              <w:rPr>
                <w:rFonts w:ascii="Arial" w:hAnsi="Arial" w:cs="Arial"/>
                <w:b/>
                <w:bCs/>
                <w:color w:val="000000"/>
                <w:sz w:val="21"/>
                <w:szCs w:val="21"/>
                <w:lang w:eastAsia="en-GB"/>
              </w:rPr>
              <w:t>​</w:t>
            </w:r>
            <w:r w:rsidRPr="001E1D5F">
              <w:rPr>
                <w:rFonts w:cs="Arial"/>
                <w:b/>
                <w:bCs/>
                <w:color w:val="000000"/>
                <w:sz w:val="21"/>
                <w:szCs w:val="21"/>
                <w:lang w:eastAsia="en-GB"/>
              </w:rPr>
              <w:t>:</w:t>
            </w:r>
            <w:r w:rsidRPr="001E1D5F">
              <w:rPr>
                <w:rFonts w:cs="Calibri"/>
                <w:color w:val="000000"/>
                <w:sz w:val="21"/>
                <w:szCs w:val="21"/>
                <w:lang w:eastAsia="en-GB"/>
              </w:rPr>
              <w:t xml:space="preserve"> the acidification potential factor of that substance, typically expressed in terms of SO₂-equivalents.</w:t>
            </w:r>
          </w:p>
        </w:tc>
        <w:tc>
          <w:tcPr>
            <w:tcW w:w="1559" w:type="dxa"/>
            <w:vAlign w:val="center"/>
          </w:tcPr>
          <w:p w14:paraId="3B046509" w14:textId="77777777" w:rsidR="001E1D5F" w:rsidRPr="001E1D5F" w:rsidRDefault="001E1D5F" w:rsidP="001E1D5F">
            <w:pPr>
              <w:jc w:val="center"/>
              <w:rPr>
                <w:rFonts w:cs="Calibri"/>
                <w:color w:val="000000"/>
                <w:sz w:val="21"/>
                <w:szCs w:val="21"/>
                <w:lang w:eastAsia="en-GB"/>
              </w:rPr>
            </w:pPr>
            <w:r w:rsidRPr="001E1D5F">
              <w:rPr>
                <w:rFonts w:cs="Calibri"/>
                <w:color w:val="000000"/>
                <w:sz w:val="21"/>
                <w:szCs w:val="21"/>
                <w:lang w:eastAsia="en-GB"/>
              </w:rPr>
              <w:t>Mass (kg)</w:t>
            </w:r>
          </w:p>
        </w:tc>
        <w:tc>
          <w:tcPr>
            <w:tcW w:w="3915" w:type="dxa"/>
            <w:vAlign w:val="center"/>
          </w:tcPr>
          <w:p w14:paraId="32A4CE4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Agri-food, Machining </w:t>
            </w:r>
          </w:p>
        </w:tc>
        <w:tc>
          <w:tcPr>
            <w:tcW w:w="1618" w:type="dxa"/>
            <w:vAlign w:val="center"/>
          </w:tcPr>
          <w:p w14:paraId="778B5D79" w14:textId="509F133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{"citationID":"9HoDLnTY","properties":{"formattedCitation":"[55,56]","plainCitation":"[55,56]","noteIndex":0},"citationItems":[{"id":3100,"uris":["http://zotero.org/users/local/05JQq5lJ/items/GW5PDE78"],"itemData":{"id":3100,"type":"article-journal","abstract":"Among machining processes, grinding has been used to achieve high dimensional tolerances and surface quality on workpieces. Yet, high levels of energy expenditure per volume of removed material and the need for cutting fluids make grinding one of the most environmentally impactful machining processes. Furthermore, changes in parameters such as grain and bond specifications of the grinding wheel, cutting speed, and specific material removal rate can lead to different productive and environmental results. Thus, the analysis of grinding processes should not be aggregated and leveraged into a single and broad output parameter. Instead, comprehensive study should be performed, in which the most relevant process parameters, inputs and outputs are considered. This paper presents a detailed study of grinding process, including the characterization of machine subunits and production modes, along with the use of a combined life cycle assessment hybrid model and real-time monitoring system to evaluate the consumption of energy, tooling, cutting fluid and compressed air. A detailed cradle-to-gate life cycle assessment study using eleven different impact categories and a productive performance assessment were performed to evaluate the effects on varying specific material removal rate and wheel type. For equal values of specific material removal rate, the change from a conventional wheel to a cubic boron nitride represented a power requirement increase of 19–24%. Cubic boron nitride wheel achieved remarkably better results on the wheel wear and part roughness indicators for all tested conditions. The environmental performance assessment showed a strict relation between the process environmental impacts and the consumption of electric energy and cutting fluid. To conclude, despite the higher power requirements, the combination of cubic boron nitride wheel with high values of specific material removal rate optimizes both the productive and the environmental results.","container-title":"Journal of Cleaner Production","DOI":"10.1016/j.jclepro.2017.05.158","ISSN":"0959-6526","journalAbbreviation":"Journal of Cleaner Production","page":"510-523","source":"ScienceDirect","title":"Productive and environmental performance indicators analysis by a combined LCA hybrid model and real-time manufacturing process monitoring: A grinding unit process application","title-short":"Productive and environmental performance indicators analysis by a combined LCA hybrid model and real-time manufacturing process monitoring","volume":"161","author":[{"family":"Filleti","given":"Remo Augusto Padovezi"},{"family":"Silva","given":"Diogo Aparecido Lopes"},{"family":"Silva","given":"Eraldo Jannone","dropping-particle":"da"},{"family":"Ometto","given":"Aldo Roberto"}],"issued":{"date-parts":[["2017",9,10]]}}},{"id":3101,"uris":["http://zotero.org/users/local/05JQq5lJ/items/BU7JCH54"],"itemData":{"id":3101,"type":"article-journal","abstract":"In this research, the environmental profile of sugar produced from beet was estimated by considering the beet cultivation and the milling process in the Iranian Hamadan Province via the life cycle assessment methodology. Data were obtained from sugar beet growers and the main sugar mill in the province. The system boundaries were set from the sugar beet planting to the production of white sugar in the sugar mill. The functional unit was considered to be 1 ton of white sugar. The calculations were performed for impact categories including global warming, abiotic depletion, fossil fuel depletion, ozone layer depletion, human toxicity, fresh water aquatic ecotoxicity, marine aquatic ecotoxicity, terrestrial ecotoxicity, photochemical oxidation, acidification, and eutrophication. Results indicate that the global warming impact of sugar production through beet cultivation and the milling process was estimated to be 310, and 1540 kgCO2eq/ton, respectively. Electricity accounted for the greatest share of the impact for agricultural phase (55.29%), followed by chemical fertilisers (20.83%). This electricity consumption in sugar beet production is mainly due to the agricultural irrigation. Therefore, the enhancement of water use efficiency and water extraction in sugar beet farming seems to be a possible solution to the reduction of the overall environmental burden. Also, sugar beet production should become more efficient in terms of fertiliser use. In the industrial phase, the most significant impacts are related to the production and use of natural gas. Renovation of equipment and development of renewable energies in the mill have been suggested for making beet processing more energy efficient.","container-title":"Biomass Conversion and Biorefinery","DOI":"10.1007/s13399-022-02982-4","ISSN":"2190-6823","issue":"5","journalAbbreviation":"Biomass Conv. Bioref.","language":"en","page":"6759-6772","source":"Springer Link","title":"Use of LCA indicators to assess Iranian sugar production systems: case study — Hamadan Province","title-short":"Use of LCA indicators to assess Iranian sugar production systems","volume":"14","author":[{"family":"Namdari","given":"Majid"},{"family":"Rafiee","given":"Shahin"},{"family":"Notarnicola","given":"Bruno"},{"family":"Tassielli","given":"Giuseppe"},{"family":"Renzulli","given":"Pietro A."},{"family":"Hosseinpour","given":"Soleiman"}],"issued":{"date-parts":[["2024",3,1]]}}}],"schema":"https://github.com/citation-style-language/schema/raw/master/csl-citation.json"}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[55,56]</w:t>
            </w:r>
            <w:r w:rsidRPr="001E1D5F">
              <w:rPr>
                <w:rFonts w:cs="Calibri"/>
                <w:color w:val="000000"/>
                <w:sz w:val="21"/>
                <w:szCs w:val="21"/>
                <w:lang w:eastAsia="en-GB"/>
              </w:rPr>
              <w:fldChar w:fldCharType="end"/>
            </w:r>
          </w:p>
        </w:tc>
      </w:tr>
      <w:tr w:rsidR="001E1D5F" w:rsidRPr="001E1D5F" w14:paraId="796ABCEB" w14:textId="77777777" w:rsidTr="00040455">
        <w:tblPrEx>
          <w:jc w:val="left"/>
        </w:tblPrEx>
        <w:trPr>
          <w:trHeight w:val="300"/>
        </w:trPr>
        <w:tc>
          <w:tcPr>
            <w:tcW w:w="16165" w:type="dxa"/>
            <w:gridSpan w:val="6"/>
            <w:shd w:val="clear" w:color="auto" w:fill="E7E6E6" w:themeFill="background2"/>
            <w:noWrap/>
            <w:vAlign w:val="center"/>
          </w:tcPr>
          <w:p w14:paraId="38F0654B" w14:textId="77777777" w:rsidR="001E1D5F" w:rsidRPr="001E1D5F" w:rsidRDefault="001E1D5F" w:rsidP="001E1D5F">
            <w:pPr>
              <w:spacing w:before="60"/>
              <w:rPr>
                <w:rFonts w:cs="Calibri"/>
                <w:b/>
                <w:bCs/>
                <w:color w:val="000000"/>
                <w:sz w:val="21"/>
                <w:szCs w:val="21"/>
                <w:lang w:eastAsia="en-GB"/>
              </w:rPr>
            </w:pPr>
            <w:r w:rsidRPr="001E1D5F">
              <w:rPr>
                <w:rFonts w:cs="Calibri"/>
                <w:b/>
                <w:bCs/>
                <w:color w:val="000000"/>
                <w:sz w:val="21"/>
                <w:szCs w:val="21"/>
                <w:lang w:eastAsia="en-GB"/>
              </w:rPr>
              <w:t>Indicator Group E2: Climate Change</w:t>
            </w:r>
          </w:p>
        </w:tc>
      </w:tr>
      <w:tr w:rsidR="001E1D5F" w:rsidRPr="001E1D5F" w14:paraId="59A2C194" w14:textId="77777777" w:rsidTr="00040455">
        <w:tblPrEx>
          <w:jc w:val="left"/>
        </w:tblPrEx>
        <w:trPr>
          <w:trHeight w:val="300"/>
        </w:trPr>
        <w:tc>
          <w:tcPr>
            <w:tcW w:w="1985" w:type="dxa"/>
            <w:noWrap/>
            <w:vAlign w:val="center"/>
          </w:tcPr>
          <w:p w14:paraId="0EDE78F0"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CO2 efficiency indicator (CEI)</w:t>
            </w:r>
          </w:p>
        </w:tc>
        <w:tc>
          <w:tcPr>
            <w:tcW w:w="1560" w:type="dxa"/>
            <w:noWrap/>
            <w:vAlign w:val="center"/>
          </w:tcPr>
          <w:p w14:paraId="07D2428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Composite</w:t>
            </w:r>
          </w:p>
        </w:tc>
        <w:tc>
          <w:tcPr>
            <w:tcW w:w="5528" w:type="dxa"/>
            <w:vAlign w:val="center"/>
          </w:tcPr>
          <w:p w14:paraId="284E85B1"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CEI</w:t>
            </w:r>
            <w:r w:rsidRPr="001E1D5F">
              <w:rPr>
                <w:rFonts w:cs="Calibri"/>
                <w:color w:val="000000"/>
                <w:sz w:val="21"/>
                <w:szCs w:val="21"/>
                <w:lang w:eastAsia="en-GB"/>
              </w:rPr>
              <w:t>= Total CO₂ emissions associated with the product or system</w:t>
            </w:r>
            <w:r w:rsidRPr="001E1D5F">
              <w:rPr>
                <w:rFonts w:ascii="Arial" w:hAnsi="Arial" w:cs="Arial"/>
                <w:color w:val="000000"/>
                <w:sz w:val="21"/>
                <w:szCs w:val="21"/>
                <w:lang w:eastAsia="en-GB"/>
              </w:rPr>
              <w:t xml:space="preserve">​/ </w:t>
            </w:r>
            <w:r w:rsidRPr="001E1D5F">
              <w:rPr>
                <w:rFonts w:cs="Calibri"/>
                <w:color w:val="000000"/>
                <w:sz w:val="21"/>
                <w:szCs w:val="21"/>
                <w:lang w:eastAsia="en-GB"/>
              </w:rPr>
              <w:t>Predicted service life or operational duration</w:t>
            </w:r>
          </w:p>
        </w:tc>
        <w:tc>
          <w:tcPr>
            <w:tcW w:w="1559" w:type="dxa"/>
            <w:vAlign w:val="center"/>
          </w:tcPr>
          <w:p w14:paraId="676B929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mass of CO₂</w:t>
            </w:r>
          </w:p>
          <w:p w14:paraId="24E2B88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(e.g., kg, tons)</w:t>
            </w:r>
          </w:p>
          <w:p w14:paraId="28CD72C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 unit of time (e.g., year)</w:t>
            </w:r>
          </w:p>
        </w:tc>
        <w:tc>
          <w:tcPr>
            <w:tcW w:w="3915" w:type="dxa"/>
            <w:vAlign w:val="center"/>
          </w:tcPr>
          <w:p w14:paraId="6CB7FE9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Construction</w:t>
            </w:r>
          </w:p>
        </w:tc>
        <w:tc>
          <w:tcPr>
            <w:tcW w:w="1618" w:type="dxa"/>
            <w:vAlign w:val="center"/>
          </w:tcPr>
          <w:p w14:paraId="69AE2A89" w14:textId="028B4385"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{"citationID":"Lg45UWa0","properties":{"formattedCitation":"[57]","plainCitation":"[57]","noteIndex":0},"citationItems":[{"id":3113,"uris":["http://zotero.org/users/local/05JQq5lJ/items/EHQIUU58"],"itemData":{"id":3113,"type":"article-journal","abstract":"This article aims at defining an effective global warming potential criterion for qualifying a concrete mixture based on a CO2 calculation and durability performance tests, as well as understanding the parameters that influence the duration of initiation and propagation of corrosion in concretes exposed to carbonation-induced corrosion. An experimental study was conducted in order to assess the resistance to carbonation and the electrical resistivity for concretes made of multi-composite cements with ground-granulated blast furnace slag (GGBS) and limestone in the limits of new cement European standard EN 197-5, and to understand the link between these properties and the composition of the cements. A model is presented which allows to predict the service life of the concrete cover from the material data of the concrete (accelerated carbonation rate, electrical resistivity), environmental parameters (HR, T, CO2) and minimum cover. It was found that the reactive CaO content of cements influences the carbonation rate of concrete, and the electrical resistivity and the GGBS content of cements were found to have a good correlation. The model used allows comparing the studied cements from the CO2 emission/service life ratios.","container-title":"Journal of Cleaner Production","DOI":"10.1016/j.jclepro.2022.134876","ISSN":"0959-6526","journalAbbreviation":"Journal of Cleaner Production","page":"134876","source":"ScienceDirect","title":"Towards global indicator of durability performance and carbon footprint of clinker-slag-limestone cement-based concrete exposed to carbonation","volume":"380","author":[{"family":"Elkhaldi","given":"Imane"},{"family":"Roziere","given":"Emmanuel"},{"family":"Turcry","given":"Philippe"},{"family":"Loukili","given":"Ahmed"}],"issued":{"date-parts":[["2022",12,20]]}}}],"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[57]</w:t>
            </w:r>
            <w:r w:rsidRPr="001E1D5F">
              <w:rPr>
                <w:rFonts w:cs="Calibri"/>
                <w:color w:val="000000"/>
                <w:sz w:val="21"/>
                <w:szCs w:val="21"/>
                <w:lang w:eastAsia="en-GB"/>
              </w:rPr>
              <w:fldChar w:fldCharType="end"/>
            </w:r>
          </w:p>
        </w:tc>
      </w:tr>
      <w:tr w:rsidR="001E1D5F" w:rsidRPr="001E1D5F" w14:paraId="658C3834" w14:textId="77777777" w:rsidTr="00040455">
        <w:tblPrEx>
          <w:jc w:val="left"/>
        </w:tblPrEx>
        <w:trPr>
          <w:trHeight w:val="300"/>
        </w:trPr>
        <w:tc>
          <w:tcPr>
            <w:tcW w:w="1985" w:type="dxa"/>
            <w:noWrap/>
            <w:vAlign w:val="center"/>
          </w:tcPr>
          <w:p w14:paraId="53E9359D"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lastRenderedPageBreak/>
              <w:t>GHG emissions from fossil fuels, transportation, purchased electricity, waste, and secondary materials</w:t>
            </w:r>
          </w:p>
        </w:tc>
        <w:tc>
          <w:tcPr>
            <w:tcW w:w="1560" w:type="dxa"/>
            <w:noWrap/>
            <w:vAlign w:val="center"/>
          </w:tcPr>
          <w:p w14:paraId="34BAA2A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76FD9EC0"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Total GHG Emissions</w:t>
            </w:r>
            <w:r w:rsidRPr="001E1D5F">
              <w:rPr>
                <w:rFonts w:cs="Calibri"/>
                <w:color w:val="000000"/>
                <w:sz w:val="21"/>
                <w:szCs w:val="21"/>
                <w:lang w:eastAsia="en-GB"/>
              </w:rPr>
              <w:t xml:space="preserve"> = </w:t>
            </w:r>
            <w:proofErr w:type="spellStart"/>
            <w:r w:rsidRPr="001E1D5F">
              <w:rPr>
                <w:rFonts w:cs="Calibri"/>
                <w:color w:val="000000"/>
                <w:sz w:val="21"/>
                <w:szCs w:val="21"/>
                <w:lang w:eastAsia="en-GB"/>
              </w:rPr>
              <w:t>GHGstationary</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GHGmobile</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GHGtransport</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GHGwaste</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GHGprocess</w:t>
            </w:r>
            <w:proofErr w:type="spellEnd"/>
            <w:r w:rsidRPr="001E1D5F">
              <w:rPr>
                <w:rFonts w:ascii="Arial" w:hAnsi="Arial" w:cs="Arial"/>
                <w:color w:val="000000"/>
                <w:sz w:val="21"/>
                <w:szCs w:val="21"/>
                <w:lang w:eastAsia="en-GB"/>
              </w:rPr>
              <w:t>​</w:t>
            </w:r>
          </w:p>
        </w:tc>
        <w:tc>
          <w:tcPr>
            <w:tcW w:w="1559" w:type="dxa"/>
            <w:vAlign w:val="center"/>
          </w:tcPr>
          <w:p w14:paraId="7AC028A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Kilograms of CO₂ equivalent (kg </w:t>
            </w:r>
            <w:proofErr w:type="spellStart"/>
            <w:r w:rsidRPr="001E1D5F">
              <w:rPr>
                <w:rFonts w:cs="Calibri"/>
                <w:color w:val="000000"/>
                <w:sz w:val="21"/>
                <w:szCs w:val="21"/>
                <w:lang w:eastAsia="en-GB"/>
              </w:rPr>
              <w:t>CO₂e</w:t>
            </w:r>
            <w:proofErr w:type="spellEnd"/>
            <w:r w:rsidRPr="001E1D5F">
              <w:rPr>
                <w:rFonts w:cs="Calibri"/>
                <w:color w:val="000000"/>
                <w:sz w:val="21"/>
                <w:szCs w:val="21"/>
                <w:lang w:eastAsia="en-GB"/>
              </w:rPr>
              <w:t>)</w:t>
            </w:r>
          </w:p>
        </w:tc>
        <w:tc>
          <w:tcPr>
            <w:tcW w:w="3915" w:type="dxa"/>
            <w:vAlign w:val="center"/>
          </w:tcPr>
          <w:p w14:paraId="38E4871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Furniture Manufacturing, Chemical and Petrochemical, Wine </w:t>
            </w:r>
          </w:p>
        </w:tc>
        <w:tc>
          <w:tcPr>
            <w:tcW w:w="1618" w:type="dxa"/>
            <w:vAlign w:val="center"/>
          </w:tcPr>
          <w:p w14:paraId="321EE036" w14:textId="31732B9A"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{"citationID":"CafWSMwi","properties":{"formattedCitation":"[46,58,59]","plainCitation":"[46,58,59]","noteIndex":0},"citationItems":[{"id":3119,"uris":["http://zotero.org/users/local/05JQq5lJ/items/ABYDPSB3"],"itemData":{"id":3119,"type":"article-journal","abstract":"Climate change and fossil resource depletion are driving a transition to a bio-based economy, for which novel bio-based chemical processes need to be developed. The environmental performance of the novel bio-based chemicals should be assessed during their development, when the production process can still be adapted, although data availability is limited. Many environmental assessment methods applicable during product development (‘early-stage methods’) exist in the literature. The aim of this study is to provide an overview of these early-stage methods and to evaluate to what extent they are suitable for assessing bio-based chemicals in their early-stage development. The paper first describes the characteristics of early-stage chemical design and the environmental impacts of bio-based products based on published life cycle assessments. Low data requirements, the inclusion of climate change and energy indicators, and the inclusion of environmental impacts from biomass feedstock production are identified as three good-practice principles for early-stage assessment of bio-based chemicals. In the second step, 27 early-stage assessment methods are reviewed and categorized based on their scope and environmental indicators used. Finally, the reviewed methods are evaluated using the good-practice principles. A perfect early-stage method does not exist. However, choosing the most suitable method(s) based on the goal of an assessment and using complementary indicators leads to the most effective assessment for novel bio-based chemicals in development. © 2017 The Authors. Biofuels, Bioproducts and Biorefining published by Society of Chemical Industry and John Wiley &amp; Sons, Ltd.","container-title":"Biofuels, Bioproducts and Biorefining","DOI":"10.1002/bbb.1772","ISSN":"1932-1031","issue":"4","language":"en","license":"© 2017 The Authors. Biofuels, Bioproducts and Biorefining published by Society of Chemical Industry and John Wiley &amp; Sons, Ltd.","note":"_eprint: https://onlinelibrary.wiley.com/doi/pdf/10.1002/bbb.1772","page":"701-718","source":"Wiley Online Library","title":"Environmental assessment of bio-based chemicals in early-stage development: a review of methods and indicators","title-short":"Environmental assessment of bio-based chemicals in early-stage development","volume":"11","author":[{"family":"Broeren","given":"Martijn L.M."},{"family":"Zijp","given":"Michiel C."},{"family":"Waaijers-van der Loop","given":"Susanne L."},{"family":"Heugens","given":"Evelyn H.W."},{"family":"Posthuma","given":"Leo"},{"family":"Worrell","given":"Ernst"},{"family":"Shen","given":"Li"}],"issued":{"date-parts":[["2017"]]}}},{"id":3136,"uris":["http://zotero.org/users/local/05JQq5lJ/items/HQI7GJX6"],"itemData":{"id":3136,"type":"article-journal","abstract":"This study quantified the carbon footprint of particleboard production in Pakistan using a cradle-to-gate life cycle assessment approach. The system boundary comprised raw materials acquisition, transport, particleboard manufacture and finished product distribution. Primary data were collected through surveys and meetings with particleboard manufacturers. Secondary data were taken from the literature. Greenhouse gas emissions from off-site industrial operations of the particleboard industry represented 52% of the total emissions from the production of 1.0m3 of particleboard in Pakistan. The on-site industrial operations cause direct greenhouse gas emissions and accounted for 48% of the total emissions. These operations included energy consumption in stationary sources, the company-owned vehicle fleet, and the distribution and marketing of the finished product. The use of natural gas combustion in the stationary and mobile sources, raw material transport and urea-formaldehyde resin production chain accounted for the highest emissions from the particleboard production chain in Pakistan. The identification of the major hotspots in the particleboard production chain can assist the wood panel industry to improve their environmental profile. More efforts are needed to investigate the urea-formaldehyde resin production chain and substitution of roundwood with wood and agri-residues to assess the potential improvements. In addition, renewable energy sources should be encouraged to avoid greenhouse gas emissions by substituting fossil energy. This study also provides a benchmark for future research work to formulate comprehensive greenhouse gas emissions reduction plans, because no previous research work is available on the carbon footprint of particleboard production in Pakistan.","container-title":"Environmental Research","DOI":"10.1016/j.envres.2017.02.024","ISSN":"0013-9351","journalAbbreviation":"Environmental Research","page":"385-393","source":"ScienceDirect","title":"Carbon footprint as an environmental sustainability indicator for the particleboard produced in Pakistan","volume":"155","author":[{"family":"Hussain","given":"Majid"},{"family":"Naseem Malik","given":"Riffat"},{"family":"Taylor","given":"Adam"}],"issued":{"date-parts":[["2017",5,1]]}}},{"id":3138,"uris":["http://zotero.org/users/local/05JQq5lJ/items/TWMP2ZN8"],"itemData":{"id":3138,"type":"article-journal","abstract":"Currently, carbon footprint (CF) analysis is gaining a role of primary interest within the extensive literature regarding wine sustainability issues. It envisages the quantification of greenhouse gas emissions that underpin the life-cycle of wine, from viticulture and vinification to wine bottling, distribution, consumption and waste end-of-life. This critical review pursues several methodological and conceptual issues behind wine carbon footprinting, such as calculation approaches, labeling and standardization purposes, combinations with other methods and theories, and CF trends in the wine sector. Most studies have only addressed specific methodological issues from an attributional life-cycle perspective, or have directly reported the CF profile of a given wine product. Future studies, however, will have to deal with increasingly complex market interactions linked to the entire life cycle of wine-making. A comprehensive discussion is presented concerning the benefits the CF indicator may provide both to producers and consumers and on the needs for reducing uncertainties and misinterpretations within a growing globalized wine market.","container-title":"Journal of Cleaner Production","DOI":"10.1016/j.jclepro.2013.04.036","ISSN":"0959-6526","journalAbbreviation":"Journal of Cleaner Production","page":"61-77","source":"ScienceDirect","title":"A comprehensive review of carbon footprint analysis as an extended environmental indicator in the wine sector","volume":"54","author":[{"family":"Rugani","given":"Benedetto"},{"family":"Vázquez-Rowe","given":"Ian"},{"family":"Benedetto","given":"Graziella"},{"family":"Benetto","given":"Enrico"}],"issued":{"date-parts":[["2013",9,1]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[46,58,59]</w:t>
            </w:r>
            <w:r w:rsidRPr="001E1D5F">
              <w:rPr>
                <w:rFonts w:cs="Calibri"/>
                <w:color w:val="000000"/>
                <w:sz w:val="21"/>
                <w:szCs w:val="21"/>
                <w:lang w:eastAsia="en-GB"/>
              </w:rPr>
              <w:fldChar w:fldCharType="end"/>
            </w:r>
          </w:p>
        </w:tc>
      </w:tr>
      <w:tr w:rsidR="001E1D5F" w:rsidRPr="001E1D5F" w14:paraId="1A673524" w14:textId="77777777" w:rsidTr="00040455">
        <w:tblPrEx>
          <w:jc w:val="left"/>
        </w:tblPrEx>
        <w:trPr>
          <w:trHeight w:val="300"/>
        </w:trPr>
        <w:tc>
          <w:tcPr>
            <w:tcW w:w="1985" w:type="dxa"/>
            <w:noWrap/>
            <w:vAlign w:val="center"/>
          </w:tcPr>
          <w:p w14:paraId="4F5512C2"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Climate Change (biogenic, fossil, land use change)</w:t>
            </w:r>
          </w:p>
        </w:tc>
        <w:tc>
          <w:tcPr>
            <w:tcW w:w="1560" w:type="dxa"/>
            <w:noWrap/>
            <w:vAlign w:val="center"/>
          </w:tcPr>
          <w:p w14:paraId="0DBD7D9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987A68E" w14:textId="77777777" w:rsidR="001E1D5F" w:rsidRPr="001E1D5F" w:rsidRDefault="001E1D5F" w:rsidP="001E1D5F">
            <w:pPr>
              <w:jc w:val="center"/>
              <w:rPr>
                <w:sz w:val="21"/>
                <w:szCs w:val="21"/>
                <w:lang w:eastAsia="en-GB"/>
              </w:rPr>
            </w:pPr>
            <w:r w:rsidRPr="001E1D5F">
              <w:rPr>
                <w:b/>
                <w:bCs/>
                <w:sz w:val="21"/>
                <w:szCs w:val="21"/>
                <w:lang w:eastAsia="en-GB"/>
              </w:rPr>
              <w:t>Climate Change Impact</w:t>
            </w:r>
            <w:r w:rsidRPr="001E1D5F">
              <w:rPr>
                <w:sz w:val="21"/>
                <w:szCs w:val="21"/>
                <w:lang w:eastAsia="en-GB"/>
              </w:rPr>
              <w:t xml:space="preserve"> = </w:t>
            </w:r>
            <w:proofErr w:type="gramStart"/>
            <w:r w:rsidRPr="001E1D5F">
              <w:rPr>
                <w:sz w:val="21"/>
                <w:szCs w:val="21"/>
                <w:lang w:eastAsia="en-GB"/>
              </w:rPr>
              <w:t>∑(</w:t>
            </w:r>
            <w:proofErr w:type="gramEnd"/>
            <w:r w:rsidRPr="001E1D5F">
              <w:rPr>
                <w:sz w:val="21"/>
                <w:szCs w:val="21"/>
                <w:lang w:eastAsia="en-GB"/>
              </w:rPr>
              <w:t>Biogenic Emissions + Fossil Emissions + Land Use Change Emissions), where:</w:t>
            </w:r>
          </w:p>
          <w:p w14:paraId="240D5EDE" w14:textId="77777777" w:rsidR="001E1D5F" w:rsidRPr="001E1D5F" w:rsidRDefault="001E1D5F" w:rsidP="001E1D5F">
            <w:pPr>
              <w:spacing w:before="60" w:line="276" w:lineRule="auto"/>
              <w:jc w:val="center"/>
              <w:rPr>
                <w:sz w:val="21"/>
                <w:szCs w:val="21"/>
                <w:lang w:eastAsia="en-GB"/>
              </w:rPr>
            </w:pPr>
            <w:r w:rsidRPr="001E1D5F">
              <w:rPr>
                <w:b/>
                <w:bCs/>
                <w:sz w:val="21"/>
                <w:szCs w:val="21"/>
                <w:lang w:eastAsia="en-GB"/>
              </w:rPr>
              <w:t>Biogenic Emissions</w:t>
            </w:r>
            <w:r w:rsidRPr="001E1D5F">
              <w:rPr>
                <w:sz w:val="21"/>
                <w:szCs w:val="21"/>
                <w:lang w:eastAsia="en-GB"/>
              </w:rPr>
              <w:t xml:space="preserve"> = (CH₄ emissions from biogenic sources) × Global Warming Potential (GWP of CH₄) + CO₂ from natural sources, </w:t>
            </w:r>
            <w:r w:rsidRPr="001E1D5F">
              <w:rPr>
                <w:b/>
                <w:bCs/>
                <w:sz w:val="21"/>
                <w:szCs w:val="21"/>
                <w:lang w:eastAsia="en-GB"/>
              </w:rPr>
              <w:t>Fossil Emissions</w:t>
            </w:r>
            <w:r w:rsidRPr="001E1D5F">
              <w:rPr>
                <w:sz w:val="21"/>
                <w:szCs w:val="21"/>
                <w:lang w:eastAsia="en-GB"/>
              </w:rPr>
              <w:t xml:space="preserve"> = Total CO₂ from fossil fuel combustion, </w:t>
            </w:r>
            <w:r w:rsidRPr="001E1D5F">
              <w:rPr>
                <w:b/>
                <w:bCs/>
                <w:sz w:val="21"/>
                <w:szCs w:val="21"/>
                <w:lang w:eastAsia="en-GB"/>
              </w:rPr>
              <w:t>Land Use Change Emissions</w:t>
            </w:r>
            <w:r w:rsidRPr="001E1D5F">
              <w:rPr>
                <w:sz w:val="21"/>
                <w:szCs w:val="21"/>
                <w:lang w:eastAsia="en-GB"/>
              </w:rPr>
              <w:t xml:space="preserve"> = Net CO₂ released due to deforestation or other land alterations.</w:t>
            </w:r>
          </w:p>
        </w:tc>
        <w:tc>
          <w:tcPr>
            <w:tcW w:w="1559" w:type="dxa"/>
            <w:vAlign w:val="center"/>
          </w:tcPr>
          <w:p w14:paraId="2FFD36D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kilograms of carbon dioxide equivalents (kg </w:t>
            </w:r>
            <w:proofErr w:type="spellStart"/>
            <w:r w:rsidRPr="001E1D5F">
              <w:rPr>
                <w:rFonts w:cs="Calibri"/>
                <w:color w:val="000000"/>
                <w:sz w:val="21"/>
                <w:szCs w:val="21"/>
                <w:lang w:eastAsia="en-GB"/>
              </w:rPr>
              <w:t>CO₂e</w:t>
            </w:r>
            <w:proofErr w:type="spellEnd"/>
            <w:r w:rsidRPr="001E1D5F">
              <w:rPr>
                <w:rFonts w:cs="Calibri"/>
                <w:color w:val="000000"/>
                <w:sz w:val="21"/>
                <w:szCs w:val="21"/>
                <w:lang w:eastAsia="en-GB"/>
              </w:rPr>
              <w:t>)</w:t>
            </w:r>
          </w:p>
        </w:tc>
        <w:tc>
          <w:tcPr>
            <w:tcW w:w="3915" w:type="dxa"/>
            <w:vAlign w:val="center"/>
          </w:tcPr>
          <w:p w14:paraId="202E189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Packaging, Food, Construction, Automotive</w:t>
            </w:r>
          </w:p>
        </w:tc>
        <w:tc>
          <w:tcPr>
            <w:tcW w:w="1618" w:type="dxa"/>
            <w:vAlign w:val="center"/>
          </w:tcPr>
          <w:p w14:paraId="237353EB" w14:textId="69B1ACC4"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WcPEewHG","properties":{"formattedCitation":"[52\\uc0\\u8211{}54,60\\uc0\\u8211{}62]","plainCitation":"[52–54,60–62]","noteIndex":0},"citationItems":[{"id":3146,"uris":["http://zotero.org/users/local/05JQq5lJ/items/9BATZU2T"],"itemData":{"id":3146,"type":"article-journal","abstract":"Sodium-ion batteries are considered promising alternatives to lithium-ion technology; however, the diffusion on a commercial scale is hindered by the struggle to identify materials with high electrochemical performances. Studies available in the literature are mainly focused on electrochemical performance and neglect aspects related to the environmental sustainability. In fact, the current state-of-the-art (presented in this study) shows that life cycle assessment (LCA) studies related to the production processes of electrode materials for Na-ion batteries are still very limited. The LCA methodology applied during the development of a technology phase can constitute a valid support for an eco-oriented design and, therefore, to the choice of solutions characterized by a lower environmental impact with the same electrochemical performance. In this context, a life cycle-based environmental–economic assessment was performed to evaluate the environmental impacts of the production process of cathode and anode materials for sodium-ion batteries. The study is focused on the cathodic active material Na0.66MnO2, considering two synthesis paths, and the anodic material consisting of tin (Sn) and Sn-carbon nanofiber (Sn-Cn) active material, binder, and other additives. Results illustrate the environmental performance of the different materials and constitute a useful input for their selection within an eco-design view.","container-title":"Energies","DOI":"10.3390/en16176220","ISSN":"1996-1073","issue":"17","language":"en","license":"http://creativecommons.org/licenses/by/3.0/","note":"number: 17\npublisher: Multidisciplinary Digital Publishing Institute","page":"6220","source":"www.mdpi.com","title":"LCA and C-LCC Indicator as Tools for Sodium-Ion Batteries’ Eco-Design","volume":"16","author":[{"family":"Carvalho","given":"Maria Leonor"},{"family":"Cusenza","given":"Maria Anna"},{"family":"Mela","given":"Giulio"},{"family":"Temporelli","given":"Andrea"},{"family":"Quinzeni","given":"Irene"},{"family":"Girardi","given":"Pierpaolo"}],"issued":{"date-parts":[["2023",1]]}}},{"id":3140,"uris":["http://zotero.org/users/local/05JQq5lJ/items/4VZCECZY"],"itemData":{"id":3140,"type":"article-journal","abstract":"The environmental impacts of buildings are based on the construction products, which together with their packaging can be assessed as one product system. To reduce the environmental impacts of buildings, the products and their packaging need to be optimised and analysed using environmental assessment. The purpose of this study is to assess the packaging related to the product according to the Life Cycle Assessment method. The environmental assessment was performed using the Product Environmental Footprint methodology, version 3.0. To compare the primary, secondary, and tertiary packaging, the results of the climate change indicator were used as a base to calculate the Package-to-Product (PtP) indicator. Among the considered scenarios to handle the waste packaging (landfilling scenario, material recovery scenario, energy recovery scenario, and the mixed scenario), the material recovery scenario is the most preferable and, for most of the packaging materials, the scenario with the lowest impact. Following the PtP result, the secondary packaging in the roof tile system has a significant share of the impact of the whole system (16% for the energy recovery scenario). Moreover, the results confirm the PtP indicator as the appropriate indicator to analyse the environmental impacts of construction products.","container-title":"Sustainability","DOI":"10.3390/su122310094","ISSN":"2071-1050","issue":"23","language":"en","license":"http://creativecommons.org/licenses/by/3.0/","note":"number: 23\npublisher: Multidisciplinary Digital Publishing Institute","page":"10094","source":"www.mdpi.com","title":"Carbon Footprint Assessment of Construction Waste Packaging Using the Package-to-Product Indicator","volume":"12","author":[{"family":"Pešta","given":"Jan"},{"family":"Šerešová","given":"Markéta"},{"family":"Kočí","given":"Vladimír"}],"issued":{"date-parts":[["2020",1]]}}},{"id":3107,"uris":["http://zotero.org/users/local/05JQq5lJ/items/9NMSG525"],"itemData":{"id":3107,"type":"article-journal","abstract":"This study discusses the significance of the use of non-renewable fossil cumulative energy demand (CED) as proxy indicator in the beverage packaging sector, in order to detect those situations in which companies can benefit from the use of proxy indicators before a full life cycle assessment (LCA) application. Starting from a case study of two milk containers, the objectives of this paper are to assess if the use of this inventory indicator can be a suitable proxy indicator both (1) to decide which is the packaging alternative with the lowest environmental impact and (2) to identify the most impacting process units of the two products under study.","container-title":"The International Journal of Life Cycle Assessment","DOI":"10.1007/s11367-012-0484-x","ISSN":"1614-7502","issue":"3","journalAbbreviation":"Int J Life Cycle Assess","language":"en","page":"673-682","source":"Springer Link","title":"Significance of the use of non-renewable fossil CED as proxy indicator for screening LCA in the beverage packaging sector","volume":"18","author":[{"family":"Scipioni","given":"Antonio"},{"family":"Niero","given":"Monia"},{"family":"Mazzi","given":"Anna"},{"family":"Manzardo","given":"Alessandro"},{"family":"Piubello","given":"Sara"}],"issued":{"date-parts":[["2013",3,1]]}}},{"id":3142,"uris":["http://zotero.org/users/local/05JQq5lJ/items/2ILD2D86"],"itemData":{"id":3142,"type":"article-journal","abstract":"Today, packaging is an integral part of most foods and beverages. However, excessive and just one-time applications of packaging can bring about indisputable environmental impacts in the form of large amounts of waste generated. If we want to monitor the environmental impacts of packaging materials, it is advisable to assess them in a complex way including not only the specific packaging but also specific products. No universal methodology currently exists that would enable this type of complex assessment regarding the environmental impacts of packaging in relation to particular products. Therefore, the aim of our study was to develop and test a Package-to-Product (PtP) indicator. For this purpose, the life cycle assessment (LCA) was employed to analyse four selected products considering different life cycle stages of packaging and their impacts on the climate change category. The results of the study confirm that the values of the PtP indicator significantly differ for various products, thus emphasising the need to establish a uniform methodology for individual product groups, such as meat, dairy and vegetable products or beverages. The application of this indicator, however, enables a clear impact assessment of different packaging materials and allows the packaging manufacturers to reduce their overall environmental impacts.","container-title":"Sustainability","DOI":"10.3390/su12073034","ISSN":"2071-1050","issue":"7","language":"en","license":"http://creativecommons.org/licenses/by/3.0/","note":"number: 7\npublisher: Multidisciplinary Digital Publishing Institute","page":"3034","source":"www.mdpi.com","title":"Proposal of Package-to-Product Indicator for Carbon Footprint Assessment with Focus on the Czech Republic","volume":"12","author":[{"family":"Šerešová","given":"Markéta"},{"family":"Kočí","given":"Vladimír"}],"issued":{"date-parts":[["2020",1]]}}},{"id":3154,"uris":["http://zotero.org/users/local/05JQq5lJ/items/3PQH27YZ"],"itemData":{"id":3154,"type":"paper-conference","abstract":"Life Cycle Assessment (LCA) is a method through which the environmental impacts of a product or system is analyzed, during its life cycle, in terms of sustainability. The transport sector is one of the largest contributors to climate change, pollution and noise emissions. E-mobility and electric vehicles offer a major opportunity to solve the external negative effects associated with internal combustion engines. Therefore, the development of electric vehicle (EV) technology plays an important role in sustainable transport. In this study the main aspects which must be taken into account to accomplish a more accurate analysis of the environmental impact of electrical vehicles are discussed. Thus, the goal of this paper is setting up the indicators in order to deploy an LCA analysis of a battery electric vehicle. Dividing the EV into subsystems, an analysis was started on permanent magnets in the electric motor.","container-title":"2019 Electric Vehicles International Conference (EV)","DOI":"10.1109/EV.2019.8892893","event-title":"2019 Electric Vehicles International Conference (EV)","page":"1-5","source":"IEEE Xplore","title":"LCA Indicators in Electric Vehicles Environmental Impact Assessment","URL":"https://ieeexplore.ieee.org/abstract/document/8892893?casa_token=sqmPx0h5eIgAAAAA:U36MMehFnp_unz3oMzUXUM6vME56J7JfzKCMMdoX_q8v3EXarVG6c5LdJA_xKgy0JfhT90WwDvA","author":[{"family":"Tintelecan","given":"Adriana"},{"family":"Dobra","given":"Anca Constantinescu"},{"family":"Marţiş","given":"Claudia"}],"accessed":{"date-parts":[["2024",11,13]]},"issued":{"date-parts":[["2019",7]]}}},{"id":3117,"uris":["http://zotero.org/users/local/05JQq5lJ/items/VXJXUJQI"],"itemData":{"id":3117,"type":"article-journal","abstract":"Environmental indicators help to understand impacts and pollution issues. In the food production field, there is a need for an indicator (index) that provides the right information to the decision-maker regarding improvements and that is useful for making comparisons among companies. Among the research methodologies for establishing thresholds and assigning scores, the life-cycle assessment (LCA) approach was selected. The LCA was applied to chocolate production in an Italian medium-sized enterprise in the Piedmont region. Results have been used as a starting point to identify the critical environmental aspects of the 'gate-to-gate' life-cycle system, evaluating them like scores to compare other local chocolate production. The LCA case study shows that the most significant environmental aspects are energy consumption, depletion of non-renewable resources, and climate change. Some of the primary unavailable data for the life-cycle inventory phase and the need to adopt the same initial hypotheses to carry out comparative studies are the main limitations of the LCA application.","container-title":"International Journal of Environment and Health","DOI":"10.1504/IJENVH.2016.077660","ISSN":"1743-4955","issue":"1","note":"publisher: Inderscience Publishers","page":"21-37","source":"inderscienceonline.com (Atypon)","title":"Life cycle assessment as a tool to integrate environmental indicators in food products: a chocolate LCA case study","title-short":"Life cycle assessment as a tool to integrate environmental indicators in food products","volume":"8","author":[{"family":"Vesce","given":"Enrica"},{"family":"Olivieri","given":"Germana"},{"family":"Pairotti","given":"Maria Beatrice"},{"family":"Romani","given":"Annalisa"},{"family":"Beltramo","given":"Riccardo"}],"issued":{"date-parts":[["2016",1]]}}}],"schema":"https://github.com/citation-style-language/schema/raw/master/csl-citation.json"}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[52–54,60–62]</w:t>
            </w:r>
            <w:r w:rsidRPr="001E1D5F">
              <w:rPr>
                <w:rFonts w:cs="Calibri"/>
                <w:color w:val="000000"/>
                <w:sz w:val="21"/>
                <w:szCs w:val="21"/>
                <w:lang w:eastAsia="en-GB"/>
              </w:rPr>
              <w:fldChar w:fldCharType="end"/>
            </w:r>
          </w:p>
        </w:tc>
      </w:tr>
      <w:tr w:rsidR="001E1D5F" w:rsidRPr="001E1D5F" w14:paraId="1A6297C2" w14:textId="77777777" w:rsidTr="00040455">
        <w:tblPrEx>
          <w:jc w:val="left"/>
        </w:tblPrEx>
        <w:trPr>
          <w:trHeight w:val="300"/>
        </w:trPr>
        <w:tc>
          <w:tcPr>
            <w:tcW w:w="16165" w:type="dxa"/>
            <w:gridSpan w:val="6"/>
            <w:shd w:val="clear" w:color="auto" w:fill="E7E6E6" w:themeFill="background2"/>
            <w:noWrap/>
            <w:vAlign w:val="center"/>
          </w:tcPr>
          <w:p w14:paraId="046E6698" w14:textId="77777777" w:rsidR="001E1D5F" w:rsidRPr="001E1D5F" w:rsidRDefault="001E1D5F" w:rsidP="001E1D5F">
            <w:pPr>
              <w:spacing w:before="60"/>
              <w:rPr>
                <w:rFonts w:cs="Calibri"/>
                <w:color w:val="000000"/>
                <w:sz w:val="21"/>
                <w:szCs w:val="21"/>
                <w:lang w:eastAsia="en-GB"/>
              </w:rPr>
            </w:pPr>
            <w:r w:rsidRPr="001E1D5F">
              <w:rPr>
                <w:rFonts w:cs="Calibri"/>
                <w:b/>
                <w:bCs/>
                <w:color w:val="000000"/>
                <w:sz w:val="21"/>
                <w:szCs w:val="21"/>
                <w:lang w:eastAsia="en-GB"/>
              </w:rPr>
              <w:t>Indicator Group E3: Environmental – Economic Trade-Off Metrics</w:t>
            </w:r>
          </w:p>
        </w:tc>
      </w:tr>
      <w:tr w:rsidR="001E1D5F" w:rsidRPr="001E1D5F" w14:paraId="5E2B59BB" w14:textId="77777777" w:rsidTr="00040455">
        <w:tblPrEx>
          <w:jc w:val="left"/>
        </w:tblPrEx>
        <w:trPr>
          <w:trHeight w:val="300"/>
        </w:trPr>
        <w:tc>
          <w:tcPr>
            <w:tcW w:w="1985" w:type="dxa"/>
            <w:noWrap/>
            <w:vAlign w:val="center"/>
          </w:tcPr>
          <w:p w14:paraId="5364AC57"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Cost-Benefit Ratio</w:t>
            </w:r>
          </w:p>
        </w:tc>
        <w:tc>
          <w:tcPr>
            <w:tcW w:w="1560" w:type="dxa"/>
            <w:noWrap/>
            <w:vAlign w:val="center"/>
          </w:tcPr>
          <w:p w14:paraId="58346EA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Composite</w:t>
            </w:r>
          </w:p>
        </w:tc>
        <w:tc>
          <w:tcPr>
            <w:tcW w:w="5528" w:type="dxa"/>
            <w:vAlign w:val="center"/>
          </w:tcPr>
          <w:p w14:paraId="6E85EFD5"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Cost-Benefit Ratio (CBR)</w:t>
            </w:r>
            <w:r w:rsidRPr="001E1D5F">
              <w:rPr>
                <w:rFonts w:cs="Calibri"/>
                <w:color w:val="000000"/>
                <w:sz w:val="21"/>
                <w:szCs w:val="21"/>
                <w:lang w:eastAsia="en-GB"/>
              </w:rPr>
              <w:t xml:space="preserve"> = Total Benefits/Total Costs, </w:t>
            </w:r>
            <w:r w:rsidRPr="001E1D5F">
              <w:rPr>
                <w:rFonts w:ascii="Arial" w:hAnsi="Arial" w:cs="Arial"/>
                <w:color w:val="000000"/>
                <w:sz w:val="21"/>
                <w:szCs w:val="21"/>
                <w:lang w:eastAsia="en-GB"/>
              </w:rPr>
              <w:t>​</w:t>
            </w:r>
          </w:p>
          <w:p w14:paraId="234E9F3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where: </w:t>
            </w:r>
            <w:r w:rsidRPr="001E1D5F">
              <w:rPr>
                <w:rFonts w:cs="Calibri"/>
                <w:b/>
                <w:bCs/>
                <w:color w:val="000000"/>
                <w:sz w:val="21"/>
                <w:szCs w:val="21"/>
                <w:lang w:eastAsia="en-GB"/>
              </w:rPr>
              <w:t>Total Benefits</w:t>
            </w:r>
            <w:r w:rsidRPr="001E1D5F">
              <w:rPr>
                <w:rFonts w:cs="Calibri"/>
                <w:color w:val="000000"/>
                <w:sz w:val="21"/>
                <w:szCs w:val="21"/>
                <w:lang w:eastAsia="en-GB"/>
              </w:rPr>
              <w:t xml:space="preserve"> is the sum of all monetary, environmental, or other measurable benefits gained from the investment (e.g., money saved, CO₂ emissions reduced, resources conserved), </w:t>
            </w:r>
            <w:r w:rsidRPr="001E1D5F">
              <w:rPr>
                <w:rFonts w:cs="Calibri"/>
                <w:b/>
                <w:bCs/>
                <w:color w:val="000000"/>
                <w:sz w:val="21"/>
                <w:szCs w:val="21"/>
                <w:lang w:eastAsia="en-GB"/>
              </w:rPr>
              <w:t>Total Costs</w:t>
            </w:r>
            <w:r w:rsidRPr="001E1D5F">
              <w:rPr>
                <w:rFonts w:cs="Calibri"/>
                <w:color w:val="000000"/>
                <w:sz w:val="21"/>
                <w:szCs w:val="21"/>
                <w:lang w:eastAsia="en-GB"/>
              </w:rPr>
              <w:t xml:space="preserve"> is the sum of all expenses incurred to implement the action or measure (e.g., indicator application costs, production costs, and associated operational costs).</w:t>
            </w:r>
          </w:p>
        </w:tc>
        <w:tc>
          <w:tcPr>
            <w:tcW w:w="1559" w:type="dxa"/>
            <w:vAlign w:val="center"/>
          </w:tcPr>
          <w:p w14:paraId="1A3DC1F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Dimensionless Measure</w:t>
            </w:r>
          </w:p>
        </w:tc>
        <w:tc>
          <w:tcPr>
            <w:tcW w:w="3915" w:type="dxa"/>
            <w:vAlign w:val="center"/>
          </w:tcPr>
          <w:p w14:paraId="4E47E0A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Food Packaging</w:t>
            </w:r>
          </w:p>
        </w:tc>
        <w:tc>
          <w:tcPr>
            <w:tcW w:w="1618" w:type="dxa"/>
            <w:vAlign w:val="center"/>
          </w:tcPr>
          <w:p w14:paraId="3683178D" w14:textId="1003C71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{"citationID":"Te9ZKSVd","properties":{"formattedCitation":"[63]","plainCitation":"[63]","noteIndex":0},"citationItems":[{"id":3150,"uris":["http://zotero.org/users/local/05JQq5lJ/items/ZW92FA8U"],"itemData":{"id":3150,"type":"article-journal","abstract":"Food waste is a major challenge for society, causing economic, environmental and social problems. Time-temperature indicators showing a dynamic expiry date are discussed as one promising technology to help reducing food waste along the food supply chain of perishable foods like fish. In the present article, the implementation of the time-temperature indicator Keep-it® as an alternative date coding method on prepacked salmon in HelloFresh meal boxes is assessed regarding its effectiveness on reducing food waste and its sustainability across the economic and environmental dimension. In a first step, an online survey among 1589 HelloFresh customers was used to determine consumers’ understanding and perception of the Keep-it® indicator and to estimate its potential impact on food waste-related behavior. Results show that the Keep-it® indicator was perceived to be reliable, helpful and intuitive to use (mean values of these attributes range between 3.7 and 4.3 on a five-point Likert scale). In contrast, more than half of the participants could not correctly interpret the meaning of currently used expiry dates (use-by and best before). Furthermore, results indicate that the Keep-it® indicator has the potential to reduce food waste at consumer level. In a second step, results of the survey were used to quantify the potential amount of food waste reduction and to evaluate the economic and environmental impacts of the Keep-it® indicator implementation along the food chain using the calculated Cost-Benefit Ratio. Per one EUR invested, using the Keep-it® indicator instead of the currently used use-by date results in 0.1 kg food saved from becoming waste, 0.44 kg CO2eq less emitted and 2.05 € less spent.","container-title":"Journal of Cleaner Production","DOI":"10.1016/j.jclepro.2023.136183","ISSN":"0959-6526","journalAbbreviation":"Journal of Cleaner Production","page":"136183","source":"ScienceDirect","title":"Economic and environmental assessment of food waste reduction measures – Trialing a time-temperature indicator on salmon in HelloFresh meal boxes","volume":"392","author":[{"family":"Lehn","given":"Friederike"},{"family":"Goossens","given":"Yanne"},{"family":"Schmidt","given":"Thomas"}],"issued":{"date-parts":[["2023",3,15]]}}}],"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[63]</w:t>
            </w:r>
            <w:r w:rsidRPr="001E1D5F">
              <w:rPr>
                <w:rFonts w:cs="Calibri"/>
                <w:color w:val="000000"/>
                <w:sz w:val="21"/>
                <w:szCs w:val="21"/>
                <w:lang w:eastAsia="en-GB"/>
              </w:rPr>
              <w:fldChar w:fldCharType="end"/>
            </w:r>
          </w:p>
        </w:tc>
      </w:tr>
      <w:tr w:rsidR="001E1D5F" w:rsidRPr="001E1D5F" w14:paraId="690D5456" w14:textId="77777777" w:rsidTr="00040455">
        <w:tblPrEx>
          <w:jc w:val="left"/>
        </w:tblPrEx>
        <w:trPr>
          <w:trHeight w:val="300"/>
        </w:trPr>
        <w:tc>
          <w:tcPr>
            <w:tcW w:w="1985" w:type="dxa"/>
            <w:noWrap/>
            <w:vAlign w:val="center"/>
          </w:tcPr>
          <w:p w14:paraId="401E4F26"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Net Environmental Benefit</w:t>
            </w:r>
          </w:p>
        </w:tc>
        <w:tc>
          <w:tcPr>
            <w:tcW w:w="1560" w:type="dxa"/>
            <w:noWrap/>
            <w:vAlign w:val="center"/>
          </w:tcPr>
          <w:p w14:paraId="65CF341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Composite</w:t>
            </w:r>
          </w:p>
        </w:tc>
        <w:tc>
          <w:tcPr>
            <w:tcW w:w="5528" w:type="dxa"/>
            <w:vAlign w:val="center"/>
          </w:tcPr>
          <w:p w14:paraId="590DC3D9"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NEB</w:t>
            </w:r>
            <w:r w:rsidRPr="001E1D5F">
              <w:rPr>
                <w:rFonts w:cs="Calibri"/>
                <w:color w:val="000000"/>
                <w:sz w:val="21"/>
                <w:szCs w:val="21"/>
                <w:lang w:eastAsia="en-GB"/>
              </w:rPr>
              <w:t>=Total Environmental Savings−Total Environmental Costs</w:t>
            </w:r>
          </w:p>
        </w:tc>
        <w:tc>
          <w:tcPr>
            <w:tcW w:w="1559" w:type="dxa"/>
            <w:vAlign w:val="center"/>
          </w:tcPr>
          <w:p w14:paraId="001F3AD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Monetary value, Energy Consumption (</w:t>
            </w:r>
            <w:proofErr w:type="spellStart"/>
            <w:proofErr w:type="gramStart"/>
            <w:r w:rsidRPr="001E1D5F">
              <w:rPr>
                <w:rFonts w:cs="Calibri"/>
                <w:color w:val="000000"/>
                <w:sz w:val="21"/>
                <w:szCs w:val="21"/>
                <w:lang w:eastAsia="en-GB"/>
              </w:rPr>
              <w:t>MJ,kWh</w:t>
            </w:r>
            <w:proofErr w:type="spellEnd"/>
            <w:proofErr w:type="gramEnd"/>
            <w:r w:rsidRPr="001E1D5F">
              <w:rPr>
                <w:rFonts w:cs="Calibri"/>
                <w:color w:val="000000"/>
                <w:sz w:val="21"/>
                <w:szCs w:val="21"/>
                <w:lang w:eastAsia="en-GB"/>
              </w:rPr>
              <w:t>), Resource Use (kg) or Carbon Footprint (</w:t>
            </w:r>
            <w:proofErr w:type="spellStart"/>
            <w:r w:rsidRPr="001E1D5F">
              <w:rPr>
                <w:rFonts w:cs="Calibri"/>
                <w:color w:val="000000"/>
                <w:sz w:val="21"/>
                <w:szCs w:val="21"/>
                <w:lang w:eastAsia="en-GB"/>
              </w:rPr>
              <w:t>COe</w:t>
            </w:r>
            <w:proofErr w:type="spellEnd"/>
            <w:r w:rsidRPr="001E1D5F">
              <w:rPr>
                <w:rFonts w:cs="Calibri"/>
                <w:color w:val="000000"/>
                <w:sz w:val="21"/>
                <w:szCs w:val="21"/>
                <w:lang w:eastAsia="en-GB"/>
              </w:rPr>
              <w:t>)</w:t>
            </w:r>
          </w:p>
        </w:tc>
        <w:tc>
          <w:tcPr>
            <w:tcW w:w="3915" w:type="dxa"/>
            <w:vAlign w:val="center"/>
          </w:tcPr>
          <w:p w14:paraId="4921303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Food Packaging </w:t>
            </w:r>
          </w:p>
        </w:tc>
        <w:tc>
          <w:tcPr>
            <w:tcW w:w="1618" w:type="dxa"/>
            <w:vAlign w:val="center"/>
          </w:tcPr>
          <w:p w14:paraId="19443761" w14:textId="658B7A29"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{"citationID":"6OV11IQj","properties":{"formattedCitation":"[63]","plainCitation":"[63]","noteIndex":0},"citationItems":[{"id":3150,"uris":["http://zotero.org/users/local/05JQq5lJ/items/ZW92FA8U"],"itemData":{"id":3150,"type":"article-journal","abstract":"Food waste is a major challenge for society, causing economic, environmental and social problems. Time-temperature indicators showing a dynamic expiry date are discussed as one promising technology to help reducing food waste along the food supply chain of perishable foods like fish. In the present article, the implementation of the time-temperature indicator Keep-it® as an alternative date coding method on prepacked salmon in HelloFresh meal boxes is assessed regarding its effectiveness on reducing food waste and its sustainability across the economic and environmental dimension. In a first step, an online survey among 1589 HelloFresh customers was used to determine consumers’ understanding and perception of the Keep-it® indicator and to estimate its potential impact on food waste-related behavior. Results show that the Keep-it® indicator was perceived to be reliable, helpful and intuitive to use (mean values of these attributes range between 3.7 and 4.3 on a five-point Likert scale). In contrast, more than half of the participants could not correctly interpret the meaning of currently used expiry dates (use-by and best before). Furthermore, results indicate that the Keep-it® indicator has the potential to reduce food waste at consumer level. In a second step, results of the survey were used to quantify the potential amount of food waste reduction and to evaluate the economic and environmental impacts of the Keep-it® indicator implementation along the food chain using the calculated Cost-Benefit Ratio. Per one EUR invested, using the Keep-it® indicator instead of the currently used use-by date results in 0.1 kg food saved from becoming waste, 0.44 kg CO2eq less emitted and 2.05 € less spent.","container-title":"Journal of Cleaner Production","DOI":"10.1016/j.jclepro.2023.136183","ISSN":"0959-6526","journalAbbreviation":"Journal of Cleaner Production","page":"136183","source":"ScienceDirect","title":"Economic and environmental assessment of food waste reduction measures – Trialing a time-temperature indicator on salmon in HelloFresh meal boxes","volume":"392","author":[{"family":"Lehn","given":"Friederike"},{"family":"Goossens","given":"Yanne"},{"family":"Schmidt","given":"Thomas"}],"issued":{"date-parts":[["2023",3,15]]}}}],"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[63]</w:t>
            </w:r>
            <w:r w:rsidRPr="001E1D5F">
              <w:rPr>
                <w:rFonts w:cs="Calibri"/>
                <w:color w:val="000000"/>
                <w:sz w:val="21"/>
                <w:szCs w:val="21"/>
                <w:lang w:eastAsia="en-GB"/>
              </w:rPr>
              <w:fldChar w:fldCharType="end"/>
            </w:r>
          </w:p>
        </w:tc>
      </w:tr>
      <w:tr w:rsidR="001E1D5F" w:rsidRPr="001E1D5F" w14:paraId="44F268CA" w14:textId="77777777" w:rsidTr="00040455">
        <w:tblPrEx>
          <w:jc w:val="left"/>
        </w:tblPrEx>
        <w:trPr>
          <w:trHeight w:val="300"/>
        </w:trPr>
        <w:tc>
          <w:tcPr>
            <w:tcW w:w="16165" w:type="dxa"/>
            <w:gridSpan w:val="6"/>
            <w:shd w:val="clear" w:color="auto" w:fill="E7E6E6" w:themeFill="background2"/>
            <w:noWrap/>
            <w:vAlign w:val="center"/>
          </w:tcPr>
          <w:p w14:paraId="3F6947C0" w14:textId="77777777" w:rsidR="001E1D5F" w:rsidRPr="001E1D5F" w:rsidRDefault="001E1D5F" w:rsidP="001E1D5F">
            <w:pPr>
              <w:spacing w:before="60"/>
              <w:rPr>
                <w:rFonts w:cs="Calibri"/>
                <w:color w:val="000000"/>
                <w:sz w:val="21"/>
                <w:szCs w:val="21"/>
                <w:lang w:eastAsia="en-GB"/>
              </w:rPr>
            </w:pPr>
            <w:r w:rsidRPr="001E1D5F">
              <w:rPr>
                <w:rFonts w:cs="Calibri"/>
                <w:b/>
                <w:bCs/>
                <w:color w:val="000000"/>
                <w:sz w:val="21"/>
                <w:szCs w:val="21"/>
                <w:lang w:eastAsia="en-GB"/>
              </w:rPr>
              <w:lastRenderedPageBreak/>
              <w:t>Indicator Group E4: Packaging</w:t>
            </w:r>
          </w:p>
        </w:tc>
      </w:tr>
      <w:tr w:rsidR="001E1D5F" w:rsidRPr="001E1D5F" w14:paraId="70113A11" w14:textId="77777777" w:rsidTr="00040455">
        <w:tblPrEx>
          <w:jc w:val="left"/>
        </w:tblPrEx>
        <w:trPr>
          <w:trHeight w:val="300"/>
        </w:trPr>
        <w:tc>
          <w:tcPr>
            <w:tcW w:w="1985" w:type="dxa"/>
            <w:noWrap/>
            <w:vAlign w:val="center"/>
          </w:tcPr>
          <w:p w14:paraId="22AAF7A2" w14:textId="77777777" w:rsidR="001E1D5F" w:rsidRPr="001E1D5F" w:rsidRDefault="001E1D5F" w:rsidP="001E1D5F">
            <w:pPr>
              <w:spacing w:before="60"/>
              <w:ind w:firstLineChars="100" w:firstLine="210"/>
              <w:jc w:val="center"/>
              <w:rPr>
                <w:rFonts w:cs="Calibri"/>
                <w:color w:val="000000"/>
                <w:sz w:val="21"/>
                <w:szCs w:val="21"/>
                <w:lang w:eastAsia="en-GB"/>
              </w:rPr>
            </w:pPr>
            <w:r w:rsidRPr="001E1D5F">
              <w:rPr>
                <w:rFonts w:cs="Calibri"/>
                <w:color w:val="000000"/>
                <w:sz w:val="21"/>
                <w:szCs w:val="21"/>
                <w:lang w:eastAsia="en-GB"/>
              </w:rPr>
              <w:t>Package-to-Product (</w:t>
            </w:r>
            <w:proofErr w:type="spellStart"/>
            <w:r w:rsidRPr="001E1D5F">
              <w:rPr>
                <w:rFonts w:cs="Calibri"/>
                <w:color w:val="000000"/>
                <w:sz w:val="21"/>
                <w:szCs w:val="21"/>
                <w:lang w:eastAsia="en-GB"/>
              </w:rPr>
              <w:t>PtP</w:t>
            </w:r>
            <w:proofErr w:type="spellEnd"/>
            <w:r w:rsidRPr="001E1D5F">
              <w:rPr>
                <w:rFonts w:cs="Calibri"/>
                <w:color w:val="000000"/>
                <w:sz w:val="21"/>
                <w:szCs w:val="21"/>
                <w:lang w:eastAsia="en-GB"/>
              </w:rPr>
              <w:t>) Indicator</w:t>
            </w:r>
          </w:p>
        </w:tc>
        <w:tc>
          <w:tcPr>
            <w:tcW w:w="1560" w:type="dxa"/>
            <w:noWrap/>
            <w:vAlign w:val="center"/>
          </w:tcPr>
          <w:p w14:paraId="13EACB0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Composite</w:t>
            </w:r>
          </w:p>
        </w:tc>
        <w:tc>
          <w:tcPr>
            <w:tcW w:w="5528" w:type="dxa"/>
            <w:vAlign w:val="center"/>
          </w:tcPr>
          <w:p w14:paraId="317CC3AF" w14:textId="77777777" w:rsidR="001E1D5F" w:rsidRPr="001E1D5F" w:rsidRDefault="001E1D5F" w:rsidP="001E1D5F">
            <w:pPr>
              <w:spacing w:before="60"/>
              <w:jc w:val="center"/>
              <w:rPr>
                <w:rFonts w:cs="Calibri"/>
                <w:color w:val="000000"/>
                <w:sz w:val="21"/>
                <w:szCs w:val="21"/>
                <w:lang w:eastAsia="en-GB"/>
              </w:rPr>
            </w:pPr>
            <w:proofErr w:type="spellStart"/>
            <w:proofErr w:type="gramStart"/>
            <w:r w:rsidRPr="001E1D5F">
              <w:rPr>
                <w:rFonts w:cs="Calibri"/>
                <w:b/>
                <w:bCs/>
                <w:color w:val="000000"/>
                <w:sz w:val="21"/>
                <w:szCs w:val="21"/>
                <w:lang w:eastAsia="en-GB"/>
              </w:rPr>
              <w:t>PtPCC</w:t>
            </w:r>
            <w:proofErr w:type="spellEnd"/>
            <w:r w:rsidRPr="001E1D5F">
              <w:rPr>
                <w:rFonts w:ascii="Arial" w:hAnsi="Arial" w:cs="Arial"/>
                <w:b/>
                <w:bCs/>
                <w:color w:val="000000"/>
                <w:sz w:val="21"/>
                <w:szCs w:val="21"/>
                <w:lang w:eastAsia="en-GB"/>
              </w:rPr>
              <w:t>​</w:t>
            </w:r>
            <w:r w:rsidRPr="001E1D5F">
              <w:rPr>
                <w:rFonts w:cs="Calibri"/>
                <w:b/>
                <w:bCs/>
                <w:color w:val="000000"/>
                <w:sz w:val="21"/>
                <w:szCs w:val="21"/>
                <w:lang w:eastAsia="en-GB"/>
              </w:rPr>
              <w:t>(</w:t>
            </w:r>
            <w:proofErr w:type="gramEnd"/>
            <w:r w:rsidRPr="001E1D5F">
              <w:rPr>
                <w:rFonts w:cs="Calibri"/>
                <w:b/>
                <w:bCs/>
                <w:color w:val="000000"/>
                <w:sz w:val="21"/>
                <w:szCs w:val="21"/>
                <w:lang w:eastAsia="en-GB"/>
              </w:rPr>
              <w:t>%)</w:t>
            </w:r>
            <w:r w:rsidRPr="001E1D5F">
              <w:rPr>
                <w:rFonts w:cs="Calibri"/>
                <w:color w:val="000000"/>
                <w:sz w:val="21"/>
                <w:szCs w:val="21"/>
                <w:lang w:eastAsia="en-GB"/>
              </w:rPr>
              <w:t xml:space="preserve"> = (∑</w:t>
            </w:r>
            <w:proofErr w:type="spellStart"/>
            <w:r w:rsidRPr="001E1D5F">
              <w:rPr>
                <w:rFonts w:cs="Calibri"/>
                <w:color w:val="000000"/>
                <w:sz w:val="21"/>
                <w:szCs w:val="21"/>
                <w:lang w:eastAsia="en-GB"/>
              </w:rPr>
              <w:t>CCPa</w:t>
            </w:r>
            <w:proofErr w:type="spellEnd"/>
            <w:r w:rsidRPr="001E1D5F">
              <w:rPr>
                <w:rFonts w:ascii="Arial" w:hAnsi="Arial" w:cs="Arial"/>
                <w:color w:val="000000"/>
                <w:sz w:val="21"/>
                <w:szCs w:val="21"/>
                <w:lang w:eastAsia="en-GB"/>
              </w:rPr>
              <w:t>​​</w:t>
            </w:r>
            <w:r w:rsidRPr="001E1D5F">
              <w:rPr>
                <w:rFonts w:cs="Calibri"/>
                <w:color w:val="000000"/>
                <w:sz w:val="21"/>
                <w:szCs w:val="21"/>
                <w:lang w:eastAsia="en-GB"/>
              </w:rPr>
              <w:t>/</w:t>
            </w:r>
            <w:proofErr w:type="spellStart"/>
            <w:r w:rsidRPr="001E1D5F">
              <w:rPr>
                <w:rFonts w:cs="Calibri"/>
                <w:color w:val="000000"/>
                <w:sz w:val="21"/>
                <w:szCs w:val="21"/>
                <w:lang w:eastAsia="en-GB"/>
              </w:rPr>
              <w:t>Σ</w:t>
            </w:r>
            <w:proofErr w:type="gramStart"/>
            <w:r w:rsidRPr="001E1D5F">
              <w:rPr>
                <w:rFonts w:cs="Calibri"/>
                <w:color w:val="000000"/>
                <w:sz w:val="21"/>
                <w:szCs w:val="21"/>
                <w:lang w:eastAsia="en-GB"/>
              </w:rPr>
              <w:t>CCPr</w:t>
            </w:r>
            <w:proofErr w:type="spellEnd"/>
            <w:r w:rsidRPr="001E1D5F">
              <w:rPr>
                <w:rFonts w:cs="Calibri"/>
                <w:color w:val="000000"/>
                <w:sz w:val="21"/>
                <w:szCs w:val="21"/>
                <w:lang w:eastAsia="en-GB"/>
              </w:rPr>
              <w:t>)×</w:t>
            </w:r>
            <w:proofErr w:type="gramEnd"/>
            <w:r w:rsidRPr="001E1D5F">
              <w:rPr>
                <w:rFonts w:cs="Calibri"/>
                <w:color w:val="000000"/>
                <w:sz w:val="21"/>
                <w:szCs w:val="21"/>
                <w:lang w:eastAsia="en-GB"/>
              </w:rPr>
              <w:t>100, where</w:t>
            </w:r>
            <w:r w:rsidRPr="001E1D5F">
              <w:rPr>
                <w:rFonts w:cs="Calibri"/>
                <w:b/>
                <w:bCs/>
                <w:color w:val="000000"/>
                <w:sz w:val="21"/>
                <w:szCs w:val="21"/>
                <w:lang w:eastAsia="en-GB"/>
              </w:rPr>
              <w:t>:</w:t>
            </w:r>
          </w:p>
          <w:p w14:paraId="1A6BE41F" w14:textId="77777777" w:rsidR="001E1D5F" w:rsidRPr="001E1D5F" w:rsidRDefault="001E1D5F" w:rsidP="001E1D5F">
            <w:pPr>
              <w:tabs>
                <w:tab w:val="num" w:pos="720"/>
              </w:tabs>
              <w:spacing w:before="60"/>
              <w:jc w:val="center"/>
              <w:rPr>
                <w:rFonts w:cs="Calibri"/>
                <w:color w:val="000000"/>
                <w:sz w:val="21"/>
                <w:szCs w:val="21"/>
                <w:lang w:eastAsia="en-GB"/>
              </w:rPr>
            </w:pPr>
            <w:proofErr w:type="spellStart"/>
            <w:r w:rsidRPr="001E1D5F">
              <w:rPr>
                <w:rFonts w:cs="Calibri"/>
                <w:b/>
                <w:bCs/>
                <w:color w:val="000000"/>
                <w:sz w:val="21"/>
                <w:szCs w:val="21"/>
                <w:lang w:eastAsia="en-GB"/>
              </w:rPr>
              <w:t>PtPCC</w:t>
            </w:r>
            <w:proofErr w:type="spellEnd"/>
            <w:r w:rsidRPr="001E1D5F">
              <w:rPr>
                <w:rFonts w:ascii="Arial" w:hAnsi="Arial" w:cs="Arial"/>
                <w:b/>
                <w:bCs/>
                <w:color w:val="000000"/>
                <w:sz w:val="21"/>
                <w:szCs w:val="21"/>
                <w:lang w:eastAsia="en-GB"/>
              </w:rPr>
              <w:t>​</w:t>
            </w:r>
            <w:r w:rsidRPr="001E1D5F">
              <w:rPr>
                <w:rFonts w:cs="Calibri"/>
                <w:b/>
                <w:bCs/>
                <w:color w:val="000000"/>
                <w:sz w:val="21"/>
                <w:szCs w:val="21"/>
                <w:lang w:eastAsia="en-GB"/>
              </w:rPr>
              <w:t xml:space="preserve"> (%)</w:t>
            </w:r>
            <w:r w:rsidRPr="001E1D5F">
              <w:rPr>
                <w:rFonts w:cs="Calibri"/>
                <w:color w:val="000000"/>
                <w:sz w:val="21"/>
                <w:szCs w:val="21"/>
                <w:lang w:eastAsia="en-GB"/>
              </w:rPr>
              <w:t>: The Package-to-Product indicator for the climate change category, expressed as a percentage.</w:t>
            </w:r>
          </w:p>
          <w:p w14:paraId="381B410B" w14:textId="77777777" w:rsidR="001E1D5F" w:rsidRPr="001E1D5F" w:rsidRDefault="001E1D5F" w:rsidP="001E1D5F">
            <w:pPr>
              <w:tabs>
                <w:tab w:val="num" w:pos="720"/>
              </w:tabs>
              <w:spacing w:before="60"/>
              <w:jc w:val="center"/>
              <w:rPr>
                <w:rFonts w:cs="Calibri"/>
                <w:color w:val="000000"/>
                <w:sz w:val="21"/>
                <w:szCs w:val="21"/>
                <w:lang w:eastAsia="en-GB"/>
              </w:rPr>
            </w:pPr>
            <w:proofErr w:type="spellStart"/>
            <w:r w:rsidRPr="001E1D5F">
              <w:rPr>
                <w:rFonts w:cs="Calibri"/>
                <w:b/>
                <w:bCs/>
                <w:color w:val="000000"/>
                <w:sz w:val="21"/>
                <w:szCs w:val="21"/>
                <w:lang w:eastAsia="en-GB"/>
              </w:rPr>
              <w:t>CCPa</w:t>
            </w:r>
            <w:proofErr w:type="spellEnd"/>
            <w:r w:rsidRPr="001E1D5F">
              <w:rPr>
                <w:rFonts w:ascii="Arial" w:hAnsi="Arial" w:cs="Arial"/>
                <w:b/>
                <w:bCs/>
                <w:color w:val="000000"/>
                <w:sz w:val="21"/>
                <w:szCs w:val="21"/>
                <w:lang w:eastAsia="en-GB"/>
              </w:rPr>
              <w:t>​</w:t>
            </w:r>
            <w:r w:rsidRPr="001E1D5F">
              <w:rPr>
                <w:rFonts w:cs="Calibri"/>
                <w:color w:val="000000"/>
                <w:sz w:val="21"/>
                <w:szCs w:val="21"/>
                <w:lang w:eastAsia="en-GB"/>
              </w:rPr>
              <w:t>: The climate change impact of the packaging materials.</w:t>
            </w:r>
          </w:p>
          <w:p w14:paraId="089B1D4A" w14:textId="77777777" w:rsidR="001E1D5F" w:rsidRPr="001E1D5F" w:rsidRDefault="001E1D5F" w:rsidP="001E1D5F">
            <w:pPr>
              <w:tabs>
                <w:tab w:val="num" w:pos="720"/>
              </w:tabs>
              <w:spacing w:before="60"/>
              <w:jc w:val="center"/>
              <w:rPr>
                <w:rFonts w:cs="Calibri"/>
                <w:color w:val="000000"/>
                <w:sz w:val="21"/>
                <w:szCs w:val="21"/>
                <w:lang w:eastAsia="en-GB"/>
              </w:rPr>
            </w:pPr>
            <w:proofErr w:type="spellStart"/>
            <w:r w:rsidRPr="001E1D5F">
              <w:rPr>
                <w:rFonts w:cs="Calibri"/>
                <w:b/>
                <w:bCs/>
                <w:color w:val="000000"/>
                <w:sz w:val="21"/>
                <w:szCs w:val="21"/>
                <w:lang w:eastAsia="en-GB"/>
              </w:rPr>
              <w:t>CCPr</w:t>
            </w:r>
            <w:proofErr w:type="spellEnd"/>
            <w:r w:rsidRPr="001E1D5F">
              <w:rPr>
                <w:rFonts w:ascii="Arial" w:hAnsi="Arial" w:cs="Arial"/>
                <w:b/>
                <w:bCs/>
                <w:color w:val="000000"/>
                <w:sz w:val="21"/>
                <w:szCs w:val="21"/>
                <w:lang w:eastAsia="en-GB"/>
              </w:rPr>
              <w:t>​</w:t>
            </w:r>
            <w:r w:rsidRPr="001E1D5F">
              <w:rPr>
                <w:rFonts w:cs="Calibri"/>
                <w:color w:val="000000"/>
                <w:sz w:val="21"/>
                <w:szCs w:val="21"/>
                <w:lang w:eastAsia="en-GB"/>
              </w:rPr>
              <w:t>: The climate change impact of the product itself.</w:t>
            </w:r>
          </w:p>
        </w:tc>
        <w:tc>
          <w:tcPr>
            <w:tcW w:w="1559" w:type="dxa"/>
            <w:vAlign w:val="center"/>
          </w:tcPr>
          <w:p w14:paraId="41BF4EA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w:t>
            </w:r>
          </w:p>
        </w:tc>
        <w:tc>
          <w:tcPr>
            <w:tcW w:w="3915" w:type="dxa"/>
            <w:vAlign w:val="center"/>
          </w:tcPr>
          <w:p w14:paraId="6338AA3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Construction, </w:t>
            </w:r>
          </w:p>
          <w:p w14:paraId="0FE7DD00" w14:textId="77777777" w:rsidR="001E1D5F" w:rsidRPr="001E1D5F"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 xml:space="preserve"> Food Packaging (paper, plastic, glass, metal)</w:t>
            </w:r>
          </w:p>
          <w:p w14:paraId="4D15FF9F" w14:textId="77777777" w:rsidR="001E1D5F" w:rsidRPr="001E1D5F" w:rsidRDefault="001E1D5F" w:rsidP="001E1D5F">
            <w:pPr>
              <w:spacing w:before="60"/>
              <w:jc w:val="center"/>
              <w:rPr>
                <w:rFonts w:cs="Calibri"/>
                <w:color w:val="000000"/>
                <w:sz w:val="21"/>
                <w:szCs w:val="21"/>
                <w:lang w:eastAsia="en-GB"/>
              </w:rPr>
            </w:pPr>
          </w:p>
        </w:tc>
        <w:tc>
          <w:tcPr>
            <w:tcW w:w="1618" w:type="dxa"/>
            <w:vAlign w:val="center"/>
          </w:tcPr>
          <w:p w14:paraId="5FFC608F" w14:textId="55483179"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{"citationID":"fgSAp3RQ","properties":{"formattedCitation":"[60,61]","plainCitation":"[60,61]","noteIndex":0},"citationItems":[{"id":3140,"uris":["http://zotero.org/users/local/05JQq5lJ/items/4VZCECZY"],"itemData":{"id":3140,"type":"article-journal","abstract":"The environmental impacts of buildings are based on the construction products, which together with their packaging can be assessed as one product system. To reduce the environmental impacts of buildings, the products and their packaging need to be optimised and analysed using environmental assessment. The purpose of this study is to assess the packaging related to the product according to the Life Cycle Assessment method. The environmental assessment was performed using the Product Environmental Footprint methodology, version 3.0. To compare the primary, secondary, and tertiary packaging, the results of the climate change indicator were used as a base to calculate the Package-to-Product (PtP) indicator. Among the considered scenarios to handle the waste packaging (landfilling scenario, material recovery scenario, energy recovery scenario, and the mixed scenario), the material recovery scenario is the most preferable and, for most of the packaging materials, the scenario with the lowest impact. Following the PtP result, the secondary packaging in the roof tile system has a significant share of the impact of the whole system (16% for the energy recovery scenario). Moreover, the results confirm the PtP indicator as the appropriate indicator to analyse the environmental impacts of construction products.","container-title":"Sustainability","DOI":"10.3390/su122310094","ISSN":"2071-1050","issue":"23","language":"en","license":"http://creativecommons.org/licenses/by/3.0/","note":"number: 23\npublisher: Multidisciplinary Digital Publishing Institute","page":"10094","source":"www.mdpi.com","title":"Carbon Footprint Assessment of Construction Waste Packaging Using the Package-to-Product Indicator","volume":"12","author":[{"family":"Pešta","given":"Jan"},{"family":"Šerešová","given":"Markéta"},{"family":"Kočí","given":"Vladimír"}],"issued":{"date-parts":[["2020",1]]}}},{"id":3142,"uris":["http://zotero.org/users/local/05JQq5lJ/items/2ILD2D86"],"itemData":{"id":3142,"type":"article-journal","abstract":"Today, packaging is an integral part of most foods and beverages. However, excessive and just one-time applications of packaging can bring about indisputable environmental impacts in the form of large amounts of waste generated. If we want to monitor the environmental impacts of packaging materials, it is advisable to assess them in a complex way including not only the specific packaging but also specific products. No universal methodology currently exists that would enable this type of complex assessment regarding the environmental impacts of packaging in relation to particular products. Therefore, the aim of our study was to develop and test a Package-to-Product (PtP) indicator. For this purpose, the life cycle assessment (LCA) was employed to analyse four selected products considering different life cycle stages of packaging and their impacts on the climate change category. The results of the study confirm that the values of the PtP indicator significantly differ for various products, thus emphasising the need to establish a uniform methodology for individual product groups, such as meat, dairy and vegetable products or beverages. The application of this indicator, however, enables a clear impact assessment of different packaging materials and allows the packaging manufacturers to reduce their overall environmental impacts.","container-title":"Sustainability","DOI":"10.3390/su12073034","ISSN":"2071-1050","issue":"7","language":"en","license":"http://creativecommons.org/licenses/by/3.0/","note":"number: 7\npublisher: Multidisciplinary Digital Publishing Institute","page":"3034","source":"www.mdpi.com","title":"Proposal of Package-to-Product Indicator for Carbon Footprint Assessment with Focus on the Czech Republic","volume":"12","author":[{"family":"Šerešová","given":"Markéta"},{"family":"Kočí","given":"Vladimír"}],"issued":{"date-parts":[["2020",1]]}}}],"schema":"https://github.com/citation-style-language/schema/raw/master/csl-citation.json"}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[60,61]</w:t>
            </w:r>
            <w:r w:rsidRPr="001E1D5F">
              <w:rPr>
                <w:rFonts w:cs="Calibri"/>
                <w:color w:val="000000"/>
                <w:sz w:val="21"/>
                <w:szCs w:val="21"/>
                <w:lang w:eastAsia="en-GB"/>
              </w:rPr>
              <w:fldChar w:fldCharType="end"/>
            </w:r>
          </w:p>
        </w:tc>
      </w:tr>
      <w:tr w:rsidR="001E1D5F" w:rsidRPr="001E1D5F" w14:paraId="315D2987" w14:textId="77777777" w:rsidTr="00040455">
        <w:tblPrEx>
          <w:jc w:val="left"/>
        </w:tblPrEx>
        <w:trPr>
          <w:trHeight w:val="300"/>
        </w:trPr>
        <w:tc>
          <w:tcPr>
            <w:tcW w:w="1985" w:type="dxa"/>
            <w:noWrap/>
            <w:vAlign w:val="center"/>
          </w:tcPr>
          <w:p w14:paraId="5FEDA27F"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Marine Litter Indicator (MLI)</w:t>
            </w:r>
          </w:p>
        </w:tc>
        <w:tc>
          <w:tcPr>
            <w:tcW w:w="1560" w:type="dxa"/>
            <w:noWrap/>
            <w:vAlign w:val="center"/>
          </w:tcPr>
          <w:p w14:paraId="3A7FD9F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55D903C3" w14:textId="77777777" w:rsidR="001E1D5F" w:rsidRPr="001E1D5F" w:rsidRDefault="001E1D5F" w:rsidP="001E1D5F">
            <w:pPr>
              <w:tabs>
                <w:tab w:val="num" w:pos="720"/>
              </w:tabs>
              <w:spacing w:before="60"/>
              <w:jc w:val="center"/>
              <w:rPr>
                <w:rFonts w:cs="Calibri"/>
                <w:color w:val="000000"/>
                <w:sz w:val="21"/>
                <w:szCs w:val="21"/>
                <w:lang w:eastAsia="en-GB"/>
              </w:rPr>
            </w:pPr>
            <w:r w:rsidRPr="001E1D5F">
              <w:rPr>
                <w:rFonts w:cs="Calibri"/>
                <w:b/>
                <w:bCs/>
                <w:color w:val="000000"/>
                <w:sz w:val="21"/>
                <w:szCs w:val="21"/>
                <w:lang w:eastAsia="en-GB"/>
              </w:rPr>
              <w:t>MLI</w:t>
            </w:r>
            <w:r w:rsidRPr="001E1D5F">
              <w:rPr>
                <w:rFonts w:cs="Calibri"/>
                <w:color w:val="000000"/>
                <w:sz w:val="21"/>
                <w:szCs w:val="21"/>
                <w:lang w:eastAsia="en-GB"/>
              </w:rPr>
              <w:t xml:space="preserve"> = (F1×F4)/(F2×F3), where each component is defined as follows: </w:t>
            </w:r>
            <w:r w:rsidRPr="001E1D5F">
              <w:rPr>
                <w:rFonts w:cs="Calibri"/>
                <w:b/>
                <w:bCs/>
                <w:color w:val="000000"/>
                <w:sz w:val="21"/>
                <w:szCs w:val="21"/>
                <w:lang w:eastAsia="en-GB"/>
              </w:rPr>
              <w:t>F1</w:t>
            </w:r>
            <w:r w:rsidRPr="001E1D5F">
              <w:rPr>
                <w:rFonts w:ascii="Arial" w:hAnsi="Arial" w:cs="Arial"/>
                <w:b/>
                <w:bCs/>
                <w:color w:val="000000"/>
                <w:sz w:val="21"/>
                <w:szCs w:val="21"/>
                <w:lang w:eastAsia="en-GB"/>
              </w:rPr>
              <w:t>​</w:t>
            </w:r>
            <w:r w:rsidRPr="001E1D5F">
              <w:rPr>
                <w:rFonts w:cs="Calibri"/>
                <w:color w:val="000000"/>
                <w:sz w:val="21"/>
                <w:szCs w:val="21"/>
                <w:lang w:eastAsia="en-GB"/>
              </w:rPr>
              <w:t xml:space="preserve">: The potential number of dispersed containers, calculated as the ratio of the estimated number of dispersed containers (Bd) to the maximum number of dispersed containers: </w:t>
            </w:r>
            <w:r w:rsidRPr="001E1D5F">
              <w:rPr>
                <w:rFonts w:cs="Calibri"/>
                <w:b/>
                <w:bCs/>
                <w:color w:val="000000"/>
                <w:sz w:val="21"/>
                <w:szCs w:val="21"/>
                <w:lang w:eastAsia="en-GB"/>
              </w:rPr>
              <w:t>F1=Bd/</w:t>
            </w:r>
            <w:proofErr w:type="spellStart"/>
            <w:r w:rsidRPr="001E1D5F">
              <w:rPr>
                <w:rFonts w:cs="Calibri"/>
                <w:b/>
                <w:bCs/>
                <w:color w:val="000000"/>
                <w:sz w:val="21"/>
                <w:szCs w:val="21"/>
                <w:lang w:eastAsia="en-GB"/>
              </w:rPr>
              <w:t>Bdmax</w:t>
            </w:r>
            <w:proofErr w:type="spellEnd"/>
            <w:r w:rsidRPr="001E1D5F">
              <w:rPr>
                <w:rFonts w:cs="Calibri"/>
                <w:color w:val="000000"/>
                <w:sz w:val="21"/>
                <w:szCs w:val="21"/>
                <w:lang w:eastAsia="en-GB"/>
              </w:rPr>
              <w:t xml:space="preserve">, </w:t>
            </w:r>
            <w:r w:rsidRPr="001E1D5F">
              <w:rPr>
                <w:rFonts w:cs="Calibri"/>
                <w:b/>
                <w:bCs/>
                <w:color w:val="000000"/>
                <w:sz w:val="21"/>
                <w:szCs w:val="21"/>
                <w:lang w:eastAsia="en-GB"/>
              </w:rPr>
              <w:t>F2</w:t>
            </w:r>
            <w:r w:rsidRPr="001E1D5F">
              <w:rPr>
                <w:rFonts w:ascii="Arial" w:hAnsi="Arial" w:cs="Arial"/>
                <w:b/>
                <w:bCs/>
                <w:color w:val="000000"/>
                <w:sz w:val="21"/>
                <w:szCs w:val="21"/>
                <w:lang w:eastAsia="en-GB"/>
              </w:rPr>
              <w:t>​</w:t>
            </w:r>
            <w:r w:rsidRPr="001E1D5F">
              <w:rPr>
                <w:rFonts w:cs="Calibri"/>
                <w:color w:val="000000"/>
                <w:sz w:val="21"/>
                <w:szCs w:val="21"/>
                <w:lang w:eastAsia="en-GB"/>
              </w:rPr>
              <w:t>: The incentive for returning bottles, expressed as a ratio of the current incentive (Pi) to the maximum incentive available (</w:t>
            </w:r>
            <w:proofErr w:type="spellStart"/>
            <w:r w:rsidRPr="001E1D5F">
              <w:rPr>
                <w:rFonts w:cs="Calibri"/>
                <w:color w:val="000000"/>
                <w:sz w:val="21"/>
                <w:szCs w:val="21"/>
                <w:lang w:eastAsia="en-GB"/>
              </w:rPr>
              <w:t>Pimax</w:t>
            </w:r>
            <w:proofErr w:type="spellEnd"/>
            <w:r w:rsidRPr="001E1D5F">
              <w:rPr>
                <w:rFonts w:cs="Calibri"/>
                <w:color w:val="000000"/>
                <w:sz w:val="21"/>
                <w:szCs w:val="21"/>
                <w:lang w:eastAsia="en-GB"/>
              </w:rPr>
              <w:t xml:space="preserve">) </w:t>
            </w:r>
            <w:r w:rsidRPr="001E1D5F">
              <w:rPr>
                <w:rFonts w:cs="Calibri"/>
                <w:b/>
                <w:bCs/>
                <w:color w:val="000000"/>
                <w:sz w:val="21"/>
                <w:szCs w:val="21"/>
                <w:lang w:eastAsia="en-GB"/>
              </w:rPr>
              <w:t>F2=Pi/</w:t>
            </w:r>
            <w:proofErr w:type="spellStart"/>
            <w:r w:rsidRPr="001E1D5F">
              <w:rPr>
                <w:rFonts w:cs="Calibri"/>
                <w:b/>
                <w:bCs/>
                <w:color w:val="000000"/>
                <w:sz w:val="21"/>
                <w:szCs w:val="21"/>
                <w:lang w:eastAsia="en-GB"/>
              </w:rPr>
              <w:t>Pimax</w:t>
            </w:r>
            <w:proofErr w:type="spellEnd"/>
            <w:r w:rsidRPr="001E1D5F">
              <w:rPr>
                <w:rFonts w:cs="Calibri"/>
                <w:color w:val="000000"/>
                <w:sz w:val="21"/>
                <w:szCs w:val="21"/>
                <w:lang w:eastAsia="en-GB"/>
              </w:rPr>
              <w:t xml:space="preserve">, </w:t>
            </w:r>
            <w:r w:rsidRPr="001E1D5F">
              <w:rPr>
                <w:rFonts w:cs="Calibri"/>
                <w:b/>
                <w:bCs/>
                <w:color w:val="000000"/>
                <w:sz w:val="21"/>
                <w:szCs w:val="21"/>
                <w:lang w:eastAsia="en-GB"/>
              </w:rPr>
              <w:t>F3</w:t>
            </w:r>
            <w:r w:rsidRPr="001E1D5F">
              <w:rPr>
                <w:rFonts w:ascii="Arial" w:hAnsi="Arial" w:cs="Arial"/>
                <w:b/>
                <w:bCs/>
                <w:color w:val="000000"/>
                <w:sz w:val="21"/>
                <w:szCs w:val="21"/>
                <w:lang w:eastAsia="en-GB"/>
              </w:rPr>
              <w:t>​</w:t>
            </w:r>
            <w:r w:rsidRPr="001E1D5F">
              <w:rPr>
                <w:rFonts w:cs="Calibri"/>
                <w:color w:val="000000"/>
                <w:sz w:val="21"/>
                <w:szCs w:val="21"/>
                <w:lang w:eastAsia="en-GB"/>
              </w:rPr>
              <w:t>: The weight of the packaging material, calculated as the ratio of the bottle's weight (Wb) to the maximum weight of packaging material among all options (</w:t>
            </w:r>
            <w:proofErr w:type="spellStart"/>
            <w:r w:rsidRPr="001E1D5F">
              <w:rPr>
                <w:rFonts w:cs="Calibri"/>
                <w:color w:val="000000"/>
                <w:sz w:val="21"/>
                <w:szCs w:val="21"/>
                <w:lang w:eastAsia="en-GB"/>
              </w:rPr>
              <w:t>Wbmax</w:t>
            </w:r>
            <w:proofErr w:type="spellEnd"/>
            <w:r w:rsidRPr="001E1D5F">
              <w:rPr>
                <w:rFonts w:cs="Calibri"/>
                <w:color w:val="000000"/>
                <w:sz w:val="21"/>
                <w:szCs w:val="21"/>
                <w:lang w:eastAsia="en-GB"/>
              </w:rPr>
              <w:t xml:space="preserve">) </w:t>
            </w:r>
            <w:r w:rsidRPr="001E1D5F">
              <w:rPr>
                <w:rFonts w:cs="Calibri"/>
                <w:b/>
                <w:bCs/>
                <w:color w:val="000000"/>
                <w:sz w:val="21"/>
                <w:szCs w:val="21"/>
                <w:lang w:eastAsia="en-GB"/>
              </w:rPr>
              <w:t>F3=Wb/</w:t>
            </w:r>
            <w:proofErr w:type="spellStart"/>
            <w:r w:rsidRPr="001E1D5F">
              <w:rPr>
                <w:rFonts w:cs="Calibri"/>
                <w:b/>
                <w:bCs/>
                <w:color w:val="000000"/>
                <w:sz w:val="21"/>
                <w:szCs w:val="21"/>
                <w:lang w:eastAsia="en-GB"/>
              </w:rPr>
              <w:t>Wbmax</w:t>
            </w:r>
            <w:proofErr w:type="spellEnd"/>
            <w:r w:rsidRPr="001E1D5F">
              <w:rPr>
                <w:rFonts w:cs="Calibri"/>
                <w:color w:val="000000"/>
                <w:sz w:val="21"/>
                <w:szCs w:val="21"/>
                <w:lang w:eastAsia="en-GB"/>
              </w:rPr>
              <w:t xml:space="preserve">, </w:t>
            </w:r>
            <w:r w:rsidRPr="001E1D5F">
              <w:rPr>
                <w:rFonts w:cs="Calibri"/>
                <w:b/>
                <w:bCs/>
                <w:color w:val="000000"/>
                <w:sz w:val="21"/>
                <w:szCs w:val="21"/>
                <w:lang w:eastAsia="en-GB"/>
              </w:rPr>
              <w:t>F4</w:t>
            </w:r>
            <w:r w:rsidRPr="001E1D5F">
              <w:rPr>
                <w:rFonts w:ascii="Arial" w:hAnsi="Arial" w:cs="Arial"/>
                <w:b/>
                <w:bCs/>
                <w:color w:val="000000"/>
                <w:sz w:val="21"/>
                <w:szCs w:val="21"/>
                <w:lang w:eastAsia="en-GB"/>
              </w:rPr>
              <w:t>​</w:t>
            </w:r>
            <w:r w:rsidRPr="001E1D5F">
              <w:rPr>
                <w:rFonts w:cs="Calibri"/>
                <w:color w:val="000000"/>
                <w:sz w:val="21"/>
                <w:szCs w:val="21"/>
                <w:lang w:eastAsia="en-GB"/>
              </w:rPr>
              <w:t xml:space="preserve">: The degradation time of the material, expressed as a ratio of the degradation time (Dt) of the specific material to the longest degradation time among the options </w:t>
            </w:r>
            <w:r w:rsidRPr="001E1D5F">
              <w:rPr>
                <w:rFonts w:cs="Calibri"/>
                <w:b/>
                <w:bCs/>
                <w:color w:val="000000"/>
                <w:sz w:val="21"/>
                <w:szCs w:val="21"/>
                <w:lang w:eastAsia="en-GB"/>
              </w:rPr>
              <w:t>F4=Dt/</w:t>
            </w:r>
            <w:proofErr w:type="spellStart"/>
            <w:r w:rsidRPr="001E1D5F">
              <w:rPr>
                <w:rFonts w:cs="Calibri"/>
                <w:b/>
                <w:bCs/>
                <w:color w:val="000000"/>
                <w:sz w:val="21"/>
                <w:szCs w:val="21"/>
                <w:lang w:eastAsia="en-GB"/>
              </w:rPr>
              <w:t>Dtmax</w:t>
            </w:r>
            <w:proofErr w:type="spellEnd"/>
          </w:p>
        </w:tc>
        <w:tc>
          <w:tcPr>
            <w:tcW w:w="1559" w:type="dxa"/>
            <w:vAlign w:val="center"/>
          </w:tcPr>
          <w:p w14:paraId="01722A6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Dimensionless Unit</w:t>
            </w:r>
          </w:p>
        </w:tc>
        <w:tc>
          <w:tcPr>
            <w:tcW w:w="3915" w:type="dxa"/>
            <w:vAlign w:val="center"/>
          </w:tcPr>
          <w:p w14:paraId="13D2889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Food Packaging </w:t>
            </w:r>
          </w:p>
        </w:tc>
        <w:tc>
          <w:tcPr>
            <w:tcW w:w="1618" w:type="dxa"/>
            <w:vAlign w:val="center"/>
          </w:tcPr>
          <w:p w14:paraId="0ECEDF67" w14:textId="5978FBE0"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{"citationID":"n7MlBCcW","properties":{"formattedCitation":"[64]","plainCitation":"[64]","noteIndex":0},"citationItems":[{"id":3105,"uris":["http://zotero.org/users/local/05JQq5lJ/items/HCU4BDWI"],"itemData":{"id":3105,"type":"article-journal","abstract":"Today plastic is the most used material for food packaging, but its incorrect disposal is creating environmental issues to oceans, soil and air. Someone believes that the solution is to ban plastic and substitute it with glass packaging. Is it the right choice? This study aims at comparing the environmental impact of bottles made of PET, R-PET, non-returnable glass and returnable glass in order to understand which is the most environmental friendly packaging solution.","container-title":"The International Journal of Life Cycle Assessment","DOI":"10.1007/s11367-020-01804-x","ISSN":"1614-7502","issue":"4","journalAbbreviation":"Int J Life Cycle Assess","language":"en","page":"767-784","source":"Springer Link","title":"Plastic or glass: a new environmental assessment with a marine litter indicator for the comparison of pasteurized milk bottles","title-short":"Plastic or glass","volume":"26","author":[{"family":"Stefanini","given":"Roberta"},{"family":"Borghesi","given":"Giulia"},{"family":"Ronzano","given":"Anna"},{"family":"Vignali","given":"Giuseppe"}],"issued":{"date-parts":[["2021",4,1]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[64]</w:t>
            </w:r>
            <w:r w:rsidRPr="001E1D5F">
              <w:rPr>
                <w:rFonts w:cs="Calibri"/>
                <w:color w:val="000000"/>
                <w:sz w:val="21"/>
                <w:szCs w:val="21"/>
                <w:lang w:eastAsia="en-GB"/>
              </w:rPr>
              <w:fldChar w:fldCharType="end"/>
            </w:r>
          </w:p>
        </w:tc>
      </w:tr>
      <w:tr w:rsidR="001E1D5F" w:rsidRPr="001E1D5F" w14:paraId="6EBD3648" w14:textId="77777777" w:rsidTr="00040455">
        <w:tblPrEx>
          <w:jc w:val="left"/>
        </w:tblPrEx>
        <w:trPr>
          <w:trHeight w:val="300"/>
        </w:trPr>
        <w:tc>
          <w:tcPr>
            <w:tcW w:w="1985" w:type="dxa"/>
            <w:noWrap/>
            <w:vAlign w:val="center"/>
          </w:tcPr>
          <w:p w14:paraId="5E0EFD97"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Material-Specific Efficiency Packaging Indicators (Plastic, Fiber, Glass, Metal)</w:t>
            </w:r>
          </w:p>
        </w:tc>
        <w:tc>
          <w:tcPr>
            <w:tcW w:w="1560" w:type="dxa"/>
            <w:noWrap/>
            <w:vAlign w:val="center"/>
          </w:tcPr>
          <w:p w14:paraId="00236E6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6A4E12D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Measure packaging efficiency at company and sector levels by calculating the amount of each primary packaging material (plastic, </w:t>
            </w:r>
            <w:proofErr w:type="spellStart"/>
            <w:r w:rsidRPr="001E1D5F">
              <w:rPr>
                <w:rFonts w:cs="Calibri"/>
                <w:color w:val="000000"/>
                <w:sz w:val="21"/>
                <w:szCs w:val="21"/>
                <w:lang w:eastAsia="en-GB"/>
              </w:rPr>
              <w:t>fiber</w:t>
            </w:r>
            <w:proofErr w:type="spellEnd"/>
            <w:r w:rsidRPr="001E1D5F">
              <w:rPr>
                <w:rFonts w:cs="Calibri"/>
                <w:color w:val="000000"/>
                <w:sz w:val="21"/>
                <w:szCs w:val="21"/>
                <w:lang w:eastAsia="en-GB"/>
              </w:rPr>
              <w:t>, glass, metal) used per unit of economic turnover. Sector indicators aggregate these values, weighting each company’s material usage by its turnover share, to provide an overall view of material efficiency across the packaging sector.</w:t>
            </w:r>
          </w:p>
        </w:tc>
        <w:tc>
          <w:tcPr>
            <w:tcW w:w="1559" w:type="dxa"/>
            <w:vAlign w:val="center"/>
          </w:tcPr>
          <w:p w14:paraId="5036BF1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kg/monetary value</w:t>
            </w:r>
          </w:p>
        </w:tc>
        <w:tc>
          <w:tcPr>
            <w:tcW w:w="3915" w:type="dxa"/>
            <w:vAlign w:val="center"/>
          </w:tcPr>
          <w:p w14:paraId="5F4EBC6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Packaging </w:t>
            </w:r>
          </w:p>
        </w:tc>
        <w:tc>
          <w:tcPr>
            <w:tcW w:w="1618" w:type="dxa"/>
            <w:vAlign w:val="center"/>
          </w:tcPr>
          <w:p w14:paraId="6A9EF22A" w14:textId="3694B8F8"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{"citationID":"lW7OFRjv","properties":{"formattedCitation":"[65]","plainCitation":"[65]","noteIndex":0},"citationItems":[{"id":3159,"uris":["http://zotero.org/users/local/05JQq5lJ/items/GCGVA7FG"],"itemData":{"id":3159,"type":"article-journal","abstract":"The Packaging Directive approved by EU in 1994 (62/94) initiated national activities regarding packaging waste minimization, recycling and energy recovery. In Norway, a packaging covenant between the Ministry of Environment and the packaging sector was established, where one of the elements was a voluntary program for reducing waste from the total packaging sector, defined as all the users of packaging materials in Norway. Østfold Research Foundation has developed an indicator system to follow development in material efficiency and waste minimization in the packaging sector. The indicator system is based on an Eco-efficiency approach, with measurements of packaging consumption per 1000 NOK turnover in companies adjusted for changing in the total consumer price index. A total of about 40 companies from 15 sectors of packers and fillers have participated with data over 3 years (1998–2001), whereas two companies have been followed over a period of 6 years (1995–2001). In addition, two product groups (juice and lemonade) have been followed within a large share of the Norwegian market in the period 1995–2001. The results show minor changes in the total packaging sector over the four last years, with a reduction in intensity of consumer packaging and a parallel increase in intensity of retail and transport packaging. However, there seems to have been achieved significant efficiency gains in the two companies in the period 1995–1998, and also in the distribution of concentrated lemonade. The indicator system which is based on a representative sample of companies within economic important sectors in Norway is regarded as a promising approach for measuring material efficiency and waste minimization in national packaging sectors, and could be implemented on an European basis to follow up the Packaging Directive.","container-title":"Resources, Conservation and Recycling","DOI":"10.1016/S0921-3449(02)00104-0","ISSN":"0921-3449","issue":"2","journalAbbreviation":"Resources, Conservation and Recycling","page":"123-137","source":"ScienceDirect","title":"National indicators for material efficiency and waste minimization for the Norwegian packaging sector 1995–2001","volume":"38","author":[{"family":"Hanssen","given":"Ole Jørgen"},{"family":"Olsen","given":"Arild"},{"family":"Møller","given":"Hanne"},{"family":"Rubach","given":"Synnøve"}],"issued":{"date-parts":[["2003",5,1]]}}}],"schema":"https://github.com/citation-style-language/schema/raw/master/csl-citation.json"}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[65]</w:t>
            </w:r>
            <w:r w:rsidRPr="001E1D5F">
              <w:rPr>
                <w:rFonts w:cs="Calibri"/>
                <w:color w:val="000000"/>
                <w:sz w:val="21"/>
                <w:szCs w:val="21"/>
                <w:lang w:eastAsia="en-GB"/>
              </w:rPr>
              <w:fldChar w:fldCharType="end"/>
            </w:r>
          </w:p>
        </w:tc>
      </w:tr>
      <w:tr w:rsidR="001E1D5F" w:rsidRPr="001E1D5F" w14:paraId="66EC3164" w14:textId="77777777" w:rsidTr="00040455">
        <w:tblPrEx>
          <w:jc w:val="left"/>
        </w:tblPrEx>
        <w:trPr>
          <w:trHeight w:val="300"/>
        </w:trPr>
        <w:tc>
          <w:tcPr>
            <w:tcW w:w="16165" w:type="dxa"/>
            <w:gridSpan w:val="6"/>
            <w:shd w:val="clear" w:color="auto" w:fill="E7E6E6" w:themeFill="background2"/>
            <w:noWrap/>
            <w:vAlign w:val="center"/>
          </w:tcPr>
          <w:p w14:paraId="6BD8601D" w14:textId="77777777" w:rsidR="001E1D5F" w:rsidRPr="001E1D5F" w:rsidRDefault="001E1D5F" w:rsidP="001E1D5F">
            <w:pPr>
              <w:spacing w:before="60"/>
              <w:rPr>
                <w:rFonts w:cs="Calibri"/>
                <w:b/>
                <w:bCs/>
                <w:color w:val="000000"/>
                <w:sz w:val="21"/>
                <w:szCs w:val="21"/>
                <w:lang w:eastAsia="en-GB"/>
              </w:rPr>
            </w:pPr>
            <w:r w:rsidRPr="001E1D5F">
              <w:rPr>
                <w:rFonts w:cs="Calibri"/>
                <w:b/>
                <w:bCs/>
                <w:color w:val="000000"/>
                <w:sz w:val="21"/>
                <w:szCs w:val="21"/>
                <w:lang w:eastAsia="en-GB"/>
              </w:rPr>
              <w:t>Indicator Group E5: Material Sustainability</w:t>
            </w:r>
          </w:p>
        </w:tc>
      </w:tr>
      <w:tr w:rsidR="001E1D5F" w:rsidRPr="001E1D5F" w14:paraId="1367B59A" w14:textId="77777777" w:rsidTr="00040455">
        <w:tblPrEx>
          <w:jc w:val="left"/>
        </w:tblPrEx>
        <w:trPr>
          <w:trHeight w:val="300"/>
        </w:trPr>
        <w:tc>
          <w:tcPr>
            <w:tcW w:w="1985" w:type="dxa"/>
            <w:noWrap/>
            <w:vAlign w:val="center"/>
          </w:tcPr>
          <w:p w14:paraId="0E2FC916"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Biodegradability</w:t>
            </w:r>
          </w:p>
        </w:tc>
        <w:tc>
          <w:tcPr>
            <w:tcW w:w="1560" w:type="dxa"/>
            <w:noWrap/>
            <w:vAlign w:val="center"/>
          </w:tcPr>
          <w:p w14:paraId="5A41F8DA"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Composite</w:t>
            </w:r>
          </w:p>
        </w:tc>
        <w:tc>
          <w:tcPr>
            <w:tcW w:w="5528" w:type="dxa"/>
            <w:vAlign w:val="center"/>
          </w:tcPr>
          <w:p w14:paraId="2FF4B550"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 xml:space="preserve">The ability of a substance to break down into simpler, non-toxic components through natural processes involving </w:t>
            </w:r>
            <w:r w:rsidRPr="001E1D5F">
              <w:rPr>
                <w:rFonts w:cs="Calibri"/>
                <w:color w:val="000000"/>
                <w:sz w:val="21"/>
                <w:szCs w:val="21"/>
                <w:lang w:eastAsia="en-GB"/>
              </w:rPr>
              <w:lastRenderedPageBreak/>
              <w:t>microorganisms, such as bacteria or fungi, thus minimizing long-term environmental impact</w:t>
            </w:r>
          </w:p>
        </w:tc>
        <w:tc>
          <w:tcPr>
            <w:tcW w:w="1559" w:type="dxa"/>
            <w:vAlign w:val="center"/>
          </w:tcPr>
          <w:p w14:paraId="59DC8A0A"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lastRenderedPageBreak/>
              <w:t xml:space="preserve">Percentage over a specified </w:t>
            </w:r>
            <w:r w:rsidRPr="001E1D5F">
              <w:rPr>
                <w:rFonts w:cs="Calibri"/>
                <w:color w:val="000000"/>
                <w:sz w:val="21"/>
                <w:szCs w:val="21"/>
                <w:lang w:eastAsia="en-GB"/>
              </w:rPr>
              <w:lastRenderedPageBreak/>
              <w:t>period (%), CO₂ or O₂ Consumption (mg/g or mL/g), Biological Oxygen Demand (BOD), Half-life (days)</w:t>
            </w:r>
          </w:p>
        </w:tc>
        <w:tc>
          <w:tcPr>
            <w:tcW w:w="3915" w:type="dxa"/>
            <w:vAlign w:val="center"/>
          </w:tcPr>
          <w:p w14:paraId="7CA88283"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lastRenderedPageBreak/>
              <w:t>Chemical &amp; Petrochemical</w:t>
            </w:r>
          </w:p>
        </w:tc>
        <w:tc>
          <w:tcPr>
            <w:tcW w:w="1618" w:type="dxa"/>
            <w:vAlign w:val="center"/>
          </w:tcPr>
          <w:p w14:paraId="67A3D678" w14:textId="4F4DCD45"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{"citationID":"u7a6yNQh","properties":{"formattedCitation":"[46]","plainCitation":"[46]","noteIndex":0},"citationItems":[{"id":3119,"uris":["http://zotero.org/users/local/05JQq5lJ/items/ABYDPSB3"],"itemData":{"id":3119,"type":"article-journal","abstract":"Climate change and fossil resource depletion are driving a transition to a bio-based economy, for which novel bio-based chemical processes need to be developed. The environmental performance of the novel bio-based chemicals should be assessed during their development, when the production process can still be adapted, although data availability is limited. Many environmental assessment methods applicable during product development (‘early-stage methods’) exist in the literature. The aim of this study is to provide an overview of these early-stage methods and to evaluate to what extent they are suitable for assessing bio-based chemicals in their early-stage development. The paper first describes the characteristics of early-stage chemical design and the environmental impacts of bio-based products based on published life cycle assessments. Low data requirements, the inclusion of climate change and energy indicators, and the inclusion of environmental impacts from biomass feedstock production are identified as three good-practice principles for early-stage assessment of bio-based chemicals. In the second step, 27 early-stage assessment methods are reviewed and categorized based on their scope and environmental indicators used. Finally, the reviewed methods are evaluated using the good-practice principles. A perfect early-stage method does not exist. However, choosing the most suitable method(s) based on the goal of an assessment and using complementary indicators leads to the most effective assessment for novel bio-based chemicals in development. © 2017 The Authors. Biofuels, Bioproducts and Biorefining published by Society of Chemical Industry and John Wiley &amp; Sons, Ltd.","container-title":"Biofuels, Bioproducts and Biorefining","DOI":"10.1002/bbb.1772","ISSN":"1932-1031","issue":"4","language":"en","license":"© 2017 The Authors. Biofuels, Bioproducts and Biorefining published by Society of Chemical Industry and John Wiley &amp; Sons, Ltd.","note":"_eprint: https://onlinelibrary.wiley.com/doi/pdf/10.1002/bbb.1772","page":"701-718","source":"Wiley Online Library","title":"Environmental assessment of bio-based chemicals in early-stage development: a review of methods and indicators","title-short":"Environmental assessment of bio-based chemicals in early-stage development","volume":"11","author":[{"family":"Broeren","given":"Martijn L.M."},{"family":"Zijp","given":"Michiel C."},{"family":"Waaijers-van der Loop","given":"Susanne L."},{"family":"Heugens","given":"Evelyn H.W."},{"family":"Posthuma","given":"Leo"},{"family":"Worrell","given":"Ernst"},{"family":"Shen","given":"Li"}],"issued":{"date-parts":[["2017"]]}}}],"schema":"https://github.com/citation-style-language/schema/raw/master/csl-citation.json"}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[46]</w:t>
            </w:r>
            <w:r w:rsidRPr="001E1D5F">
              <w:rPr>
                <w:rFonts w:cs="Calibri"/>
                <w:color w:val="000000"/>
                <w:sz w:val="21"/>
                <w:szCs w:val="21"/>
                <w:lang w:eastAsia="en-GB"/>
              </w:rPr>
              <w:fldChar w:fldCharType="end"/>
            </w:r>
          </w:p>
        </w:tc>
      </w:tr>
      <w:tr w:rsidR="001E1D5F" w:rsidRPr="001E1D5F" w14:paraId="20AFA183" w14:textId="77777777" w:rsidTr="00040455">
        <w:tblPrEx>
          <w:jc w:val="left"/>
        </w:tblPrEx>
        <w:trPr>
          <w:trHeight w:val="300"/>
        </w:trPr>
        <w:tc>
          <w:tcPr>
            <w:tcW w:w="1985" w:type="dxa"/>
            <w:noWrap/>
            <w:vAlign w:val="center"/>
          </w:tcPr>
          <w:p w14:paraId="0CAEA007"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Material Degradation Time</w:t>
            </w:r>
          </w:p>
        </w:tc>
        <w:tc>
          <w:tcPr>
            <w:tcW w:w="1560" w:type="dxa"/>
            <w:noWrap/>
            <w:vAlign w:val="center"/>
          </w:tcPr>
          <w:p w14:paraId="223DE02C"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ACDB13B" w14:textId="77777777" w:rsidR="001E1D5F" w:rsidRPr="001E1D5F" w:rsidRDefault="001E1D5F" w:rsidP="001E1D5F">
            <w:pPr>
              <w:spacing w:before="60"/>
              <w:jc w:val="center"/>
              <w:rPr>
                <w:rFonts w:cs="Calibri"/>
                <w:b/>
                <w:bCs/>
                <w:color w:val="000000"/>
                <w:sz w:val="21"/>
                <w:szCs w:val="21"/>
                <w:lang w:eastAsia="en-GB"/>
              </w:rPr>
            </w:pPr>
            <w:r w:rsidRPr="001E1D5F">
              <w:rPr>
                <w:rFonts w:ascii="Times New Roman" w:hAnsi="Times New Roman"/>
                <w:b/>
                <w:bCs/>
                <w:sz w:val="21"/>
                <w:szCs w:val="21"/>
                <w:lang w:eastAsia="en-GB"/>
              </w:rPr>
              <w:t>F4</w:t>
            </w:r>
            <w:r w:rsidRPr="001E1D5F">
              <w:rPr>
                <w:rFonts w:ascii="Times New Roman" w:hAnsi="Times New Roman"/>
                <w:sz w:val="21"/>
                <w:szCs w:val="21"/>
                <w:lang w:eastAsia="en-GB"/>
              </w:rPr>
              <w:t xml:space="preserve"> = Dt/(Dt)max</w:t>
            </w:r>
            <w:r w:rsidRPr="001E1D5F">
              <w:rPr>
                <w:rFonts w:ascii="Arial" w:hAnsi="Arial" w:cs="Arial"/>
                <w:sz w:val="21"/>
                <w:szCs w:val="21"/>
                <w:lang w:eastAsia="en-GB"/>
              </w:rPr>
              <w:t xml:space="preserve">​, </w:t>
            </w:r>
            <w:r w:rsidRPr="001E1D5F">
              <w:rPr>
                <w:rFonts w:ascii="Times New Roman" w:hAnsi="Times New Roman"/>
                <w:sz w:val="21"/>
                <w:szCs w:val="21"/>
                <w:lang w:eastAsia="en-GB"/>
              </w:rPr>
              <w:t xml:space="preserve">where: </w:t>
            </w:r>
            <w:r w:rsidRPr="001E1D5F">
              <w:rPr>
                <w:sz w:val="21"/>
                <w:szCs w:val="21"/>
                <w:lang w:eastAsia="en-GB"/>
              </w:rPr>
              <w:t>Dt represents the degradation time of the material (in years), (Dt)max</w:t>
            </w:r>
            <w:r w:rsidRPr="001E1D5F">
              <w:rPr>
                <w:rFonts w:ascii="Arial" w:hAnsi="Arial" w:cs="Arial"/>
                <w:sz w:val="21"/>
                <w:szCs w:val="21"/>
                <w:lang w:eastAsia="en-GB"/>
              </w:rPr>
              <w:t>​</w:t>
            </w:r>
            <w:r w:rsidRPr="001E1D5F">
              <w:rPr>
                <w:sz w:val="21"/>
                <w:szCs w:val="21"/>
                <w:lang w:eastAsia="en-GB"/>
              </w:rPr>
              <w:t xml:space="preserve"> is the maximum degradation time among the materials being compared, applicable to any product lifecycle</w:t>
            </w:r>
          </w:p>
        </w:tc>
        <w:tc>
          <w:tcPr>
            <w:tcW w:w="1559" w:type="dxa"/>
            <w:vAlign w:val="center"/>
          </w:tcPr>
          <w:p w14:paraId="0014F596"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Dimensionless Ratio</w:t>
            </w:r>
          </w:p>
        </w:tc>
        <w:tc>
          <w:tcPr>
            <w:tcW w:w="3915" w:type="dxa"/>
            <w:vAlign w:val="center"/>
          </w:tcPr>
          <w:p w14:paraId="3F1E241B" w14:textId="77777777" w:rsidR="001E1D5F" w:rsidRPr="001E1D5F"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Food Packaging</w:t>
            </w:r>
          </w:p>
          <w:p w14:paraId="025BE486" w14:textId="77777777" w:rsidR="001E1D5F" w:rsidRPr="001E1D5F" w:rsidRDefault="001E1D5F" w:rsidP="001E1D5F">
            <w:pPr>
              <w:spacing w:before="60"/>
              <w:jc w:val="center"/>
              <w:rPr>
                <w:rFonts w:cs="Calibri"/>
                <w:b/>
                <w:bCs/>
                <w:color w:val="000000"/>
                <w:sz w:val="21"/>
                <w:szCs w:val="21"/>
                <w:lang w:eastAsia="en-GB"/>
              </w:rPr>
            </w:pPr>
          </w:p>
        </w:tc>
        <w:tc>
          <w:tcPr>
            <w:tcW w:w="1618" w:type="dxa"/>
            <w:vAlign w:val="center"/>
          </w:tcPr>
          <w:p w14:paraId="1A5A9916" w14:textId="4BF39FCB"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fldChar w:fldCharType="begin"/>
            </w:r>
            <w:r w:rsidR="00C41CDD">
              <w:rPr>
                <w:rFonts w:cs="Calibri"/>
                <w:b/>
                <w:bCs/>
                <w:color w:val="000000"/>
                <w:sz w:val="21"/>
                <w:szCs w:val="21"/>
                <w:lang w:eastAsia="en-GB"/>
              </w:rPr>
              <w:instrText xml:space="preserve"> ADDIN ZOTERO_ITEM CSL_CITATION {"citationID":"Ed5Ce8uW","properties":{"formattedCitation":"[64]","plainCitation":"[64]","noteIndex":0},"citationItems":[{"id":3105,"uris":["http://zotero.org/users/local/05JQq5lJ/items/HCU4BDWI"],"itemData":{"id":3105,"type":"article-journal","abstract":"Today plastic is the most used material for food packaging, but its incorrect disposal is creating environmental issues to oceans, soil and air. Someone believes that the solution is to ban plastic and substitute it with glass packaging. Is it the right choice? This study aims at comparing the environmental impact of bottles made of PET, R-PET, non-returnable glass and returnable glass in order to understand which is the most environmental friendly packaging solution.","container-title":"The International Journal of Life Cycle Assessment","DOI":"10.1007/s11367-020-01804-x","ISSN":"1614-7502","issue":"4","journalAbbreviation":"Int J Life Cycle Assess","language":"en","page":"767-784","source":"Springer Link","title":"Plastic or glass: a new environmental assessment with a marine litter indicator for the comparison of pasteurized milk bottles","title-short":"Plastic or glass","volume":"26","author":[{"family":"Stefanini","given":"Roberta"},{"family":"Borghesi","given":"Giulia"},{"family":"Ronzano","given":"Anna"},{"family":"Vignali","given":"Giuseppe"}],"issued":{"date-parts":[["2021",4,1]]}}}],"schema":"https://github.com/citation-style-language/schema/raw/master/csl-citation.json"} </w:instrText>
            </w:r>
            <w:r w:rsidRPr="001E1D5F">
              <w:rPr>
                <w:rFonts w:cs="Calibri"/>
                <w:b/>
                <w:bCs/>
                <w:color w:val="000000"/>
                <w:sz w:val="21"/>
                <w:szCs w:val="21"/>
                <w:lang w:eastAsia="en-GB"/>
              </w:rPr>
              <w:fldChar w:fldCharType="separate"/>
            </w:r>
            <w:r w:rsidR="00C41CDD" w:rsidRPr="00C41CDD">
              <w:rPr>
                <w:rFonts w:ascii="Calibri" w:hAnsi="Calibri" w:cs="Calibri"/>
                <w:sz w:val="21"/>
              </w:rPr>
              <w:t>[64]</w:t>
            </w:r>
            <w:r w:rsidRPr="001E1D5F">
              <w:rPr>
                <w:rFonts w:cs="Calibri"/>
                <w:b/>
                <w:bCs/>
                <w:color w:val="000000"/>
                <w:sz w:val="21"/>
                <w:szCs w:val="21"/>
                <w:lang w:eastAsia="en-GB"/>
              </w:rPr>
              <w:fldChar w:fldCharType="end"/>
            </w:r>
          </w:p>
        </w:tc>
      </w:tr>
      <w:tr w:rsidR="001E1D5F" w:rsidRPr="001E1D5F" w14:paraId="3523285E" w14:textId="77777777" w:rsidTr="00040455">
        <w:tblPrEx>
          <w:jc w:val="left"/>
        </w:tblPrEx>
        <w:trPr>
          <w:trHeight w:val="300"/>
        </w:trPr>
        <w:tc>
          <w:tcPr>
            <w:tcW w:w="16165" w:type="dxa"/>
            <w:gridSpan w:val="6"/>
            <w:shd w:val="clear" w:color="auto" w:fill="E7E6E6" w:themeFill="background2"/>
            <w:noWrap/>
            <w:vAlign w:val="center"/>
          </w:tcPr>
          <w:p w14:paraId="0CD3D1C5" w14:textId="77777777" w:rsidR="001E1D5F" w:rsidRPr="001E1D5F" w:rsidRDefault="001E1D5F" w:rsidP="001E1D5F">
            <w:pPr>
              <w:spacing w:before="60"/>
              <w:rPr>
                <w:rFonts w:cs="Calibri"/>
                <w:b/>
                <w:bCs/>
                <w:color w:val="000000"/>
                <w:sz w:val="21"/>
                <w:szCs w:val="21"/>
                <w:lang w:eastAsia="en-GB"/>
              </w:rPr>
            </w:pPr>
            <w:r w:rsidRPr="001E1D5F">
              <w:rPr>
                <w:rFonts w:cs="Calibri"/>
                <w:b/>
                <w:bCs/>
                <w:color w:val="000000"/>
                <w:sz w:val="21"/>
                <w:szCs w:val="21"/>
                <w:lang w:eastAsia="en-GB"/>
              </w:rPr>
              <w:t>Indicator Group E6: Resource Use, Scarcity &amp; Depletion</w:t>
            </w:r>
          </w:p>
        </w:tc>
      </w:tr>
      <w:tr w:rsidR="001E1D5F" w:rsidRPr="001E1D5F" w14:paraId="7141F220" w14:textId="77777777" w:rsidTr="00040455">
        <w:tblPrEx>
          <w:jc w:val="left"/>
        </w:tblPrEx>
        <w:trPr>
          <w:trHeight w:val="300"/>
        </w:trPr>
        <w:tc>
          <w:tcPr>
            <w:tcW w:w="1985" w:type="dxa"/>
            <w:noWrap/>
            <w:vAlign w:val="center"/>
          </w:tcPr>
          <w:p w14:paraId="20D061A9"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Abiotic Depletion Potential (ADP)</w:t>
            </w:r>
          </w:p>
        </w:tc>
        <w:tc>
          <w:tcPr>
            <w:tcW w:w="1560" w:type="dxa"/>
            <w:noWrap/>
            <w:vAlign w:val="center"/>
          </w:tcPr>
          <w:p w14:paraId="753F5D1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1AE4481A" w14:textId="77777777" w:rsidR="001E1D5F" w:rsidRPr="001E1D5F" w:rsidRDefault="001E1D5F" w:rsidP="001E1D5F">
            <w:pPr>
              <w:jc w:val="center"/>
              <w:rPr>
                <w:sz w:val="21"/>
                <w:szCs w:val="21"/>
                <w:lang w:eastAsia="en-GB"/>
              </w:rPr>
            </w:pPr>
            <w:r w:rsidRPr="001E1D5F">
              <w:rPr>
                <w:rFonts w:ascii="Times New Roman" w:hAnsi="Times New Roman"/>
                <w:b/>
                <w:bCs/>
                <w:sz w:val="21"/>
                <w:szCs w:val="21"/>
                <w:lang w:eastAsia="en-GB"/>
              </w:rPr>
              <w:t>ADP</w:t>
            </w:r>
            <w:r w:rsidRPr="001E1D5F">
              <w:rPr>
                <w:rFonts w:ascii="Times New Roman" w:hAnsi="Times New Roman"/>
                <w:sz w:val="21"/>
                <w:szCs w:val="21"/>
                <w:lang w:eastAsia="en-GB"/>
              </w:rPr>
              <w:t>=∑</w:t>
            </w:r>
            <w:r w:rsidRPr="001E1D5F">
              <w:rPr>
                <w:rFonts w:ascii="Arial" w:hAnsi="Arial" w:cs="Arial"/>
                <w:sz w:val="21"/>
                <w:szCs w:val="21"/>
                <w:lang w:eastAsia="en-GB"/>
              </w:rPr>
              <w:t>​</w:t>
            </w:r>
            <w:r w:rsidRPr="001E1D5F">
              <w:rPr>
                <w:rFonts w:ascii="Times New Roman" w:hAnsi="Times New Roman"/>
                <w:sz w:val="21"/>
                <w:szCs w:val="21"/>
                <w:lang w:eastAsia="en-GB"/>
              </w:rPr>
              <w:t>(</w:t>
            </w:r>
            <w:r w:rsidRPr="001E1D5F">
              <w:rPr>
                <w:rFonts w:ascii="Arial" w:hAnsi="Arial" w:cs="Arial"/>
                <w:sz w:val="21"/>
                <w:szCs w:val="21"/>
                <w:lang w:eastAsia="en-GB"/>
              </w:rPr>
              <w:t>​</w:t>
            </w:r>
            <w:r w:rsidRPr="001E1D5F">
              <w:rPr>
                <w:rFonts w:ascii="Times New Roman" w:hAnsi="Times New Roman"/>
                <w:sz w:val="21"/>
                <w:szCs w:val="21"/>
                <w:lang w:eastAsia="en-GB"/>
              </w:rPr>
              <w:t>Qi/Ri</w:t>
            </w:r>
            <w:r w:rsidRPr="001E1D5F">
              <w:rPr>
                <w:rFonts w:ascii="Arial" w:hAnsi="Arial" w:cs="Arial"/>
                <w:sz w:val="21"/>
                <w:szCs w:val="21"/>
                <w:lang w:eastAsia="en-GB"/>
              </w:rPr>
              <w:t>​​</w:t>
            </w:r>
            <w:r w:rsidRPr="001E1D5F">
              <w:rPr>
                <w:rFonts w:ascii="Times New Roman" w:hAnsi="Times New Roman"/>
                <w:sz w:val="21"/>
                <w:szCs w:val="21"/>
                <w:lang w:eastAsia="en-GB"/>
              </w:rPr>
              <w:t>×</w:t>
            </w:r>
            <w:proofErr w:type="spellStart"/>
            <w:r w:rsidRPr="001E1D5F">
              <w:rPr>
                <w:rFonts w:ascii="Times New Roman" w:hAnsi="Times New Roman"/>
                <w:sz w:val="21"/>
                <w:szCs w:val="21"/>
                <w:lang w:eastAsia="en-GB"/>
              </w:rPr>
              <w:t>CFi</w:t>
            </w:r>
            <w:proofErr w:type="spellEnd"/>
            <w:r w:rsidRPr="001E1D5F">
              <w:rPr>
                <w:rFonts w:ascii="Arial" w:hAnsi="Arial" w:cs="Arial"/>
                <w:sz w:val="21"/>
                <w:szCs w:val="21"/>
                <w:lang w:eastAsia="en-GB"/>
              </w:rPr>
              <w:t>​</w:t>
            </w:r>
            <w:r w:rsidRPr="001E1D5F">
              <w:rPr>
                <w:rFonts w:ascii="Times New Roman" w:hAnsi="Times New Roman"/>
                <w:sz w:val="21"/>
                <w:szCs w:val="21"/>
                <w:lang w:eastAsia="en-GB"/>
              </w:rPr>
              <w:t xml:space="preserve">), where: </w:t>
            </w:r>
            <w:r w:rsidRPr="001E1D5F">
              <w:rPr>
                <w:sz w:val="21"/>
                <w:szCs w:val="21"/>
                <w:lang w:eastAsia="en-GB"/>
              </w:rPr>
              <w:t>Qi</w:t>
            </w:r>
            <w:r w:rsidRPr="001E1D5F">
              <w:rPr>
                <w:rFonts w:ascii="Arial" w:hAnsi="Arial" w:cs="Arial"/>
                <w:sz w:val="21"/>
                <w:szCs w:val="21"/>
                <w:lang w:eastAsia="en-GB"/>
              </w:rPr>
              <w:t>​</w:t>
            </w:r>
            <w:r w:rsidRPr="001E1D5F">
              <w:rPr>
                <w:sz w:val="21"/>
                <w:szCs w:val="21"/>
                <w:lang w:eastAsia="en-GB"/>
              </w:rPr>
              <w:t xml:space="preserve">: Quantity of each resource </w:t>
            </w:r>
            <w:proofErr w:type="spellStart"/>
            <w:r w:rsidRPr="001E1D5F">
              <w:rPr>
                <w:sz w:val="21"/>
                <w:szCs w:val="21"/>
                <w:lang w:eastAsia="en-GB"/>
              </w:rPr>
              <w:t>i</w:t>
            </w:r>
            <w:proofErr w:type="spellEnd"/>
            <w:r w:rsidRPr="001E1D5F">
              <w:rPr>
                <w:sz w:val="21"/>
                <w:szCs w:val="21"/>
                <w:lang w:eastAsia="en-GB"/>
              </w:rPr>
              <w:t xml:space="preserve"> used in the production process (e.g., kg or MJ for fossil fuels), Ri: Total known reserves of resource </w:t>
            </w:r>
            <w:proofErr w:type="spellStart"/>
            <w:r w:rsidRPr="001E1D5F">
              <w:rPr>
                <w:sz w:val="21"/>
                <w:szCs w:val="21"/>
                <w:lang w:eastAsia="en-GB"/>
              </w:rPr>
              <w:t>i</w:t>
            </w:r>
            <w:proofErr w:type="spellEnd"/>
            <w:r w:rsidRPr="001E1D5F">
              <w:rPr>
                <w:sz w:val="21"/>
                <w:szCs w:val="21"/>
                <w:lang w:eastAsia="en-GB"/>
              </w:rPr>
              <w:t xml:space="preserve"> (in kg or MJ), which represents the resource's availability in the Earth's crust, </w:t>
            </w:r>
            <w:proofErr w:type="spellStart"/>
            <w:r w:rsidRPr="001E1D5F">
              <w:rPr>
                <w:sz w:val="21"/>
                <w:szCs w:val="21"/>
                <w:lang w:eastAsia="en-GB"/>
              </w:rPr>
              <w:t>CFi</w:t>
            </w:r>
            <w:proofErr w:type="spellEnd"/>
            <w:r w:rsidRPr="001E1D5F">
              <w:rPr>
                <w:rFonts w:ascii="Arial" w:hAnsi="Arial" w:cs="Arial"/>
                <w:sz w:val="21"/>
                <w:szCs w:val="21"/>
                <w:lang w:eastAsia="en-GB"/>
              </w:rPr>
              <w:t>​</w:t>
            </w:r>
            <w:r w:rsidRPr="001E1D5F">
              <w:rPr>
                <w:sz w:val="21"/>
                <w:szCs w:val="21"/>
                <w:lang w:eastAsia="en-GB"/>
              </w:rPr>
              <w:t xml:space="preserve">: Characterization factor of resource </w:t>
            </w:r>
            <w:proofErr w:type="spellStart"/>
            <w:r w:rsidRPr="001E1D5F">
              <w:rPr>
                <w:sz w:val="21"/>
                <w:szCs w:val="21"/>
                <w:lang w:eastAsia="en-GB"/>
              </w:rPr>
              <w:t>i</w:t>
            </w:r>
            <w:proofErr w:type="spellEnd"/>
            <w:r w:rsidRPr="001E1D5F">
              <w:rPr>
                <w:sz w:val="21"/>
                <w:szCs w:val="21"/>
                <w:lang w:eastAsia="en-GB"/>
              </w:rPr>
              <w:t xml:space="preserve">, which converts the quantity of the resource used into a depletion potential in terms of a reference substance, usually antimony (Sb </w:t>
            </w:r>
            <w:proofErr w:type="spellStart"/>
            <w:r w:rsidRPr="001E1D5F">
              <w:rPr>
                <w:sz w:val="21"/>
                <w:szCs w:val="21"/>
                <w:lang w:eastAsia="en-GB"/>
              </w:rPr>
              <w:t>eq</w:t>
            </w:r>
            <w:proofErr w:type="spellEnd"/>
            <w:r w:rsidRPr="001E1D5F">
              <w:rPr>
                <w:sz w:val="21"/>
                <w:szCs w:val="21"/>
                <w:lang w:eastAsia="en-GB"/>
              </w:rPr>
              <w:t>), to normalize scarcity impacts across different resources.</w:t>
            </w:r>
          </w:p>
        </w:tc>
        <w:tc>
          <w:tcPr>
            <w:tcW w:w="1559" w:type="dxa"/>
            <w:vAlign w:val="center"/>
          </w:tcPr>
          <w:p w14:paraId="42AEDF3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kg Sb </w:t>
            </w:r>
            <w:proofErr w:type="spellStart"/>
            <w:r w:rsidRPr="001E1D5F">
              <w:rPr>
                <w:rFonts w:cs="Calibri"/>
                <w:color w:val="000000"/>
                <w:sz w:val="21"/>
                <w:szCs w:val="21"/>
                <w:lang w:eastAsia="en-GB"/>
              </w:rPr>
              <w:t>eq</w:t>
            </w:r>
            <w:proofErr w:type="spellEnd"/>
            <w:r w:rsidRPr="001E1D5F">
              <w:rPr>
                <w:rFonts w:cs="Calibri"/>
                <w:color w:val="000000"/>
                <w:sz w:val="21"/>
                <w:szCs w:val="21"/>
                <w:lang w:eastAsia="en-GB"/>
              </w:rPr>
              <w:t xml:space="preserve"> (kilograms of antimony equivalent)</w:t>
            </w:r>
          </w:p>
        </w:tc>
        <w:tc>
          <w:tcPr>
            <w:tcW w:w="3915" w:type="dxa"/>
            <w:vAlign w:val="center"/>
          </w:tcPr>
          <w:p w14:paraId="49B53B2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Agri-food, Food</w:t>
            </w:r>
          </w:p>
        </w:tc>
        <w:tc>
          <w:tcPr>
            <w:tcW w:w="1618" w:type="dxa"/>
            <w:vAlign w:val="center"/>
          </w:tcPr>
          <w:p w14:paraId="48AB5E00" w14:textId="4C5BDB9A"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{"citationID":"8MwrSl72","properties":{"formattedCitation":"[52,56,66]","plainCitation":"[52,56,66]","noteIndex":0},"citationItems":[{"id":3146,"uris":["http://zotero.org/users/local/05JQq5lJ/items/9BATZU2T"],"itemData":{"id":3146,"type":"article-journal","abstract":"Sodium-ion batteries are considered promising alternatives to lithium-ion technology; however, the diffusion on a commercial scale is hindered by the struggle to identify materials with high electrochemical performances. Studies available in the literature are mainly focused on electrochemical performance and neglect aspects related to the environmental sustainability. In fact, the current state-of-the-art (presented in this study) shows that life cycle assessment (LCA) studies related to the production processes of electrode materials for Na-ion batteries are still very limited. The LCA methodology applied during the development of a technology phase can constitute a valid support for an eco-oriented design and, therefore, to the choice of solutions characterized by a lower environmental impact with the same electrochemical performance. In this context, a life cycle-based environmental–economic assessment was performed to evaluate the environmental impacts of the production process of cathode and anode materials for sodium-ion batteries. The study is focused on the cathodic active material Na0.66MnO2, considering two synthesis paths, and the anodic material consisting of tin (Sn) and Sn-carbon nanofiber (Sn-Cn) active material, binder, and other additives. Results illustrate the environmental performance of the different materials and constitute a useful input for their selection within an eco-design view.","container-title":"Energies","DOI":"10.3390/en16176220","ISSN":"1996-1073","issue":"17","language":"en","license":"http://creativecommons.org/licenses/by/3.0/","note":"number: 17\npublisher: Multidisciplinary Digital Publishing Institute","page":"6220","source":"www.mdpi.com","title":"LCA and C-LCC Indicator as Tools for Sodium-Ion Batteries’ Eco-Design","volume":"16","author":[{"family":"Carvalho","given":"Maria Leonor"},{"family":"Cusenza","given":"Maria Anna"},{"family":"Mela","given":"Giulio"},{"family":"Temporelli","given":"Andrea"},{"family":"Quinzeni","given":"Irene"},{"family":"Girardi","given":"Pierpaolo"}],"issued":{"date-parts":[["2023",1]]}}},{"id":3101,"uris":["http://zotero.org/users/local/05JQq5lJ/items/BU7JCH54"],"itemData":{"id":3101,"type":"article-journal","abstract":"In this research, the environmental profile of sugar produced from beet was estimated by considering the beet cultivation and the milling process in the Iranian Hamadan Province via the life cycle assessment methodology. Data were obtained from sugar beet growers and the main sugar mill in the province. The system boundaries were set from the sugar beet planting to the production of white sugar in the sugar mill. The functional unit was considered to be 1 ton of white sugar. The calculations were performed for impact categories including global warming, abiotic depletion, fossil fuel depletion, ozone layer depletion, human toxicity, fresh water aquatic ecotoxicity, marine aquatic ecotoxicity, terrestrial ecotoxicity, photochemical oxidation, acidification, and eutrophication. Results indicate that the global warming impact of sugar production through beet cultivation and the milling process was estimated to be 310, and 1540 kgCO2eq/ton, respectively. Electricity accounted for the greatest share of the impact for agricultural phase (55.29%), followed by chemical fertilisers (20.83%). This electricity consumption in sugar beet production is mainly due to the agricultural irrigation. Therefore, the enhancement of water use efficiency and water extraction in sugar beet farming seems to be a possible solution to the reduction of the overall environmental burden. Also, sugar beet production should become more efficient in terms of fertiliser use. In the industrial phase, the most significant impacts are related to the production and use of natural gas. Renovation of equipment and development of renewable energies in the mill have been suggested for making beet processing more energy efficient.","container-title":"Biomass Conversion and Biorefinery","DOI":"10.1007/s13399-022-02982-4","ISSN":"2190-6823","issue":"5","journalAbbreviation":"Biomass Conv. Bioref.","language":"en","page":"6759-6772","source":"Springer Link","title":"Use of LCA indicators to assess Iranian sugar production systems: case study — Hamadan Province","title-short":"Use of LCA indicators to assess Iranian sugar production systems","volume":"14","author":[{"family":"Namdari","given":"Majid"},{"family":"Rafiee","given":"Shahin"},{"family":"Notarnicola","given":"Bruno"},{"family":"Tassielli","given":"Giuseppe"},{"family":"Renzulli","given":"Pietro A."},{"family":"Hosseinpour","given":"Soleiman"}],"issued":{"date-parts":[["2024",3,1]]}}},{"id":3132,"uris":["http://zotero.org/users/local/05JQq5lJ/items/MAYYE9KM"],"itemData":{"id":3132,"type":"article-journal","abstract":"In the past decades, the environmental impact categories have been applied to life cycle assessment of consumer product, but the challenge of applying the impact categories is still posed. Although former studies have screened impact categories/indicators to represent sustainability for environmental performance of products from the existing ones, the practitioners have rarely discussed the challenge within food products. This present study aims to conduct a correlation analysis between life cycle impacts of food products on eight impact categories/indicators with a question of whether Carbon Footprint (CF) expressed as Global Warming Potential (GWP100a) could serve as indicator for environmental performance of food products. 1548 food products from the French database AGRIBALYSE v3.0.1 is employed in the analysis, while eight impact categories/indicators in the CML-IA baseline method are calculated by the openLCA 1.10.3 software. The results show that correlation coefficients between the impact categories/indicators vary in a range of 0.42–0.87. Strong correlations between the CF and the others are found in the whole product category except toxicity-related impact categories, and the correlations could be stronger or weaker depending on the product subcategories. It reveals that, on one hand, the CF could act as proxy for some of the impact indicators in the product categories; on the other hand, the indicator could not serve as a stand-alone indicator to represent the environmental sustainability. The research findings might be used in selecting impact categories/indicators for environmental performance of food products, while screening impact categories/indicators from the existing ones and making a contribution to sustainability assessment.","container-title":"International Journal of Environmental Research","DOI":"10.1007/s41742-023-00553-7","ISSN":"2008-2304","issue":"1","journalAbbreviation":"Int J Environ Res","language":"en","page":"5","source":"Springer Link","title":"Applicability of Carbon Footprint as Indicator for Environmental Performance of Food Products","volume":"18","author":[{"family":"Pak","given":"Song-Chol"},{"family":"O","given":"Nam-Chol"},{"family":"Ri","given":"Ryong-Jin"},{"family":"Ro","given":"Jong-Song"},{"family":"Ri","given":"Pong-Chol"}],"issued":{"date-parts":[["2023",12,16]]}}}],"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[52,56,66]</w:t>
            </w:r>
            <w:r w:rsidRPr="001E1D5F">
              <w:rPr>
                <w:rFonts w:cs="Calibri"/>
                <w:color w:val="000000"/>
                <w:sz w:val="21"/>
                <w:szCs w:val="21"/>
                <w:lang w:eastAsia="en-GB"/>
              </w:rPr>
              <w:fldChar w:fldCharType="end"/>
            </w:r>
          </w:p>
        </w:tc>
      </w:tr>
      <w:tr w:rsidR="001E1D5F" w:rsidRPr="001E1D5F" w14:paraId="7CFF2918" w14:textId="77777777" w:rsidTr="00040455">
        <w:tblPrEx>
          <w:jc w:val="left"/>
        </w:tblPrEx>
        <w:trPr>
          <w:trHeight w:val="300"/>
        </w:trPr>
        <w:tc>
          <w:tcPr>
            <w:tcW w:w="1985" w:type="dxa"/>
            <w:noWrap/>
            <w:vAlign w:val="center"/>
          </w:tcPr>
          <w:p w14:paraId="09F2A473"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Fossil Resource Scarcity</w:t>
            </w:r>
          </w:p>
        </w:tc>
        <w:tc>
          <w:tcPr>
            <w:tcW w:w="1560" w:type="dxa"/>
            <w:noWrap/>
            <w:vAlign w:val="center"/>
          </w:tcPr>
          <w:p w14:paraId="3C9B75C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301BD91" w14:textId="77777777" w:rsidR="001E1D5F" w:rsidRPr="001E1D5F" w:rsidRDefault="001E1D5F" w:rsidP="001E1D5F">
            <w:pPr>
              <w:jc w:val="center"/>
              <w:rPr>
                <w:sz w:val="21"/>
                <w:szCs w:val="21"/>
                <w:lang w:eastAsia="en-GB"/>
              </w:rPr>
            </w:pPr>
            <w:r w:rsidRPr="001E1D5F">
              <w:rPr>
                <w:rFonts w:ascii="Times New Roman" w:hAnsi="Times New Roman"/>
                <w:b/>
                <w:bCs/>
                <w:sz w:val="21"/>
                <w:szCs w:val="21"/>
                <w:lang w:eastAsia="en-GB"/>
              </w:rPr>
              <w:t>Fossil Resource Scarcity</w:t>
            </w:r>
            <w:r w:rsidRPr="001E1D5F">
              <w:rPr>
                <w:rFonts w:ascii="Times New Roman" w:hAnsi="Times New Roman"/>
                <w:sz w:val="21"/>
                <w:szCs w:val="21"/>
                <w:lang w:eastAsia="en-GB"/>
              </w:rPr>
              <w:t>=∑</w:t>
            </w:r>
            <w:r w:rsidRPr="001E1D5F">
              <w:rPr>
                <w:rFonts w:ascii="Arial" w:hAnsi="Arial" w:cs="Arial"/>
                <w:sz w:val="21"/>
                <w:szCs w:val="21"/>
                <w:lang w:eastAsia="en-GB"/>
              </w:rPr>
              <w:t>​</w:t>
            </w:r>
            <w:r w:rsidRPr="001E1D5F">
              <w:rPr>
                <w:rFonts w:ascii="Times New Roman" w:hAnsi="Times New Roman"/>
                <w:sz w:val="21"/>
                <w:szCs w:val="21"/>
                <w:lang w:eastAsia="en-GB"/>
              </w:rPr>
              <w:t>(Qi</w:t>
            </w:r>
            <w:r w:rsidRPr="001E1D5F">
              <w:rPr>
                <w:rFonts w:ascii="Arial" w:hAnsi="Arial" w:cs="Arial"/>
                <w:sz w:val="21"/>
                <w:szCs w:val="21"/>
                <w:lang w:eastAsia="en-GB"/>
              </w:rPr>
              <w:t>​</w:t>
            </w:r>
            <w:r w:rsidRPr="001E1D5F">
              <w:rPr>
                <w:rFonts w:ascii="Times New Roman" w:hAnsi="Times New Roman"/>
                <w:sz w:val="21"/>
                <w:szCs w:val="21"/>
                <w:lang w:eastAsia="en-GB"/>
              </w:rPr>
              <w:t>×</w:t>
            </w:r>
            <w:proofErr w:type="spellStart"/>
            <w:r w:rsidRPr="001E1D5F">
              <w:rPr>
                <w:rFonts w:ascii="Times New Roman" w:hAnsi="Times New Roman"/>
                <w:sz w:val="21"/>
                <w:szCs w:val="21"/>
                <w:lang w:eastAsia="en-GB"/>
              </w:rPr>
              <w:t>EFi</w:t>
            </w:r>
            <w:proofErr w:type="spellEnd"/>
            <w:r w:rsidRPr="001E1D5F">
              <w:rPr>
                <w:rFonts w:ascii="Arial" w:hAnsi="Arial" w:cs="Arial"/>
                <w:sz w:val="21"/>
                <w:szCs w:val="21"/>
                <w:lang w:eastAsia="en-GB"/>
              </w:rPr>
              <w:t>​</w:t>
            </w:r>
            <w:r w:rsidRPr="001E1D5F">
              <w:rPr>
                <w:rFonts w:ascii="Times New Roman" w:hAnsi="Times New Roman"/>
                <w:sz w:val="21"/>
                <w:szCs w:val="21"/>
                <w:lang w:eastAsia="en-GB"/>
              </w:rPr>
              <w:t xml:space="preserve">), where: </w:t>
            </w:r>
            <w:r w:rsidRPr="001E1D5F">
              <w:rPr>
                <w:sz w:val="21"/>
                <w:szCs w:val="21"/>
                <w:lang w:eastAsia="en-GB"/>
              </w:rPr>
              <w:t>Qi</w:t>
            </w:r>
            <w:r w:rsidRPr="001E1D5F">
              <w:rPr>
                <w:rFonts w:ascii="Arial" w:hAnsi="Arial" w:cs="Arial"/>
                <w:sz w:val="21"/>
                <w:szCs w:val="21"/>
                <w:lang w:eastAsia="en-GB"/>
              </w:rPr>
              <w:t>​</w:t>
            </w:r>
            <w:r w:rsidRPr="001E1D5F">
              <w:rPr>
                <w:sz w:val="21"/>
                <w:szCs w:val="21"/>
                <w:lang w:eastAsia="en-GB"/>
              </w:rPr>
              <w:t xml:space="preserve">: Quantity of each fossil resource </w:t>
            </w:r>
            <w:proofErr w:type="spellStart"/>
            <w:r w:rsidRPr="001E1D5F">
              <w:rPr>
                <w:sz w:val="21"/>
                <w:szCs w:val="21"/>
                <w:lang w:eastAsia="en-GB"/>
              </w:rPr>
              <w:t>i</w:t>
            </w:r>
            <w:proofErr w:type="spellEnd"/>
            <w:r w:rsidRPr="001E1D5F">
              <w:rPr>
                <w:sz w:val="21"/>
                <w:szCs w:val="21"/>
                <w:lang w:eastAsia="en-GB"/>
              </w:rPr>
              <w:t xml:space="preserve"> used (e.g., kg or MJ), </w:t>
            </w:r>
            <w:proofErr w:type="spellStart"/>
            <w:r w:rsidRPr="001E1D5F">
              <w:rPr>
                <w:sz w:val="21"/>
                <w:szCs w:val="21"/>
                <w:lang w:eastAsia="en-GB"/>
              </w:rPr>
              <w:t>EFi</w:t>
            </w:r>
            <w:proofErr w:type="spellEnd"/>
            <w:r w:rsidRPr="001E1D5F">
              <w:rPr>
                <w:rFonts w:ascii="Arial" w:hAnsi="Arial" w:cs="Arial"/>
                <w:sz w:val="21"/>
                <w:szCs w:val="21"/>
                <w:lang w:eastAsia="en-GB"/>
              </w:rPr>
              <w:t>​</w:t>
            </w:r>
            <w:r w:rsidRPr="001E1D5F">
              <w:rPr>
                <w:sz w:val="21"/>
                <w:szCs w:val="21"/>
                <w:lang w:eastAsia="en-GB"/>
              </w:rPr>
              <w:t xml:space="preserve">: Characterization factor for resource </w:t>
            </w:r>
            <w:proofErr w:type="spellStart"/>
            <w:r w:rsidRPr="001E1D5F">
              <w:rPr>
                <w:sz w:val="21"/>
                <w:szCs w:val="21"/>
                <w:lang w:eastAsia="en-GB"/>
              </w:rPr>
              <w:t>i</w:t>
            </w:r>
            <w:proofErr w:type="spellEnd"/>
            <w:r w:rsidRPr="001E1D5F">
              <w:rPr>
                <w:sz w:val="21"/>
                <w:szCs w:val="21"/>
                <w:lang w:eastAsia="en-GB"/>
              </w:rPr>
              <w:t xml:space="preserve"> (often measured in kg oil equivalent per unit of Qi</w:t>
            </w:r>
            <w:r w:rsidRPr="001E1D5F">
              <w:rPr>
                <w:rFonts w:ascii="Arial" w:hAnsi="Arial" w:cs="Arial"/>
                <w:sz w:val="21"/>
                <w:szCs w:val="21"/>
                <w:lang w:eastAsia="en-GB"/>
              </w:rPr>
              <w:t>​</w:t>
            </w:r>
            <w:r w:rsidRPr="001E1D5F">
              <w:rPr>
                <w:sz w:val="21"/>
                <w:szCs w:val="21"/>
                <w:lang w:eastAsia="en-GB"/>
              </w:rPr>
              <w:t>)</w:t>
            </w:r>
          </w:p>
        </w:tc>
        <w:tc>
          <w:tcPr>
            <w:tcW w:w="1559" w:type="dxa"/>
            <w:vAlign w:val="center"/>
          </w:tcPr>
          <w:p w14:paraId="64D2239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kg oil equivalent (kg oil-</w:t>
            </w:r>
            <w:proofErr w:type="spellStart"/>
            <w:r w:rsidRPr="001E1D5F">
              <w:rPr>
                <w:rFonts w:cs="Calibri"/>
                <w:color w:val="000000"/>
                <w:sz w:val="21"/>
                <w:szCs w:val="21"/>
                <w:lang w:eastAsia="en-GB"/>
              </w:rPr>
              <w:t>eq</w:t>
            </w:r>
            <w:proofErr w:type="spellEnd"/>
            <w:r w:rsidRPr="001E1D5F">
              <w:rPr>
                <w:rFonts w:cs="Calibri"/>
                <w:color w:val="000000"/>
                <w:sz w:val="21"/>
                <w:szCs w:val="21"/>
                <w:lang w:eastAsia="en-GB"/>
              </w:rPr>
              <w:t>)</w:t>
            </w:r>
          </w:p>
        </w:tc>
        <w:tc>
          <w:tcPr>
            <w:tcW w:w="3915" w:type="dxa"/>
            <w:vAlign w:val="center"/>
          </w:tcPr>
          <w:p w14:paraId="6CAC2F5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Food Packaging </w:t>
            </w:r>
          </w:p>
        </w:tc>
        <w:tc>
          <w:tcPr>
            <w:tcW w:w="1618" w:type="dxa"/>
            <w:vAlign w:val="center"/>
          </w:tcPr>
          <w:p w14:paraId="24A22F59" w14:textId="1F57D1AD"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{"citationID":"qBwQOtqC","properties":{"formattedCitation":"[64]","plainCitation":"[64]","noteIndex":0},"citationItems":[{"id":3105,"uris":["http://zotero.org/users/local/05JQq5lJ/items/HCU4BDWI"],"itemData":{"id":3105,"type":"article-journal","abstract":"Today plastic is the most used material for food packaging, but its incorrect disposal is creating environmental issues to oceans, soil and air. Someone believes that the solution is to ban plastic and substitute it with glass packaging. Is it the right choice? This study aims at comparing the environmental impact of bottles made of PET, R-PET, non-returnable glass and returnable glass in order to understand which is the most environmental friendly packaging solution.","container-title":"The International Journal of Life Cycle Assessment","DOI":"10.1007/s11367-020-01804-x","ISSN":"1614-7502","issue":"4","journalAbbreviation":"Int J Life Cycle Assess","language":"en","page":"767-784","source":"Springer Link","title":"Plastic or glass: a new environmental assessment with a marine litter indicator for the comparison of pasteurized milk bottles","title-short":"Plastic or glass","volume":"26","author":[{"family":"Stefanini","given":"Roberta"},{"family":"Borghesi","given":"Giulia"},{"family":"Ronzano","given":"Anna"},{"family":"Vignali","given":"Giuseppe"}],"issued":{"date-parts":[["2021",4,1]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[64]</w:t>
            </w:r>
            <w:r w:rsidRPr="001E1D5F">
              <w:rPr>
                <w:rFonts w:cs="Calibri"/>
                <w:color w:val="000000"/>
                <w:sz w:val="21"/>
                <w:szCs w:val="21"/>
                <w:lang w:eastAsia="en-GB"/>
              </w:rPr>
              <w:fldChar w:fldCharType="end"/>
            </w:r>
          </w:p>
        </w:tc>
      </w:tr>
      <w:tr w:rsidR="001E1D5F" w:rsidRPr="001E1D5F" w14:paraId="7492E3C1" w14:textId="77777777" w:rsidTr="00040455">
        <w:tblPrEx>
          <w:jc w:val="left"/>
        </w:tblPrEx>
        <w:trPr>
          <w:trHeight w:val="300"/>
        </w:trPr>
        <w:tc>
          <w:tcPr>
            <w:tcW w:w="1985" w:type="dxa"/>
            <w:noWrap/>
            <w:vAlign w:val="center"/>
          </w:tcPr>
          <w:p w14:paraId="63D86DA9"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Material Intensity of Use (MIU)</w:t>
            </w:r>
          </w:p>
        </w:tc>
        <w:tc>
          <w:tcPr>
            <w:tcW w:w="1560" w:type="dxa"/>
            <w:noWrap/>
            <w:vAlign w:val="center"/>
          </w:tcPr>
          <w:p w14:paraId="00F3D4A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2530A4A4" w14:textId="77777777" w:rsidR="001E1D5F" w:rsidRPr="001E1D5F" w:rsidRDefault="001E1D5F" w:rsidP="001E1D5F">
            <w:pPr>
              <w:jc w:val="center"/>
              <w:rPr>
                <w:rFonts w:ascii="Times New Roman" w:hAnsi="Times New Roman"/>
                <w:sz w:val="21"/>
                <w:szCs w:val="21"/>
                <w:lang w:eastAsia="en-GB"/>
              </w:rPr>
            </w:pPr>
            <w:r w:rsidRPr="001E1D5F">
              <w:rPr>
                <w:rFonts w:ascii="Times New Roman" w:hAnsi="Times New Roman"/>
                <w:b/>
                <w:bCs/>
                <w:sz w:val="21"/>
                <w:szCs w:val="21"/>
                <w:lang w:eastAsia="en-GB"/>
              </w:rPr>
              <w:t>MIU</w:t>
            </w:r>
            <w:r w:rsidRPr="001E1D5F">
              <w:rPr>
                <w:rFonts w:ascii="Times New Roman" w:hAnsi="Times New Roman"/>
                <w:sz w:val="21"/>
                <w:szCs w:val="21"/>
                <w:lang w:eastAsia="en-GB"/>
              </w:rPr>
              <w:t>= Material Use (mass)/ Economic Output ​, where:</w:t>
            </w:r>
          </w:p>
          <w:p w14:paraId="5628E8FE" w14:textId="77777777" w:rsidR="001E1D5F" w:rsidRPr="001E1D5F" w:rsidRDefault="001E1D5F" w:rsidP="001E1D5F">
            <w:pPr>
              <w:spacing w:before="60" w:after="220" w:line="276" w:lineRule="auto"/>
              <w:jc w:val="center"/>
              <w:rPr>
                <w:sz w:val="21"/>
                <w:szCs w:val="21"/>
                <w:lang w:eastAsia="en-GB"/>
              </w:rPr>
            </w:pPr>
            <w:r w:rsidRPr="001E1D5F">
              <w:rPr>
                <w:b/>
                <w:bCs/>
                <w:sz w:val="21"/>
                <w:szCs w:val="21"/>
                <w:lang w:eastAsia="en-GB"/>
              </w:rPr>
              <w:t>Material Use</w:t>
            </w:r>
            <w:r w:rsidRPr="001E1D5F">
              <w:rPr>
                <w:sz w:val="21"/>
                <w:szCs w:val="21"/>
                <w:lang w:eastAsia="en-GB"/>
              </w:rPr>
              <w:t xml:space="preserve"> is the amount of a particular material (often in mass units like tons), </w:t>
            </w:r>
            <w:r w:rsidRPr="001E1D5F">
              <w:rPr>
                <w:b/>
                <w:bCs/>
                <w:sz w:val="21"/>
                <w:szCs w:val="21"/>
                <w:lang w:eastAsia="en-GB"/>
              </w:rPr>
              <w:t>Economic Output</w:t>
            </w:r>
            <w:r w:rsidRPr="001E1D5F">
              <w:rPr>
                <w:sz w:val="21"/>
                <w:szCs w:val="21"/>
                <w:lang w:eastAsia="en-GB"/>
              </w:rPr>
              <w:t xml:space="preserve"> is typically measured in terms of GDP or another economic indicator</w:t>
            </w:r>
          </w:p>
        </w:tc>
        <w:tc>
          <w:tcPr>
            <w:tcW w:w="1559" w:type="dxa"/>
            <w:vAlign w:val="center"/>
          </w:tcPr>
          <w:p w14:paraId="7A7F2D3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kg/EU (mass/monetary value)</w:t>
            </w:r>
          </w:p>
        </w:tc>
        <w:tc>
          <w:tcPr>
            <w:tcW w:w="3915" w:type="dxa"/>
            <w:vAlign w:val="center"/>
          </w:tcPr>
          <w:p w14:paraId="7BF60CA3" w14:textId="77777777" w:rsidR="001E1D5F" w:rsidRPr="001E1D5F"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Metal, chemical processes, construction materials</w:t>
            </w:r>
          </w:p>
        </w:tc>
        <w:tc>
          <w:tcPr>
            <w:tcW w:w="1618" w:type="dxa"/>
            <w:vAlign w:val="center"/>
          </w:tcPr>
          <w:p w14:paraId="294FC705" w14:textId="57B57C4D"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{"citationID":"C1ueGb68","properties":{"formattedCitation":"[67]","plainCitation":"[67]","noteIndex":0},"citationItems":[{"id":3144,"uris":["http://zotero.org/users/local/05JQq5lJ/items/H2ZYQ63F"],"itemData":{"id":3144,"type":"article-journal","abstract":"Increasing material efficiency, or material productivity, is essential for decoupling resource depletion and associated environmental pressures from economic development. This paper reviews the historical evolution of indicators monitoring material efficiency, their underpinning methodologies and major findings in the past three decades. Early studies investigated the material-economy relationship through intensity of use (IU) of some selected single materials. Economy-wide material flow accounting (EW-MFA) established a standardized framework for aggregating overall material inputs into an economy. Consumption-based material footprint (MF) analysis extended the system boundary to cover global resource extraction along supply chains to satisfy final consumption. Studies on material cycles (MC), especially metal cycles, further helped trace all major life cycle stages of anthropogenic material use, with the capability to account for in-use stocks of materials and products. Impact-based indicators investigate the opportunities to reduce negative environmental, social and economic impacts of material use, which is the ultimate purpose of improving material efficiency. Monitoring material efficiency with different indicators might lead to very different conclusions regarding a society’s dependence on material and its dematerialization trend. We present a generalized framework for constructing all kinds of material efficiency/productivity indicators and make the case that election of indicators should be problem-oriented and policy-relevant.","container-title":"Resources, Conservation and Recycling","DOI":"10.1016/j.resconrec.2018.01.028","ISSN":"0921-3449","journalAbbreviation":"Resources, Conservation and Recycling","page":"79-92","source":"ScienceDirect","title":"Measuring material efficiency: A review of the historical evolution of indicators, methodologies and findings","title-short":"Measuring material efficiency","volume":"132","author":[{"family":"Zhang","given":"Chao"},{"family":"Chen","given":"Wei-Qiang"},{"family":"Ruth","given":"Matthias"}],"issued":{"date-parts":[["2018",5,1]]}}}],"schema":"https://github.com/citation-style-language/schema/raw/master/csl-citation.json"}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[67]</w:t>
            </w:r>
            <w:r w:rsidRPr="001E1D5F">
              <w:rPr>
                <w:rFonts w:cs="Calibri"/>
                <w:color w:val="000000"/>
                <w:sz w:val="21"/>
                <w:szCs w:val="21"/>
                <w:lang w:eastAsia="en-GB"/>
              </w:rPr>
              <w:fldChar w:fldCharType="end"/>
            </w:r>
          </w:p>
        </w:tc>
      </w:tr>
      <w:tr w:rsidR="001E1D5F" w:rsidRPr="001E1D5F" w14:paraId="069D31ED" w14:textId="77777777" w:rsidTr="00040455">
        <w:tblPrEx>
          <w:jc w:val="left"/>
        </w:tblPrEx>
        <w:trPr>
          <w:trHeight w:val="300"/>
        </w:trPr>
        <w:tc>
          <w:tcPr>
            <w:tcW w:w="1985" w:type="dxa"/>
            <w:noWrap/>
            <w:vAlign w:val="center"/>
          </w:tcPr>
          <w:p w14:paraId="42385441"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lastRenderedPageBreak/>
              <w:t>Share of Renewable Sources</w:t>
            </w:r>
          </w:p>
        </w:tc>
        <w:tc>
          <w:tcPr>
            <w:tcW w:w="1560" w:type="dxa"/>
            <w:noWrap/>
            <w:vAlign w:val="center"/>
          </w:tcPr>
          <w:p w14:paraId="0605263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Composite</w:t>
            </w:r>
          </w:p>
        </w:tc>
        <w:tc>
          <w:tcPr>
            <w:tcW w:w="5528" w:type="dxa"/>
            <w:vAlign w:val="center"/>
          </w:tcPr>
          <w:p w14:paraId="0E98F03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(Mass or volume of renewable feedstocks</w:t>
            </w:r>
            <w:r w:rsidRPr="001E1D5F">
              <w:rPr>
                <w:rFonts w:ascii="Arial" w:hAnsi="Arial" w:cs="Arial"/>
                <w:color w:val="000000"/>
                <w:sz w:val="21"/>
                <w:szCs w:val="21"/>
                <w:lang w:eastAsia="en-GB"/>
              </w:rPr>
              <w:t>​</w:t>
            </w:r>
            <w:r w:rsidRPr="001E1D5F">
              <w:rPr>
                <w:rFonts w:cs="Arial"/>
                <w:color w:val="000000"/>
                <w:sz w:val="21"/>
                <w:szCs w:val="21"/>
                <w:lang w:eastAsia="en-GB"/>
              </w:rPr>
              <w:t>/</w:t>
            </w:r>
            <w:r w:rsidRPr="001E1D5F">
              <w:rPr>
                <w:rFonts w:cs="Calibri"/>
                <w:color w:val="000000"/>
                <w:sz w:val="21"/>
                <w:szCs w:val="21"/>
                <w:lang w:eastAsia="en-GB"/>
              </w:rPr>
              <w:t xml:space="preserve"> Total mass or volume of all feedstocks) × 100</w:t>
            </w:r>
          </w:p>
        </w:tc>
        <w:tc>
          <w:tcPr>
            <w:tcW w:w="1559" w:type="dxa"/>
            <w:vAlign w:val="center"/>
          </w:tcPr>
          <w:p w14:paraId="1C434F3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w:t>
            </w:r>
          </w:p>
        </w:tc>
        <w:tc>
          <w:tcPr>
            <w:tcW w:w="3915" w:type="dxa"/>
            <w:vAlign w:val="center"/>
          </w:tcPr>
          <w:p w14:paraId="5D42821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Chemical &amp; Petrochemical</w:t>
            </w:r>
          </w:p>
        </w:tc>
        <w:tc>
          <w:tcPr>
            <w:tcW w:w="1618" w:type="dxa"/>
            <w:vAlign w:val="center"/>
          </w:tcPr>
          <w:p w14:paraId="5B848989" w14:textId="227B3BB1"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{"citationID":"F0XXki1w","properties":{"formattedCitation":"[46]","plainCitation":"[46]","noteIndex":0},"citationItems":[{"id":3119,"uris":["http://zotero.org/users/local/05JQq5lJ/items/ABYDPSB3"],"itemData":{"id":3119,"type":"article-journal","abstract":"Climate change and fossil resource depletion are driving a transition to a bio-based economy, for which novel bio-based chemical processes need to be developed. The environmental performance of the novel bio-based chemicals should be assessed during their development, when the production process can still be adapted, although data availability is limited. Many environmental assessment methods applicable during product development (‘early-stage methods’) exist in the literature. The aim of this study is to provide an overview of these early-stage methods and to evaluate to what extent they are suitable for assessing bio-based chemicals in their early-stage development. The paper first describes the characteristics of early-stage chemical design and the environmental impacts of bio-based products based on published life cycle assessments. Low data requirements, the inclusion of climate change and energy indicators, and the inclusion of environmental impacts from biomass feedstock production are identified as three good-practice principles for early-stage assessment of bio-based chemicals. In the second step, 27 early-stage assessment methods are reviewed and categorized based on their scope and environmental indicators used. Finally, the reviewed methods are evaluated using the good-practice principles. A perfect early-stage method does not exist. However, choosing the most suitable method(s) based on the goal of an assessment and using complementary indicators leads to the most effective assessment for novel bio-based chemicals in development. © 2017 The Authors. Biofuels, Bioproducts and Biorefining published by Society of Chemical Industry and John Wiley &amp; Sons, Ltd.","container-title":"Biofuels, Bioproducts and Biorefining","DOI":"10.1002/bbb.1772","ISSN":"1932-1031","issue":"4","language":"en","license":"© 2017 The Authors. Biofuels, Bioproducts and Biorefining published by Society of Chemical Industry and John Wiley &amp; Sons, Ltd.","note":"_eprint: https://onlinelibrary.wiley.com/doi/pdf/10.1002/bbb.1772","page":"701-718","source":"Wiley Online Library","title":"Environmental assessment of bio-based chemicals in early-stage development: a review of methods and indicators","title-short":"Environmental assessment of bio-based chemicals in early-stage development","volume":"11","author":[{"family":"Broeren","given":"Martijn L.M."},{"family":"Zijp","given":"Michiel C."},{"family":"Waaijers-van der Loop","given":"Susanne L."},{"family":"Heugens","given":"Evelyn H.W."},{"family":"Posthuma","given":"Leo"},{"family":"Worrell","given":"Ernst"},{"family":"Shen","given":"Li"}],"issued":{"date-parts":[["2017"]]}}}],"schema":"https://github.com/citation-style-language/schema/raw/master/csl-citation.json"}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[46]</w:t>
            </w:r>
            <w:r w:rsidRPr="001E1D5F">
              <w:rPr>
                <w:rFonts w:cs="Calibri"/>
                <w:color w:val="000000"/>
                <w:sz w:val="21"/>
                <w:szCs w:val="21"/>
                <w:lang w:eastAsia="en-GB"/>
              </w:rPr>
              <w:fldChar w:fldCharType="end"/>
            </w:r>
          </w:p>
        </w:tc>
      </w:tr>
      <w:tr w:rsidR="001E1D5F" w:rsidRPr="001E1D5F" w14:paraId="774F8B9B" w14:textId="77777777" w:rsidTr="00040455">
        <w:tblPrEx>
          <w:jc w:val="left"/>
        </w:tblPrEx>
        <w:trPr>
          <w:trHeight w:val="300"/>
        </w:trPr>
        <w:tc>
          <w:tcPr>
            <w:tcW w:w="1985" w:type="dxa"/>
            <w:noWrap/>
            <w:vAlign w:val="center"/>
          </w:tcPr>
          <w:p w14:paraId="57910CD0"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Total Energy consumption (renewable/non-renewable)</w:t>
            </w:r>
          </w:p>
        </w:tc>
        <w:tc>
          <w:tcPr>
            <w:tcW w:w="1560" w:type="dxa"/>
            <w:noWrap/>
            <w:vAlign w:val="center"/>
          </w:tcPr>
          <w:p w14:paraId="72A57ED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52002B4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Represents the total energy used in the production, operation, or lifecycle of a product, normalized either per unit mass or per individual product.</w:t>
            </w:r>
          </w:p>
        </w:tc>
        <w:tc>
          <w:tcPr>
            <w:tcW w:w="1559" w:type="dxa"/>
            <w:vAlign w:val="center"/>
          </w:tcPr>
          <w:p w14:paraId="6B88A0D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kilowatt-hours per kilogram or kilowatt-hours per item (kWh/kg or kWh/item)</w:t>
            </w:r>
          </w:p>
        </w:tc>
        <w:tc>
          <w:tcPr>
            <w:tcW w:w="3915" w:type="dxa"/>
            <w:vAlign w:val="center"/>
          </w:tcPr>
          <w:p w14:paraId="738F9A2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Railway</w:t>
            </w:r>
          </w:p>
        </w:tc>
        <w:tc>
          <w:tcPr>
            <w:tcW w:w="1618" w:type="dxa"/>
            <w:vAlign w:val="center"/>
          </w:tcPr>
          <w:p w14:paraId="671A4ED7" w14:textId="7093EDA0"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{"citationID":"chZ5uLwQ","properties":{"formattedCitation":"[68]","plainCitation":"[68]","noteIndex":0},"citationItems":[{"id":3161,"uris":["http://zotero.org/users/local/05JQq5lJ/items/PZTB9FE8"],"itemData":{"id":3161,"type":"article-journal","abstract":"Within the Brite/Euram project RAVEL, an Internet-based tool has been developed which allows an assessment of railway vehicles by means of a set of environmental performance indicators (EPIs). The specific methodology that is applied for such an assessment is highlighted in this article, along with consideration of the feasibility of system implementation within an industrial environment. The way this methodology is applied is illustrated by, on the one hand, a description of the prototype for the web-based RAVEL tool, and on the other hand, by the calculation of EPI scores for an exemplary train system. Finally, the possibility of extending the practise to other industrial sectors is explored.","container-title":"Journal of Cleaner Production","DOI":"10.1016/S0959-6526(02)00149-X","ISSN":"0959-6526","issue":"7","journalAbbreviation":"Journal of Cleaner Production","page":"779-785","source":"ScienceDirect","title":"The use of performance indicators for environmental assessment within the railway business: the RAVEL workbench prototype, a web-based tool","title-short":"The use of performance indicators for environmental assessment within the railway business","volume":"11","author":[{"family":"Vandermeulen","given":"B."},{"family":"Dewulf","given":"W."},{"family":"Duflou","given":"J."},{"family":"Ander","given":"Å."},{"family":"Zimmermann","given":"T."}],"issued":{"date-parts":[["2003",11,1]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[68]</w:t>
            </w:r>
            <w:r w:rsidRPr="001E1D5F">
              <w:rPr>
                <w:rFonts w:cs="Calibri"/>
                <w:color w:val="000000"/>
                <w:sz w:val="21"/>
                <w:szCs w:val="21"/>
                <w:lang w:eastAsia="en-GB"/>
              </w:rPr>
              <w:fldChar w:fldCharType="end"/>
            </w:r>
          </w:p>
        </w:tc>
      </w:tr>
      <w:tr w:rsidR="001E1D5F" w:rsidRPr="001E1D5F" w14:paraId="08120FE0" w14:textId="77777777" w:rsidTr="00040455">
        <w:tblPrEx>
          <w:jc w:val="left"/>
        </w:tblPrEx>
        <w:trPr>
          <w:trHeight w:val="300"/>
        </w:trPr>
        <w:tc>
          <w:tcPr>
            <w:tcW w:w="1985" w:type="dxa"/>
            <w:noWrap/>
            <w:vAlign w:val="center"/>
          </w:tcPr>
          <w:p w14:paraId="41ABC307"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Land Requirement</w:t>
            </w:r>
          </w:p>
        </w:tc>
        <w:tc>
          <w:tcPr>
            <w:tcW w:w="1560" w:type="dxa"/>
            <w:noWrap/>
            <w:vAlign w:val="center"/>
          </w:tcPr>
          <w:p w14:paraId="7565B7F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5A50339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The total area of land needed to establish, operate, and maintain manufacturing facilities, including spaces for production lines, storage, logistics, waste management, and auxiliary operations</w:t>
            </w:r>
          </w:p>
        </w:tc>
        <w:tc>
          <w:tcPr>
            <w:tcW w:w="1559" w:type="dxa"/>
            <w:vAlign w:val="center"/>
          </w:tcPr>
          <w:p w14:paraId="51D7D0D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Square meters per unit of output (m²/unit) or </w:t>
            </w:r>
            <w:proofErr w:type="gramStart"/>
            <w:r w:rsidRPr="001E1D5F">
              <w:rPr>
                <w:rFonts w:cs="Calibri"/>
                <w:color w:val="000000"/>
                <w:sz w:val="21"/>
                <w:szCs w:val="21"/>
                <w:lang w:eastAsia="en-GB"/>
              </w:rPr>
              <w:t>Square</w:t>
            </w:r>
            <w:proofErr w:type="gramEnd"/>
            <w:r w:rsidRPr="001E1D5F">
              <w:rPr>
                <w:rFonts w:cs="Calibri"/>
                <w:color w:val="000000"/>
                <w:sz w:val="21"/>
                <w:szCs w:val="21"/>
                <w:lang w:eastAsia="en-GB"/>
              </w:rPr>
              <w:t xml:space="preserve"> meters per production capacity (m²/capacity unit) or </w:t>
            </w:r>
            <w:proofErr w:type="gramStart"/>
            <w:r w:rsidRPr="001E1D5F">
              <w:rPr>
                <w:rFonts w:cs="Calibri"/>
                <w:color w:val="000000"/>
                <w:sz w:val="21"/>
                <w:szCs w:val="21"/>
                <w:lang w:eastAsia="en-GB"/>
              </w:rPr>
              <w:t>Square</w:t>
            </w:r>
            <w:proofErr w:type="gramEnd"/>
            <w:r w:rsidRPr="001E1D5F">
              <w:rPr>
                <w:rFonts w:cs="Calibri"/>
                <w:color w:val="000000"/>
                <w:sz w:val="21"/>
                <w:szCs w:val="21"/>
                <w:lang w:eastAsia="en-GB"/>
              </w:rPr>
              <w:t xml:space="preserve"> meters (m²) or hectares (ha)</w:t>
            </w:r>
          </w:p>
        </w:tc>
        <w:tc>
          <w:tcPr>
            <w:tcW w:w="3915" w:type="dxa"/>
            <w:vAlign w:val="center"/>
          </w:tcPr>
          <w:p w14:paraId="5F73AFA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Energy </w:t>
            </w:r>
          </w:p>
        </w:tc>
        <w:tc>
          <w:tcPr>
            <w:tcW w:w="1618" w:type="dxa"/>
            <w:vAlign w:val="center"/>
          </w:tcPr>
          <w:p w14:paraId="74269AEB" w14:textId="1187E0F3"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{"citationID":"TC9W1ehv","properties":{"formattedCitation":"[69]","plainCitation":"[69]","noteIndex":0},"citationItems":[{"id":3168,"uris":["http://zotero.org/users/local/05JQq5lJ/items/4CTXTM3W"],"itemData":{"id":3168,"type":"article-journal","abstract":"The objective of this paper is to identify patterns in the literature on the use of key performance indicators (KPI) and multicriteria decision-making models (MCDM/A) in the analysis of renewable energy technologies (RET). An integrated approach to bibliometric and systematic review is conducted to identify the research opportunity and the current state of the art on the subject. The results of this study pointed out: (i) the use of synthesis models rather than overlap models; (ii) the relevance of adding policy and technical indicators beyond those related to the Triple Bottom Line in decision-making; (iii) the important role of MCDM/A models in achieving the Sustainable Development Goals present in the 2030 United Nations Agenda. Also, this paper describes a guide for future research in the field of the MCDM/A approach in Renewable Energy Technology from a sustainable development perspective.","container-title":"Renewable and Sustainable Energy Reviews","DOI":"10.1016/j.rser.2021.110958","ISSN":"1364-0321","journalAbbreviation":"Renewable and Sustainable Energy Reviews","page":"110958","source":"ScienceDirect","title":"Bibliometric analysis of renewable energy types using key performance indicators and multicriteria decision models","volume":"143","author":[{"family":"Bortoluzzi","given":"Mirian"},{"family":"Correia de Souza","given":"Celso"},{"family":"Furlan","given":"Marcelo"}],"issued":{"date-parts":[["2021",6,1]]}}}],"schema":"https://github.com/citation-style-language/schema/raw/master/csl-citation.json"}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[69]</w:t>
            </w:r>
            <w:r w:rsidRPr="001E1D5F">
              <w:rPr>
                <w:rFonts w:cs="Calibri"/>
                <w:color w:val="000000"/>
                <w:sz w:val="21"/>
                <w:szCs w:val="21"/>
                <w:lang w:eastAsia="en-GB"/>
              </w:rPr>
              <w:fldChar w:fldCharType="end"/>
            </w:r>
          </w:p>
        </w:tc>
      </w:tr>
      <w:tr w:rsidR="001E1D5F" w:rsidRPr="001E1D5F" w14:paraId="381DD7CC" w14:textId="77777777" w:rsidTr="00040455">
        <w:tblPrEx>
          <w:jc w:val="left"/>
        </w:tblPrEx>
        <w:trPr>
          <w:trHeight w:val="300"/>
        </w:trPr>
        <w:tc>
          <w:tcPr>
            <w:tcW w:w="16165" w:type="dxa"/>
            <w:gridSpan w:val="6"/>
            <w:shd w:val="clear" w:color="auto" w:fill="E7E6E6" w:themeFill="background2"/>
            <w:noWrap/>
            <w:vAlign w:val="center"/>
          </w:tcPr>
          <w:p w14:paraId="37F7CA6F" w14:textId="77777777" w:rsidR="001E1D5F" w:rsidRPr="001E1D5F" w:rsidRDefault="001E1D5F" w:rsidP="001E1D5F">
            <w:pPr>
              <w:spacing w:before="60"/>
              <w:rPr>
                <w:rFonts w:cs="Calibri"/>
                <w:color w:val="000000"/>
                <w:sz w:val="21"/>
                <w:szCs w:val="21"/>
                <w:lang w:eastAsia="en-GB"/>
              </w:rPr>
            </w:pPr>
            <w:r w:rsidRPr="001E1D5F">
              <w:rPr>
                <w:rFonts w:cs="Calibri"/>
                <w:b/>
                <w:bCs/>
                <w:color w:val="000000"/>
                <w:sz w:val="21"/>
                <w:szCs w:val="21"/>
                <w:lang w:eastAsia="en-GB"/>
              </w:rPr>
              <w:t>Indicator Group E7: Toxicity &amp; Eutrophication</w:t>
            </w:r>
          </w:p>
        </w:tc>
      </w:tr>
      <w:tr w:rsidR="001E1D5F" w:rsidRPr="001E1D5F" w14:paraId="0EBDF264" w14:textId="77777777" w:rsidTr="00040455">
        <w:tblPrEx>
          <w:jc w:val="left"/>
        </w:tblPrEx>
        <w:trPr>
          <w:trHeight w:val="300"/>
        </w:trPr>
        <w:tc>
          <w:tcPr>
            <w:tcW w:w="1985" w:type="dxa"/>
            <w:noWrap/>
            <w:vAlign w:val="center"/>
          </w:tcPr>
          <w:p w14:paraId="6BEC6DEC"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Weighted Hazard Exposure</w:t>
            </w:r>
          </w:p>
        </w:tc>
        <w:tc>
          <w:tcPr>
            <w:tcW w:w="1560" w:type="dxa"/>
            <w:noWrap/>
            <w:vAlign w:val="center"/>
          </w:tcPr>
          <w:p w14:paraId="6841D52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409AC130" w14:textId="77777777" w:rsidR="001E1D5F" w:rsidRPr="001E1D5F" w:rsidRDefault="001E1D5F" w:rsidP="001E1D5F">
            <w:pPr>
              <w:jc w:val="center"/>
              <w:rPr>
                <w:sz w:val="21"/>
                <w:szCs w:val="21"/>
                <w:lang w:eastAsia="en-GB"/>
              </w:rPr>
            </w:pPr>
            <w:r w:rsidRPr="001E1D5F">
              <w:rPr>
                <w:b/>
                <w:bCs/>
                <w:sz w:val="21"/>
                <w:szCs w:val="21"/>
                <w:lang w:eastAsia="en-GB"/>
              </w:rPr>
              <w:t>Weighted Hazard Exposure</w:t>
            </w:r>
            <w:r w:rsidRPr="001E1D5F">
              <w:rPr>
                <w:sz w:val="21"/>
                <w:szCs w:val="21"/>
                <w:lang w:eastAsia="en-GB"/>
              </w:rPr>
              <w:t>=∑</w:t>
            </w:r>
            <w:r w:rsidRPr="001E1D5F">
              <w:rPr>
                <w:rFonts w:ascii="Times New Roman" w:hAnsi="Times New Roman"/>
                <w:sz w:val="21"/>
                <w:szCs w:val="21"/>
                <w:lang w:eastAsia="en-GB"/>
              </w:rPr>
              <w:t xml:space="preserve"> (</w:t>
            </w:r>
            <w:r w:rsidRPr="001E1D5F">
              <w:rPr>
                <w:rFonts w:ascii="Arial" w:hAnsi="Arial" w:cs="Arial"/>
                <w:sz w:val="21"/>
                <w:szCs w:val="21"/>
                <w:lang w:eastAsia="en-GB"/>
              </w:rPr>
              <w:t>​</w:t>
            </w:r>
            <w:r w:rsidRPr="001E1D5F">
              <w:rPr>
                <w:rFonts w:ascii="Times New Roman" w:hAnsi="Times New Roman"/>
                <w:sz w:val="21"/>
                <w:szCs w:val="21"/>
                <w:lang w:eastAsia="en-GB"/>
              </w:rPr>
              <w:t>mass of </w:t>
            </w:r>
            <w:proofErr w:type="spellStart"/>
            <w:r w:rsidRPr="001E1D5F">
              <w:rPr>
                <w:rFonts w:ascii="Times New Roman" w:hAnsi="Times New Roman"/>
                <w:sz w:val="21"/>
                <w:szCs w:val="21"/>
                <w:lang w:eastAsia="en-GB"/>
              </w:rPr>
              <w:t>materiali</w:t>
            </w:r>
            <w:proofErr w:type="spellEnd"/>
            <w:r w:rsidRPr="001E1D5F">
              <w:rPr>
                <w:rFonts w:ascii="Arial" w:hAnsi="Arial" w:cs="Arial"/>
                <w:sz w:val="21"/>
                <w:szCs w:val="21"/>
                <w:lang w:eastAsia="en-GB"/>
              </w:rPr>
              <w:t>​​/</w:t>
            </w:r>
            <w:r w:rsidRPr="001E1D5F">
              <w:rPr>
                <w:rFonts w:ascii="Times New Roman" w:hAnsi="Times New Roman"/>
                <w:sz w:val="21"/>
                <w:szCs w:val="21"/>
                <w:lang w:eastAsia="en-GB"/>
              </w:rPr>
              <w:t xml:space="preserve"> Permissible Exposure Limit (PEL)</w:t>
            </w:r>
            <w:proofErr w:type="spellStart"/>
            <w:r w:rsidRPr="001E1D5F">
              <w:rPr>
                <w:rFonts w:ascii="Times New Roman" w:hAnsi="Times New Roman"/>
                <w:sz w:val="21"/>
                <w:szCs w:val="21"/>
                <w:lang w:eastAsia="en-GB"/>
              </w:rPr>
              <w:t>i</w:t>
            </w:r>
            <w:proofErr w:type="spellEnd"/>
            <w:r w:rsidRPr="001E1D5F">
              <w:rPr>
                <w:rFonts w:ascii="Times New Roman" w:hAnsi="Times New Roman"/>
                <w:sz w:val="21"/>
                <w:szCs w:val="21"/>
                <w:lang w:eastAsia="en-GB"/>
              </w:rPr>
              <w:t xml:space="preserve">), where: </w:t>
            </w:r>
            <w:r w:rsidRPr="001E1D5F">
              <w:rPr>
                <w:sz w:val="21"/>
                <w:szCs w:val="21"/>
                <w:lang w:eastAsia="en-GB"/>
              </w:rPr>
              <w:t>mass of </w:t>
            </w:r>
            <w:proofErr w:type="spellStart"/>
            <w:r w:rsidRPr="001E1D5F">
              <w:rPr>
                <w:sz w:val="21"/>
                <w:szCs w:val="21"/>
                <w:lang w:eastAsia="en-GB"/>
              </w:rPr>
              <w:t>materiali</w:t>
            </w:r>
            <w:proofErr w:type="spellEnd"/>
            <w:r w:rsidRPr="001E1D5F">
              <w:rPr>
                <w:rFonts w:ascii="Arial" w:hAnsi="Arial" w:cs="Arial"/>
                <w:sz w:val="21"/>
                <w:szCs w:val="21"/>
                <w:lang w:eastAsia="en-GB"/>
              </w:rPr>
              <w:t>​</w:t>
            </w:r>
            <w:r w:rsidRPr="001E1D5F">
              <w:rPr>
                <w:sz w:val="21"/>
                <w:szCs w:val="21"/>
                <w:lang w:eastAsia="en-GB"/>
              </w:rPr>
              <w:t xml:space="preserve"> is the mass (in kg) of each material </w:t>
            </w:r>
            <w:proofErr w:type="spellStart"/>
            <w:r w:rsidRPr="001E1D5F">
              <w:rPr>
                <w:sz w:val="21"/>
                <w:szCs w:val="21"/>
                <w:lang w:eastAsia="en-GB"/>
              </w:rPr>
              <w:t>i</w:t>
            </w:r>
            <w:proofErr w:type="spellEnd"/>
            <w:r w:rsidRPr="001E1D5F">
              <w:rPr>
                <w:sz w:val="21"/>
                <w:szCs w:val="21"/>
                <w:lang w:eastAsia="en-GB"/>
              </w:rPr>
              <w:t xml:space="preserve"> used in the process, </w:t>
            </w:r>
            <w:proofErr w:type="spellStart"/>
            <w:r w:rsidRPr="001E1D5F">
              <w:rPr>
                <w:sz w:val="21"/>
                <w:szCs w:val="21"/>
                <w:lang w:eastAsia="en-GB"/>
              </w:rPr>
              <w:t>PELi</w:t>
            </w:r>
            <w:proofErr w:type="spellEnd"/>
            <w:r w:rsidRPr="001E1D5F">
              <w:rPr>
                <w:sz w:val="21"/>
                <w:szCs w:val="21"/>
                <w:lang w:eastAsia="en-GB"/>
              </w:rPr>
              <w:t xml:space="preserve"> is the Permissible Exposure Limit (in ppm) for material </w:t>
            </w:r>
            <w:proofErr w:type="spellStart"/>
            <w:r w:rsidRPr="001E1D5F">
              <w:rPr>
                <w:sz w:val="21"/>
                <w:szCs w:val="21"/>
                <w:lang w:eastAsia="en-GB"/>
              </w:rPr>
              <w:t>i</w:t>
            </w:r>
            <w:proofErr w:type="spellEnd"/>
            <w:r w:rsidRPr="001E1D5F">
              <w:rPr>
                <w:sz w:val="21"/>
                <w:szCs w:val="21"/>
                <w:lang w:eastAsia="en-GB"/>
              </w:rPr>
              <w:t>.</w:t>
            </w:r>
          </w:p>
        </w:tc>
        <w:tc>
          <w:tcPr>
            <w:tcW w:w="1559" w:type="dxa"/>
            <w:vAlign w:val="center"/>
          </w:tcPr>
          <w:p w14:paraId="0BF212A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Dimensionless unit</w:t>
            </w:r>
          </w:p>
        </w:tc>
        <w:tc>
          <w:tcPr>
            <w:tcW w:w="3915" w:type="dxa"/>
            <w:vAlign w:val="center"/>
          </w:tcPr>
          <w:p w14:paraId="60C142D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Chemical and Petrochemical</w:t>
            </w:r>
          </w:p>
        </w:tc>
        <w:tc>
          <w:tcPr>
            <w:tcW w:w="1618" w:type="dxa"/>
            <w:vAlign w:val="center"/>
          </w:tcPr>
          <w:p w14:paraId="712E0D37" w14:textId="0649458D"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{"citationID":"Js0Dfjm7","properties":{"formattedCitation":"[46]","plainCitation":"[46]","noteIndex":0},"citationItems":[{"id":3119,"uris":["http://zotero.org/users/local/05JQq5lJ/items/ABYDPSB3"],"itemData":{"id":3119,"type":"article-journal","abstract":"Climate change and fossil resource depletion are driving a transition to a bio-based economy, for which novel bio-based chemical processes need to be developed. The environmental performance of the novel bio-based chemicals should be assessed during their development, when the production process can still be adapted, although data availability is limited. Many environmental assessment methods applicable during product development (‘early-stage methods’) exist in the literature. The aim of this study is to provide an overview of these early-stage methods and to evaluate to what extent they are suitable for assessing bio-based chemicals in their early-stage development. The paper first describes the characteristics of early-stage chemical design and the environmental impacts of bio-based products based on published life cycle assessments. Low data requirements, the inclusion of climate change and energy indicators, and the inclusion of environmental impacts from biomass feedstock production are identified as three good-practice principles for early-stage assessment of bio-based chemicals. In the second step, 27 early-stage assessment methods are reviewed and categorized based on their scope and environmental indicators used. Finally, the reviewed methods are evaluated using the good-practice principles. A perfect early-stage method does not exist. However, choosing the most suitable method(s) based on the goal of an assessment and using complementary indicators leads to the most effective assessment for novel bio-based chemicals in development. © 2017 The Authors. Biofuels, Bioproducts and Biorefining published by Society of Chemical Industry and John Wiley &amp; Sons, Ltd.","container-title":"Biofuels, Bioproducts and Biorefining","DOI":"10.1002/bbb.1772","ISSN":"1932-1031","issue":"4","language":"en","license":"© 2017 The Authors. Biofuels, Bioproducts and Biorefining published by Society of Chemical Industry and John Wiley &amp; Sons, Ltd.","note":"_eprint: https://onlinelibrary.wiley.com/doi/pdf/10.1002/bbb.1772","page":"701-718","source":"Wiley Online Library","title":"Environmental assessment of bio-based chemicals in early-stage development: a review of methods and indicators","title-short":"Environmental assessment of bio-based chemicals in early-stage development","volume":"11","author":[{"family":"Broeren","given":"Martijn L.M."},{"family":"Zijp","given":"Michiel C."},{"family":"Waaijers-van der Loop","given":"Susanne L."},{"family":"Heugens","given":"Evelyn H.W."},{"family":"Posthuma","given":"Leo"},{"family":"Worrell","given":"Ernst"},{"family":"Shen","given":"Li"}],"issued":{"date-parts":[["2017"]]}}}],"schema":"https://github.com/citation-style-language/schema/raw/master/csl-citation.json"}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[46]</w:t>
            </w:r>
            <w:r w:rsidRPr="001E1D5F">
              <w:rPr>
                <w:rFonts w:cs="Calibri"/>
                <w:color w:val="000000"/>
                <w:sz w:val="21"/>
                <w:szCs w:val="21"/>
                <w:lang w:eastAsia="en-GB"/>
              </w:rPr>
              <w:fldChar w:fldCharType="end"/>
            </w:r>
          </w:p>
        </w:tc>
      </w:tr>
      <w:tr w:rsidR="001E1D5F" w:rsidRPr="001E1D5F" w14:paraId="07C2CA8B" w14:textId="77777777" w:rsidTr="00040455">
        <w:tblPrEx>
          <w:jc w:val="left"/>
        </w:tblPrEx>
        <w:trPr>
          <w:trHeight w:val="300"/>
        </w:trPr>
        <w:tc>
          <w:tcPr>
            <w:tcW w:w="1985" w:type="dxa"/>
            <w:noWrap/>
            <w:vAlign w:val="center"/>
          </w:tcPr>
          <w:p w14:paraId="2808A01A"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Ecotoxicity Potential (Fresh Water Aquatic -FAWP, Marine Aquatic-MAEP, Terrestrial-TEP)</w:t>
            </w:r>
          </w:p>
        </w:tc>
        <w:tc>
          <w:tcPr>
            <w:tcW w:w="1560" w:type="dxa"/>
            <w:noWrap/>
            <w:vAlign w:val="center"/>
          </w:tcPr>
          <w:p w14:paraId="6DF2BAA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13EF246F" w14:textId="77777777" w:rsidR="001E1D5F" w:rsidRPr="001E1D5F" w:rsidRDefault="001E1D5F" w:rsidP="001E1D5F">
            <w:pPr>
              <w:jc w:val="center"/>
              <w:rPr>
                <w:sz w:val="21"/>
                <w:szCs w:val="21"/>
                <w:lang w:eastAsia="en-GB"/>
              </w:rPr>
            </w:pPr>
            <w:proofErr w:type="spellStart"/>
            <w:r w:rsidRPr="001E1D5F">
              <w:rPr>
                <w:b/>
                <w:bCs/>
                <w:sz w:val="21"/>
                <w:szCs w:val="21"/>
                <w:lang w:eastAsia="en-GB"/>
              </w:rPr>
              <w:t>ETPcompartment</w:t>
            </w:r>
            <w:proofErr w:type="spellEnd"/>
            <w:r w:rsidRPr="001E1D5F">
              <w:rPr>
                <w:rFonts w:ascii="Arial" w:hAnsi="Arial" w:cs="Arial"/>
                <w:sz w:val="21"/>
                <w:szCs w:val="21"/>
                <w:lang w:eastAsia="en-GB"/>
              </w:rPr>
              <w:t>​</w:t>
            </w:r>
            <w:r w:rsidRPr="001E1D5F">
              <w:rPr>
                <w:rFonts w:cs="Arial"/>
                <w:sz w:val="21"/>
                <w:szCs w:val="21"/>
                <w:lang w:eastAsia="en-GB"/>
              </w:rPr>
              <w:t xml:space="preserve"> </w:t>
            </w:r>
            <w:r w:rsidRPr="001E1D5F">
              <w:rPr>
                <w:sz w:val="21"/>
                <w:szCs w:val="21"/>
                <w:lang w:eastAsia="en-GB"/>
              </w:rPr>
              <w:t>= ∑Ei</w:t>
            </w:r>
            <w:r w:rsidRPr="001E1D5F">
              <w:rPr>
                <w:rFonts w:ascii="Arial" w:hAnsi="Arial" w:cs="Arial"/>
                <w:sz w:val="21"/>
                <w:szCs w:val="21"/>
                <w:lang w:eastAsia="en-GB"/>
              </w:rPr>
              <w:t>​</w:t>
            </w:r>
            <w:r w:rsidRPr="001E1D5F">
              <w:rPr>
                <w:sz w:val="21"/>
                <w:szCs w:val="21"/>
                <w:lang w:eastAsia="en-GB"/>
              </w:rPr>
              <w:t>×</w:t>
            </w:r>
            <w:proofErr w:type="spellStart"/>
            <w:proofErr w:type="gramStart"/>
            <w:r w:rsidRPr="001E1D5F">
              <w:rPr>
                <w:sz w:val="21"/>
                <w:szCs w:val="21"/>
                <w:lang w:eastAsia="en-GB"/>
              </w:rPr>
              <w:t>Fi,compartment</w:t>
            </w:r>
            <w:proofErr w:type="spellEnd"/>
            <w:r w:rsidRPr="001E1D5F">
              <w:rPr>
                <w:rFonts w:ascii="Arial" w:hAnsi="Arial" w:cs="Arial"/>
                <w:sz w:val="21"/>
                <w:szCs w:val="21"/>
                <w:lang w:eastAsia="en-GB"/>
              </w:rPr>
              <w:t>​</w:t>
            </w:r>
            <w:proofErr w:type="gramEnd"/>
            <w:r w:rsidRPr="001E1D5F">
              <w:rPr>
                <w:sz w:val="21"/>
                <w:szCs w:val="21"/>
                <w:lang w:eastAsia="en-GB"/>
              </w:rPr>
              <w:t>×</w:t>
            </w:r>
            <w:proofErr w:type="spellStart"/>
            <w:proofErr w:type="gramStart"/>
            <w:r w:rsidRPr="001E1D5F">
              <w:rPr>
                <w:sz w:val="21"/>
                <w:szCs w:val="21"/>
                <w:lang w:eastAsia="en-GB"/>
              </w:rPr>
              <w:t>EFi,compartment</w:t>
            </w:r>
            <w:proofErr w:type="spellEnd"/>
            <w:r w:rsidRPr="001E1D5F">
              <w:rPr>
                <w:rFonts w:ascii="Arial" w:hAnsi="Arial" w:cs="Arial"/>
                <w:sz w:val="21"/>
                <w:szCs w:val="21"/>
                <w:lang w:eastAsia="en-GB"/>
              </w:rPr>
              <w:t>​</w:t>
            </w:r>
            <w:proofErr w:type="gramEnd"/>
            <w:r w:rsidRPr="001E1D5F">
              <w:rPr>
                <w:sz w:val="21"/>
                <w:szCs w:val="21"/>
                <w:lang w:eastAsia="en-GB"/>
              </w:rPr>
              <w:t>, where: Ei</w:t>
            </w:r>
            <w:r w:rsidRPr="001E1D5F">
              <w:rPr>
                <w:rFonts w:ascii="Arial" w:hAnsi="Arial" w:cs="Arial"/>
                <w:sz w:val="21"/>
                <w:szCs w:val="21"/>
                <w:lang w:eastAsia="en-GB"/>
              </w:rPr>
              <w:t>​</w:t>
            </w:r>
            <w:r w:rsidRPr="001E1D5F">
              <w:rPr>
                <w:sz w:val="21"/>
                <w:szCs w:val="21"/>
                <w:lang w:eastAsia="en-GB"/>
              </w:rPr>
              <w:t xml:space="preserve">: Emission quantity of substance </w:t>
            </w:r>
            <w:proofErr w:type="spellStart"/>
            <w:r w:rsidRPr="001E1D5F">
              <w:rPr>
                <w:sz w:val="21"/>
                <w:szCs w:val="21"/>
                <w:lang w:eastAsia="en-GB"/>
              </w:rPr>
              <w:t>i</w:t>
            </w:r>
            <w:proofErr w:type="spellEnd"/>
            <w:r w:rsidRPr="001E1D5F">
              <w:rPr>
                <w:sz w:val="21"/>
                <w:szCs w:val="21"/>
                <w:lang w:eastAsia="en-GB"/>
              </w:rPr>
              <w:t xml:space="preserve"> (e.g., kg of emitted chemical), </w:t>
            </w:r>
            <w:proofErr w:type="spellStart"/>
            <w:proofErr w:type="gramStart"/>
            <w:r w:rsidRPr="001E1D5F">
              <w:rPr>
                <w:sz w:val="21"/>
                <w:szCs w:val="21"/>
                <w:lang w:eastAsia="en-GB"/>
              </w:rPr>
              <w:t>Fi,compartment</w:t>
            </w:r>
            <w:proofErr w:type="spellEnd"/>
            <w:r w:rsidRPr="001E1D5F">
              <w:rPr>
                <w:rFonts w:ascii="Arial" w:hAnsi="Arial" w:cs="Arial"/>
                <w:sz w:val="21"/>
                <w:szCs w:val="21"/>
                <w:lang w:eastAsia="en-GB"/>
              </w:rPr>
              <w:t>​</w:t>
            </w:r>
            <w:proofErr w:type="gramEnd"/>
            <w:r w:rsidRPr="001E1D5F">
              <w:rPr>
                <w:sz w:val="21"/>
                <w:szCs w:val="21"/>
                <w:lang w:eastAsia="en-GB"/>
              </w:rPr>
              <w:t xml:space="preserve">: Fate Factor of substance </w:t>
            </w:r>
            <w:proofErr w:type="spellStart"/>
            <w:r w:rsidRPr="001E1D5F">
              <w:rPr>
                <w:sz w:val="21"/>
                <w:szCs w:val="21"/>
                <w:lang w:eastAsia="en-GB"/>
              </w:rPr>
              <w:t>i</w:t>
            </w:r>
            <w:proofErr w:type="spellEnd"/>
            <w:r w:rsidRPr="001E1D5F">
              <w:rPr>
                <w:sz w:val="21"/>
                <w:szCs w:val="21"/>
                <w:lang w:eastAsia="en-GB"/>
              </w:rPr>
              <w:t xml:space="preserve"> in the specified compartment (e.g., freshwater, marine water, terrestrial</w:t>
            </w:r>
            <w:proofErr w:type="gramStart"/>
            <w:r w:rsidRPr="001E1D5F">
              <w:rPr>
                <w:sz w:val="21"/>
                <w:szCs w:val="21"/>
                <w:lang w:eastAsia="en-GB"/>
              </w:rPr>
              <w:t xml:space="preserve">),  </w:t>
            </w:r>
            <w:proofErr w:type="spellStart"/>
            <w:r w:rsidRPr="001E1D5F">
              <w:rPr>
                <w:sz w:val="21"/>
                <w:szCs w:val="21"/>
                <w:lang w:eastAsia="en-GB"/>
              </w:rPr>
              <w:t>EFi</w:t>
            </w:r>
            <w:proofErr w:type="gramEnd"/>
            <w:r w:rsidRPr="001E1D5F">
              <w:rPr>
                <w:sz w:val="21"/>
                <w:szCs w:val="21"/>
                <w:lang w:eastAsia="en-GB"/>
              </w:rPr>
              <w:t>,compartment</w:t>
            </w:r>
            <w:proofErr w:type="spellEnd"/>
            <w:r w:rsidRPr="001E1D5F">
              <w:rPr>
                <w:sz w:val="21"/>
                <w:szCs w:val="21"/>
                <w:lang w:eastAsia="en-GB"/>
              </w:rPr>
              <w:t xml:space="preserve">: Factor for ecotoxicity of substance </w:t>
            </w:r>
            <w:proofErr w:type="spellStart"/>
            <w:r w:rsidRPr="001E1D5F">
              <w:rPr>
                <w:sz w:val="21"/>
                <w:szCs w:val="21"/>
                <w:lang w:eastAsia="en-GB"/>
              </w:rPr>
              <w:t>i</w:t>
            </w:r>
            <w:proofErr w:type="spellEnd"/>
            <w:r w:rsidRPr="001E1D5F">
              <w:rPr>
                <w:sz w:val="21"/>
                <w:szCs w:val="21"/>
                <w:lang w:eastAsia="en-GB"/>
              </w:rPr>
              <w:t xml:space="preserve"> in the specified compartment.</w:t>
            </w:r>
          </w:p>
        </w:tc>
        <w:tc>
          <w:tcPr>
            <w:tcW w:w="1559" w:type="dxa"/>
            <w:vAlign w:val="center"/>
          </w:tcPr>
          <w:p w14:paraId="58557DB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kilograms of dichlorobenzene equivalents (kg DCB-</w:t>
            </w:r>
            <w:proofErr w:type="spellStart"/>
            <w:r w:rsidRPr="001E1D5F">
              <w:rPr>
                <w:rFonts w:cs="Calibri"/>
                <w:color w:val="000000"/>
                <w:sz w:val="21"/>
                <w:szCs w:val="21"/>
                <w:lang w:eastAsia="en-GB"/>
              </w:rPr>
              <w:t>eq</w:t>
            </w:r>
            <w:proofErr w:type="spellEnd"/>
            <w:r w:rsidRPr="001E1D5F">
              <w:rPr>
                <w:rFonts w:cs="Calibri"/>
                <w:color w:val="000000"/>
                <w:sz w:val="21"/>
                <w:szCs w:val="21"/>
                <w:lang w:eastAsia="en-GB"/>
              </w:rPr>
              <w:t>)</w:t>
            </w:r>
          </w:p>
        </w:tc>
        <w:tc>
          <w:tcPr>
            <w:tcW w:w="3915" w:type="dxa"/>
            <w:vAlign w:val="center"/>
          </w:tcPr>
          <w:p w14:paraId="62C54CB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Agri-food, Food, Machining, Energy, Automotive, Disposable diapers</w:t>
            </w:r>
          </w:p>
        </w:tc>
        <w:tc>
          <w:tcPr>
            <w:tcW w:w="1618" w:type="dxa"/>
            <w:vAlign w:val="center"/>
          </w:tcPr>
          <w:p w14:paraId="461DFEBF" w14:textId="27589E7A"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piAlYNz","properties":{"formattedCitation":"[54\\uc0\\u8211{}56,62,66,70,71]","plainCitation":"[54–56,62,66,70,71]","noteIndex":0},"citationItems":[{"id":3125,"uris":["http://zotero.org/users/local/05JQq5lJ/items/R9R3EB56"],"itemData":{"id":3125,"type":"article-journal","abstract":"As the issue of environmental sustainability is becoming an important business factor, companies are now looking for decision support tools to assess the fuller picture of the environmental impacts associated with their manufacturing operations and supply chain (SC) activities. Lifecycle assessment (LCA) is widely used to measure the environmental consequences assignable to a product. However, it is usually limited to a high-level snapshot of the environmental implications over the product value chain without consideration of the dynamics arising from the multitiered structure and the interactions along the SC. This paper proposes a framework for green supply chain management by integrating a SC dynamic simulation and LCA indicators to evaluate both the economic and environmental impacts of various SC decisions such as inventories, distribution network configuration, and ordering policy. The advantages of this framework are demonstrated through an industrially motivated case study involving diaper production. Three distinct scenarios are evaluated to highlight how the proposed approach enables integrated decision support for green SC design and operation.","container-title":"Environmental Science &amp; Technology","DOI":"10.1021/es201763q","ISSN":"0013-936X","issue":"23","journalAbbreviation":"Environ. Sci. Technol.","note":"publisher: American Chemical Society","page":"10178-10185","source":"ACS Publications","title":"Decision Support for Green Supply Chain Operations by Integrating Dynamic Simulation and LCA Indicators: Diaper Case Study","title-short":"Decision Support for Green Supply Chain Operations by Integrating Dynamic Simulation and LCA Indicators","volume":"45","author":[{"family":"Adhitya","given":"Arief"},{"family":"Halim","given":"Iskandar"},{"family":"Srinivasan","given":"Rajagopalan"}],"issued":{"date-parts":[["2011",12,1]]}}},{"id":3100,"uris":["http://zotero.org/users/local/05JQq5lJ/items/GW5PDE78"],"itemData":{"id":3100,"type":"article-journal","abstract":"Among machining processes, grinding has been used to achieve high dimensional tolerances and surface quality on workpieces. Yet, high levels of energy expenditure per volume of removed material and the need for cutting fluids make grinding one of the most environmentally impactful machining processes. Furthermore, changes in parameters such as grain and bond specifications of the grinding wheel, cutting speed, and specific material removal rate can lead to different productive and environmental results. Thus, the analysis of grinding processes should not be aggregated and leveraged into a single and broad output parameter. Instead, comprehensive study should be performed, in which the most relevant process parameters, inputs and outputs are considered. This paper presents a detailed study of grinding process, including the characterization of machine subunits and production modes, along with the use of a combined life cycle assessment hybrid model and real-time monitoring system to evaluate the consumption of energy, tooling, cutting fluid and compressed air. A detailed cradle-to-gate life cycle assessment study using eleven different impact categories and a productive performance assessment were performed to evaluate the effects on varying specific material removal rate and wheel type. For equal values of specific material removal rate, the change from a conventional wheel to a cubic boron nitride represented a power requirement increase of 19–24%. Cubic boron nitride wheel achieved remarkably better results on the wheel wear and part roughness indicators for all tested conditions. The environmental performance assessment showed a strict relation between the process environmental impacts and the consumption of electric energy and cutting fluid. To conclude, despite the higher power requirements, the combination of cubic boron nitride wheel with high values of specific material removal rate optimizes both the productive and the environmental results.","container-title":"Journal of Cleaner Production","DOI":"10.1016/j.jclepro.2017.05.158","ISSN":"0959-6526","journalAbbreviation":"Journal of Cleaner Production","page":"510-523","source":"ScienceDirect","title":"Productive and environmental performance indicators analysis by a combined LCA hybrid model and real-time manufacturing process monitoring: A grinding unit process application","title-short":"Productive and environmental performance indicators analysis by a combined LCA hybrid model and real-time manufacturing process monitoring","volume":"161","author":[{"family":"Filleti","given":"Remo Augusto Padovezi"},{"family":"Silva","given":"Diogo Aparecido Lopes"},{"family":"Silva","given":"Eraldo Jannone","dropping-particle":"da"},{"family":"Ometto","given":"Aldo Roberto"}],"issued":{"date-parts":[["2017",9,10]]}}},{"id":3121,"uris":["http://zotero.org/users/local/05JQq5lJ/items/TDAVU7TU"],"itemData":{"id":3121,"type":"article-journal","abstract":"The purpose of the present article is the evaluation, by means of life cycle assessment, of a system which consists of vacuum-tube solar thermal collectors. The system is appropriate for building integration and it has been developed in France. The methods ReCiPe and USEtox have been adopted. Regarding life-cycle results, according to the scenario “without recycling” and for 30-year system lifespan, ReCiPe payback time was calculated to be 18.14 years based on France's electricity mix whereas by using Spain's electricity mix (hypothetical scenario) it was found to be 4.03 years. Recycling offers a ReCiPe-payback time reduction of 2.66 years based on France's electricity mix and 0.59 years based on Spain's electricity mix. All the studied cases show ReCiPe payback times much lower than an assumed system-lifespan of 30 years. On the basis of ReCiPe midpoint and by considering material manufacturing of the 16 collectors and the additional elements of the system (scenario “without recycling”), among glass-, aluminium-, copper- and steel-based components, the copper-based ones present the highest impact in 15 of the 18 impact categories. For instance, for Freshwater eutrophication, the copper-based elements have a score that is around 30 times higher comparing to that of the aluminium-based ones. The USEtox findings, for the material manufacturing of the 16 collectors and the supplementary elements of the system and for the scenario “without recycling”, reveal that the material with the highest total score in terms of: i) human toxicity/cancer is copper (6.7E−09 CTUh), ii) human toxicity non-cancer is propylene glycol (4.0E−08 CTUh), iii) ecotoxicity is copper (2.06 CTUe). Recycling of the metals, according to USEtox, offers an impact reduction of 20–95%. A discussion about factors that influence the environmental profile of building-integrated solar systems is also provided.","container-title":"Science of The Total Environment","DOI":"10.1016/j.scitotenv.2018.12.110","ISSN":"0048-9697","journalAbbreviation":"Science of The Total Environment","page":"1039-1055","source":"ScienceDirect","title":"Payback times and multiple midpoint/endpoint impact categories about Building-Integrated Solar Thermal (BIST) collectors","volume":"658","author":[{"family":"Lamnatou","given":"Chr."},{"family":"Cristofari","given":"C."},{"family":"Chemisana","given":"D."},{"family":"Canaletti","given":"J. L."}],"issued":{"date-parts":[["2019",3,25]]}}},{"id":3101,"uris":["http://zotero.org/users/local/05JQq5lJ/items/BU7JCH54"],"itemData":{"id":3101,"type":"article-journal","abstract":"In this research, the environmental profile of sugar produced from beet was estimated by considering the beet cultivation and the milling process in the Iranian Hamadan Province via the life cycle assessment methodology. Data were obtained from sugar beet growers and the main sugar mill in the province. The system boundaries were set from the sugar beet planting to the production of white sugar in the sugar mill. The functional unit was considered to be 1 ton of white sugar. The calculations were performed for impact categories including global warming, abiotic depletion, fossil fuel depletion, ozone layer depletion, human toxicity, fresh water aquatic ecotoxicity, marine aquatic ecotoxicity, terrestrial ecotoxicity, photochemical oxidation, acidification, and eutrophication. Results indicate that the global warming impact of sugar production through beet cultivation and the milling process was estimated to be 310, and 1540 kgCO2eq/ton, respectively. Electricity accounted for the greatest share of the impact for agricultural phase (55.29%), followed by chemical fertilisers (20.83%). This electricity consumption in sugar beet production is mainly due to the agricultural irrigation. Therefore, the enhancement of water use efficiency and water extraction in sugar beet farming seems to be a possible solution to the reduction of the overall environmental burden. Also, sugar beet production should become more efficient in terms of fertiliser use. In the industrial phase, the most significant impacts are related to the production and use of natural gas. Renovation of equipment and development of renewable energies in the mill have been suggested for making beet processing more energy efficient.","container-title":"Biomass Conversion and Biorefinery","DOI":"10.1007/s13399-022-02982-4","ISSN":"2190-6823","issue":"5","journalAbbreviation":"Biomass Conv. Bioref.","language":"en","page":"6759-6772","source":"Springer Link","title":"Use of LCA indicators to assess Iranian sugar production systems: case study — Hamadan Province","title-short":"Use of LCA indicators to assess Iranian sugar production systems","volume":"14","author":[{"family":"Namdari","given":"Majid"},{"family":"Rafiee","given":"Shahin"},{"family":"Notarnicola","given":"Bruno"},{"family":"Tassielli","given":"Giuseppe"},{"family":"Renzulli","given":"Pietro A."},{"family":"Hosseinpour","given":"Soleiman"}],"issued":{"date-parts":[["2024",3,1]]}}},{"id":3132,"uris":["http://zotero.org/users/local/05JQq5lJ/items/MAYYE9KM"],"itemData":{"id":3132,"type":"article-journal","abstract":"In the past decades, the environmental impact categories have been applied to life cycle assessment of consumer product, but the challenge of applying the impact categories is still posed. Although former studies have screened impact categories/indicators to represent sustainability for environmental performance of products from the existing ones, the practitioners have rarely discussed the challenge within food products. This present study aims to conduct a correlation analysis between life cycle impacts of food products on eight impact categories/indicators with a question of whether Carbon Footprint (CF) expressed as Global Warming Potential (GWP100a) could serve as indicator for environmental performance of food products. 1548 food products from the French database AGRIBALYSE v3.0.1 is employed in the analysis, while eight impact categories/indicators in the CML-IA baseline method are calculated by the openLCA 1.10.3 software. The results show that correlation coefficients between the impact categories/indicators vary in a range of 0.42–0.87. Strong correlations between the CF and the others are found in the whole product category except toxicity-related impact categories, and the correlations could be stronger or weaker depending on the product subcategories. It reveals that, on one hand, the CF could act as proxy for some of the impact indicators in the product categories; on the other hand, the indicator could not serve as a stand-alone indicator to represent the environmental sustainability. The research findings might be used in selecting impact categories/indicators for environmental performance of food products, while screening impact categories/indicators from the existing ones and making a contribution to sustainability assessment.","container-title":"International Journal of Environmental Research","DOI":"10.1007/s41742-023-00553-7","ISSN":"2008-2304","issue":"1","journalAbbreviation":"Int J Environ Res","language":"en","page":"5","source":"Springer Link","title":"Applicability of Carbon Footprint as Indicator for Environmental Performance of Food Products","volume":"18","author":[{"family":"Pak","given":"Song-Chol"},{"family":"O","given":"Nam-Chol"},{"family":"Ri","given":"Ryong-Jin"},{"family":"Ro","given":"Jong-Song"},{"family":"Ri","given":"Pong-Chol"}],"issued":{"date-parts":[["2023",12,16]]}}},{"id":3154,"uris":["http://zotero.org/users/local/05JQq5lJ/items/3PQH27YZ"],"itemData":{"id":3154,"type":"paper-conference","abstract":"Life Cycle Assessment (LCA) is a method through which the environmental impacts of a product or system is analyzed, during its life cycle, in terms of sustainability. The transport sector is one of the largest contributors to climate change, pollution and noise emissions. E-mobility and electric vehicles offer a major opportunity to solve the external negative effects associated with internal combustion engines. Therefore, the development of electric vehicle (EV) technology plays an important role in sustainable transport. In this study the main aspects which must be taken into account to accomplish a more accurate analysis of the environmental impact of electrical vehicles are discussed. Thus, the goal of this paper is setting up the indicators in order to deploy an LCA analysis of a battery electric vehicle. Dividing the EV into subsystems, an analysis was started on permanent magnets in the electric motor.","container-title":"2019 Electric Vehicles International Conference (EV)","DOI":"10.1109/EV.2019.8892893","event-title":"2019 Electric Vehicles International Conference (EV)","page":"1-5","source":"IEEE Xplore","title":"LCA Indicators in Electric Vehicles Environmental Impact Assessment","URL":"https://ieeexplore.ieee.org/abstract/document/8892893?casa_token=sqmPx0h5eIgAAAAA:U36MMehFnp_unz3oMzUXUM6vME56J7JfzKCMMdoX_q8v3EXarVG6c5LdJA_xKgy0JfhT90WwDvA","author":[{"family":"Tintelecan","given":"Adriana"},{"family":"Dobra","given":"Anca Constantinescu"},{"family":"Marţiş","given":"Claudia"}],"accessed":{"date-parts":[["2024",11,13]]},"issued":{"date-parts":[["2019",7]]}}},{"id":3117,"uris":["http://zotero.org/users/local/05JQq5lJ/items/VXJXUJQI"],"itemData":{"id":3117,"type":"article-journal","abstract":"Environmental indicators help to understand impacts and pollution issues. In the food production field, there is a need for an indicator (index) that provides the right information to the decision-maker regarding improvements and that is useful for making comparisons among companies. Among the research methodologies for establishing thresholds and assigning scores, the life-cycle assessment (LCA) approach was selected. The LCA was applied to chocolate production in an Italian medium-sized enterprise in the Piedmont region. Results have been used as a starting point to identify the critical environmental aspects of the 'gate-to-gate' life-cycle system, evaluating them like scores to compare other local chocolate production. The LCA case study shows that the most significant environmental aspects are energy consumption, depletion of non-renewable resources, and climate change. Some of the primary unavailable data for the life-cycle inventory phase and the need to adopt the same initial hypotheses to carry out comparative studies are the main limitations of the LCA application.","container-title":"International Journal of Environment and Health","DOI":"10.1504/IJENVH.2016.077660","ISSN":"1743-4955","issue":"1","note":"publisher: Inderscience Publishers","page":"21-37","source":"inderscienceonline.com (Atypon)","title":"Life cycle assessment as a tool to integrate environmental indicators in food products: a chocolate LCA case study","title-short":"Life cycle assessment as a tool to integrate environmental indicators in food products","volume":"8","author":[{"family":"Vesce","given":"Enrica"},{"family":"Olivieri","given":"Germana"},{"family":"Pairotti","given":"Maria Beatrice"},{"family":"Romani","given":"Annalisa"},{"family":"Beltramo","given":"Riccardo"}],"issued":{"date-parts":[["2016",1]]}}}],"schema":"https://github.com/citation-style-language/schema/raw/master/csl-citation.json"}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[54–56,62,66,70,71]</w:t>
            </w:r>
            <w:r w:rsidRPr="001E1D5F">
              <w:rPr>
                <w:rFonts w:cs="Calibri"/>
                <w:color w:val="000000"/>
                <w:sz w:val="21"/>
                <w:szCs w:val="21"/>
                <w:lang w:eastAsia="en-GB"/>
              </w:rPr>
              <w:fldChar w:fldCharType="end"/>
            </w:r>
          </w:p>
        </w:tc>
      </w:tr>
      <w:tr w:rsidR="001E1D5F" w:rsidRPr="001E1D5F" w14:paraId="00D38361" w14:textId="77777777" w:rsidTr="00040455">
        <w:tblPrEx>
          <w:jc w:val="left"/>
        </w:tblPrEx>
        <w:trPr>
          <w:trHeight w:val="300"/>
        </w:trPr>
        <w:tc>
          <w:tcPr>
            <w:tcW w:w="1985" w:type="dxa"/>
            <w:noWrap/>
            <w:vAlign w:val="center"/>
          </w:tcPr>
          <w:p w14:paraId="56E0F236" w14:textId="77777777" w:rsidR="001E1D5F" w:rsidRPr="001E1D5F" w:rsidRDefault="001E1D5F" w:rsidP="001E1D5F">
            <w:pPr>
              <w:ind w:left="220"/>
              <w:jc w:val="center"/>
              <w:rPr>
                <w:rFonts w:cs="Calibri"/>
                <w:b/>
                <w:bCs/>
                <w:color w:val="000000"/>
                <w:sz w:val="21"/>
                <w:szCs w:val="21"/>
                <w:lang w:eastAsia="en-GB"/>
              </w:rPr>
            </w:pPr>
            <w:r w:rsidRPr="001E1D5F">
              <w:rPr>
                <w:rFonts w:cs="Calibri"/>
                <w:color w:val="000000"/>
                <w:sz w:val="21"/>
                <w:szCs w:val="21"/>
                <w:lang w:eastAsia="en-GB"/>
              </w:rPr>
              <w:lastRenderedPageBreak/>
              <w:t>Human Toxicity Potential (HTP) (via soil, water, air) (carcinogenic/non-carcinogenic)</w:t>
            </w:r>
          </w:p>
        </w:tc>
        <w:tc>
          <w:tcPr>
            <w:tcW w:w="1560" w:type="dxa"/>
            <w:noWrap/>
            <w:vAlign w:val="center"/>
          </w:tcPr>
          <w:p w14:paraId="0EB8F8E8"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Quantitative</w:t>
            </w:r>
          </w:p>
        </w:tc>
        <w:tc>
          <w:tcPr>
            <w:tcW w:w="5528" w:type="dxa"/>
            <w:vAlign w:val="center"/>
          </w:tcPr>
          <w:p w14:paraId="69319659" w14:textId="77777777" w:rsidR="001E1D5F" w:rsidRPr="001E1D5F" w:rsidRDefault="001E1D5F" w:rsidP="001E1D5F">
            <w:pPr>
              <w:jc w:val="center"/>
              <w:rPr>
                <w:rFonts w:ascii="Times New Roman" w:hAnsi="Times New Roman"/>
                <w:sz w:val="21"/>
                <w:szCs w:val="21"/>
                <w:lang w:eastAsia="en-GB"/>
              </w:rPr>
            </w:pPr>
            <w:proofErr w:type="spellStart"/>
            <w:r w:rsidRPr="001E1D5F">
              <w:rPr>
                <w:rFonts w:ascii="Times New Roman" w:hAnsi="Times New Roman"/>
                <w:sz w:val="21"/>
                <w:szCs w:val="21"/>
                <w:lang w:eastAsia="en-GB"/>
              </w:rPr>
              <w:t>HTPcompartment</w:t>
            </w:r>
            <w:proofErr w:type="spellEnd"/>
            <w:r w:rsidRPr="001E1D5F">
              <w:rPr>
                <w:rFonts w:ascii="Arial" w:hAnsi="Arial" w:cs="Arial"/>
                <w:sz w:val="21"/>
                <w:szCs w:val="21"/>
                <w:lang w:eastAsia="en-GB"/>
              </w:rPr>
              <w:t>​</w:t>
            </w:r>
            <w:r w:rsidRPr="001E1D5F">
              <w:rPr>
                <w:rFonts w:ascii="Times New Roman" w:hAnsi="Times New Roman"/>
                <w:sz w:val="21"/>
                <w:szCs w:val="21"/>
                <w:lang w:eastAsia="en-GB"/>
              </w:rPr>
              <w:t>=∑</w:t>
            </w:r>
            <w:r w:rsidRPr="001E1D5F">
              <w:rPr>
                <w:rFonts w:ascii="Arial" w:hAnsi="Arial" w:cs="Arial"/>
                <w:sz w:val="21"/>
                <w:szCs w:val="21"/>
                <w:lang w:eastAsia="en-GB"/>
              </w:rPr>
              <w:t>​</w:t>
            </w:r>
            <w:r w:rsidRPr="001E1D5F">
              <w:rPr>
                <w:rFonts w:ascii="Times New Roman" w:hAnsi="Times New Roman"/>
                <w:sz w:val="21"/>
                <w:szCs w:val="21"/>
                <w:lang w:eastAsia="en-GB"/>
              </w:rPr>
              <w:t>(Ei</w:t>
            </w:r>
            <w:r w:rsidRPr="001E1D5F">
              <w:rPr>
                <w:rFonts w:ascii="Arial" w:hAnsi="Arial" w:cs="Arial"/>
                <w:sz w:val="21"/>
                <w:szCs w:val="21"/>
                <w:lang w:eastAsia="en-GB"/>
              </w:rPr>
              <w:t>​</w:t>
            </w:r>
            <w:r w:rsidRPr="001E1D5F">
              <w:rPr>
                <w:rFonts w:ascii="Times New Roman" w:hAnsi="Times New Roman"/>
                <w:sz w:val="21"/>
                <w:szCs w:val="21"/>
                <w:lang w:eastAsia="en-GB"/>
              </w:rPr>
              <w:t>×</w:t>
            </w:r>
            <w:proofErr w:type="spellStart"/>
            <w:proofErr w:type="gramStart"/>
            <w:r w:rsidRPr="001E1D5F">
              <w:rPr>
                <w:rFonts w:ascii="Times New Roman" w:hAnsi="Times New Roman"/>
                <w:sz w:val="21"/>
                <w:szCs w:val="21"/>
                <w:lang w:eastAsia="en-GB"/>
              </w:rPr>
              <w:t>CFi,compartment</w:t>
            </w:r>
            <w:proofErr w:type="spellEnd"/>
            <w:r w:rsidRPr="001E1D5F">
              <w:rPr>
                <w:rFonts w:ascii="Arial" w:hAnsi="Arial" w:cs="Arial"/>
                <w:sz w:val="21"/>
                <w:szCs w:val="21"/>
                <w:lang w:eastAsia="en-GB"/>
              </w:rPr>
              <w:t>​</w:t>
            </w:r>
            <w:proofErr w:type="gramEnd"/>
            <w:r w:rsidRPr="001E1D5F">
              <w:rPr>
                <w:rFonts w:ascii="Times New Roman" w:hAnsi="Times New Roman"/>
                <w:sz w:val="21"/>
                <w:szCs w:val="21"/>
                <w:lang w:eastAsia="en-GB"/>
              </w:rPr>
              <w:t>), where:</w:t>
            </w:r>
          </w:p>
          <w:p w14:paraId="2E61CBC5" w14:textId="77777777" w:rsidR="001E1D5F" w:rsidRPr="001E1D5F" w:rsidRDefault="001E1D5F" w:rsidP="001E1D5F">
            <w:pPr>
              <w:spacing w:before="60" w:after="220" w:line="276" w:lineRule="auto"/>
              <w:jc w:val="center"/>
              <w:rPr>
                <w:sz w:val="21"/>
                <w:szCs w:val="21"/>
                <w:lang w:eastAsia="en-GB"/>
              </w:rPr>
            </w:pPr>
            <w:r w:rsidRPr="001E1D5F">
              <w:rPr>
                <w:sz w:val="21"/>
                <w:szCs w:val="21"/>
                <w:lang w:eastAsia="en-GB"/>
              </w:rPr>
              <w:t>Ei</w:t>
            </w:r>
            <w:r w:rsidRPr="001E1D5F">
              <w:rPr>
                <w:rFonts w:ascii="Arial" w:hAnsi="Arial" w:cs="Arial"/>
                <w:sz w:val="21"/>
                <w:szCs w:val="21"/>
                <w:lang w:eastAsia="en-GB"/>
              </w:rPr>
              <w:t>​</w:t>
            </w:r>
            <w:r w:rsidRPr="001E1D5F">
              <w:rPr>
                <w:sz w:val="21"/>
                <w:szCs w:val="21"/>
                <w:lang w:eastAsia="en-GB"/>
              </w:rPr>
              <w:t xml:space="preserve">: Emission of substance </w:t>
            </w:r>
            <w:proofErr w:type="spellStart"/>
            <w:r w:rsidRPr="001E1D5F">
              <w:rPr>
                <w:sz w:val="21"/>
                <w:szCs w:val="21"/>
                <w:lang w:eastAsia="en-GB"/>
              </w:rPr>
              <w:t>i</w:t>
            </w:r>
            <w:proofErr w:type="spellEnd"/>
            <w:r w:rsidRPr="001E1D5F">
              <w:rPr>
                <w:sz w:val="21"/>
                <w:szCs w:val="21"/>
                <w:lang w:eastAsia="en-GB"/>
              </w:rPr>
              <w:t xml:space="preserve"> (e.g., kg or g released per unit of time or activity), </w:t>
            </w:r>
            <w:proofErr w:type="spellStart"/>
            <w:proofErr w:type="gramStart"/>
            <w:r w:rsidRPr="001E1D5F">
              <w:rPr>
                <w:sz w:val="21"/>
                <w:szCs w:val="21"/>
                <w:lang w:eastAsia="en-GB"/>
              </w:rPr>
              <w:t>CFi,compartment</w:t>
            </w:r>
            <w:proofErr w:type="spellEnd"/>
            <w:r w:rsidRPr="001E1D5F">
              <w:rPr>
                <w:rFonts w:ascii="Arial" w:hAnsi="Arial" w:cs="Arial"/>
                <w:sz w:val="21"/>
                <w:szCs w:val="21"/>
                <w:lang w:eastAsia="en-GB"/>
              </w:rPr>
              <w:t>​</w:t>
            </w:r>
            <w:proofErr w:type="gramEnd"/>
            <w:r w:rsidRPr="001E1D5F">
              <w:rPr>
                <w:sz w:val="21"/>
                <w:szCs w:val="21"/>
                <w:lang w:eastAsia="en-GB"/>
              </w:rPr>
              <w:t xml:space="preserve">: Characterization factor for substance </w:t>
            </w:r>
            <w:proofErr w:type="spellStart"/>
            <w:r w:rsidRPr="001E1D5F">
              <w:rPr>
                <w:sz w:val="21"/>
                <w:szCs w:val="21"/>
                <w:lang w:eastAsia="en-GB"/>
              </w:rPr>
              <w:t>i</w:t>
            </w:r>
            <w:proofErr w:type="spellEnd"/>
            <w:r w:rsidRPr="001E1D5F">
              <w:rPr>
                <w:sz w:val="21"/>
                <w:szCs w:val="21"/>
                <w:lang w:eastAsia="en-GB"/>
              </w:rPr>
              <w:t xml:space="preserve"> in a given environmental compartment (soil, water, or air), representing the potential impact per unit of emission on human health.</w:t>
            </w:r>
          </w:p>
        </w:tc>
        <w:tc>
          <w:tcPr>
            <w:tcW w:w="1559" w:type="dxa"/>
            <w:vAlign w:val="center"/>
          </w:tcPr>
          <w:p w14:paraId="78D30C9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kilograms of 1,4-dichlorobenzene equivalents</w:t>
            </w:r>
          </w:p>
        </w:tc>
        <w:tc>
          <w:tcPr>
            <w:tcW w:w="3915" w:type="dxa"/>
            <w:vAlign w:val="center"/>
          </w:tcPr>
          <w:p w14:paraId="53962C3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Machining, Agri-food</w:t>
            </w:r>
          </w:p>
        </w:tc>
        <w:tc>
          <w:tcPr>
            <w:tcW w:w="1618" w:type="dxa"/>
            <w:vAlign w:val="center"/>
          </w:tcPr>
          <w:p w14:paraId="432BC28D" w14:textId="7DF5A02D"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fldChar w:fldCharType="begin"/>
            </w:r>
            <w:r w:rsidR="00C41CDD">
              <w:rPr>
                <w:rFonts w:cs="Calibri"/>
                <w:b/>
                <w:bCs/>
                <w:color w:val="000000"/>
                <w:sz w:val="21"/>
                <w:szCs w:val="21"/>
                <w:lang w:eastAsia="en-GB"/>
              </w:rPr>
              <w:instrText xml:space="preserve"> ADDIN ZOTERO_ITEM CSL_CITATION {"citationID":"6YOdJINZ","properties":{"formattedCitation":"[55,56]","plainCitation":"[55,56]","noteIndex":0},"citationItems":[{"id":3100,"uris":["http://zotero.org/users/local/05JQq5lJ/items/GW5PDE78"],"itemData":{"id":3100,"type":"article-journal","abstract":"Among machining processes, grinding has been used to achieve high dimensional tolerances and surface quality on workpieces. Yet, high levels of energy expenditure per volume of removed material and the need for cutting fluids make grinding one of the most environmentally impactful machining processes. Furthermore, changes in parameters such as grain and bond specifications of the grinding wheel, cutting speed, and specific material removal rate can lead to different productive and environmental results. Thus, the analysis of grinding processes should not be aggregated and leveraged into a single and broad output parameter. Instead, comprehensive study should be performed, in which the most relevant process parameters, inputs and outputs are considered. This paper presents a detailed study of grinding process, including the characterization of machine subunits and production modes, along with the use of a combined life cycle assessment hybrid model and real-time monitoring system to evaluate the consumption of energy, tooling, cutting fluid and compressed air. A detailed cradle-to-gate life cycle assessment study using eleven different impact categories and a productive performance assessment were performed to evaluate the effects on varying specific material removal rate and wheel type. For equal values of specific material removal rate, the change from a conventional wheel to a cubic boron nitride represented a power requirement increase of 19–24%. Cubic boron nitride wheel achieved remarkably better results on the wheel wear and part roughness indicators for all tested conditions. The environmental performance assessment showed a strict relation between the process environmental impacts and the consumption of electric energy and cutting fluid. To conclude, despite the higher power requirements, the combination of cubic boron nitride wheel with high values of specific material removal rate optimizes both the productive and the environmental results.","container-title":"Journal of Cleaner Production","DOI":"10.1016/j.jclepro.2017.05.158","ISSN":"0959-6526","journalAbbreviation":"Journal of Cleaner Production","page":"510-523","source":"ScienceDirect","title":"Productive and environmental performance indicators analysis by a combined LCA hybrid model and real-time manufacturing process monitoring: A grinding unit process application","title-short":"Productive and environmental performance indicators analysis by a combined LCA hybrid model and real-time manufacturing process monitoring","volume":"161","author":[{"family":"Filleti","given":"Remo Augusto Padovezi"},{"family":"Silva","given":"Diogo Aparecido Lopes"},{"family":"Silva","given":"Eraldo Jannone","dropping-particle":"da"},{"family":"Ometto","given":"Aldo Roberto"}],"issued":{"date-parts":[["2017",9,10]]}}},{"id":3101,"uris":["http://zotero.org/users/local/05JQq5lJ/items/BU7JCH54"],"itemData":{"id":3101,"type":"article-journal","abstract":"In this research, the environmental profile of sugar produced from beet was estimated by considering the beet cultivation and the milling process in the Iranian Hamadan Province via the life cycle assessment methodology. Data were obtained from sugar beet growers and the main sugar mill in the province. The system boundaries were set from the sugar beet planting to the production of white sugar in the sugar mill. The functional unit was considered to be 1 ton of white sugar. The calculations were performed for impact categories including global warming, abiotic depletion, fossil fuel depletion, ozone layer depletion, human toxicity, fresh water aquatic ecotoxicity, marine aquatic ecotoxicity, terrestrial ecotoxicity, photochemical oxidation, acidification, and eutrophication. Results indicate that the global warming impact of sugar production through beet cultivation and the milling process was estimated to be 310, and 1540 kgCO2eq/ton, respectively. Electricity accounted for the greatest share of the impact for agricultural phase (55.29%), followed by chemical fertilisers (20.83%). This electricity consumption in sugar beet production is mainly due to the agricultural irrigation. Therefore, the enhancement of water use efficiency and water extraction in sugar beet farming seems to be a possible solution to the reduction of the overall environmental burden. Also, sugar beet production should become more efficient in terms of fertiliser use. In the industrial phase, the most significant impacts are related to the production and use of natural gas. Renovation of equipment and development of renewable energies in the mill have been suggested for making beet processing more energy efficient.","container-title":"Biomass Conversion and Biorefinery","DOI":"10.1007/s13399-022-02982-4","ISSN":"2190-6823","issue":"5","journalAbbreviation":"Biomass Conv. Bioref.","language":"en","page":"6759-6772","source":"Springer Link","title":"Use of LCA indicators to assess Iranian sugar production systems: case study — Hamadan Province","title-short":"Use of LCA indicators to assess Iranian sugar production systems","volume":"14","author":[{"family":"Namdari","given":"Majid"},{"family":"Rafiee","given":"Shahin"},{"family":"Notarnicola","given":"Bruno"},{"family":"Tassielli","given":"Giuseppe"},{"family":"Renzulli","given":"Pietro A."},{"family":"Hosseinpour","given":"Soleiman"}],"issued":{"date-parts":[["2024",3,1]]}}}],"schema":"https://github.com/citation-style-language/schema/raw/master/csl-citation.json"} </w:instrText>
            </w:r>
            <w:r w:rsidRPr="001E1D5F">
              <w:rPr>
                <w:rFonts w:cs="Calibri"/>
                <w:b/>
                <w:bCs/>
                <w:color w:val="000000"/>
                <w:sz w:val="21"/>
                <w:szCs w:val="21"/>
                <w:lang w:eastAsia="en-GB"/>
              </w:rPr>
              <w:fldChar w:fldCharType="separate"/>
            </w:r>
            <w:r w:rsidR="00C41CDD" w:rsidRPr="00C41CDD">
              <w:rPr>
                <w:rFonts w:ascii="Calibri" w:hAnsi="Calibri" w:cs="Calibri"/>
                <w:sz w:val="21"/>
              </w:rPr>
              <w:t>[55,56]</w:t>
            </w:r>
            <w:r w:rsidRPr="001E1D5F">
              <w:rPr>
                <w:rFonts w:cs="Calibri"/>
                <w:b/>
                <w:bCs/>
                <w:color w:val="000000"/>
                <w:sz w:val="21"/>
                <w:szCs w:val="21"/>
                <w:lang w:eastAsia="en-GB"/>
              </w:rPr>
              <w:fldChar w:fldCharType="end"/>
            </w:r>
          </w:p>
        </w:tc>
      </w:tr>
      <w:tr w:rsidR="001E1D5F" w:rsidRPr="001E1D5F" w14:paraId="777EA8A3" w14:textId="77777777" w:rsidTr="00040455">
        <w:tblPrEx>
          <w:jc w:val="left"/>
        </w:tblPrEx>
        <w:trPr>
          <w:trHeight w:val="300"/>
        </w:trPr>
        <w:tc>
          <w:tcPr>
            <w:tcW w:w="1985" w:type="dxa"/>
            <w:noWrap/>
            <w:vAlign w:val="center"/>
          </w:tcPr>
          <w:p w14:paraId="4D63BFC8"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Eutrophication Potential (EP) (Freshwater (EPFW), Marine (EPM) and Terrestrial (EPT))</w:t>
            </w:r>
          </w:p>
        </w:tc>
        <w:tc>
          <w:tcPr>
            <w:tcW w:w="1560" w:type="dxa"/>
            <w:noWrap/>
            <w:vAlign w:val="center"/>
          </w:tcPr>
          <w:p w14:paraId="06C1478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FE2E71B" w14:textId="77777777" w:rsidR="001E1D5F" w:rsidRPr="001E1D5F" w:rsidRDefault="001E1D5F" w:rsidP="001E1D5F">
            <w:pPr>
              <w:jc w:val="center"/>
              <w:rPr>
                <w:sz w:val="21"/>
                <w:szCs w:val="21"/>
                <w:lang w:eastAsia="en-GB"/>
              </w:rPr>
            </w:pPr>
            <w:r w:rsidRPr="001E1D5F">
              <w:rPr>
                <w:b/>
                <w:bCs/>
                <w:sz w:val="21"/>
                <w:szCs w:val="21"/>
                <w:lang w:eastAsia="en-GB"/>
              </w:rPr>
              <w:t>EP</w:t>
            </w:r>
            <w:r w:rsidRPr="001E1D5F">
              <w:rPr>
                <w:sz w:val="21"/>
                <w:szCs w:val="21"/>
                <w:lang w:eastAsia="en-GB"/>
              </w:rPr>
              <w:t>=∑</w:t>
            </w:r>
            <w:r w:rsidRPr="001E1D5F">
              <w:rPr>
                <w:rFonts w:ascii="Arial" w:hAnsi="Arial" w:cs="Arial"/>
                <w:sz w:val="21"/>
                <w:szCs w:val="21"/>
                <w:lang w:eastAsia="en-GB"/>
              </w:rPr>
              <w:t>​</w:t>
            </w:r>
            <w:r w:rsidRPr="001E1D5F">
              <w:rPr>
                <w:sz w:val="21"/>
                <w:szCs w:val="21"/>
                <w:lang w:eastAsia="en-GB"/>
              </w:rPr>
              <w:t>(mi</w:t>
            </w:r>
            <w:r w:rsidRPr="001E1D5F">
              <w:rPr>
                <w:rFonts w:ascii="Arial" w:hAnsi="Arial" w:cs="Arial"/>
                <w:sz w:val="21"/>
                <w:szCs w:val="21"/>
                <w:lang w:eastAsia="en-GB"/>
              </w:rPr>
              <w:t>​</w:t>
            </w:r>
            <w:r w:rsidRPr="001E1D5F">
              <w:rPr>
                <w:sz w:val="21"/>
                <w:szCs w:val="21"/>
                <w:lang w:eastAsia="en-GB"/>
              </w:rPr>
              <w:t>×</w:t>
            </w:r>
            <w:proofErr w:type="spellStart"/>
            <w:r w:rsidRPr="001E1D5F">
              <w:rPr>
                <w:sz w:val="21"/>
                <w:szCs w:val="21"/>
                <w:lang w:eastAsia="en-GB"/>
              </w:rPr>
              <w:t>EFi</w:t>
            </w:r>
            <w:proofErr w:type="spellEnd"/>
            <w:r w:rsidRPr="001E1D5F">
              <w:rPr>
                <w:rFonts w:ascii="Arial" w:hAnsi="Arial" w:cs="Arial"/>
                <w:sz w:val="21"/>
                <w:szCs w:val="21"/>
                <w:lang w:eastAsia="en-GB"/>
              </w:rPr>
              <w:t>​</w:t>
            </w:r>
            <w:r w:rsidRPr="001E1D5F">
              <w:rPr>
                <w:sz w:val="21"/>
                <w:szCs w:val="21"/>
                <w:lang w:eastAsia="en-GB"/>
              </w:rPr>
              <w:t>), where: mi</w:t>
            </w:r>
            <w:r w:rsidRPr="001E1D5F">
              <w:rPr>
                <w:rFonts w:ascii="Arial" w:hAnsi="Arial" w:cs="Arial"/>
                <w:sz w:val="21"/>
                <w:szCs w:val="21"/>
                <w:lang w:eastAsia="en-GB"/>
              </w:rPr>
              <w:t>​</w:t>
            </w:r>
            <w:r w:rsidRPr="001E1D5F">
              <w:rPr>
                <w:sz w:val="21"/>
                <w:szCs w:val="21"/>
                <w:lang w:eastAsia="en-GB"/>
              </w:rPr>
              <w:t xml:space="preserve"> is the mass of emitted substance </w:t>
            </w:r>
            <w:proofErr w:type="spellStart"/>
            <w:r w:rsidRPr="001E1D5F">
              <w:rPr>
                <w:sz w:val="21"/>
                <w:szCs w:val="21"/>
                <w:lang w:eastAsia="en-GB"/>
              </w:rPr>
              <w:t>i</w:t>
            </w:r>
            <w:proofErr w:type="spellEnd"/>
            <w:r w:rsidRPr="001E1D5F">
              <w:rPr>
                <w:sz w:val="21"/>
                <w:szCs w:val="21"/>
                <w:lang w:eastAsia="en-GB"/>
              </w:rPr>
              <w:t xml:space="preserve">, </w:t>
            </w:r>
            <w:proofErr w:type="spellStart"/>
            <w:r w:rsidRPr="001E1D5F">
              <w:rPr>
                <w:sz w:val="21"/>
                <w:szCs w:val="21"/>
                <w:lang w:eastAsia="en-GB"/>
              </w:rPr>
              <w:t>EFi</w:t>
            </w:r>
            <w:proofErr w:type="spellEnd"/>
            <w:r w:rsidRPr="001E1D5F">
              <w:rPr>
                <w:rFonts w:ascii="Arial" w:hAnsi="Arial" w:cs="Arial"/>
                <w:sz w:val="21"/>
                <w:szCs w:val="21"/>
                <w:lang w:eastAsia="en-GB"/>
              </w:rPr>
              <w:t>​</w:t>
            </w:r>
            <w:r w:rsidRPr="001E1D5F">
              <w:rPr>
                <w:sz w:val="21"/>
                <w:szCs w:val="21"/>
                <w:lang w:eastAsia="en-GB"/>
              </w:rPr>
              <w:t xml:space="preserve"> is the eutrophication characterization factor for substance </w:t>
            </w:r>
            <w:proofErr w:type="spellStart"/>
            <w:r w:rsidRPr="001E1D5F">
              <w:rPr>
                <w:sz w:val="21"/>
                <w:szCs w:val="21"/>
                <w:lang w:eastAsia="en-GB"/>
              </w:rPr>
              <w:t>i</w:t>
            </w:r>
            <w:proofErr w:type="spellEnd"/>
            <w:r w:rsidRPr="001E1D5F">
              <w:rPr>
                <w:sz w:val="21"/>
                <w:szCs w:val="21"/>
                <w:lang w:eastAsia="en-GB"/>
              </w:rPr>
              <w:t>, which is specific to the type of eutrophication (marine, freshwater, or terrestrial) and the impact model used.</w:t>
            </w:r>
          </w:p>
          <w:p w14:paraId="7EC8CC73" w14:textId="77777777" w:rsidR="001E1D5F" w:rsidRPr="001E1D5F" w:rsidRDefault="001E1D5F" w:rsidP="001E1D5F">
            <w:pPr>
              <w:jc w:val="center"/>
              <w:rPr>
                <w:rFonts w:ascii="Times New Roman" w:hAnsi="Times New Roman"/>
                <w:sz w:val="21"/>
                <w:szCs w:val="21"/>
                <w:lang w:eastAsia="en-GB"/>
              </w:rPr>
            </w:pPr>
          </w:p>
        </w:tc>
        <w:tc>
          <w:tcPr>
            <w:tcW w:w="1559" w:type="dxa"/>
            <w:vAlign w:val="center"/>
          </w:tcPr>
          <w:p w14:paraId="7858493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kg PO4(3−)</w:t>
            </w:r>
            <w:r w:rsidRPr="001E1D5F">
              <w:rPr>
                <w:rFonts w:ascii="Arial" w:hAnsi="Arial" w:cs="Arial"/>
                <w:color w:val="000000"/>
                <w:sz w:val="21"/>
                <w:szCs w:val="21"/>
                <w:lang w:eastAsia="en-GB"/>
              </w:rPr>
              <w:t>​</w:t>
            </w:r>
            <w:r w:rsidRPr="001E1D5F">
              <w:rPr>
                <w:rFonts w:cs="Calibri"/>
                <w:color w:val="000000"/>
                <w:sz w:val="21"/>
                <w:szCs w:val="21"/>
                <w:lang w:eastAsia="en-GB"/>
              </w:rPr>
              <w:t xml:space="preserve"> equivalents or kg N equivalents</w:t>
            </w:r>
          </w:p>
        </w:tc>
        <w:tc>
          <w:tcPr>
            <w:tcW w:w="3915" w:type="dxa"/>
            <w:vAlign w:val="center"/>
          </w:tcPr>
          <w:p w14:paraId="6DFDC37B" w14:textId="77777777" w:rsidR="001E1D5F" w:rsidRPr="001E1D5F"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Electrical Equipment &amp; Components,</w:t>
            </w:r>
          </w:p>
          <w:p w14:paraId="3B41334E" w14:textId="77777777" w:rsidR="001E1D5F" w:rsidRPr="001E1D5F"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Agri-food, Food,</w:t>
            </w:r>
          </w:p>
          <w:p w14:paraId="4F5A0749" w14:textId="77777777" w:rsidR="001E1D5F" w:rsidRPr="001E1D5F" w:rsidRDefault="001E1D5F" w:rsidP="001E1D5F">
            <w:pPr>
              <w:spacing w:before="60"/>
              <w:jc w:val="center"/>
              <w:rPr>
                <w:rFonts w:cs="Calibri"/>
                <w:color w:val="000000"/>
                <w:sz w:val="21"/>
                <w:szCs w:val="21"/>
                <w:lang w:eastAsia="en-GB"/>
              </w:rPr>
            </w:pPr>
            <w:r w:rsidRPr="001E1D5F">
              <w:rPr>
                <w:rFonts w:ascii="Calibri" w:hAnsi="Calibri" w:cs="Calibri"/>
                <w:color w:val="000000"/>
                <w:sz w:val="21"/>
                <w:szCs w:val="21"/>
              </w:rPr>
              <w:t>Disposable diapers</w:t>
            </w:r>
          </w:p>
        </w:tc>
        <w:tc>
          <w:tcPr>
            <w:tcW w:w="1618" w:type="dxa"/>
            <w:vAlign w:val="center"/>
          </w:tcPr>
          <w:p w14:paraId="4BD64E17" w14:textId="27911732"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{"citationID":"LXo5ECCQ","properties":{"formattedCitation":"[52,56,66,70]","plainCitation":"[52,56,66,70]","noteIndex":0},"citationItems":[{"id":3125,"uris":["http://zotero.org/users/local/05JQq5lJ/items/R9R3EB56"],"itemData":{"id":3125,"type":"article-journal","abstract":"As the issue of environmental sustainability is becoming an important business factor, companies are now looking for decision support tools to assess the fuller picture of the environmental impacts associated with their manufacturing operations and supply chain (SC) activities. Lifecycle assessment (LCA) is widely used to measure the environmental consequences assignable to a product. However, it is usually limited to a high-level snapshot of the environmental implications over the product value chain without consideration of the dynamics arising from the multitiered structure and the interactions along the SC. This paper proposes a framework for green supply chain management by integrating a SC dynamic simulation and LCA indicators to evaluate both the economic and environmental impacts of various SC decisions such as inventories, distribution network configuration, and ordering policy. The advantages of this framework are demonstrated through an industrially motivated case study involving diaper production. Three distinct scenarios are evaluated to highlight how the proposed approach enables integrated decision support for green SC design and operation.","container-title":"Environmental Science &amp; Technology","DOI":"10.1021/es201763q","ISSN":"0013-936X","issue":"23","journalAbbreviation":"Environ. Sci. Technol.","note":"publisher: American Chemical Society","page":"10178-10185","source":"ACS Publications","title":"Decision Support for Green Supply Chain Operations by Integrating Dynamic Simulation and LCA Indicators: Diaper Case Study","title-short":"Decision Support for Green Supply Chain Operations by Integrating Dynamic Simulation and LCA Indicators","volume":"45","author":[{"family":"Adhitya","given":"Arief"},{"family":"Halim","given":"Iskandar"},{"family":"Srinivasan","given":"Rajagopalan"}],"issued":{"date-parts":[["2011",12,1]]}}},{"id":3146,"uris":["http://zotero.org/users/local/05JQq5lJ/items/9BATZU2T"],"itemData":{"id":3146,"type":"article-journal","abstract":"Sodium-ion batteries are considered promising alternatives to lithium-ion technology; however, the diffusion on a commercial scale is hindered by the struggle to identify materials with high electrochemical performances. Studies available in the literature are mainly focused on electrochemical performance and neglect aspects related to the environmental sustainability. In fact, the current state-of-the-art (presented in this study) shows that life cycle assessment (LCA) studies related to the production processes of electrode materials for Na-ion batteries are still very limited. The LCA methodology applied during the development of a technology phase can constitute a valid support for an eco-oriented design and, therefore, to the choice of solutions characterized by a lower environmental impact with the same electrochemical performance. In this context, a life cycle-based environmental–economic assessment was performed to evaluate the environmental impacts of the production process of cathode and anode materials for sodium-ion batteries. The study is focused on the cathodic active material Na0.66MnO2, considering two synthesis paths, and the anodic material consisting of tin (Sn) and Sn-carbon nanofiber (Sn-Cn) active material, binder, and other additives. Results illustrate the environmental performance of the different materials and constitute a useful input for their selection within an eco-design view.","container-title":"Energies","DOI":"10.3390/en16176220","ISSN":"1996-1073","issue":"17","language":"en","license":"http://creativecommons.org/licenses/by/3.0/","note":"number: 17\npublisher: Multidisciplinary Digital Publishing Institute","page":"6220","source":"www.mdpi.com","title":"LCA and C-LCC Indicator as Tools for Sodium-Ion Batteries’ Eco-Design","volume":"16","author":[{"family":"Carvalho","given":"Maria Leonor"},{"family":"Cusenza","given":"Maria Anna"},{"family":"Mela","given":"Giulio"},{"family":"Temporelli","given":"Andrea"},{"family":"Quinzeni","given":"Irene"},{"family":"Girardi","given":"Pierpaolo"}],"issued":{"date-parts":[["2023",1]]}}},{"id":3101,"uris":["http://zotero.org/users/local/05JQq5lJ/items/BU7JCH54"],"itemData":{"id":3101,"type":"article-journal","abstract":"In this research, the environmental profile of sugar produced from beet was estimated by considering the beet cultivation and the milling process in the Iranian Hamadan Province via the life cycle assessment methodology. Data were obtained from sugar beet growers and the main sugar mill in the province. The system boundaries were set from the sugar beet planting to the production of white sugar in the sugar mill. The functional unit was considered to be 1 ton of white sugar. The calculations were performed for impact categories including global warming, abiotic depletion, fossil fuel depletion, ozone layer depletion, human toxicity, fresh water aquatic ecotoxicity, marine aquatic ecotoxicity, terrestrial ecotoxicity, photochemical oxidation, acidification, and eutrophication. Results indicate that the global warming impact of sugar production through beet cultivation and the milling process was estimated to be 310, and 1540 kgCO2eq/ton, respectively. Electricity accounted for the greatest share of the impact for agricultural phase (55.29%), followed by chemical fertilisers (20.83%). This electricity consumption in sugar beet production is mainly due to the agricultural irrigation. Therefore, the enhancement of water use efficiency and water extraction in sugar beet farming seems to be a possible solution to the reduction of the overall environmental burden. Also, sugar beet production should become more efficient in terms of fertiliser use. In the industrial phase, the most significant impacts are related to the production and use of natural gas. Renovation of equipment and development of renewable energies in the mill have been suggested for making beet processing more energy efficient.","container-title":"Biomass Conversion and Biorefinery","DOI":"10.1007/s13399-022-02982-4","ISSN":"2190-6823","issue":"5","journalAbbreviation":"Biomass Conv. Bioref.","language":"en","page":"6759-6772","source":"Springer Link","title":"Use of LCA indicators to assess Iranian sugar production systems: case study — Hamadan Province","title-short":"Use of LCA indicators to assess Iranian sugar production systems","volume":"14","author":[{"family":"Namdari","given":"Majid"},{"family":"Rafiee","given":"Shahin"},{"family":"Notarnicola","given":"Bruno"},{"family":"Tassielli","given":"Giuseppe"},{"family":"Renzulli","given":"Pietro A."},{"family":"Hosseinpour","given":"Soleiman"}],"issued":{"date-parts":[["2024",3,1]]}}},{"id":3132,"uris":["http://zotero.org/users/local/05JQq5lJ/items/MAYYE9KM"],"itemData":{"id":3132,"type":"article-journal","abstract":"In the past decades, the environmental impact categories have been applied to life cycle assessment of consumer product, but the challenge of applying the impact categories is still posed. Although former studies have screened impact categories/indicators to represent sustainability for environmental performance of products from the existing ones, the practitioners have rarely discussed the challenge within food products. This present study aims to conduct a correlation analysis between life cycle impacts of food products on eight impact categories/indicators with a question of whether Carbon Footprint (CF) expressed as Global Warming Potential (GWP100a) could serve as indicator for environmental performance of food products. 1548 food products from the French database AGRIBALYSE v3.0.1 is employed in the analysis, while eight impact categories/indicators in the CML-IA baseline method are calculated by the openLCA 1.10.3 software. The results show that correlation coefficients between the impact categories/indicators vary in a range of 0.42–0.87. Strong correlations between the CF and the others are found in the whole product category except toxicity-related impact categories, and the correlations could be stronger or weaker depending on the product subcategories. It reveals that, on one hand, the CF could act as proxy for some of the impact indicators in the product categories; on the other hand, the indicator could not serve as a stand-alone indicator to represent the environmental sustainability. The research findings might be used in selecting impact categories/indicators for environmental performance of food products, while screening impact categories/indicators from the existing ones and making a contribution to sustainability assessment.","container-title":"International Journal of Environmental Research","DOI":"10.1007/s41742-023-00553-7","ISSN":"2008-2304","issue":"1","journalAbbreviation":"Int J Environ Res","language":"en","page":"5","source":"Springer Link","title":"Applicability of Carbon Footprint as Indicator for Environmental Performance of Food Products","volume":"18","author":[{"family":"Pak","given":"Song-Chol"},{"family":"O","given":"Nam-Chol"},{"family":"Ri","given":"Ryong-Jin"},{"family":"Ro","given":"Jong-Song"},{"family":"Ri","given":"Pong-Chol"}],"issued":{"date-parts":[["2023",12,16]]}}}],"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[52,56,66,70]</w:t>
            </w:r>
            <w:r w:rsidRPr="001E1D5F">
              <w:rPr>
                <w:rFonts w:cs="Calibri"/>
                <w:color w:val="000000"/>
                <w:sz w:val="21"/>
                <w:szCs w:val="21"/>
                <w:lang w:eastAsia="en-GB"/>
              </w:rPr>
              <w:fldChar w:fldCharType="end"/>
            </w:r>
          </w:p>
        </w:tc>
      </w:tr>
      <w:tr w:rsidR="001E1D5F" w:rsidRPr="001E1D5F" w14:paraId="2EF662BB" w14:textId="77777777" w:rsidTr="00040455">
        <w:tblPrEx>
          <w:jc w:val="left"/>
        </w:tblPrEx>
        <w:trPr>
          <w:trHeight w:val="300"/>
        </w:trPr>
        <w:tc>
          <w:tcPr>
            <w:tcW w:w="16165" w:type="dxa"/>
            <w:gridSpan w:val="6"/>
            <w:shd w:val="clear" w:color="auto" w:fill="E7E6E6" w:themeFill="background2"/>
            <w:noWrap/>
            <w:vAlign w:val="center"/>
          </w:tcPr>
          <w:p w14:paraId="51185EB7" w14:textId="77777777" w:rsidR="001E1D5F" w:rsidRPr="001E1D5F" w:rsidRDefault="001E1D5F" w:rsidP="001E1D5F">
            <w:pPr>
              <w:spacing w:before="60"/>
              <w:rPr>
                <w:rFonts w:cs="Calibri"/>
                <w:color w:val="000000"/>
                <w:sz w:val="21"/>
                <w:szCs w:val="21"/>
                <w:lang w:eastAsia="en-GB"/>
              </w:rPr>
            </w:pPr>
            <w:r w:rsidRPr="001E1D5F">
              <w:rPr>
                <w:rFonts w:cs="Calibri"/>
                <w:b/>
                <w:bCs/>
                <w:color w:val="000000"/>
                <w:sz w:val="21"/>
                <w:szCs w:val="21"/>
                <w:lang w:eastAsia="en-GB"/>
              </w:rPr>
              <w:t>Indicator Group E8: Water Management</w:t>
            </w:r>
          </w:p>
        </w:tc>
      </w:tr>
      <w:tr w:rsidR="001E1D5F" w:rsidRPr="001E1D5F" w14:paraId="25E1ABDE" w14:textId="77777777" w:rsidTr="00040455">
        <w:tblPrEx>
          <w:jc w:val="left"/>
        </w:tblPrEx>
        <w:trPr>
          <w:trHeight w:val="300"/>
        </w:trPr>
        <w:tc>
          <w:tcPr>
            <w:tcW w:w="1985" w:type="dxa"/>
            <w:noWrap/>
            <w:vAlign w:val="center"/>
          </w:tcPr>
          <w:p w14:paraId="3D366804"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Biochemical Oxygen Demand (BOD) Grey Water Footprint</w:t>
            </w:r>
          </w:p>
        </w:tc>
        <w:tc>
          <w:tcPr>
            <w:tcW w:w="1560" w:type="dxa"/>
            <w:noWrap/>
            <w:vAlign w:val="center"/>
          </w:tcPr>
          <w:p w14:paraId="6B41314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F0B4F3F"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BOD Grey Water Footprint</w:t>
            </w:r>
            <w:r w:rsidRPr="001E1D5F">
              <w:rPr>
                <w:rFonts w:cs="Calibri"/>
                <w:color w:val="000000"/>
                <w:sz w:val="21"/>
                <w:szCs w:val="21"/>
                <w:lang w:eastAsia="en-GB"/>
              </w:rPr>
              <w:t>= BOD load</w:t>
            </w:r>
            <w:r w:rsidRPr="001E1D5F">
              <w:rPr>
                <w:rFonts w:ascii="Arial" w:hAnsi="Arial" w:cs="Arial"/>
                <w:color w:val="000000"/>
                <w:sz w:val="21"/>
                <w:szCs w:val="21"/>
                <w:lang w:eastAsia="en-GB"/>
              </w:rPr>
              <w:t>​</w:t>
            </w:r>
            <w:proofErr w:type="gramStart"/>
            <w:r w:rsidRPr="001E1D5F">
              <w:rPr>
                <w:rFonts w:ascii="Arial" w:hAnsi="Arial" w:cs="Arial"/>
                <w:color w:val="000000"/>
                <w:sz w:val="21"/>
                <w:szCs w:val="21"/>
                <w:lang w:eastAsia="en-GB"/>
              </w:rPr>
              <w:t>/(</w:t>
            </w:r>
            <w:proofErr w:type="gramEnd"/>
            <w:r w:rsidRPr="001E1D5F">
              <w:rPr>
                <w:rFonts w:cs="Calibri"/>
                <w:color w:val="000000"/>
                <w:sz w:val="21"/>
                <w:szCs w:val="21"/>
                <w:lang w:eastAsia="en-GB"/>
              </w:rPr>
              <w:t>BOD limit−natural BOD concentration), where</w:t>
            </w:r>
          </w:p>
          <w:p w14:paraId="2FEC0C6A" w14:textId="77777777" w:rsidR="001E1D5F" w:rsidRPr="001E1D5F" w:rsidRDefault="001E1D5F" w:rsidP="001E1D5F">
            <w:pPr>
              <w:tabs>
                <w:tab w:val="num" w:pos="720"/>
                <w:tab w:val="num" w:pos="1440"/>
              </w:tabs>
              <w:spacing w:before="60"/>
              <w:jc w:val="center"/>
              <w:rPr>
                <w:rFonts w:cs="Calibri"/>
                <w:color w:val="000000"/>
                <w:sz w:val="21"/>
                <w:szCs w:val="21"/>
                <w:lang w:eastAsia="en-GB"/>
              </w:rPr>
            </w:pPr>
            <w:r w:rsidRPr="001E1D5F">
              <w:rPr>
                <w:rFonts w:cs="Calibri"/>
                <w:b/>
                <w:bCs/>
                <w:color w:val="000000"/>
                <w:sz w:val="21"/>
                <w:szCs w:val="21"/>
                <w:lang w:eastAsia="en-GB"/>
              </w:rPr>
              <w:t>BOD Load</w:t>
            </w:r>
            <w:r w:rsidRPr="001E1D5F">
              <w:rPr>
                <w:rFonts w:cs="Calibri"/>
                <w:color w:val="000000"/>
                <w:sz w:val="21"/>
                <w:szCs w:val="21"/>
                <w:lang w:eastAsia="en-GB"/>
              </w:rPr>
              <w:t xml:space="preserve">: The total amount of BOD introduced into the water system, typically measured in units, such as mg of BOD per </w:t>
            </w:r>
            <w:proofErr w:type="spellStart"/>
            <w:r w:rsidRPr="001E1D5F">
              <w:rPr>
                <w:rFonts w:cs="Calibri"/>
                <w:color w:val="000000"/>
                <w:sz w:val="21"/>
                <w:szCs w:val="21"/>
                <w:lang w:eastAsia="en-GB"/>
              </w:rPr>
              <w:t>liter</w:t>
            </w:r>
            <w:proofErr w:type="spellEnd"/>
            <w:r w:rsidRPr="001E1D5F">
              <w:rPr>
                <w:rFonts w:cs="Calibri"/>
                <w:color w:val="000000"/>
                <w:sz w:val="21"/>
                <w:szCs w:val="21"/>
                <w:lang w:eastAsia="en-GB"/>
              </w:rPr>
              <w:t xml:space="preserve"> (mg/L) or kg/day. BOD load reflects the concentration of organic matter that, when decomposing, consumes oxygen from the water. High BOD levels indicate more organic pollutants, which means more oxygen is needed for breakdown, </w:t>
            </w:r>
            <w:r w:rsidRPr="001E1D5F">
              <w:rPr>
                <w:rFonts w:cs="Calibri"/>
                <w:b/>
                <w:bCs/>
                <w:color w:val="000000"/>
                <w:sz w:val="21"/>
                <w:szCs w:val="21"/>
                <w:lang w:eastAsia="en-GB"/>
              </w:rPr>
              <w:t>BOD Limit</w:t>
            </w:r>
            <w:r w:rsidRPr="001E1D5F">
              <w:rPr>
                <w:rFonts w:cs="Calibri"/>
                <w:color w:val="000000"/>
                <w:sz w:val="21"/>
                <w:szCs w:val="21"/>
                <w:lang w:eastAsia="en-GB"/>
              </w:rPr>
              <w:t xml:space="preserve">: This is the maximum acceptable concentration of BOD in water according to water quality standards, </w:t>
            </w:r>
            <w:r w:rsidRPr="001E1D5F">
              <w:rPr>
                <w:rFonts w:cs="Calibri"/>
                <w:b/>
                <w:bCs/>
                <w:color w:val="000000"/>
                <w:sz w:val="21"/>
                <w:szCs w:val="21"/>
                <w:lang w:eastAsia="en-GB"/>
              </w:rPr>
              <w:t>Natural BOD Concentration</w:t>
            </w:r>
            <w:r w:rsidRPr="001E1D5F">
              <w:rPr>
                <w:rFonts w:cs="Calibri"/>
                <w:color w:val="000000"/>
                <w:sz w:val="21"/>
                <w:szCs w:val="21"/>
                <w:lang w:eastAsia="en-GB"/>
              </w:rPr>
              <w:t>:</w:t>
            </w:r>
          </w:p>
          <w:p w14:paraId="0DA500E6" w14:textId="77777777" w:rsidR="001E1D5F" w:rsidRPr="001E1D5F" w:rsidRDefault="001E1D5F" w:rsidP="001E1D5F">
            <w:pPr>
              <w:tabs>
                <w:tab w:val="num" w:pos="1440"/>
              </w:tabs>
              <w:spacing w:before="60"/>
              <w:jc w:val="center"/>
              <w:rPr>
                <w:rFonts w:cs="Calibri"/>
                <w:color w:val="000000"/>
                <w:sz w:val="21"/>
                <w:szCs w:val="21"/>
                <w:lang w:eastAsia="en-GB"/>
              </w:rPr>
            </w:pPr>
            <w:r w:rsidRPr="001E1D5F">
              <w:rPr>
                <w:rFonts w:cs="Calibri"/>
                <w:color w:val="000000"/>
                <w:sz w:val="21"/>
                <w:szCs w:val="21"/>
                <w:lang w:eastAsia="en-GB"/>
              </w:rPr>
              <w:t>This is the baseline or “natural” concentration of BOD in water bodies.</w:t>
            </w:r>
          </w:p>
        </w:tc>
        <w:tc>
          <w:tcPr>
            <w:tcW w:w="1559" w:type="dxa"/>
            <w:vAlign w:val="center"/>
          </w:tcPr>
          <w:p w14:paraId="0E20287C"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L/day</w:t>
            </w:r>
            <w:r w:rsidRPr="001E1D5F">
              <w:rPr>
                <w:rFonts w:cs="Calibri"/>
                <w:color w:val="000000"/>
                <w:sz w:val="21"/>
                <w:szCs w:val="21"/>
                <w:lang w:eastAsia="en-GB"/>
              </w:rPr>
              <w:t xml:space="preserve"> (</w:t>
            </w:r>
            <w:proofErr w:type="spellStart"/>
            <w:r w:rsidRPr="001E1D5F">
              <w:rPr>
                <w:rFonts w:cs="Calibri"/>
                <w:color w:val="000000"/>
                <w:sz w:val="21"/>
                <w:szCs w:val="21"/>
                <w:lang w:eastAsia="en-GB"/>
              </w:rPr>
              <w:t>liters</w:t>
            </w:r>
            <w:proofErr w:type="spellEnd"/>
            <w:r w:rsidRPr="001E1D5F">
              <w:rPr>
                <w:rFonts w:cs="Calibri"/>
                <w:color w:val="000000"/>
                <w:sz w:val="21"/>
                <w:szCs w:val="21"/>
                <w:lang w:eastAsia="en-GB"/>
              </w:rPr>
              <w:t xml:space="preserve"> per day) or </w:t>
            </w:r>
            <w:r w:rsidRPr="001E1D5F">
              <w:rPr>
                <w:rFonts w:cs="Calibri"/>
                <w:b/>
                <w:bCs/>
                <w:color w:val="000000"/>
                <w:sz w:val="21"/>
                <w:szCs w:val="21"/>
                <w:lang w:eastAsia="en-GB"/>
              </w:rPr>
              <w:t>m³/day</w:t>
            </w:r>
            <w:r w:rsidRPr="001E1D5F">
              <w:rPr>
                <w:rFonts w:cs="Calibri"/>
                <w:color w:val="000000"/>
                <w:sz w:val="21"/>
                <w:szCs w:val="21"/>
                <w:lang w:eastAsia="en-GB"/>
              </w:rPr>
              <w:t xml:space="preserve"> (cubic meters per day)</w:t>
            </w:r>
          </w:p>
        </w:tc>
        <w:tc>
          <w:tcPr>
            <w:tcW w:w="3915" w:type="dxa"/>
            <w:vAlign w:val="center"/>
          </w:tcPr>
          <w:p w14:paraId="02BDE7F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Electronics </w:t>
            </w:r>
          </w:p>
        </w:tc>
        <w:tc>
          <w:tcPr>
            <w:tcW w:w="1618" w:type="dxa"/>
            <w:vAlign w:val="center"/>
          </w:tcPr>
          <w:p w14:paraId="4A792DDF" w14:textId="1AD20DE2"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{"citationID":"03Yr2LbX","properties":{"formattedCitation":"[72]","plainCitation":"[72]","noteIndex":0},"citationItems":[{"id":3157,"uris":["http://zotero.org/users/local/05JQq5lJ/items/8AFVZQLG"],"itemData":{"id":3157,"type":"article-journal","abstract":"To mitigate the impact of global warming on the environment, many governments, non-profit organizations, and enterprises have formulated relevant standards to assist enterprises in promoting carbon management, and to encourage the design and popularization of low-carbon products. These standards include: PAS 2050, ISO/TS 14067 and so on. Under these initiatives, enterprises try to disclose the carbon and water footprints of the products based on the life cycle. Some enterprises argue and debate that there exists uncertainty of the footprints calculation since the data collection is not systematically. To solve this problem, in this research, the calculation of carbon footprint and water footprint are evaluated with the data quality indicator (DQI) management system. The collected data is evaluated based on the footprint calculation methods. Also the pedigree matrix is constructed as an aide to solve the data uncertainty that included reliability, completeness, times, geography, and technologies differences. Through the DQI, the carbon footprint and water footprint are not only calculated simultaneously, but also correctly. The results could be the reference for products’ environmental improvement.","container-title":"International Journal of Precision Engineering and Manufacturing-Green Technology","DOI":"10.1007/s40684-015-0006-y","ISSN":"2198-0810","issue":"1","journalAbbreviation":"Int. J. of Precis. Eng. and Manuf.-Green Tech.","language":"en","page":"43-50","source":"Springer Link","title":"Application of data quality indicator of carbon footprint and water footprint","volume":"2","author":[{"family":"Kuo","given":"Tsai Chi"},{"family":"Huang","given":"Miao-Ling"},{"family":"Hsu","given":"Chia Wei"},{"family":"Lin","given":"Chiuhsiang Joe"},{"family":"Hsieh","given":"Chih-Chun"},{"family":"Chu","given":"Chih-Hsing"}],"issued":{"date-parts":[["2015",1,1]]}}}],"schema":"https://github.com/citation-style-language/schema/raw/master/csl-citation.json"}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[72]</w:t>
            </w:r>
            <w:r w:rsidRPr="001E1D5F">
              <w:rPr>
                <w:rFonts w:cs="Calibri"/>
                <w:color w:val="000000"/>
                <w:sz w:val="21"/>
                <w:szCs w:val="21"/>
                <w:lang w:eastAsia="en-GB"/>
              </w:rPr>
              <w:fldChar w:fldCharType="end"/>
            </w:r>
          </w:p>
        </w:tc>
      </w:tr>
      <w:tr w:rsidR="001E1D5F" w:rsidRPr="001E1D5F" w14:paraId="41D5C8F5" w14:textId="77777777" w:rsidTr="00040455">
        <w:tblPrEx>
          <w:jc w:val="left"/>
        </w:tblPrEx>
        <w:trPr>
          <w:trHeight w:val="300"/>
        </w:trPr>
        <w:tc>
          <w:tcPr>
            <w:tcW w:w="1985" w:type="dxa"/>
            <w:noWrap/>
            <w:vAlign w:val="center"/>
          </w:tcPr>
          <w:p w14:paraId="5D8B24AF"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 xml:space="preserve">Chemical Oxygen Demand (COD) </w:t>
            </w:r>
            <w:r w:rsidRPr="001E1D5F">
              <w:rPr>
                <w:rFonts w:cs="Calibri"/>
                <w:color w:val="000000"/>
                <w:sz w:val="21"/>
                <w:szCs w:val="21"/>
                <w:lang w:eastAsia="en-GB"/>
              </w:rPr>
              <w:lastRenderedPageBreak/>
              <w:t>Grey Water Footprint</w:t>
            </w:r>
          </w:p>
        </w:tc>
        <w:tc>
          <w:tcPr>
            <w:tcW w:w="1560" w:type="dxa"/>
            <w:noWrap/>
            <w:vAlign w:val="center"/>
          </w:tcPr>
          <w:p w14:paraId="3E0B40E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Quantitative</w:t>
            </w:r>
          </w:p>
        </w:tc>
        <w:tc>
          <w:tcPr>
            <w:tcW w:w="5528" w:type="dxa"/>
            <w:vAlign w:val="center"/>
          </w:tcPr>
          <w:p w14:paraId="50C53335"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COD Grey Water Footprint</w:t>
            </w:r>
            <w:r w:rsidRPr="001E1D5F">
              <w:rPr>
                <w:rFonts w:cs="Calibri"/>
                <w:color w:val="000000"/>
                <w:sz w:val="21"/>
                <w:szCs w:val="21"/>
                <w:lang w:eastAsia="en-GB"/>
              </w:rPr>
              <w:t>= COD load</w:t>
            </w:r>
            <w:r w:rsidRPr="001E1D5F">
              <w:rPr>
                <w:rFonts w:ascii="Arial" w:hAnsi="Arial" w:cs="Arial"/>
                <w:color w:val="000000"/>
                <w:sz w:val="21"/>
                <w:szCs w:val="21"/>
                <w:lang w:eastAsia="en-GB"/>
              </w:rPr>
              <w:t>​</w:t>
            </w:r>
            <w:proofErr w:type="gramStart"/>
            <w:r w:rsidRPr="001E1D5F">
              <w:rPr>
                <w:rFonts w:ascii="Arial" w:hAnsi="Arial" w:cs="Arial"/>
                <w:color w:val="000000"/>
                <w:sz w:val="21"/>
                <w:szCs w:val="21"/>
                <w:lang w:eastAsia="en-GB"/>
              </w:rPr>
              <w:t>/(</w:t>
            </w:r>
            <w:proofErr w:type="gramEnd"/>
            <w:r w:rsidRPr="001E1D5F">
              <w:rPr>
                <w:rFonts w:cs="Arial"/>
                <w:color w:val="000000"/>
                <w:sz w:val="21"/>
                <w:szCs w:val="21"/>
                <w:lang w:eastAsia="en-GB"/>
              </w:rPr>
              <w:t>C</w:t>
            </w:r>
            <w:r w:rsidRPr="001E1D5F">
              <w:rPr>
                <w:rFonts w:cs="Calibri"/>
                <w:color w:val="000000"/>
                <w:sz w:val="21"/>
                <w:szCs w:val="21"/>
                <w:lang w:eastAsia="en-GB"/>
              </w:rPr>
              <w:t>OD limit−natural COD concentration), where</w:t>
            </w:r>
          </w:p>
          <w:p w14:paraId="384A63ED" w14:textId="77777777" w:rsidR="001E1D5F" w:rsidRPr="001E1D5F" w:rsidRDefault="001E1D5F" w:rsidP="001E1D5F">
            <w:pPr>
              <w:tabs>
                <w:tab w:val="num" w:pos="720"/>
                <w:tab w:val="num" w:pos="1440"/>
              </w:tabs>
              <w:spacing w:before="60"/>
              <w:jc w:val="center"/>
              <w:rPr>
                <w:rFonts w:cs="Calibri"/>
                <w:color w:val="000000"/>
                <w:sz w:val="21"/>
                <w:szCs w:val="21"/>
                <w:lang w:eastAsia="en-GB"/>
              </w:rPr>
            </w:pPr>
            <w:r w:rsidRPr="001E1D5F">
              <w:rPr>
                <w:rFonts w:cs="Calibri"/>
                <w:b/>
                <w:bCs/>
                <w:color w:val="000000"/>
                <w:sz w:val="21"/>
                <w:szCs w:val="21"/>
                <w:lang w:eastAsia="en-GB"/>
              </w:rPr>
              <w:lastRenderedPageBreak/>
              <w:t>COD Load</w:t>
            </w:r>
            <w:r w:rsidRPr="001E1D5F">
              <w:rPr>
                <w:rFonts w:cs="Calibri"/>
                <w:color w:val="000000"/>
                <w:sz w:val="21"/>
                <w:szCs w:val="21"/>
                <w:lang w:eastAsia="en-GB"/>
              </w:rPr>
              <w:t>: The total amount of COD introduced into the water system, typically measured in kg/day or mg/day.</w:t>
            </w:r>
          </w:p>
          <w:p w14:paraId="18E8559D" w14:textId="77777777" w:rsidR="001E1D5F" w:rsidRPr="001E1D5F" w:rsidRDefault="001E1D5F" w:rsidP="001E1D5F">
            <w:pPr>
              <w:tabs>
                <w:tab w:val="num" w:pos="720"/>
                <w:tab w:val="num" w:pos="1440"/>
              </w:tabs>
              <w:spacing w:before="60"/>
              <w:jc w:val="center"/>
              <w:rPr>
                <w:rFonts w:cs="Calibri"/>
                <w:color w:val="000000"/>
                <w:sz w:val="21"/>
                <w:szCs w:val="21"/>
                <w:lang w:eastAsia="en-GB"/>
              </w:rPr>
            </w:pPr>
            <w:r w:rsidRPr="001E1D5F">
              <w:rPr>
                <w:rFonts w:cs="Calibri"/>
                <w:b/>
                <w:bCs/>
                <w:color w:val="000000"/>
                <w:sz w:val="21"/>
                <w:szCs w:val="21"/>
                <w:lang w:eastAsia="en-GB"/>
              </w:rPr>
              <w:t>COD Limit</w:t>
            </w:r>
            <w:r w:rsidRPr="001E1D5F">
              <w:rPr>
                <w:rFonts w:cs="Calibri"/>
                <w:color w:val="000000"/>
                <w:sz w:val="21"/>
                <w:szCs w:val="21"/>
                <w:lang w:eastAsia="en-GB"/>
              </w:rPr>
              <w:t xml:space="preserve">: This is the maximum acceptable concentration of COD in water according to water quality standards. </w:t>
            </w:r>
            <w:r w:rsidRPr="001E1D5F">
              <w:rPr>
                <w:rFonts w:cs="Calibri"/>
                <w:b/>
                <w:bCs/>
                <w:color w:val="000000"/>
                <w:sz w:val="21"/>
                <w:szCs w:val="21"/>
                <w:lang w:eastAsia="en-GB"/>
              </w:rPr>
              <w:t>Natural COD Concentration</w:t>
            </w:r>
            <w:r w:rsidRPr="001E1D5F">
              <w:rPr>
                <w:rFonts w:cs="Calibri"/>
                <w:color w:val="000000"/>
                <w:sz w:val="21"/>
                <w:szCs w:val="21"/>
                <w:lang w:eastAsia="en-GB"/>
              </w:rPr>
              <w:t>: This is the baseline or “natural” concentration of COD in water bodies.</w:t>
            </w:r>
          </w:p>
        </w:tc>
        <w:tc>
          <w:tcPr>
            <w:tcW w:w="1559" w:type="dxa"/>
            <w:vAlign w:val="center"/>
          </w:tcPr>
          <w:p w14:paraId="24292BB3"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lastRenderedPageBreak/>
              <w:t>L/day</w:t>
            </w:r>
            <w:r w:rsidRPr="001E1D5F">
              <w:rPr>
                <w:rFonts w:cs="Calibri"/>
                <w:color w:val="000000"/>
                <w:sz w:val="21"/>
                <w:szCs w:val="21"/>
                <w:lang w:eastAsia="en-GB"/>
              </w:rPr>
              <w:t xml:space="preserve"> (</w:t>
            </w:r>
            <w:proofErr w:type="spellStart"/>
            <w:r w:rsidRPr="001E1D5F">
              <w:rPr>
                <w:rFonts w:cs="Calibri"/>
                <w:color w:val="000000"/>
                <w:sz w:val="21"/>
                <w:szCs w:val="21"/>
                <w:lang w:eastAsia="en-GB"/>
              </w:rPr>
              <w:t>liters</w:t>
            </w:r>
            <w:proofErr w:type="spellEnd"/>
            <w:r w:rsidRPr="001E1D5F">
              <w:rPr>
                <w:rFonts w:cs="Calibri"/>
                <w:color w:val="000000"/>
                <w:sz w:val="21"/>
                <w:szCs w:val="21"/>
                <w:lang w:eastAsia="en-GB"/>
              </w:rPr>
              <w:t xml:space="preserve"> per day) or </w:t>
            </w:r>
            <w:r w:rsidRPr="001E1D5F">
              <w:rPr>
                <w:rFonts w:cs="Calibri"/>
                <w:b/>
                <w:bCs/>
                <w:color w:val="000000"/>
                <w:sz w:val="21"/>
                <w:szCs w:val="21"/>
                <w:lang w:eastAsia="en-GB"/>
              </w:rPr>
              <w:t>m³/day</w:t>
            </w:r>
            <w:r w:rsidRPr="001E1D5F">
              <w:rPr>
                <w:rFonts w:cs="Calibri"/>
                <w:color w:val="000000"/>
                <w:sz w:val="21"/>
                <w:szCs w:val="21"/>
                <w:lang w:eastAsia="en-GB"/>
              </w:rPr>
              <w:t xml:space="preserve"> (cubic </w:t>
            </w:r>
            <w:r w:rsidRPr="001E1D5F">
              <w:rPr>
                <w:rFonts w:cs="Calibri"/>
                <w:color w:val="000000"/>
                <w:sz w:val="21"/>
                <w:szCs w:val="21"/>
                <w:lang w:eastAsia="en-GB"/>
              </w:rPr>
              <w:lastRenderedPageBreak/>
              <w:t>meters per day)</w:t>
            </w:r>
          </w:p>
        </w:tc>
        <w:tc>
          <w:tcPr>
            <w:tcW w:w="3915" w:type="dxa"/>
            <w:vAlign w:val="center"/>
          </w:tcPr>
          <w:p w14:paraId="5A7E265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 xml:space="preserve">Electronics </w:t>
            </w:r>
          </w:p>
        </w:tc>
        <w:tc>
          <w:tcPr>
            <w:tcW w:w="1618" w:type="dxa"/>
            <w:vAlign w:val="center"/>
          </w:tcPr>
          <w:p w14:paraId="3491361D" w14:textId="4131A614"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{"citationID":"fGkALupg","properties":{"formattedCitation":"[72]","plainCitation":"[72]","noteIndex":0},"citationItems":[{"id":3157,"uris":["http://zotero.org/users/local/05JQq5lJ/items/8AFVZQLG"],"itemData":{"id":3157,"type":"article-journal","abstract":"To mitigate the impact of global warming on the environment, many governments, non-profit organizations, and enterprises have formulated relevant standards to assist enterprises in promoting carbon management, and to encourage the design and popularization of low-carbon products. These standards include: PAS 2050, ISO/TS 14067 and so on. Under these initiatives, enterprises try to disclose the carbon and water footprints of the products based on the life cycle. Some enterprises argue and debate that there exists uncertainty of the footprints calculation since the data collection is not systematically. To solve this problem, in this research, the calculation of carbon footprint and water footprint are evaluated with the data quality indicator (DQI) management system. The collected data is evaluated based on the footprint calculation methods. Also the pedigree matrix is constructed as an aide to solve the data uncertainty that included reliability, completeness, times, geography, and technologies differences. Through the DQI, the carbon footprint and water footprint are not only calculated simultaneously, but also correctly. The results could be the reference for products’ environmental improvement.","container-title":"International Journal of Precision Engineering and Manufacturing-Green Technology","DOI":"10.1007/s40684-015-0006-y","ISSN":"2198-0810","issue":"1","journalAbbreviation":"Int. J. of Precis. Eng. and Manuf.-Green Tech.","language":"en","page":"43-50","source":"Springer Link","title":"Application of data quality indicator of carbon footprint and water footprint","volume":"2","author":[{"family":"Kuo","given":"Tsai Chi"},{"family":"Huang","given":"Miao-Ling"},{"family":"Hsu","given":"Chia Wei"},{"family":"Lin","given":"Chiuhsiang Joe"},{"family":"Hsieh","given":"Chih-Chun"},{"family":"Chu","given":"Chih-Hsing"}],"issued":{"date-parts":[["2015",1,1]]}}}],"schema":"https://github.com/citation-style-language/schema/raw/master/csl-citation.json"}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[72]</w:t>
            </w:r>
            <w:r w:rsidRPr="001E1D5F">
              <w:rPr>
                <w:rFonts w:cs="Calibri"/>
                <w:color w:val="000000"/>
                <w:sz w:val="21"/>
                <w:szCs w:val="21"/>
                <w:lang w:eastAsia="en-GB"/>
              </w:rPr>
              <w:fldChar w:fldCharType="end"/>
            </w:r>
          </w:p>
        </w:tc>
      </w:tr>
      <w:tr w:rsidR="001E1D5F" w:rsidRPr="001E1D5F" w14:paraId="44B805E5" w14:textId="77777777" w:rsidTr="00040455">
        <w:tblPrEx>
          <w:jc w:val="left"/>
        </w:tblPrEx>
        <w:trPr>
          <w:trHeight w:val="300"/>
        </w:trPr>
        <w:tc>
          <w:tcPr>
            <w:tcW w:w="1985" w:type="dxa"/>
            <w:noWrap/>
            <w:vAlign w:val="center"/>
          </w:tcPr>
          <w:p w14:paraId="418B315A"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Suspended Solids (SS) Grey Water Footprint</w:t>
            </w:r>
          </w:p>
        </w:tc>
        <w:tc>
          <w:tcPr>
            <w:tcW w:w="1560" w:type="dxa"/>
            <w:noWrap/>
            <w:vAlign w:val="center"/>
          </w:tcPr>
          <w:p w14:paraId="13F1151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22C24967" w14:textId="77777777" w:rsidR="001E1D5F" w:rsidRPr="001E1D5F" w:rsidRDefault="001E1D5F" w:rsidP="001E1D5F">
            <w:pPr>
              <w:tabs>
                <w:tab w:val="num" w:pos="720"/>
              </w:tabs>
              <w:spacing w:before="60"/>
              <w:jc w:val="center"/>
              <w:rPr>
                <w:rFonts w:cs="Calibri"/>
                <w:color w:val="000000"/>
                <w:sz w:val="21"/>
                <w:szCs w:val="21"/>
                <w:lang w:eastAsia="en-GB"/>
              </w:rPr>
            </w:pPr>
            <w:r w:rsidRPr="001E1D5F">
              <w:rPr>
                <w:rFonts w:cs="Calibri"/>
                <w:b/>
                <w:bCs/>
                <w:color w:val="000000"/>
                <w:sz w:val="21"/>
                <w:szCs w:val="21"/>
                <w:lang w:eastAsia="en-GB"/>
              </w:rPr>
              <w:t>SS Grey Water Footprint</w:t>
            </w:r>
            <w:r w:rsidRPr="001E1D5F">
              <w:rPr>
                <w:rFonts w:cs="Calibri"/>
                <w:color w:val="000000"/>
                <w:sz w:val="21"/>
                <w:szCs w:val="21"/>
                <w:lang w:eastAsia="en-GB"/>
              </w:rPr>
              <w:t>=SSload</w:t>
            </w:r>
            <w:proofErr w:type="gramStart"/>
            <w:r w:rsidRPr="001E1D5F">
              <w:rPr>
                <w:rFonts w:cs="Calibri"/>
                <w:color w:val="000000"/>
                <w:sz w:val="21"/>
                <w:szCs w:val="21"/>
                <w:lang w:eastAsia="en-GB"/>
              </w:rPr>
              <w:t>/(</w:t>
            </w:r>
            <w:proofErr w:type="gramEnd"/>
            <w:r w:rsidRPr="001E1D5F">
              <w:rPr>
                <w:rFonts w:cs="Calibri"/>
                <w:color w:val="000000"/>
                <w:sz w:val="21"/>
                <w:szCs w:val="21"/>
                <w:lang w:eastAsia="en-GB"/>
              </w:rPr>
              <w:t>SSlimit−natural SSconcentration), w</w:t>
            </w:r>
            <w:r w:rsidRPr="001E1D5F">
              <w:rPr>
                <w:rFonts w:cs="Calibri"/>
                <w:b/>
                <w:bCs/>
                <w:color w:val="000000"/>
                <w:sz w:val="21"/>
                <w:szCs w:val="21"/>
                <w:lang w:eastAsia="en-GB"/>
              </w:rPr>
              <w:t>here: SS Load</w:t>
            </w:r>
            <w:r w:rsidRPr="001E1D5F">
              <w:rPr>
                <w:rFonts w:cs="Calibri"/>
                <w:color w:val="000000"/>
                <w:sz w:val="21"/>
                <w:szCs w:val="21"/>
                <w:lang w:eastAsia="en-GB"/>
              </w:rPr>
              <w:t xml:space="preserve">: This is the total amount of suspended solids introduced into the water system, typically measured in units such as mg/L or kg/day. The SS load represents the concentration of particulate matter (such as soil, silt, organic and inorganic particles) in the water, </w:t>
            </w:r>
            <w:r w:rsidRPr="001E1D5F">
              <w:rPr>
                <w:rFonts w:cs="Calibri"/>
                <w:b/>
                <w:bCs/>
                <w:color w:val="000000"/>
                <w:sz w:val="21"/>
                <w:szCs w:val="21"/>
                <w:lang w:eastAsia="en-GB"/>
              </w:rPr>
              <w:t>SS Limit</w:t>
            </w:r>
            <w:r w:rsidRPr="001E1D5F">
              <w:rPr>
                <w:rFonts w:cs="Calibri"/>
                <w:color w:val="000000"/>
                <w:sz w:val="21"/>
                <w:szCs w:val="21"/>
                <w:lang w:eastAsia="en-GB"/>
              </w:rPr>
              <w:t xml:space="preserve">: The maximum acceptable concentration of suspended solids in the water, as defined by water quality standards, </w:t>
            </w:r>
            <w:r w:rsidRPr="001E1D5F">
              <w:rPr>
                <w:rFonts w:cs="Calibri"/>
                <w:b/>
                <w:bCs/>
                <w:color w:val="000000"/>
                <w:sz w:val="21"/>
                <w:szCs w:val="21"/>
                <w:lang w:eastAsia="en-GB"/>
              </w:rPr>
              <w:t>Natural SS Concentration</w:t>
            </w:r>
            <w:r w:rsidRPr="001E1D5F">
              <w:rPr>
                <w:rFonts w:cs="Calibri"/>
                <w:color w:val="000000"/>
                <w:sz w:val="21"/>
                <w:szCs w:val="21"/>
                <w:lang w:eastAsia="en-GB"/>
              </w:rPr>
              <w:t>: This is the baseline or “natural” concentration of suspended solids in water bodies, representing typical background levels without additional pollution.</w:t>
            </w:r>
          </w:p>
        </w:tc>
        <w:tc>
          <w:tcPr>
            <w:tcW w:w="1559" w:type="dxa"/>
            <w:vAlign w:val="center"/>
          </w:tcPr>
          <w:p w14:paraId="1286C38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cubic meters per day (m³/day)</w:t>
            </w:r>
          </w:p>
        </w:tc>
        <w:tc>
          <w:tcPr>
            <w:tcW w:w="3915" w:type="dxa"/>
            <w:vAlign w:val="center"/>
          </w:tcPr>
          <w:p w14:paraId="57087E2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Electronics </w:t>
            </w:r>
          </w:p>
        </w:tc>
        <w:tc>
          <w:tcPr>
            <w:tcW w:w="1618" w:type="dxa"/>
            <w:vAlign w:val="center"/>
          </w:tcPr>
          <w:p w14:paraId="7BDC1253" w14:textId="052C1D3E"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{"citationID":"tM8oBgob","properties":{"formattedCitation":"[72]","plainCitation":"[72]","noteIndex":0},"citationItems":[{"id":3157,"uris":["http://zotero.org/users/local/05JQq5lJ/items/8AFVZQLG"],"itemData":{"id":3157,"type":"article-journal","abstract":"To mitigate the impact of global warming on the environment, many governments, non-profit organizations, and enterprises have formulated relevant standards to assist enterprises in promoting carbon management, and to encourage the design and popularization of low-carbon products. These standards include: PAS 2050, ISO/TS 14067 and so on. Under these initiatives, enterprises try to disclose the carbon and water footprints of the products based on the life cycle. Some enterprises argue and debate that there exists uncertainty of the footprints calculation since the data collection is not systematically. To solve this problem, in this research, the calculation of carbon footprint and water footprint are evaluated with the data quality indicator (DQI) management system. The collected data is evaluated based on the footprint calculation methods. Also the pedigree matrix is constructed as an aide to solve the data uncertainty that included reliability, completeness, times, geography, and technologies differences. Through the DQI, the carbon footprint and water footprint are not only calculated simultaneously, but also correctly. The results could be the reference for products’ environmental improvement.","container-title":"International Journal of Precision Engineering and Manufacturing-Green Technology","DOI":"10.1007/s40684-015-0006-y","ISSN":"2198-0810","issue":"1","journalAbbreviation":"Int. J. of Precis. Eng. and Manuf.-Green Tech.","language":"en","page":"43-50","source":"Springer Link","title":"Application of data quality indicator of carbon footprint and water footprint","volume":"2","author":[{"family":"Kuo","given":"Tsai Chi"},{"family":"Huang","given":"Miao-Ling"},{"family":"Hsu","given":"Chia Wei"},{"family":"Lin","given":"Chiuhsiang Joe"},{"family":"Hsieh","given":"Chih-Chun"},{"family":"Chu","given":"Chih-Hsing"}],"issued":{"date-parts":[["2015",1,1]]}}}],"schema":"https://github.com/citation-style-language/schema/raw/master/csl-citation.json"}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[72]</w:t>
            </w:r>
            <w:r w:rsidRPr="001E1D5F">
              <w:rPr>
                <w:rFonts w:cs="Calibri"/>
                <w:color w:val="000000"/>
                <w:sz w:val="21"/>
                <w:szCs w:val="21"/>
                <w:lang w:eastAsia="en-GB"/>
              </w:rPr>
              <w:fldChar w:fldCharType="end"/>
            </w:r>
          </w:p>
        </w:tc>
      </w:tr>
      <w:tr w:rsidR="001E1D5F" w:rsidRPr="001E1D5F" w14:paraId="02D9661E" w14:textId="77777777" w:rsidTr="00040455">
        <w:tblPrEx>
          <w:jc w:val="left"/>
        </w:tblPrEx>
        <w:trPr>
          <w:trHeight w:val="300"/>
        </w:trPr>
        <w:tc>
          <w:tcPr>
            <w:tcW w:w="1985" w:type="dxa"/>
            <w:noWrap/>
            <w:vAlign w:val="center"/>
          </w:tcPr>
          <w:p w14:paraId="62C6F2E3"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Total Volume of Wastewater Treated</w:t>
            </w:r>
          </w:p>
        </w:tc>
        <w:tc>
          <w:tcPr>
            <w:tcW w:w="1560" w:type="dxa"/>
            <w:noWrap/>
            <w:vAlign w:val="center"/>
          </w:tcPr>
          <w:p w14:paraId="0560E05C" w14:textId="77777777" w:rsidR="001E1D5F" w:rsidRPr="001E1D5F" w:rsidRDefault="001E1D5F" w:rsidP="001E1D5F">
            <w:pPr>
              <w:spacing w:before="60"/>
              <w:jc w:val="center"/>
              <w:rPr>
                <w:rFonts w:cs="Calibri"/>
                <w:b/>
                <w:bCs/>
                <w:color w:val="000000"/>
                <w:sz w:val="21"/>
                <w:szCs w:val="21"/>
                <w:lang w:eastAsia="en-GB"/>
              </w:rPr>
            </w:pPr>
            <w:r w:rsidRPr="001E1D5F">
              <w:rPr>
                <w:rFonts w:cs="Calibri"/>
                <w:color w:val="000000"/>
                <w:sz w:val="21"/>
                <w:szCs w:val="21"/>
                <w:lang w:eastAsia="en-GB"/>
              </w:rPr>
              <w:t>Quantitative</w:t>
            </w:r>
          </w:p>
        </w:tc>
        <w:tc>
          <w:tcPr>
            <w:tcW w:w="5528" w:type="dxa"/>
            <w:vAlign w:val="center"/>
          </w:tcPr>
          <w:p w14:paraId="708BE07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Measures the quantity of wastewater processed in a treatment system to reduce pollutants and contaminants</w:t>
            </w:r>
          </w:p>
        </w:tc>
        <w:tc>
          <w:tcPr>
            <w:tcW w:w="1559" w:type="dxa"/>
            <w:vAlign w:val="center"/>
          </w:tcPr>
          <w:p w14:paraId="41302F0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cubic meters per year (m³/year)</w:t>
            </w:r>
          </w:p>
        </w:tc>
        <w:tc>
          <w:tcPr>
            <w:tcW w:w="3915" w:type="dxa"/>
            <w:vAlign w:val="center"/>
          </w:tcPr>
          <w:p w14:paraId="7088A65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Energy and Plastics </w:t>
            </w:r>
          </w:p>
        </w:tc>
        <w:tc>
          <w:tcPr>
            <w:tcW w:w="1618" w:type="dxa"/>
            <w:vAlign w:val="center"/>
          </w:tcPr>
          <w:p w14:paraId="45630591" w14:textId="0C41B613"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fldChar w:fldCharType="begin"/>
            </w:r>
            <w:r w:rsidR="00C41CDD">
              <w:rPr>
                <w:rFonts w:cs="Calibri"/>
                <w:b/>
                <w:bCs/>
                <w:color w:val="000000"/>
                <w:sz w:val="21"/>
                <w:szCs w:val="21"/>
                <w:lang w:eastAsia="en-GB"/>
              </w:rPr>
              <w:instrText xml:space="preserve"> ADDIN ZOTERO_ITEM CSL_CITATION {"citationID":"3EEevXt1","properties":{"formattedCitation":"[22]","plainCitation":"[22]","noteIndex":0},"citationItems":[{"id":3016,"uris":["http://zotero.org/users/local/05JQq5lJ/items/3YS3VF2Q"],"itemData":{"id":3016,"type":"article-journal","abstract":"To promote their public image, a growing number of companies have adopted corporate social responsibility (CSR) projects that benefit various social interests. As such, it is imperative to audit the social, environmental, and economic dimensions of CSR projects for their sustainable development. This paper presents an assessment of three CSR projects undertaken by the energy industry (renewable energy) and commercial sector (plastic waste recycling) in Thailand to transition towards the circular economy (CE) business model. A set of CE indicators were selected from the World Business Council for Sustainable Development: WBCSD 2018 European Commission 2018, and British Standard Institution 2017 and compared with the sustainability indicators listed in the ISO 26000:2010 (referenced in the Global Reporting Initiative (GRI): G4 Guidelines). These indicators were established to assess the readiness of companies to implement sustainable CSR projects. The assessment results showed that the CSR projects in the case study were conducive to the CE model, as most of the CE concepts evaluated by the performance indicators were already in place. This study aimed to support the implementation of CSR projects that contribute to adopting a CE business model and determine key performance indicators (KPIs) to measure and monitor CSR projects in terms of their CE concepts. The sustainability KPIs proposed in this study can serve as a set of guidelines to drive CE strategy adoption and allow for the identification of sustainable CSR projects that can simultaneously offer more value creation and satisfaction for all stakeholders, including society and the companies, while reducing environmental impacts. This paper integrates CSR into a CE approach that results in business sustainability and contributes to Sustainability Development Goal (SDG) targets.","container-title":"Journal of Cleaner Production","DOI":"10.1016/j.jclepro.2023.136203","ISSN":"0959-6526","journalAbbreviation":"Journal of Cleaner Production","page":"136203","source":"ScienceDirect","title":"Sustainability indicators to achieve a circular economy: A case study of renewable energy and plastic waste recycling corporate social responsibility (CSR) projects in Thailand","title-short":"Sustainability indicators to achieve a circular economy","volume":"391","author":[{"family":"Niyommaneerat","given":"Wilailuk"},{"family":"Suwanteep","given":"Kultip"},{"family":"Chavalparit","given":"Orathai"}],"issued":{"date-parts":[["2023",3,10]]}}}],"schema":"https://github.com/citation-style-language/schema/raw/master/csl-citation.json"} </w:instrText>
            </w:r>
            <w:r w:rsidRPr="001E1D5F">
              <w:rPr>
                <w:rFonts w:cs="Calibri"/>
                <w:b/>
                <w:bCs/>
                <w:color w:val="000000"/>
                <w:sz w:val="21"/>
                <w:szCs w:val="21"/>
                <w:lang w:eastAsia="en-GB"/>
              </w:rPr>
              <w:fldChar w:fldCharType="separate"/>
            </w:r>
            <w:r w:rsidR="00C41CDD" w:rsidRPr="00C41CDD">
              <w:rPr>
                <w:rFonts w:ascii="Calibri" w:hAnsi="Calibri" w:cs="Calibri"/>
                <w:sz w:val="21"/>
              </w:rPr>
              <w:t>[22]</w:t>
            </w:r>
            <w:r w:rsidRPr="001E1D5F">
              <w:rPr>
                <w:rFonts w:cs="Calibri"/>
                <w:b/>
                <w:bCs/>
                <w:color w:val="000000"/>
                <w:sz w:val="21"/>
                <w:szCs w:val="21"/>
                <w:lang w:eastAsia="en-GB"/>
              </w:rPr>
              <w:fldChar w:fldCharType="end"/>
            </w:r>
          </w:p>
        </w:tc>
      </w:tr>
      <w:tr w:rsidR="001E1D5F" w:rsidRPr="001E1D5F" w14:paraId="5D7BCAC5" w14:textId="77777777" w:rsidTr="00040455">
        <w:tblPrEx>
          <w:jc w:val="left"/>
        </w:tblPrEx>
        <w:trPr>
          <w:trHeight w:val="300"/>
        </w:trPr>
        <w:tc>
          <w:tcPr>
            <w:tcW w:w="1985" w:type="dxa"/>
            <w:noWrap/>
            <w:vAlign w:val="center"/>
          </w:tcPr>
          <w:p w14:paraId="692F4997"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Volume of Water Recycled and Reused</w:t>
            </w:r>
          </w:p>
        </w:tc>
        <w:tc>
          <w:tcPr>
            <w:tcW w:w="1560" w:type="dxa"/>
            <w:noWrap/>
            <w:vAlign w:val="center"/>
          </w:tcPr>
          <w:p w14:paraId="562704A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31E9EFC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(Volume of water recycled or reused/Total water used)</w:t>
            </w:r>
            <w:r w:rsidRPr="001E1D5F">
              <w:rPr>
                <w:rFonts w:ascii="Arial" w:hAnsi="Arial" w:cs="Arial"/>
                <w:color w:val="000000"/>
                <w:sz w:val="21"/>
                <w:szCs w:val="21"/>
                <w:lang w:eastAsia="en-GB"/>
              </w:rPr>
              <w:t>​</w:t>
            </w:r>
            <w:r w:rsidRPr="001E1D5F">
              <w:rPr>
                <w:rFonts w:cs="Calibri"/>
                <w:color w:val="000000"/>
                <w:sz w:val="21"/>
                <w:szCs w:val="21"/>
                <w:lang w:eastAsia="en-GB"/>
              </w:rPr>
              <w:t>×100</w:t>
            </w:r>
          </w:p>
        </w:tc>
        <w:tc>
          <w:tcPr>
            <w:tcW w:w="1559" w:type="dxa"/>
            <w:vAlign w:val="center"/>
          </w:tcPr>
          <w:p w14:paraId="76A17EB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w:t>
            </w:r>
          </w:p>
        </w:tc>
        <w:tc>
          <w:tcPr>
            <w:tcW w:w="3915" w:type="dxa"/>
            <w:vAlign w:val="center"/>
          </w:tcPr>
          <w:p w14:paraId="2C86F3E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Energy and Plastics </w:t>
            </w:r>
          </w:p>
        </w:tc>
        <w:tc>
          <w:tcPr>
            <w:tcW w:w="1618" w:type="dxa"/>
            <w:vAlign w:val="center"/>
          </w:tcPr>
          <w:p w14:paraId="504761B2" w14:textId="4AAC6C21"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{"citationID":"wKUx10on","properties":{"formattedCitation":"[22]","plainCitation":"[22]","noteIndex":0},"citationItems":[{"id":3016,"uris":["http://zotero.org/users/local/05JQq5lJ/items/3YS3VF2Q"],"itemData":{"id":3016,"type":"article-journal","abstract":"To promote their public image, a growing number of companies have adopted corporate social responsibility (CSR) projects that benefit various social interests. As such, it is imperative to audit the social, environmental, and economic dimensions of CSR projects for their sustainable development. This paper presents an assessment of three CSR projects undertaken by the energy industry (renewable energy) and commercial sector (plastic waste recycling) in Thailand to transition towards the circular economy (CE) business model. A set of CE indicators were selected from the World Business Council for Sustainable Development: WBCSD 2018 European Commission 2018, and British Standard Institution 2017 and compared with the sustainability indicators listed in the ISO 26000:2010 (referenced in the Global Reporting Initiative (GRI): G4 Guidelines). These indicators were established to assess the readiness of companies to implement sustainable CSR projects. The assessment results showed that the CSR projects in the case study were conducive to the CE model, as most of the CE concepts evaluated by the performance indicators were already in place. This study aimed to support the implementation of CSR projects that contribute to adopting a CE business model and determine key performance indicators (KPIs) to measure and monitor CSR projects in terms of their CE concepts. The sustainability KPIs proposed in this study can serve as a set of guidelines to drive CE strategy adoption and allow for the identification of sustainable CSR projects that can simultaneously offer more value creation and satisfaction for all stakeholders, including society and the companies, while reducing environmental impacts. This paper integrates CSR into a CE approach that results in business sustainability and contributes to Sustainability Development Goal (SDG) targets.","container-title":"Journal of Cleaner Production","DOI":"10.1016/j.jclepro.2023.136203","ISSN":"0959-6526","journalAbbreviation":"Journal of Cleaner Production","page":"136203","source":"ScienceDirect","title":"Sustainability indicators to achieve a circular economy: A case study of renewable energy and plastic waste recycling corporate social responsibility (CSR) projects in Thailand","title-short":"Sustainability indicators to achieve a circular economy","volume":"391","author":[{"family":"Niyommaneerat","given":"Wilailuk"},{"family":"Suwanteep","given":"Kultip"},{"family":"Chavalparit","given":"Orathai"}],"issued":{"date-parts":[["2023",3,10]]}}}],"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[22]</w:t>
            </w:r>
            <w:r w:rsidRPr="001E1D5F">
              <w:rPr>
                <w:rFonts w:cs="Calibri"/>
                <w:color w:val="000000"/>
                <w:sz w:val="21"/>
                <w:szCs w:val="21"/>
                <w:lang w:eastAsia="en-GB"/>
              </w:rPr>
              <w:fldChar w:fldCharType="end"/>
            </w:r>
          </w:p>
        </w:tc>
      </w:tr>
      <w:tr w:rsidR="001E1D5F" w:rsidRPr="001E1D5F" w14:paraId="1C5E5D17" w14:textId="77777777" w:rsidTr="00040455">
        <w:tblPrEx>
          <w:jc w:val="left"/>
        </w:tblPrEx>
        <w:trPr>
          <w:trHeight w:val="300"/>
        </w:trPr>
        <w:tc>
          <w:tcPr>
            <w:tcW w:w="1985" w:type="dxa"/>
            <w:noWrap/>
            <w:vAlign w:val="center"/>
          </w:tcPr>
          <w:p w14:paraId="711ED0FD" w14:textId="77777777" w:rsidR="001E1D5F" w:rsidRPr="001E1D5F" w:rsidRDefault="001E1D5F" w:rsidP="001E1D5F">
            <w:pPr>
              <w:ind w:left="220"/>
              <w:jc w:val="center"/>
              <w:rPr>
                <w:rFonts w:cs="Calibri"/>
                <w:color w:val="000000"/>
                <w:sz w:val="21"/>
                <w:szCs w:val="21"/>
                <w:lang w:eastAsia="en-GB"/>
              </w:rPr>
            </w:pPr>
            <w:r w:rsidRPr="001E1D5F">
              <w:rPr>
                <w:rFonts w:cs="Calibri"/>
                <w:color w:val="000000"/>
                <w:sz w:val="21"/>
                <w:szCs w:val="21"/>
                <w:lang w:eastAsia="en-GB"/>
              </w:rPr>
              <w:t>Water Footprint (WF)</w:t>
            </w:r>
          </w:p>
        </w:tc>
        <w:tc>
          <w:tcPr>
            <w:tcW w:w="1560" w:type="dxa"/>
            <w:noWrap/>
            <w:vAlign w:val="center"/>
          </w:tcPr>
          <w:p w14:paraId="4644698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5528" w:type="dxa"/>
            <w:vAlign w:val="center"/>
          </w:tcPr>
          <w:p w14:paraId="499238F0"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Blue Water Footprint</w:t>
            </w:r>
            <w:r w:rsidRPr="001E1D5F">
              <w:rPr>
                <w:rFonts w:cs="Calibri"/>
                <w:color w:val="000000"/>
                <w:sz w:val="21"/>
                <w:szCs w:val="21"/>
                <w:lang w:eastAsia="en-GB"/>
              </w:rPr>
              <w:t xml:space="preserve">: Refers to the volume of surface and groundwater consumed, calculated as: Blue Water Footprint = Blue Water Evaporation + Blue Water Incorporation + Lost Return Flow (volume/time), </w:t>
            </w:r>
          </w:p>
          <w:p w14:paraId="099F2C8D"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Green Water Footprint</w:t>
            </w:r>
            <w:r w:rsidRPr="001E1D5F">
              <w:rPr>
                <w:rFonts w:cs="Calibri"/>
                <w:color w:val="000000"/>
                <w:sz w:val="21"/>
                <w:szCs w:val="21"/>
                <w:lang w:eastAsia="en-GB"/>
              </w:rPr>
              <w:t xml:space="preserve">: Refers to the volume of rainwater stored in the soil that is consumed, expressed as: </w:t>
            </w:r>
            <w:r w:rsidRPr="001E1D5F">
              <w:rPr>
                <w:rFonts w:cs="Calibri"/>
                <w:color w:val="000000"/>
                <w:sz w:val="21"/>
                <w:szCs w:val="21"/>
                <w:lang w:eastAsia="en-GB"/>
              </w:rPr>
              <w:lastRenderedPageBreak/>
              <w:t xml:space="preserve">Green Water Footprint = Green Water Evaporation + Green Water Incorporation (volume/time), </w:t>
            </w:r>
          </w:p>
          <w:p w14:paraId="3A7CDD23" w14:textId="77777777" w:rsidR="001E1D5F" w:rsidRPr="001E1D5F" w:rsidRDefault="001E1D5F" w:rsidP="001E1D5F">
            <w:pPr>
              <w:spacing w:before="60"/>
              <w:jc w:val="center"/>
              <w:rPr>
                <w:rFonts w:cs="Calibri"/>
                <w:color w:val="000000"/>
                <w:sz w:val="21"/>
                <w:szCs w:val="21"/>
                <w:lang w:eastAsia="en-GB"/>
              </w:rPr>
            </w:pPr>
            <w:r w:rsidRPr="001E1D5F">
              <w:rPr>
                <w:rFonts w:cs="Calibri"/>
                <w:b/>
                <w:bCs/>
                <w:color w:val="000000"/>
                <w:sz w:val="21"/>
                <w:szCs w:val="21"/>
                <w:lang w:eastAsia="en-GB"/>
              </w:rPr>
              <w:t>Gray Water Footprint</w:t>
            </w:r>
            <w:r w:rsidRPr="001E1D5F">
              <w:rPr>
                <w:rFonts w:cs="Calibri"/>
                <w:color w:val="000000"/>
                <w:sz w:val="21"/>
                <w:szCs w:val="21"/>
                <w:lang w:eastAsia="en-GB"/>
              </w:rPr>
              <w:t>: Refers to the volume of freshwater needed to dilute pollutants, based on existing water quality standards, calculated as: Gray Water Footprint=L/(Cmax−</w:t>
            </w:r>
            <w:proofErr w:type="spellStart"/>
            <w:r w:rsidRPr="001E1D5F">
              <w:rPr>
                <w:rFonts w:cs="Calibri"/>
                <w:color w:val="000000"/>
                <w:sz w:val="21"/>
                <w:szCs w:val="21"/>
                <w:lang w:eastAsia="en-GB"/>
              </w:rPr>
              <w:t>Cnat</w:t>
            </w:r>
            <w:proofErr w:type="spellEnd"/>
            <w:r w:rsidRPr="001E1D5F">
              <w:rPr>
                <w:rFonts w:cs="Calibri"/>
                <w:color w:val="000000"/>
                <w:sz w:val="21"/>
                <w:szCs w:val="21"/>
                <w:lang w:eastAsia="en-GB"/>
              </w:rPr>
              <w:t>)</w:t>
            </w:r>
          </w:p>
        </w:tc>
        <w:tc>
          <w:tcPr>
            <w:tcW w:w="1559" w:type="dxa"/>
            <w:vAlign w:val="center"/>
          </w:tcPr>
          <w:p w14:paraId="633C5F3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cubic meters (m³)</w:t>
            </w:r>
          </w:p>
        </w:tc>
        <w:tc>
          <w:tcPr>
            <w:tcW w:w="3915" w:type="dxa"/>
            <w:vAlign w:val="center"/>
          </w:tcPr>
          <w:p w14:paraId="1E1E3A4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Electronics </w:t>
            </w:r>
          </w:p>
        </w:tc>
        <w:tc>
          <w:tcPr>
            <w:tcW w:w="1618" w:type="dxa"/>
            <w:vAlign w:val="center"/>
          </w:tcPr>
          <w:p w14:paraId="08AE28C2" w14:textId="392927F6"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{"citationID":"UFWFq81E","properties":{"formattedCitation":"[72]","plainCitation":"[72]","noteIndex":0},"citationItems":[{"id":3157,"uris":["http://zotero.org/users/local/05JQq5lJ/items/8AFVZQLG"],"itemData":{"id":3157,"type":"article-journal","abstract":"To mitigate the impact of global warming on the environment, many governments, non-profit organizations, and enterprises have formulated relevant standards to assist enterprises in promoting carbon management, and to encourage the design and popularization of low-carbon products. These standards include: PAS 2050, ISO/TS 14067 and so on. Under these initiatives, enterprises try to disclose the carbon and water footprints of the products based on the life cycle. Some enterprises argue and debate that there exists uncertainty of the footprints calculation since the data collection is not systematically. To solve this problem, in this research, the calculation of carbon footprint and water footprint are evaluated with the data quality indicator (DQI) management system. The collected data is evaluated based on the footprint calculation methods. Also the pedigree matrix is constructed as an aide to solve the data uncertainty that included reliability, completeness, times, geography, and technologies differences. Through the DQI, the carbon footprint and water footprint are not only calculated simultaneously, but also correctly. The results could be the reference for products’ environmental improvement.","container-title":"International Journal of Precision Engineering and Manufacturing-Green Technology","DOI":"10.1007/s40684-015-0006-y","ISSN":"2198-0810","issue":"1","journalAbbreviation":"Int. J. of Precis. Eng. and Manuf.-Green Tech.","language":"en","page":"43-50","source":"Springer Link","title":"Application of data quality indicator of carbon footprint and water footprint","volume":"2","author":[{"family":"Kuo","given":"Tsai Chi"},{"family":"Huang","given":"Miao-Ling"},{"family":"Hsu","given":"Chia Wei"},{"family":"Lin","given":"Chiuhsiang Joe"},{"family":"Hsieh","given":"Chih-Chun"},{"family":"Chu","given":"Chih-Hsing"}],"issued":{"date-parts":[["2015",1,1]]}}}],"schema":"https://github.com/citation-style-language/schema/raw/master/csl-citation.json"}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[72]</w:t>
            </w:r>
            <w:r w:rsidRPr="001E1D5F">
              <w:rPr>
                <w:rFonts w:cs="Calibri"/>
                <w:color w:val="000000"/>
                <w:sz w:val="21"/>
                <w:szCs w:val="21"/>
                <w:lang w:eastAsia="en-GB"/>
              </w:rPr>
              <w:fldChar w:fldCharType="end"/>
            </w:r>
          </w:p>
        </w:tc>
      </w:tr>
    </w:tbl>
    <w:p w14:paraId="6B260130" w14:textId="77777777" w:rsidR="001E1D5F" w:rsidRPr="001E1D5F" w:rsidRDefault="001E1D5F" w:rsidP="001E1D5F">
      <w:pPr>
        <w:jc w:val="both"/>
        <w:rPr>
          <w:b/>
          <w:bCs/>
          <w:sz w:val="21"/>
          <w:szCs w:val="21"/>
        </w:rPr>
      </w:pPr>
    </w:p>
    <w:p w14:paraId="2C08735E" w14:textId="77777777" w:rsidR="001E1D5F" w:rsidRPr="001E1D5F" w:rsidRDefault="001E1D5F" w:rsidP="001E1D5F">
      <w:pPr>
        <w:jc w:val="both"/>
        <w:rPr>
          <w:sz w:val="21"/>
          <w:szCs w:val="21"/>
        </w:rPr>
      </w:pPr>
      <w:r w:rsidRPr="001E1D5F">
        <w:rPr>
          <w:b/>
          <w:bCs/>
          <w:sz w:val="21"/>
          <w:szCs w:val="21"/>
        </w:rPr>
        <w:t>Table A3</w:t>
      </w:r>
      <w:r w:rsidRPr="001E1D5F">
        <w:rPr>
          <w:sz w:val="21"/>
          <w:szCs w:val="21"/>
        </w:rPr>
        <w:t>: Categorization of Social Sustainability Indicators: Types and Definitions</w:t>
      </w:r>
    </w:p>
    <w:tbl>
      <w:tblPr>
        <w:tblStyle w:val="ae"/>
        <w:tblW w:w="16030" w:type="dxa"/>
        <w:jc w:val="center"/>
        <w:tblLook w:val="04A0" w:firstRow="1" w:lastRow="0" w:firstColumn="1" w:lastColumn="0" w:noHBand="0" w:noVBand="1"/>
      </w:tblPr>
      <w:tblGrid>
        <w:gridCol w:w="3002"/>
        <w:gridCol w:w="1337"/>
        <w:gridCol w:w="4728"/>
        <w:gridCol w:w="1875"/>
        <w:gridCol w:w="3512"/>
        <w:gridCol w:w="1576"/>
      </w:tblGrid>
      <w:tr w:rsidR="001E1D5F" w:rsidRPr="001E1D5F" w14:paraId="71735D00" w14:textId="77777777" w:rsidTr="00040455">
        <w:trPr>
          <w:trHeight w:val="927"/>
          <w:jc w:val="center"/>
        </w:trPr>
        <w:tc>
          <w:tcPr>
            <w:tcW w:w="3002" w:type="dxa"/>
            <w:vAlign w:val="center"/>
          </w:tcPr>
          <w:p w14:paraId="5B3EAA66" w14:textId="77777777" w:rsidR="001E1D5F" w:rsidRPr="001E1D5F" w:rsidRDefault="001E1D5F" w:rsidP="001E1D5F">
            <w:pPr>
              <w:spacing w:before="60"/>
              <w:jc w:val="center"/>
              <w:rPr>
                <w:sz w:val="21"/>
                <w:szCs w:val="21"/>
              </w:rPr>
            </w:pPr>
            <w:r w:rsidRPr="001E1D5F">
              <w:rPr>
                <w:rFonts w:cs="Calibri"/>
                <w:b/>
                <w:bCs/>
                <w:color w:val="000000"/>
                <w:sz w:val="21"/>
                <w:szCs w:val="21"/>
                <w:lang w:eastAsia="en-GB"/>
              </w:rPr>
              <w:t xml:space="preserve">Social Sustainability Indicator </w:t>
            </w:r>
          </w:p>
        </w:tc>
        <w:tc>
          <w:tcPr>
            <w:tcW w:w="1337" w:type="dxa"/>
            <w:vAlign w:val="center"/>
          </w:tcPr>
          <w:p w14:paraId="0E1BEF50" w14:textId="77777777" w:rsidR="001E1D5F" w:rsidRPr="001E1D5F" w:rsidRDefault="001E1D5F" w:rsidP="001E1D5F">
            <w:pPr>
              <w:spacing w:before="60"/>
              <w:jc w:val="center"/>
              <w:rPr>
                <w:sz w:val="21"/>
                <w:szCs w:val="21"/>
              </w:rPr>
            </w:pPr>
            <w:r w:rsidRPr="001E1D5F">
              <w:rPr>
                <w:rFonts w:cs="Calibri"/>
                <w:b/>
                <w:bCs/>
                <w:color w:val="000000"/>
                <w:sz w:val="21"/>
                <w:szCs w:val="21"/>
                <w:lang w:eastAsia="en-GB"/>
              </w:rPr>
              <w:t>Indicator Type</w:t>
            </w:r>
          </w:p>
        </w:tc>
        <w:tc>
          <w:tcPr>
            <w:tcW w:w="4728" w:type="dxa"/>
            <w:vAlign w:val="center"/>
          </w:tcPr>
          <w:p w14:paraId="60B884E3"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Definition/ Description</w:t>
            </w:r>
          </w:p>
        </w:tc>
        <w:tc>
          <w:tcPr>
            <w:tcW w:w="1560" w:type="dxa"/>
            <w:vAlign w:val="center"/>
          </w:tcPr>
          <w:p w14:paraId="21CED47B"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Measurement Unit</w:t>
            </w:r>
          </w:p>
        </w:tc>
        <w:tc>
          <w:tcPr>
            <w:tcW w:w="3827" w:type="dxa"/>
            <w:vAlign w:val="center"/>
          </w:tcPr>
          <w:p w14:paraId="16BA2843"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Manufacturing Sector(s) from reference(s)</w:t>
            </w:r>
          </w:p>
        </w:tc>
        <w:tc>
          <w:tcPr>
            <w:tcW w:w="1576" w:type="dxa"/>
            <w:vAlign w:val="center"/>
          </w:tcPr>
          <w:p w14:paraId="7EA740F1" w14:textId="77777777" w:rsidR="001E1D5F" w:rsidRPr="001E1D5F" w:rsidRDefault="001E1D5F" w:rsidP="001E1D5F">
            <w:pPr>
              <w:spacing w:before="60"/>
              <w:jc w:val="center"/>
              <w:rPr>
                <w:rFonts w:cs="Calibri"/>
                <w:b/>
                <w:bCs/>
                <w:color w:val="000000"/>
                <w:sz w:val="21"/>
                <w:szCs w:val="21"/>
                <w:lang w:eastAsia="en-GB"/>
              </w:rPr>
            </w:pPr>
            <w:r w:rsidRPr="001E1D5F">
              <w:rPr>
                <w:rFonts w:cs="Calibri"/>
                <w:b/>
                <w:bCs/>
                <w:color w:val="000000"/>
                <w:sz w:val="21"/>
                <w:szCs w:val="21"/>
                <w:lang w:eastAsia="en-GB"/>
              </w:rPr>
              <w:t>Reference(s)</w:t>
            </w:r>
          </w:p>
        </w:tc>
      </w:tr>
      <w:tr w:rsidR="001E1D5F" w:rsidRPr="001E1D5F" w14:paraId="7EE26372" w14:textId="77777777" w:rsidTr="00040455">
        <w:tblPrEx>
          <w:jc w:val="left"/>
        </w:tblPrEx>
        <w:trPr>
          <w:trHeight w:val="300"/>
        </w:trPr>
        <w:tc>
          <w:tcPr>
            <w:tcW w:w="16030" w:type="dxa"/>
            <w:gridSpan w:val="6"/>
            <w:shd w:val="clear" w:color="auto" w:fill="E7E6E6" w:themeFill="background2"/>
            <w:noWrap/>
            <w:vAlign w:val="center"/>
          </w:tcPr>
          <w:p w14:paraId="71C3C827"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S0: Employment Practices</w:t>
            </w:r>
          </w:p>
        </w:tc>
      </w:tr>
      <w:tr w:rsidR="001E1D5F" w:rsidRPr="001E1D5F" w14:paraId="12C396B5" w14:textId="77777777" w:rsidTr="00040455">
        <w:tblPrEx>
          <w:jc w:val="left"/>
        </w:tblPrEx>
        <w:trPr>
          <w:trHeight w:val="300"/>
        </w:trPr>
        <w:tc>
          <w:tcPr>
            <w:tcW w:w="3002" w:type="dxa"/>
            <w:noWrap/>
            <w:vAlign w:val="center"/>
          </w:tcPr>
          <w:p w14:paraId="4E0E002E" w14:textId="77777777" w:rsidR="001E1D5F" w:rsidRPr="001E1D5F" w:rsidRDefault="001E1D5F" w:rsidP="001E1D5F">
            <w:pPr>
              <w:ind w:left="220"/>
              <w:jc w:val="center"/>
              <w:rPr>
                <w:rFonts w:cs="Calibri"/>
                <w:color w:val="000000"/>
                <w:sz w:val="21"/>
                <w:szCs w:val="21"/>
                <w:lang w:eastAsia="en-GB"/>
              </w:rPr>
            </w:pPr>
            <w:r w:rsidRPr="001E1D5F">
              <w:rPr>
                <w:rFonts w:ascii="Calibri" w:hAnsi="Calibri" w:cs="Calibri"/>
                <w:color w:val="000000"/>
                <w:sz w:val="21"/>
                <w:szCs w:val="21"/>
                <w:lang w:eastAsia="en-GB"/>
              </w:rPr>
              <w:t>Job Creation &amp; Qualification</w:t>
            </w:r>
          </w:p>
        </w:tc>
        <w:tc>
          <w:tcPr>
            <w:tcW w:w="1337" w:type="dxa"/>
            <w:noWrap/>
            <w:vAlign w:val="center"/>
          </w:tcPr>
          <w:p w14:paraId="0A29B09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7C6950F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Employment opportunities created in a circular economy, emphasizing both quantity and quality, including the development of skilled jobs and addressing the risk of insecure, exploitative roles</w:t>
            </w:r>
          </w:p>
        </w:tc>
        <w:tc>
          <w:tcPr>
            <w:tcW w:w="1560" w:type="dxa"/>
            <w:vAlign w:val="center"/>
          </w:tcPr>
          <w:p w14:paraId="6F5352E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Number of jobs created</w:t>
            </w:r>
          </w:p>
        </w:tc>
        <w:tc>
          <w:tcPr>
            <w:tcW w:w="3827" w:type="dxa"/>
            <w:vAlign w:val="center"/>
          </w:tcPr>
          <w:p w14:paraId="6AA0D6B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375A0020" w14:textId="58F8D61A"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{"citationID":"1cFcUi5P","properties":{"formattedCitation":"[73]","plainCitation":"[73]","noteIndex":0},"citationItems":[{"id":3170,"uris":["http://zotero.org/users/local/05JQq5lJ/items/3DLLB394"],"itemData":{"id":3170,"type":"article-journal","container-title":"Journal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3D0F2169" w14:textId="77777777" w:rsidTr="00040455">
        <w:tblPrEx>
          <w:jc w:val="left"/>
        </w:tblPrEx>
        <w:trPr>
          <w:trHeight w:val="300"/>
        </w:trPr>
        <w:tc>
          <w:tcPr>
            <w:tcW w:w="3002" w:type="dxa"/>
            <w:noWrap/>
            <w:vAlign w:val="center"/>
          </w:tcPr>
          <w:p w14:paraId="74795160" w14:textId="77777777" w:rsidR="001E1D5F" w:rsidRPr="001E1D5F" w:rsidRDefault="001E1D5F" w:rsidP="001E1D5F">
            <w:pPr>
              <w:spacing w:before="60"/>
              <w:ind w:firstLineChars="100" w:firstLine="210"/>
              <w:jc w:val="center"/>
              <w:rPr>
                <w:rFonts w:cs="Calibri"/>
                <w:color w:val="000000"/>
                <w:sz w:val="21"/>
                <w:szCs w:val="21"/>
                <w:lang w:eastAsia="en-GB"/>
              </w:rPr>
            </w:pPr>
            <w:r w:rsidRPr="001E1D5F">
              <w:rPr>
                <w:rFonts w:ascii="Calibri" w:hAnsi="Calibri" w:cs="Calibri"/>
                <w:color w:val="000000"/>
                <w:sz w:val="21"/>
                <w:szCs w:val="21"/>
                <w:lang w:eastAsia="en-GB"/>
              </w:rPr>
              <w:t>Formalized work</w:t>
            </w:r>
          </w:p>
        </w:tc>
        <w:tc>
          <w:tcPr>
            <w:tcW w:w="1337" w:type="dxa"/>
            <w:noWrap/>
            <w:vAlign w:val="center"/>
          </w:tcPr>
          <w:p w14:paraId="6D33D5D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789FB6F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Employment agreements that adhere to legal standards, ensuring workers have formal contracts and benefits, reducing risks of informal </w:t>
            </w:r>
            <w:proofErr w:type="spellStart"/>
            <w:r w:rsidRPr="001E1D5F">
              <w:rPr>
                <w:rFonts w:cs="Calibri"/>
                <w:color w:val="000000"/>
                <w:sz w:val="21"/>
                <w:szCs w:val="21"/>
                <w:lang w:eastAsia="en-GB"/>
              </w:rPr>
              <w:t>labor</w:t>
            </w:r>
            <w:proofErr w:type="spellEnd"/>
            <w:r w:rsidRPr="001E1D5F">
              <w:rPr>
                <w:rFonts w:cs="Calibri"/>
                <w:color w:val="000000"/>
                <w:sz w:val="21"/>
                <w:szCs w:val="21"/>
                <w:lang w:eastAsia="en-GB"/>
              </w:rPr>
              <w:t xml:space="preserve"> and increasing traceability in the workforce</w:t>
            </w:r>
          </w:p>
        </w:tc>
        <w:tc>
          <w:tcPr>
            <w:tcW w:w="1560" w:type="dxa"/>
            <w:vAlign w:val="center"/>
          </w:tcPr>
          <w:p w14:paraId="223B8A3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formal contracts; Number of workers under legal agreements</w:t>
            </w:r>
          </w:p>
        </w:tc>
        <w:tc>
          <w:tcPr>
            <w:tcW w:w="3827" w:type="dxa"/>
            <w:vAlign w:val="center"/>
          </w:tcPr>
          <w:p w14:paraId="6132EB8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79834C32" w14:textId="74A61878"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{"citationID":"6UbVXjvy","properties":{"formattedCitation":"[73]","plainCitation":"[73]","noteIndex":0},"citationItems":[{"id":3170,"uris":["http://zotero.org/users/local/05JQq5lJ/items/3DLLB394"],"itemData":{"id":3170,"type":"article-journal","container-title":"Journal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5072E83F" w14:textId="77777777" w:rsidTr="00040455">
        <w:tblPrEx>
          <w:jc w:val="left"/>
        </w:tblPrEx>
        <w:trPr>
          <w:trHeight w:val="300"/>
        </w:trPr>
        <w:tc>
          <w:tcPr>
            <w:tcW w:w="3002" w:type="dxa"/>
            <w:noWrap/>
            <w:vAlign w:val="center"/>
          </w:tcPr>
          <w:p w14:paraId="08818DBE" w14:textId="77777777" w:rsidR="001E1D5F" w:rsidRPr="001E1D5F" w:rsidRDefault="001E1D5F" w:rsidP="001E1D5F">
            <w:pPr>
              <w:ind w:left="220"/>
              <w:jc w:val="center"/>
              <w:rPr>
                <w:rFonts w:cs="Calibri"/>
                <w:color w:val="000000"/>
                <w:sz w:val="21"/>
                <w:szCs w:val="21"/>
                <w:lang w:eastAsia="en-GB"/>
              </w:rPr>
            </w:pPr>
            <w:r w:rsidRPr="001E1D5F">
              <w:rPr>
                <w:rFonts w:ascii="Calibri" w:hAnsi="Calibri" w:cs="Calibri"/>
                <w:color w:val="000000"/>
                <w:sz w:val="21"/>
                <w:szCs w:val="21"/>
                <w:lang w:eastAsia="en-GB"/>
              </w:rPr>
              <w:t>Inclusive Employment Practices</w:t>
            </w:r>
          </w:p>
        </w:tc>
        <w:tc>
          <w:tcPr>
            <w:tcW w:w="1337" w:type="dxa"/>
            <w:noWrap/>
            <w:vAlign w:val="center"/>
          </w:tcPr>
          <w:p w14:paraId="6D27684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BD80C6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Practices aimed at increasing diversity in hiring, including employment of women, migrants, individuals with disabilities, and those in vulnerable situations, ensuring equity across all levels of employment</w:t>
            </w:r>
          </w:p>
        </w:tc>
        <w:tc>
          <w:tcPr>
            <w:tcW w:w="1560" w:type="dxa"/>
            <w:vAlign w:val="center"/>
          </w:tcPr>
          <w:p w14:paraId="4A600C6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diverse hires (e.g., women, migrants, etc.); Diversity index</w:t>
            </w:r>
          </w:p>
        </w:tc>
        <w:tc>
          <w:tcPr>
            <w:tcW w:w="3827" w:type="dxa"/>
            <w:vAlign w:val="center"/>
          </w:tcPr>
          <w:p w14:paraId="61C8AE7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 General</w:t>
            </w:r>
          </w:p>
        </w:tc>
        <w:tc>
          <w:tcPr>
            <w:tcW w:w="1576" w:type="dxa"/>
            <w:vAlign w:val="center"/>
          </w:tcPr>
          <w:p w14:paraId="6ADA36BD" w14:textId="6DB247C9"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{"citationID":"bbij0tdK","properties":{"formattedCitation":"[73,74]","plainCitation":"[73,74]","noteIndex":0},"citationItems":[{"id":3170,"uris":["http://zotero.org/users/local/05JQq5lJ/items/3DLLB394"],"itemData":{"id":3170,"type":"article-journal","container-title":"Journal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Gabriela"},{"family":"Baruque-Ramos","given":"Julia"}],"issued":{"date-parts":[["2022"]]}}},{"id":3204,"uris":["http://zotero.org/users/local/05JQq5lJ/items/LM6J5ND8"],"itemData":{"id":3204,"type":"article-journal","abstract":"BACKGROUND: Customized employment (CE) is a strategy that has shown promise in improving poor employment outcome for individuals with disabilities. The term customized employment was first used in 2001 and originated from efforts by the Department o","container-title":"Journal of Vocational Rehabilitation","DOI":"10.3233/JVR-150768","ISSN":"1052-2263","issue":"3","language":"en","note":"publisher: IOS Press","page":"183-193","source":"content.iospress.com","title":"Customized employment: A review of&amp;nbsp;the&amp;nbsp;literature","title-short":"Customized employment","volume":"43","author":[{"family":"Riesen","given":"Tim"},{"family":"Morgan","given":"Robert L."},{"family":"Griffin","given":"Cary"}],"issued":{"date-parts":[["2015",1,1]]}}}],"schema":"https://github.com/citation-style-language/schema/raw/master/csl-citation.json"}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[73,74]</w:t>
            </w:r>
            <w:r w:rsidRPr="001E1D5F">
              <w:rPr>
                <w:rFonts w:cs="Calibri"/>
                <w:color w:val="000000"/>
                <w:sz w:val="21"/>
                <w:szCs w:val="21"/>
                <w:lang w:eastAsia="en-GB"/>
              </w:rPr>
              <w:fldChar w:fldCharType="end"/>
            </w:r>
          </w:p>
        </w:tc>
      </w:tr>
      <w:tr w:rsidR="001E1D5F" w:rsidRPr="001E1D5F" w14:paraId="07277462" w14:textId="77777777" w:rsidTr="00040455">
        <w:tblPrEx>
          <w:jc w:val="left"/>
        </w:tblPrEx>
        <w:trPr>
          <w:trHeight w:val="300"/>
        </w:trPr>
        <w:tc>
          <w:tcPr>
            <w:tcW w:w="3002" w:type="dxa"/>
            <w:noWrap/>
            <w:vAlign w:val="center"/>
          </w:tcPr>
          <w:p w14:paraId="63448ED4"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lastRenderedPageBreak/>
              <w:t>Social security</w:t>
            </w:r>
          </w:p>
        </w:tc>
        <w:tc>
          <w:tcPr>
            <w:tcW w:w="1337" w:type="dxa"/>
            <w:noWrap/>
            <w:vAlign w:val="center"/>
          </w:tcPr>
          <w:p w14:paraId="582841F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B77909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Coverage provided to workers through formal systems ensuring access to basic needs during periods of unemployment, illness, or retirement</w:t>
            </w:r>
          </w:p>
        </w:tc>
        <w:tc>
          <w:tcPr>
            <w:tcW w:w="1560" w:type="dxa"/>
            <w:vAlign w:val="center"/>
          </w:tcPr>
          <w:p w14:paraId="54F31EB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workers covered</w:t>
            </w:r>
          </w:p>
        </w:tc>
        <w:tc>
          <w:tcPr>
            <w:tcW w:w="3827" w:type="dxa"/>
            <w:vAlign w:val="center"/>
          </w:tcPr>
          <w:p w14:paraId="0DED2F5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 Electronics Manufacturing, Chemical Manufacturing</w:t>
            </w:r>
          </w:p>
        </w:tc>
        <w:tc>
          <w:tcPr>
            <w:tcW w:w="1576" w:type="dxa"/>
            <w:vAlign w:val="center"/>
          </w:tcPr>
          <w:p w14:paraId="5F3ECC10" w14:textId="62E52933"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{"citationID":"yHqzMlkB","properties":{"formattedCitation":"[75,76]","plainCitation":"[75,76]","noteIndex":0},"citationItems":[{"id":3176,"uris":["http://zotero.org/users/local/05JQq5lJ/items/8V2YSST7"],"itemData":{"id":3176,"type":"article-journal","container-title":"Journal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[75,76]</w:t>
            </w:r>
            <w:r w:rsidRPr="001E1D5F">
              <w:rPr>
                <w:rFonts w:cs="Calibri"/>
                <w:color w:val="000000"/>
                <w:sz w:val="21"/>
                <w:szCs w:val="21"/>
                <w:lang w:eastAsia="en-GB"/>
              </w:rPr>
              <w:fldChar w:fldCharType="end"/>
            </w:r>
          </w:p>
        </w:tc>
      </w:tr>
      <w:tr w:rsidR="001E1D5F" w:rsidRPr="001E1D5F" w14:paraId="6A2823BA" w14:textId="77777777" w:rsidTr="00040455">
        <w:tblPrEx>
          <w:jc w:val="left"/>
        </w:tblPrEx>
        <w:trPr>
          <w:trHeight w:val="300"/>
        </w:trPr>
        <w:tc>
          <w:tcPr>
            <w:tcW w:w="3002" w:type="dxa"/>
            <w:noWrap/>
            <w:vAlign w:val="center"/>
          </w:tcPr>
          <w:p w14:paraId="0FA87CAA" w14:textId="77777777" w:rsidR="001E1D5F" w:rsidRPr="001E1D5F" w:rsidRDefault="001E1D5F" w:rsidP="001E1D5F">
            <w:pPr>
              <w:ind w:left="220"/>
              <w:jc w:val="center"/>
              <w:rPr>
                <w:rFonts w:cs="Calibri"/>
                <w:color w:val="000000"/>
                <w:sz w:val="21"/>
                <w:szCs w:val="21"/>
                <w:lang w:eastAsia="en-GB"/>
              </w:rPr>
            </w:pPr>
            <w:r w:rsidRPr="001E1D5F">
              <w:rPr>
                <w:rFonts w:ascii="Calibri" w:hAnsi="Calibri" w:cs="Calibri"/>
                <w:color w:val="000000"/>
                <w:sz w:val="21"/>
                <w:szCs w:val="21"/>
                <w:lang w:eastAsia="en-GB"/>
              </w:rPr>
              <w:t xml:space="preserve">Equal pay </w:t>
            </w:r>
          </w:p>
        </w:tc>
        <w:tc>
          <w:tcPr>
            <w:tcW w:w="1337" w:type="dxa"/>
            <w:noWrap/>
            <w:vAlign w:val="center"/>
          </w:tcPr>
          <w:p w14:paraId="4DC34DE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5890E0C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Guaranteeing equal compensation for all workers, irrespective of gender, race, ethnicity, disability, or other personal characteristics, ensuring pay equity across roles and responsibilities</w:t>
            </w:r>
          </w:p>
        </w:tc>
        <w:tc>
          <w:tcPr>
            <w:tcW w:w="1560" w:type="dxa"/>
            <w:vAlign w:val="center"/>
          </w:tcPr>
          <w:p w14:paraId="490BF2C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Gender </w:t>
            </w:r>
            <w:proofErr w:type="gramStart"/>
            <w:r w:rsidRPr="001E1D5F">
              <w:rPr>
                <w:rFonts w:cs="Calibri"/>
                <w:color w:val="000000"/>
                <w:sz w:val="21"/>
                <w:szCs w:val="21"/>
                <w:lang w:eastAsia="en-GB"/>
              </w:rPr>
              <w:t>pay</w:t>
            </w:r>
            <w:proofErr w:type="gramEnd"/>
            <w:r w:rsidRPr="001E1D5F">
              <w:rPr>
                <w:rFonts w:cs="Calibri"/>
                <w:color w:val="000000"/>
                <w:sz w:val="21"/>
                <w:szCs w:val="21"/>
                <w:lang w:eastAsia="en-GB"/>
              </w:rPr>
              <w:t xml:space="preserve"> gap; Percentage of roles with pay parity</w:t>
            </w:r>
          </w:p>
        </w:tc>
        <w:tc>
          <w:tcPr>
            <w:tcW w:w="3827" w:type="dxa"/>
            <w:vAlign w:val="center"/>
          </w:tcPr>
          <w:p w14:paraId="6A6EB1B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33A55E87" w14:textId="0A36B11F"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{"citationID":"hBjTPoI0","properties":{"formattedCitation":"[73]","plainCitation":"[73]","noteIndex":0},"citationItems":[{"id":3170,"uris":["http://zotero.org/users/local/05JQq5lJ/items/3DLLB394"],"itemData":{"id":3170,"type":"article-journal","container-title":"Journal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5F0CBA5B" w14:textId="77777777" w:rsidTr="00040455">
        <w:tblPrEx>
          <w:jc w:val="left"/>
        </w:tblPrEx>
        <w:trPr>
          <w:trHeight w:val="300"/>
        </w:trPr>
        <w:tc>
          <w:tcPr>
            <w:tcW w:w="3002" w:type="dxa"/>
            <w:noWrap/>
            <w:vAlign w:val="center"/>
          </w:tcPr>
          <w:p w14:paraId="20EF89BD" w14:textId="77777777" w:rsidR="001E1D5F" w:rsidRPr="001E1D5F" w:rsidRDefault="001E1D5F" w:rsidP="001E1D5F">
            <w:pPr>
              <w:ind w:left="220"/>
              <w:jc w:val="center"/>
              <w:rPr>
                <w:rFonts w:cs="Calibri"/>
                <w:color w:val="000000"/>
                <w:sz w:val="21"/>
                <w:szCs w:val="21"/>
                <w:lang w:eastAsia="en-GB"/>
              </w:rPr>
            </w:pPr>
            <w:r w:rsidRPr="001E1D5F">
              <w:rPr>
                <w:rFonts w:ascii="Calibri" w:hAnsi="Calibri" w:cs="Calibri"/>
                <w:color w:val="000000"/>
                <w:sz w:val="21"/>
                <w:szCs w:val="21"/>
                <w:lang w:eastAsia="en-GB"/>
              </w:rPr>
              <w:t>Equal Leadership Opportunities</w:t>
            </w:r>
          </w:p>
        </w:tc>
        <w:tc>
          <w:tcPr>
            <w:tcW w:w="1337" w:type="dxa"/>
            <w:noWrap/>
            <w:vAlign w:val="center"/>
          </w:tcPr>
          <w:p w14:paraId="2083D21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7C20235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Ensuring women, migrants, people of different races and ethnicities, people in social vulnerability situations, people with disabilities, and LGBTQIA+ individuals are represented in tactical and strategic positions and leadership</w:t>
            </w:r>
          </w:p>
        </w:tc>
        <w:tc>
          <w:tcPr>
            <w:tcW w:w="1560" w:type="dxa"/>
            <w:vAlign w:val="center"/>
          </w:tcPr>
          <w:p w14:paraId="77F95A2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underrepresented groups in leadership positions; Representation index for tactical/strategic roles</w:t>
            </w:r>
          </w:p>
        </w:tc>
        <w:tc>
          <w:tcPr>
            <w:tcW w:w="3827" w:type="dxa"/>
            <w:vAlign w:val="center"/>
          </w:tcPr>
          <w:p w14:paraId="3405AE4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 Electronics Manufacturing, Chemical Manufacturing</w:t>
            </w:r>
          </w:p>
        </w:tc>
        <w:tc>
          <w:tcPr>
            <w:tcW w:w="1576" w:type="dxa"/>
            <w:vAlign w:val="center"/>
          </w:tcPr>
          <w:p w14:paraId="58FC3867" w14:textId="0733D1B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{"citationID":"xcbY2QV8","properties":{"formattedCitation":"[73,76]","plainCitation":"[73,76]","noteIndex":0},"citationItems":[{"id":3170,"uris":["http://zotero.org/users/local/05JQq5lJ/items/3DLLB394"],"itemData":{"id":3170,"type":"article-journal","container-title":"Journal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[73,76]</w:t>
            </w:r>
            <w:r w:rsidRPr="001E1D5F">
              <w:rPr>
                <w:rFonts w:cs="Calibri"/>
                <w:color w:val="000000"/>
                <w:sz w:val="21"/>
                <w:szCs w:val="21"/>
                <w:lang w:eastAsia="en-GB"/>
              </w:rPr>
              <w:fldChar w:fldCharType="end"/>
            </w:r>
          </w:p>
        </w:tc>
      </w:tr>
      <w:tr w:rsidR="001E1D5F" w:rsidRPr="001E1D5F" w14:paraId="7842EEED" w14:textId="77777777" w:rsidTr="00040455">
        <w:tblPrEx>
          <w:jc w:val="left"/>
        </w:tblPrEx>
        <w:trPr>
          <w:trHeight w:val="300"/>
        </w:trPr>
        <w:tc>
          <w:tcPr>
            <w:tcW w:w="3002" w:type="dxa"/>
            <w:noWrap/>
            <w:vAlign w:val="center"/>
          </w:tcPr>
          <w:p w14:paraId="06562754"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 xml:space="preserve">Educational Background of Persons Employed </w:t>
            </w:r>
          </w:p>
        </w:tc>
        <w:tc>
          <w:tcPr>
            <w:tcW w:w="1337" w:type="dxa"/>
            <w:noWrap/>
            <w:vAlign w:val="center"/>
          </w:tcPr>
          <w:p w14:paraId="322F751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61AAE5D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Tracks the education levels (vocational, university, etc.) of employees</w:t>
            </w:r>
          </w:p>
        </w:tc>
        <w:tc>
          <w:tcPr>
            <w:tcW w:w="1560" w:type="dxa"/>
            <w:vAlign w:val="center"/>
          </w:tcPr>
          <w:p w14:paraId="743F583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Number of employees by education level</w:t>
            </w:r>
          </w:p>
        </w:tc>
        <w:tc>
          <w:tcPr>
            <w:tcW w:w="3827" w:type="dxa"/>
            <w:vAlign w:val="center"/>
          </w:tcPr>
          <w:p w14:paraId="3D2744C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w:t>
            </w:r>
          </w:p>
        </w:tc>
        <w:tc>
          <w:tcPr>
            <w:tcW w:w="1576" w:type="dxa"/>
            <w:vAlign w:val="center"/>
          </w:tcPr>
          <w:p w14:paraId="2685DB83" w14:textId="09BEE441"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{"citationID":"NCxuyYgi","properties":{"formattedCitation":"[77]","plainCitation":"[77]","noteIndex":0},"citationItems":[{"id":3172,"uris":["http://zotero.org/users/local/05JQq5lJ/items/EK34GDPT"],"itemData":{"id":3172,"type":"article-journal","container-title":"Journal of Cleaner Production","note":"publisher: Elsevier","page":"136238","source":"Google Scholar","title":"How to measure the social sustainability of the circular economy? Developing and piloting social circular economy indicators in Finland","title-short":"How to measure the social sustainability of the circular economy?","volume":"392","author":[{"family":"Pitkänen","given":"Kati"},{"family":"Karppinen","given":"T. K. M."},{"family":"Kautto","given":"Petrus"},{"family":"Pirtonen","given":"Heidi"},{"family":"Salmenperä","given":"Hanna"},{"family":"Savolahti","given":"Hanna"},{"family":"Schubin","given":"Elli"},{"family":"Myllymaa","given":"Tuuli"}],"issued":{"date-parts":[["2023"]]}}}],"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[77]</w:t>
            </w:r>
            <w:r w:rsidRPr="001E1D5F">
              <w:rPr>
                <w:rFonts w:cs="Calibri"/>
                <w:color w:val="000000"/>
                <w:sz w:val="21"/>
                <w:szCs w:val="21"/>
                <w:lang w:eastAsia="en-GB"/>
              </w:rPr>
              <w:fldChar w:fldCharType="end"/>
            </w:r>
          </w:p>
        </w:tc>
      </w:tr>
      <w:tr w:rsidR="001E1D5F" w:rsidRPr="001E1D5F" w14:paraId="6995568E" w14:textId="77777777" w:rsidTr="00040455">
        <w:tblPrEx>
          <w:jc w:val="left"/>
        </w:tblPrEx>
        <w:trPr>
          <w:trHeight w:val="300"/>
        </w:trPr>
        <w:tc>
          <w:tcPr>
            <w:tcW w:w="3002" w:type="dxa"/>
            <w:noWrap/>
            <w:vAlign w:val="center"/>
          </w:tcPr>
          <w:p w14:paraId="3AD4FF19"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Subsidized Employment of Vulnerable Groups</w:t>
            </w:r>
          </w:p>
        </w:tc>
        <w:tc>
          <w:tcPr>
            <w:tcW w:w="1337" w:type="dxa"/>
            <w:noWrap/>
            <w:vAlign w:val="center"/>
          </w:tcPr>
          <w:p w14:paraId="184B257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5E8453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Measures the proportion of employment opportunities specifically created for vulnerable or disadvantaged groups (e.g., long-term unemployed, disabled workers, refugees, and marginalized communities) through government, NGO, or corporate subsidies.</w:t>
            </w:r>
          </w:p>
        </w:tc>
        <w:tc>
          <w:tcPr>
            <w:tcW w:w="1560" w:type="dxa"/>
            <w:vAlign w:val="center"/>
          </w:tcPr>
          <w:p w14:paraId="0AB3BDF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subsidized employees</w:t>
            </w:r>
          </w:p>
        </w:tc>
        <w:tc>
          <w:tcPr>
            <w:tcW w:w="3827" w:type="dxa"/>
            <w:vAlign w:val="center"/>
          </w:tcPr>
          <w:p w14:paraId="2C8BCA6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w:t>
            </w:r>
          </w:p>
        </w:tc>
        <w:tc>
          <w:tcPr>
            <w:tcW w:w="1576" w:type="dxa"/>
            <w:vAlign w:val="center"/>
          </w:tcPr>
          <w:p w14:paraId="09DFCBAD" w14:textId="232CD29E"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{"citationID":"hnbxoYFa","properties":{"formattedCitation":"[77]","plainCitation":"[77]","noteIndex":0},"citationItems":[{"id":3172,"uris":["http://zotero.org/users/local/05JQq5lJ/items/EK34GDPT"],"itemData":{"id":3172,"type":"article-journal","container-title":"Journal of Cleaner Production","note":"publisher: Elsevier","page":"136238","source":"Google Scholar","title":"How to measure the social sustainability of the circular economy? Developing and piloting social circular economy indicators in Finland","title-short":"How to measure the social sustainability of the circular economy?","volume":"392","author":[{"family":"Pitkänen","given":"Kati"},{"family":"Karppinen","given":"T. K. M."},{"family":"Kautto","given":"Petrus"},{"family":"Pirtonen","given":"Heidi"},{"family":"Salmenperä","given":"Hanna"},{"family":"Savolahti","given":"Hanna"},{"family":"Schubin","given":"Elli"},{"family":"Myllymaa","given":"Tuuli"}],"issued":{"date-parts":[["2023"]]}}}],"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[77]</w:t>
            </w:r>
            <w:r w:rsidRPr="001E1D5F">
              <w:rPr>
                <w:rFonts w:cs="Calibri"/>
                <w:color w:val="000000"/>
                <w:sz w:val="21"/>
                <w:szCs w:val="21"/>
                <w:lang w:eastAsia="en-GB"/>
              </w:rPr>
              <w:fldChar w:fldCharType="end"/>
            </w:r>
          </w:p>
        </w:tc>
      </w:tr>
      <w:tr w:rsidR="001E1D5F" w:rsidRPr="001E1D5F" w14:paraId="41F19436" w14:textId="77777777" w:rsidTr="00040455">
        <w:tblPrEx>
          <w:jc w:val="left"/>
        </w:tblPrEx>
        <w:trPr>
          <w:trHeight w:val="300"/>
        </w:trPr>
        <w:tc>
          <w:tcPr>
            <w:tcW w:w="3002" w:type="dxa"/>
            <w:noWrap/>
            <w:vAlign w:val="center"/>
          </w:tcPr>
          <w:p w14:paraId="212673F5"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Encouragement of Local Labor</w:t>
            </w:r>
          </w:p>
        </w:tc>
        <w:tc>
          <w:tcPr>
            <w:tcW w:w="1337" w:type="dxa"/>
            <w:noWrap/>
            <w:vAlign w:val="center"/>
          </w:tcPr>
          <w:p w14:paraId="5B3B46D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0C19488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Evaluates the extent to which companies prioritize hiring from the local community, supporting regional economies and reducing economic disparities. It assesses both direct employment </w:t>
            </w:r>
            <w:r w:rsidRPr="001E1D5F">
              <w:rPr>
                <w:rFonts w:cs="Calibri"/>
                <w:color w:val="000000"/>
                <w:sz w:val="21"/>
                <w:szCs w:val="21"/>
                <w:lang w:eastAsia="en-GB"/>
              </w:rPr>
              <w:lastRenderedPageBreak/>
              <w:t>policies and indirect incentives for subcontractors to hire locally.</w:t>
            </w:r>
          </w:p>
        </w:tc>
        <w:tc>
          <w:tcPr>
            <w:tcW w:w="1560" w:type="dxa"/>
            <w:vAlign w:val="center"/>
          </w:tcPr>
          <w:p w14:paraId="40FF184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 xml:space="preserve">Scored numerically based on a response scale (e.g., Scale: None, </w:t>
            </w:r>
            <w:r w:rsidRPr="001E1D5F">
              <w:rPr>
                <w:rFonts w:cs="Calibri"/>
                <w:color w:val="000000"/>
                <w:sz w:val="21"/>
                <w:szCs w:val="21"/>
                <w:lang w:eastAsia="en-GB"/>
              </w:rPr>
              <w:lastRenderedPageBreak/>
              <w:t>Low, Moderate, High, Very High)</w:t>
            </w:r>
          </w:p>
        </w:tc>
        <w:tc>
          <w:tcPr>
            <w:tcW w:w="3827" w:type="dxa"/>
            <w:vAlign w:val="center"/>
          </w:tcPr>
          <w:p w14:paraId="155394C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Textile &amp; Fashion</w:t>
            </w:r>
          </w:p>
        </w:tc>
        <w:tc>
          <w:tcPr>
            <w:tcW w:w="1576" w:type="dxa"/>
            <w:vAlign w:val="center"/>
          </w:tcPr>
          <w:p w14:paraId="427FF548" w14:textId="60C0918D"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{"citationID":"LznCjYRw","properties":{"formattedCitation":"[73]","plainCitation":"[73]","noteIndex":0},"citationItems":[{"id":3170,"uris":["http://zotero.org/users/local/05JQq5lJ/items/3DLLB394"],"itemData":{"id":3170,"type":"article-journal","container-title":"Journal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0416EFEC" w14:textId="77777777" w:rsidTr="00040455">
        <w:tblPrEx>
          <w:jc w:val="left"/>
        </w:tblPrEx>
        <w:trPr>
          <w:trHeight w:val="300"/>
        </w:trPr>
        <w:tc>
          <w:tcPr>
            <w:tcW w:w="3002" w:type="dxa"/>
            <w:noWrap/>
            <w:vAlign w:val="center"/>
          </w:tcPr>
          <w:p w14:paraId="6BCFB946"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Career Plan Programs for Workers</w:t>
            </w:r>
          </w:p>
        </w:tc>
        <w:tc>
          <w:tcPr>
            <w:tcW w:w="1337" w:type="dxa"/>
            <w:noWrap/>
            <w:vAlign w:val="center"/>
          </w:tcPr>
          <w:p w14:paraId="1B03B49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78337F3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Evaluates the presence and effectiveness of structured career development pathways, including mentorship, promotion tracks, leadership programs, and succession planning. This indicator reflects an organization's commitment to long-term employee growth and retention.</w:t>
            </w:r>
          </w:p>
        </w:tc>
        <w:tc>
          <w:tcPr>
            <w:tcW w:w="1560" w:type="dxa"/>
            <w:vAlign w:val="center"/>
          </w:tcPr>
          <w:p w14:paraId="6AA5091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a response scale (Yes/No, or Scale: None to Extensive)</w:t>
            </w:r>
          </w:p>
        </w:tc>
        <w:tc>
          <w:tcPr>
            <w:tcW w:w="3827" w:type="dxa"/>
            <w:vAlign w:val="center"/>
          </w:tcPr>
          <w:p w14:paraId="585AD7E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301A82C1" w14:textId="7639444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{"citationID":"7FKxslN7","properties":{"formattedCitation":"[73]","plainCitation":"[73]","noteIndex":0},"citationItems":[{"id":3170,"uris":["http://zotero.org/users/local/05JQq5lJ/items/3DLLB394"],"itemData":{"id":3170,"type":"article-journal","container-title":"Journal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1E55C240" w14:textId="77777777" w:rsidTr="00040455">
        <w:tblPrEx>
          <w:jc w:val="left"/>
        </w:tblPrEx>
        <w:trPr>
          <w:trHeight w:val="300"/>
        </w:trPr>
        <w:tc>
          <w:tcPr>
            <w:tcW w:w="3002" w:type="dxa"/>
            <w:noWrap/>
            <w:vAlign w:val="center"/>
          </w:tcPr>
          <w:p w14:paraId="7EFEE0FC"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Qualification/Requalification of workers in the value chain to develop new specialties and skills</w:t>
            </w:r>
          </w:p>
        </w:tc>
        <w:tc>
          <w:tcPr>
            <w:tcW w:w="1337" w:type="dxa"/>
            <w:noWrap/>
            <w:vAlign w:val="center"/>
          </w:tcPr>
          <w:p w14:paraId="130A22D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06E7D00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Tracks investment in reskilling and upskilling initiatives designed to prepare workers for new technologies, evolving industry needs, and emerging job roles. This includes certification programs, workforce adaptation strategies, and skill conversion efforts to ensure long-term employability and competitiveness.</w:t>
            </w:r>
          </w:p>
        </w:tc>
        <w:tc>
          <w:tcPr>
            <w:tcW w:w="1560" w:type="dxa"/>
            <w:vAlign w:val="center"/>
          </w:tcPr>
          <w:p w14:paraId="062547C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a response scale (Scale: None to High investment)</w:t>
            </w:r>
          </w:p>
        </w:tc>
        <w:tc>
          <w:tcPr>
            <w:tcW w:w="3827" w:type="dxa"/>
            <w:vAlign w:val="center"/>
          </w:tcPr>
          <w:p w14:paraId="5F4095C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4BBFF639" w14:textId="4750FB9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{"citationID":"75TkvW87","properties":{"formattedCitation":"[73]","plainCitation":"[73]","noteIndex":0},"citationItems":[{"id":3170,"uris":["http://zotero.org/users/local/05JQq5lJ/items/3DLLB394"],"itemData":{"id":3170,"type":"article-journal","container-title":"Journal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53C3BA33" w14:textId="77777777" w:rsidTr="00040455">
        <w:tblPrEx>
          <w:jc w:val="left"/>
        </w:tblPrEx>
        <w:trPr>
          <w:trHeight w:val="300"/>
        </w:trPr>
        <w:tc>
          <w:tcPr>
            <w:tcW w:w="3002" w:type="dxa"/>
            <w:noWrap/>
            <w:vAlign w:val="center"/>
          </w:tcPr>
          <w:p w14:paraId="5B09C70C"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Training</w:t>
            </w:r>
          </w:p>
        </w:tc>
        <w:tc>
          <w:tcPr>
            <w:tcW w:w="1337" w:type="dxa"/>
            <w:noWrap/>
            <w:vAlign w:val="center"/>
          </w:tcPr>
          <w:p w14:paraId="2126013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4A0A278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Measures the frequency and availability of job-related training programs that help workers improve their current skills and maintain operational efficiency. Unlike requalification, this indicator tracks routine training on existing job functions rather than skill transformation.</w:t>
            </w:r>
          </w:p>
        </w:tc>
        <w:tc>
          <w:tcPr>
            <w:tcW w:w="1560" w:type="dxa"/>
            <w:vAlign w:val="center"/>
          </w:tcPr>
          <w:p w14:paraId="029B198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a response scale (Scale: None to Frequent training programs)</w:t>
            </w:r>
          </w:p>
        </w:tc>
        <w:tc>
          <w:tcPr>
            <w:tcW w:w="3827" w:type="dxa"/>
            <w:vAlign w:val="center"/>
          </w:tcPr>
          <w:p w14:paraId="132ED4F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w:t>
            </w:r>
          </w:p>
        </w:tc>
        <w:tc>
          <w:tcPr>
            <w:tcW w:w="1576" w:type="dxa"/>
            <w:vAlign w:val="center"/>
          </w:tcPr>
          <w:p w14:paraId="06ADC74E" w14:textId="78CFA929"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{"citationID":"6MDA0X9B","properties":{"formattedCitation":"[75]","plainCitation":"[75]","noteIndex":0},"citationItems":[{"id":3176,"uris":["http://zotero.org/users/local/05JQq5lJ/items/8V2YSST7"],"itemData":{"id":3176,"type":"article-journal","container-title":"Journal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w:t>
            </w:r>
            <w:r w:rsidRPr="001E1D5F">
              <w:rPr>
                <w:rFonts w:cs="Calibri"/>
                <w:color w:val="000000"/>
                <w:sz w:val="21"/>
                <w:szCs w:val="21"/>
                <w:lang w:eastAsia="en-GB"/>
              </w:rPr>
              <w:fldChar w:fldCharType="end"/>
            </w:r>
          </w:p>
        </w:tc>
      </w:tr>
      <w:tr w:rsidR="001E1D5F" w:rsidRPr="001E1D5F" w14:paraId="09873D92" w14:textId="77777777" w:rsidTr="00040455">
        <w:tblPrEx>
          <w:jc w:val="left"/>
        </w:tblPrEx>
        <w:trPr>
          <w:trHeight w:val="300"/>
        </w:trPr>
        <w:tc>
          <w:tcPr>
            <w:tcW w:w="16030" w:type="dxa"/>
            <w:gridSpan w:val="6"/>
            <w:shd w:val="clear" w:color="auto" w:fill="E7E6E6" w:themeFill="background2"/>
            <w:noWrap/>
            <w:vAlign w:val="center"/>
          </w:tcPr>
          <w:p w14:paraId="16CB1F94"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S1: Labour Standards &amp; Workplace Conditions</w:t>
            </w:r>
          </w:p>
        </w:tc>
      </w:tr>
      <w:tr w:rsidR="001E1D5F" w:rsidRPr="001E1D5F" w14:paraId="0485F8A7" w14:textId="77777777" w:rsidTr="00040455">
        <w:tblPrEx>
          <w:jc w:val="left"/>
        </w:tblPrEx>
        <w:trPr>
          <w:trHeight w:val="300"/>
        </w:trPr>
        <w:tc>
          <w:tcPr>
            <w:tcW w:w="3002" w:type="dxa"/>
            <w:noWrap/>
            <w:vAlign w:val="center"/>
          </w:tcPr>
          <w:p w14:paraId="2451C47C" w14:textId="77777777" w:rsidR="001E1D5F" w:rsidRPr="001E1D5F" w:rsidRDefault="001E1D5F" w:rsidP="001E1D5F">
            <w:pPr>
              <w:ind w:left="220"/>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t>Working hour control measures</w:t>
            </w:r>
          </w:p>
        </w:tc>
        <w:tc>
          <w:tcPr>
            <w:tcW w:w="1337" w:type="dxa"/>
            <w:noWrap/>
            <w:vAlign w:val="center"/>
          </w:tcPr>
          <w:p w14:paraId="6FEB969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3BFD455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Policies to regulate and monitor working hours, preventing excessive workloads and ensuring compliance with </w:t>
            </w:r>
            <w:proofErr w:type="spellStart"/>
            <w:r w:rsidRPr="001E1D5F">
              <w:rPr>
                <w:rFonts w:cs="Calibri"/>
                <w:color w:val="000000"/>
                <w:sz w:val="21"/>
                <w:szCs w:val="21"/>
                <w:lang w:eastAsia="en-GB"/>
              </w:rPr>
              <w:t>labor</w:t>
            </w:r>
            <w:proofErr w:type="spellEnd"/>
            <w:r w:rsidRPr="001E1D5F">
              <w:rPr>
                <w:rFonts w:cs="Calibri"/>
                <w:color w:val="000000"/>
                <w:sz w:val="21"/>
                <w:szCs w:val="21"/>
                <w:lang w:eastAsia="en-GB"/>
              </w:rPr>
              <w:t xml:space="preserve"> standards for a healthy work-life balance</w:t>
            </w:r>
          </w:p>
        </w:tc>
        <w:tc>
          <w:tcPr>
            <w:tcW w:w="1560" w:type="dxa"/>
            <w:vAlign w:val="center"/>
          </w:tcPr>
          <w:p w14:paraId="7E5A322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Average weekly hours worked per employee; Percentage compliance with legal working hour limits</w:t>
            </w:r>
          </w:p>
        </w:tc>
        <w:tc>
          <w:tcPr>
            <w:tcW w:w="3827" w:type="dxa"/>
            <w:vAlign w:val="center"/>
          </w:tcPr>
          <w:p w14:paraId="6544208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Textile &amp; Fashion, Electronics Manufacturing, Chemical Manufacturing, Food Manufacturing, Automotive manufacturing, Home Appliance Manufacturing, Leather Industry </w:t>
            </w:r>
          </w:p>
        </w:tc>
        <w:tc>
          <w:tcPr>
            <w:tcW w:w="1576" w:type="dxa"/>
            <w:vAlign w:val="center"/>
          </w:tcPr>
          <w:p w14:paraId="01A07A71" w14:textId="0DC5286C"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BqwIFqHs","properties":{"formattedCitation":"[73,76,78\\uc0\\u8211{}80]","plainCitation":"[73,76,78–80]","noteIndex":0},"citationItems":[{"id":3198,"uris":["http://zotero.org/users/local/05JQq5lJ/items/YPA6ZA5M"],"itemData":{"id":3198,"type":"article-journal","abstract":"The lack of industry-specific and applicable indicators is one of the major hurdles to measure and improve sustainability performance of manufacturing activities. Most of the available indicators are generally long lists of proposed and important indicators rather than applicable ones. Additionally, previous research on sustainability indicators has not covered all three dimensions of sustainability (triple-bottom line concept) in a comprehensive way. Furthermore, much of the related research has been conducted in developed countries, such as Europe, USA, etc., and mostly for metal manufacturing activities. Thus, the main objective of this article was to develop weighted and comprehensive sustainability indicators for the Malaysian food manufacturing industry. For this purpose, the Delphi method was used while engaging various experts from academia, research center and industry. The weights of indicators were calculated based on the applicability scores assigned by the experts. Effort was also undertaken to get the experts’ agreement or consensus on the inclusion of indicators. Along with various useful results, it was found that the social dimension of sustainability was more crucial for the Malaysian food manufacturing industry which was then followed by the environmental and economic dimensions. The study finalized a total of 57 indicators which consisted of 19 environmental, 14 economic and 24 social indicators. Based on the global priority of indicators, the usage of electricity, usage of raw materials and cost of raw materials were the top three sustainability indicators. Generally, there were approximately 44% (25/57) highly applicable indicators. Among these indicators, there were 28% (7/25) environmental, 28% (7/25) economic and 44% (11/25) social indicators. Moreover, overall, there were about 42% (24 out of 57) indicators which received 100% agreement from the experts. Among these indicators, there were 25% (6 out of 24) environmental, around 42% (10 out of 24) economic and about 33% (8 out of 24) social indicators. Finally, a case study in a food manufacturing company was presented to demonstrate the applicability of the indicators.","container-title":"Journal of Cleaner Production","DOI":"10.1016/j.jclepro.2019.04.399","ISSN":"0959-6526","journalAbbreviation":"Journal of Cleaner Production","page":"1167-1182","source":"ScienceDirect","title":"Development of weighted triple-bottom line sustainability indicators for the Malaysian food manufacturing industry using the Delphi method","volume":"229","author":[{"family":"Ahmad","given":"Shamraiz"},{"family":"Wong","given":"Kuan Yew"}],"issued":{"date-parts":[["2019",8,20]]}}},{"id":3202,"uris":["http://zotero.org/users/local/05JQq5lJ/items/L55R7VJT"],"itemData":{"id":3202,"type":"article-journal","abstract":"Sustainability is a growing concern for manufacturing companies, as they are major contributors to pollution and consume a substantial portion of the world´s natural resources. Sustainable manufacturing can reduce waste, conserve energy and increase resource efficiency. However, one of the main challenges facing manufacturing organisations to put sustainability into practice is the lack of understanding of the cause-and-effect relationships between critical indicators of sustainable manufacturing. To overcome this challenge, a novel, rigorous and integrated framework, composed of four quantitative methods, is proposed to analyse critical indicators of sustainable manufacturing. The analysis is based on responses from both academic and industry experts. These four methods including DEMATEL (decision-making trial and evaluation laboratory), the MMDE (maximum mean de-entropy) algorithm, ISM (interpretive structural modelling) and SEM (structural equation modelling) are uniquely integrated to present statistically validated relationships between critical indicators using information on varying degrees of relationship between them. The final cause-and-effect models for the respondent groups (i.e., researchers and industry experts) are further validated through gathering the viewpoints of a researcher and an industry practitioner for its robustness. The novelty of our research lies in: (1) proposing a novel and integrated rigorous quantitative framework combined with qualitative research method; (2) applying the proposed framework to analyse contextual relationships between critical indicators of implementing sustainability, in the manufacturing sector as a whole, which to the best of authors’ knowledge is the first of its kind; and (3) comparing and contrasting results of researchers and industry practitioners’ groups along with a check of their validation and robustness.","container-title":"Sustainability","DOI":"10.3390/su12041517","ISSN":"2071-1050","issue":"4","language":"en","license":"http://creativecommons.org/licenses/by/3.0/","note":"number: 4\npublisher: Multidisciplinary Digital Publishing Institute","page":"1517","source":"www.mdpi.com","title":"An Integrated Decision-Making Approach for Cause-And-Effect Analysis of Sustainable Manufacturing Indicators","volume":"12","author":[{"family":"Bhanot","given":"Neeraj"},{"family":"Qaiser","given":"Fahham Hasan"},{"family":"Alkahtani","given":"Mohammed"},{"family":"Rehman","given":"Ateekh Ur"}],"issued":{"date-parts":[["2020",1]]}}},{"id":3170,"uris":["http://zotero.org/users/local/05JQq5lJ/items/3DLLB394"],"itemData":{"id":3170,"type":"article-journal","container-title":"Journal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Gabriela"},{"family":"Baruque-Ramos","given":"Julia"}],"issued":{"date-parts":[["2022"]]}}},{"id":3200,"uris":["http://zotero.org/users/local/05JQq5lJ/items/6PCGEXDK"],"itemData":{"id":3200,"type":"article-journal","abstract":"The role and position of the manufacturing sector changes over time. Its importance in the sustainable growth of the economy, innovations, trade, reducing energy demand, and environmental problems is currently being shown again. The study underlines the significance and importance of the manufacturing sector in the economy of countries, and the generally applicable economic principles are explicitly examined in regard to the manufacturing sector. It examines whether selected economic indicators of the manufacturing sector in the region of the Visegrad Group countries can affect the level of average wages in the sector. Wages represent a key determinant of attractiveness, as well as the potential to increase the standards of living and the long-term sustainability of a given sector. The selected economic indicators for the period 2008–2019 concerning average wages in the manufacturing sector were: FDI Flow, GDP, labour productivity, employment, and the number of hours worked in the manufacturing sector. The source of secondary data was the OECD database. A multiple regression model was used and tested. The suitability of the proposed model was tested using the ANOVA method. A significant effect was shown in the case of two of the examined variables, namely the GDP and employment in the manufacturing sector. Based on the findings of the study, it can be assumed that the sectoral GDP can positively affect average wages in the sector and the level of employment in manufacturing can negatively affect them. The summary of implications and proposals indirectly supports the need to develop and introduce innovations, new technologies, automation, and robotization, as well as for further implementation and support of Industry 4.0 and 5.0.","container-title":"Sustainability","DOI":"10.3390/su15054164","ISSN":"2071-1050","issue":"5","language":"en","license":"http://creativecommons.org/licenses/by/3.0/","note":"number: 5\npublisher: Multidisciplinary Digital Publishing Institute","page":"4164","source":"www.mdpi.com","title":"Relationships between Average Wages in the Manufacturing Sector and Economic Indicators of the Manufacturing Sector in the Region of Visegrad Group Countries","volume":"15","author":[{"family":"Suhányi","given":"Ladislav"},{"family":"Suhányiová","given":"Alžbeta"},{"family":"Kádárová","given":"Jaroslava"},{"family":"Janeková","given":"Jaroslava"}],"issued":{"date-parts":[["2023",1]]}}},{"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[73,76,78–80]</w:t>
            </w:r>
            <w:r w:rsidRPr="001E1D5F">
              <w:rPr>
                <w:rFonts w:cs="Calibri"/>
                <w:color w:val="000000"/>
                <w:sz w:val="21"/>
                <w:szCs w:val="21"/>
                <w:lang w:eastAsia="en-GB"/>
              </w:rPr>
              <w:fldChar w:fldCharType="end"/>
            </w:r>
          </w:p>
        </w:tc>
      </w:tr>
      <w:tr w:rsidR="001E1D5F" w:rsidRPr="001E1D5F" w14:paraId="15CF0DC4" w14:textId="77777777" w:rsidTr="00040455">
        <w:tblPrEx>
          <w:jc w:val="left"/>
        </w:tblPrEx>
        <w:trPr>
          <w:trHeight w:val="300"/>
        </w:trPr>
        <w:tc>
          <w:tcPr>
            <w:tcW w:w="3002" w:type="dxa"/>
            <w:noWrap/>
            <w:vAlign w:val="center"/>
          </w:tcPr>
          <w:p w14:paraId="22A0C99B"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lastRenderedPageBreak/>
              <w:t>Cognitive parameters (Mental Workload &amp; Cognitive Impact)</w:t>
            </w:r>
          </w:p>
        </w:tc>
        <w:tc>
          <w:tcPr>
            <w:tcW w:w="1337" w:type="dxa"/>
            <w:noWrap/>
            <w:vAlign w:val="center"/>
          </w:tcPr>
          <w:p w14:paraId="0D63015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2A37C38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Mental Workload, Reaction Time, Concentration Levels, Stress Levels</w:t>
            </w:r>
          </w:p>
        </w:tc>
        <w:tc>
          <w:tcPr>
            <w:tcW w:w="1560" w:type="dxa"/>
            <w:vAlign w:val="center"/>
          </w:tcPr>
          <w:p w14:paraId="385514D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Subjective rating (e.g., NASA-TLX), Seconds (s), Percentage (%)/Index, Cortisol level (ng/mL)</w:t>
            </w:r>
          </w:p>
        </w:tc>
        <w:tc>
          <w:tcPr>
            <w:tcW w:w="3827" w:type="dxa"/>
            <w:vAlign w:val="center"/>
          </w:tcPr>
          <w:p w14:paraId="330CF81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Woodworking, General</w:t>
            </w:r>
          </w:p>
        </w:tc>
        <w:tc>
          <w:tcPr>
            <w:tcW w:w="1576" w:type="dxa"/>
            <w:vAlign w:val="center"/>
          </w:tcPr>
          <w:p w14:paraId="1396A89B" w14:textId="2F42FB5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{"citationID":"hgLiguer","properties":{"formattedCitation":"[81,82]","plainCitation":"[81,82]","noteIndex":0},"citationItems":[{"id":3178,"uris":["http://zotero.org/users/local/05JQq5lJ/items/AFI56KIM"],"itemData":{"id":3178,"type":"article-journal","container-title":"Procedia CIRP","note":"publisher: Elsevier","page":"436–442","source":"Google Scholar","title":"Digital manufacturing systems: a framework to improve social sustainability of a production site","title-short":"Digital manufacturing systems","volume":"63","author":[{"family":"Gregori","given":"Fabio"},{"family":"Papetti","given":"Alessandra"},{"family":"Pandolfi","given":"Monica"},{"family":"Peruzzini","given":"Margherita"},{"family":"Germani","given":"Michele"}],"issued":{"date-parts":[["2017"]]}}},{"id":3196,"uris":["http://zotero.org/users/local/05JQq5lJ/items/NX3SY7NX"],"itemData":{"id":3196,"type":"article-journal","abstract":"The issue of sustainability has received substantial attention internationally. It is spreading widely through policy, industry, commerce, research, academia, and other arenas. However, most previous studies on product sustainability were conducted based on a consideration of environmental protection, economic prosperity, and social wellbeing criteria, but there was less representation of specific social wellbeing criteria. The main objective of this study was to formulate well-defined ergonomics-based criteria for product sustainability evaluation and to validate the importance of the identified factors using a fuzzy Delphi method. In this paper, ergonomics-based product sustainability factors are organized by sustainability categories and grouped into employee wellbeing, the economy, and the environment. In the context of manufacturing, evaluating product sustainability from an ergonomics perspective provides more comprehensive social dimension criteria by addressing human characteristics, behavior, performance, human interaction with a product, workplace, working environment, and the product across its life cycle. In addition, a Delphi questionnaire, designed with a nine-point scale, was applied to obtain expert opinions on the importance of each factor; the opinions were combined for each factor by considering the degree of importance assigned to the experts, and the similarities and differences between expert opinions. Finally, high-priority factors were screened from the sustainability categories based on their respective threshold value. Knowing these high-priority factors will help manufacturing industries allocate their resources accordingly for sustainability improvement.","container-title":"Sustainability","DOI":"10.3390/su11184955","ISSN":"2071-1050","issue":"18","language":"en","license":"http://creativecommons.org/licenses/by/3.0/","note":"number: 18\npublisher: Multidisciplinary Digital Publishing Institute","page":"4955","source":"www.mdpi.com","title":"Ergonomics-Based Factors or Criteria for the Evaluation of Sustainable Product Manufacturing","volume":"11","author":[{"family":"Lin","given":"Chiuhsiang Joe"},{"family":"Belis","given":"Tariku Tamiru"},{"family":"Kuo","given":"Tsai Chi"}],"issued":{"date-parts":[["2019",1]]}}}],"schema":"https://github.com/citation-style-language/schema/raw/master/csl-citation.json"}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[81,82]</w:t>
            </w:r>
            <w:r w:rsidRPr="001E1D5F">
              <w:rPr>
                <w:rFonts w:cs="Calibri"/>
                <w:color w:val="000000"/>
                <w:sz w:val="21"/>
                <w:szCs w:val="21"/>
                <w:lang w:eastAsia="en-GB"/>
              </w:rPr>
              <w:fldChar w:fldCharType="end"/>
            </w:r>
          </w:p>
        </w:tc>
      </w:tr>
      <w:tr w:rsidR="001E1D5F" w:rsidRPr="001E1D5F" w14:paraId="6AE14507" w14:textId="77777777" w:rsidTr="00040455">
        <w:tblPrEx>
          <w:jc w:val="left"/>
        </w:tblPrEx>
        <w:trPr>
          <w:trHeight w:val="300"/>
        </w:trPr>
        <w:tc>
          <w:tcPr>
            <w:tcW w:w="3002" w:type="dxa"/>
            <w:noWrap/>
            <w:vAlign w:val="center"/>
          </w:tcPr>
          <w:p w14:paraId="434FC84F"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Ergonomics and Physical Parameters (Musculoskeletal &amp; Physical Workload)</w:t>
            </w:r>
          </w:p>
        </w:tc>
        <w:tc>
          <w:tcPr>
            <w:tcW w:w="1337" w:type="dxa"/>
            <w:noWrap/>
            <w:vAlign w:val="center"/>
          </w:tcPr>
          <w:p w14:paraId="66C449B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34C516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Posture, Force Exertion, Repetition Rate, Reach Zones, Energy Expenditure, Dust Exposure, Tool Accessibility, Recovery Time</w:t>
            </w:r>
          </w:p>
        </w:tc>
        <w:tc>
          <w:tcPr>
            <w:tcW w:w="1560" w:type="dxa"/>
            <w:vAlign w:val="center"/>
          </w:tcPr>
          <w:p w14:paraId="71DC0CD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Angles (°), Newton (N), Cycles per minute (</w:t>
            </w:r>
            <w:proofErr w:type="spellStart"/>
            <w:r w:rsidRPr="001E1D5F">
              <w:rPr>
                <w:rFonts w:cs="Calibri"/>
                <w:color w:val="000000"/>
                <w:sz w:val="21"/>
                <w:szCs w:val="21"/>
                <w:lang w:eastAsia="en-GB"/>
              </w:rPr>
              <w:t>cpm</w:t>
            </w:r>
            <w:proofErr w:type="spellEnd"/>
            <w:r w:rsidRPr="001E1D5F">
              <w:rPr>
                <w:rFonts w:cs="Calibri"/>
                <w:color w:val="000000"/>
                <w:sz w:val="21"/>
                <w:szCs w:val="21"/>
                <w:lang w:eastAsia="en-GB"/>
              </w:rPr>
              <w:t>), Distance (cm), Kilocalories (kcal)/Oxygen Consumption (mL/min), Dust concentration (mg/m³), Position accuracy (mm), Minutes (min)</w:t>
            </w:r>
          </w:p>
        </w:tc>
        <w:tc>
          <w:tcPr>
            <w:tcW w:w="3827" w:type="dxa"/>
            <w:vAlign w:val="center"/>
          </w:tcPr>
          <w:p w14:paraId="21E6BE2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Woodworking, General, Automotive manufacturing, Home Appliance Manufacturing, Leather Industry</w:t>
            </w:r>
          </w:p>
        </w:tc>
        <w:tc>
          <w:tcPr>
            <w:tcW w:w="1576" w:type="dxa"/>
            <w:vAlign w:val="center"/>
          </w:tcPr>
          <w:p w14:paraId="2C198A74" w14:textId="27904970"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6jyPqRlN","properties":{"formattedCitation":"[79,81,82]","plainCitation":"[79,81,82]","noteIndex":0},"citationItems":[{"id":3202,"uris":["http://zotero.org/users/local/05JQq5lJ/items/L55R7VJT"],"itemData":{"id":3202,"type":"article-journal","abstract":"Sustainability is a growing concern for manufacturing companies, as they are major contributors to pollution and consume a substantial portion of the world´s natural resources. Sustainable manufacturing can reduce waste, conserve energy and increase resource efficiency. However, one of the main challenges facing manufacturing organisations to put sustainability into practice is the lack of understanding of the cause-and-effect relationships between critical indicators of sustainable manufacturing. To overcome this challenge, a novel, rigorous and integrated framework, composed of four quantitative methods, is proposed to analyse critical indicators of sustainable manufacturing. The analysis is based on responses from both academic and industry experts. These four methods including DEMATEL (decision-making trial and evaluation laboratory), the MMDE (maximum mean de-entropy) algorithm, ISM (interpretive structural modelling) and SEM (structural equation modelling) are uniquely integrated to present statistically validated relationships between critical indicators using information on varying degrees of relationship between them. The final cause-and-effect models for the respondent groups (i.e., researchers and industry experts) are further validated through gathering the viewpoints of a researcher and an industry practitioner for its robustness. The novelty of our research lies in: (1) proposing a novel and integrated rigorous quantitative framework combined with qualitative research method; (2) applying the proposed framework to analyse contextual relationships between critical indicators of implementing sustainability, in the manufacturing sector as a whole, which to the best of authors’ knowledge is the first of its kind; and (3) comparing and contrasting results of researchers and industry practitioners’ groups along with a check of their validation and robustness.","container-title":"Sustainability","DOI":"10.3390/su12041517","ISSN":"2071-1050","issue":"4","language":"en","license":"http://creativecommons.org/licenses/by/3.0/","note":"number: 4\npublisher: Multidisciplinary Digital Publishing Institute","page":"1517","source":"www.mdpi.com","title":"An Integrated Decision-Making Approach for Cause-And-Effect Analysis of Sustainable Manufacturing Indicators","volume":"12","author":[{"family":"Bhanot","given":"Neeraj"},{"family":"Qaiser","given":"Fahham Hasan"},{"family":"Alkahtani","given":"Mohammed"},{"family":"Rehman","given":"Ateekh Ur"}],"issued":{"date-parts":[["2020",1]]}}},{"id":3178,"uris":["http://zotero.org/users/local/05JQq5lJ/items/AFI56KIM"],"itemData":{"id":3178,"type":"article-journal","container-title":"Procedia CIRP","note":"publisher: Elsevier","page":"436–442","source":"Google Scholar","title":"Digital manufacturing systems: a framework to improve social sustainability of a production site","title-short":"Digital manufacturing systems","volume":"63","author":[{"family":"Gregori","given":"Fabio"},{"family":"Papetti","given":"Alessandra"},{"family":"Pandolfi","given":"Monica"},{"family":"Peruzzini","given":"Margherita"},{"family":"Germani","given":"Michele"}],"issued":{"date-parts":[["2017"]]}}},{"id":3196,"uris":["http://zotero.org/users/local/05JQq5lJ/items/NX3SY7NX"],"itemData":{"id":3196,"type":"article-journal","abstract":"The issue of sustainability has received substantial attention internationally. It is spreading widely through policy, industry, commerce, research, academia, and other arenas. However, most previous studies on product sustainability were conducted based on a consideration of environmental protection, economic prosperity, and social wellbeing criteria, but there was less representation of specific social wellbeing criteria. The main objective of this study was to formulate well-defined ergonomics-based criteria for product sustainability evaluation and to validate the importance of the identified factors using a fuzzy Delphi method. In this paper, ergonomics-based product sustainability factors are organized by sustainability categories and grouped into employee wellbeing, the economy, and the environment. In the context of manufacturing, evaluating product sustainability from an ergonomics perspective provides more comprehensive social dimension criteria by addressing human characteristics, behavior, performance, human interaction with a product, workplace, working environment, and the product across its life cycle. In addition, a Delphi questionnaire, designed with a nine-point scale, was applied to obtain expert opinions on the importance of each factor; the opinions were combined for each factor by considering the degree of importance assigned to the experts, and the similarities and differences between expert opinions. Finally, high-priority factors were screened from the sustainability categories based on their respective threshold value. Knowing these high-priority factors will help manufacturing industries allocate their resources accordingly for sustainability improvement.","container-title":"Sustainability","DOI":"10.3390/su11184955","ISSN":"2071-1050","issue":"18","language":"en","license":"http://creativecommons.org/licenses/by/3.0/","note":"number: 18\npublisher: Multidisciplinary Digital Publishing Institute","page":"4955","source":"www.mdpi.com","title":"Ergonomics-Based Factors or Criteria for the Evaluation of Sustainable Product Manufacturing","volume":"11","author":[{"family":"Lin","given":"Chiuhsiang Joe"},{"family":"Belis","given":"Tariku Tamiru"},{"family":"Kuo","given":"Tsai Chi"}],"issued":{"date-parts":[["2019",1]]}}}],"schema":"https://github.com/citation-style-language/schema/raw/master/csl-citation.json"}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[79,81,82]</w:t>
            </w:r>
            <w:r w:rsidRPr="001E1D5F">
              <w:rPr>
                <w:rFonts w:cs="Calibri"/>
                <w:color w:val="000000"/>
                <w:sz w:val="21"/>
                <w:szCs w:val="21"/>
                <w:lang w:eastAsia="en-GB"/>
              </w:rPr>
              <w:fldChar w:fldCharType="end"/>
            </w:r>
          </w:p>
        </w:tc>
      </w:tr>
      <w:tr w:rsidR="001E1D5F" w:rsidRPr="001E1D5F" w14:paraId="6E361566" w14:textId="77777777" w:rsidTr="00040455">
        <w:tblPrEx>
          <w:jc w:val="left"/>
        </w:tblPrEx>
        <w:trPr>
          <w:trHeight w:val="300"/>
        </w:trPr>
        <w:tc>
          <w:tcPr>
            <w:tcW w:w="3002" w:type="dxa"/>
            <w:noWrap/>
            <w:vAlign w:val="center"/>
          </w:tcPr>
          <w:p w14:paraId="5F2202EB"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Psycho-physical Interaction Parameters</w:t>
            </w:r>
          </w:p>
        </w:tc>
        <w:tc>
          <w:tcPr>
            <w:tcW w:w="1337" w:type="dxa"/>
            <w:noWrap/>
            <w:vAlign w:val="center"/>
          </w:tcPr>
          <w:p w14:paraId="36D6E86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6D9FB5D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Heat Stress, Noise Exposure, Lighting, Vibration</w:t>
            </w:r>
          </w:p>
        </w:tc>
        <w:tc>
          <w:tcPr>
            <w:tcW w:w="1560" w:type="dxa"/>
            <w:vAlign w:val="center"/>
          </w:tcPr>
          <w:p w14:paraId="231049A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Wet Bulb Globe Temperature (°C), Decibels dB, Lux lx, Acceleration m/s²</w:t>
            </w:r>
          </w:p>
        </w:tc>
        <w:tc>
          <w:tcPr>
            <w:tcW w:w="3827" w:type="dxa"/>
            <w:vAlign w:val="center"/>
          </w:tcPr>
          <w:p w14:paraId="42E592C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Woodworking, Automotive manufacturing, Home Appliance Manufacturing, Leather Industry</w:t>
            </w:r>
          </w:p>
        </w:tc>
        <w:tc>
          <w:tcPr>
            <w:tcW w:w="1576" w:type="dxa"/>
            <w:vAlign w:val="center"/>
          </w:tcPr>
          <w:p w14:paraId="7C3DE98F" w14:textId="2772E131"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{"citationID":"uTRe73ms","properties":{"formattedCitation":"[79,81]","plainCitation":"[79,81]","noteIndex":0},"citationItems":[{"id":3202,"uris":["http://zotero.org/users/local/05JQq5lJ/items/L55R7VJT"],"itemData":{"id":3202,"type":"article-journal","abstract":"Sustainability is a growing concern for manufacturing companies, as they are major contributors to pollution and consume a substantial portion of the world´s natural resources. Sustainable manufacturing can reduce waste, conserve energy and increase resource efficiency. However, one of the main challenges facing manufacturing organisations to put sustainability into practice is the lack of understanding of the cause-and-effect relationships between critical indicators of sustainable manufacturing. To overcome this challenge, a novel, rigorous and integrated framework, composed of four quantitative methods, is proposed to analyse critical indicators of sustainable manufacturing. The analysis is based on responses from both academic and industry experts. These four methods including DEMATEL (decision-making trial and evaluation laboratory), the MMDE (maximum mean de-entropy) algorithm, ISM (interpretive structural modelling) and SEM (structural equation modelling) are uniquely integrated to present statistically validated relationships between critical indicators using information on varying degrees of relationship between them. The final cause-and-effect models for the respondent groups (i.e., researchers and industry experts) are further validated through gathering the viewpoints of a researcher and an industry practitioner for its robustness. The novelty of our research lies in: (1) proposing a novel and integrated rigorous quantitative framework combined with qualitative research method; (2) applying the proposed framework to analyse contextual relationships between critical indicators of implementing sustainability, in the manufacturing sector as a whole, which to the best of authors’ knowledge is the first of its kind; and (3) comparing and contrasting results of researchers and industry practitioners’ groups along with a check of their validation and robustness.","container-title":"Sustainability","DOI":"10.3390/su12041517","ISSN":"2071-1050","issue":"4","language":"en","license":"http://creativecommons.org/licenses/by/3.0/","note":"number: 4\npublisher: Multidisciplinary Digital Publishing Institute","page":"1517","source":"www.mdpi.com","title":"An Integrated Decision-Making Approach for Cause-And-Effect Analysis of Sustainable Manufacturing Indicators","volume":"12","author":[{"family":"Bhanot","given":"Neeraj"},{"family":"Qaiser","given":"Fahham Hasan"},{"family":"Alkahtani","given":"Mohammed"},{"family":"Rehman","given":"Ateekh Ur"}],"issued":{"date-parts":[["2020",1]]}}},{"id":3178,"uris":["http://zotero.org/users/local/05JQq5lJ/items/AFI56KIM"],"itemData":{"id":3178,"type":"article-journal","container-title":"Procedia CIRP","note":"publisher: Elsevier","page":"436–442","source":"Google Scholar","title":"Digital manufacturing systems: a framework to improve social sustainability of a production site","title-short":"Digital manufacturing systems","volume":"63","author":[{"family":"Gregori","given":"Fabio"},{"family":"Papetti","given":"Alessandra"},{"family":"Pandolfi","given":"Monica"},{"family":"Peruzzini","given":"Margherita"},{"family":"Germani","given":"Michele"}],"issued":{"date-parts":[["2017"]]}}}],"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[79,81]</w:t>
            </w:r>
            <w:r w:rsidRPr="001E1D5F">
              <w:rPr>
                <w:rFonts w:cs="Calibri"/>
                <w:color w:val="000000"/>
                <w:sz w:val="21"/>
                <w:szCs w:val="21"/>
                <w:lang w:eastAsia="en-GB"/>
              </w:rPr>
              <w:fldChar w:fldCharType="end"/>
            </w:r>
          </w:p>
        </w:tc>
      </w:tr>
      <w:tr w:rsidR="001E1D5F" w:rsidRPr="001E1D5F" w14:paraId="761A0F5B" w14:textId="77777777" w:rsidTr="00040455">
        <w:tblPrEx>
          <w:jc w:val="left"/>
        </w:tblPrEx>
        <w:trPr>
          <w:trHeight w:val="300"/>
        </w:trPr>
        <w:tc>
          <w:tcPr>
            <w:tcW w:w="3002" w:type="dxa"/>
            <w:noWrap/>
            <w:vAlign w:val="center"/>
          </w:tcPr>
          <w:p w14:paraId="2BDFCD09"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Policies against harassment and abuse</w:t>
            </w:r>
          </w:p>
        </w:tc>
        <w:tc>
          <w:tcPr>
            <w:tcW w:w="1337" w:type="dxa"/>
            <w:noWrap/>
            <w:vAlign w:val="center"/>
          </w:tcPr>
          <w:p w14:paraId="43C9AA2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2A91C33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Existence and enforcement of anti-harassment policies</w:t>
            </w:r>
          </w:p>
        </w:tc>
        <w:tc>
          <w:tcPr>
            <w:tcW w:w="1560" w:type="dxa"/>
            <w:vAlign w:val="center"/>
          </w:tcPr>
          <w:p w14:paraId="34FA99B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a response scale (Yes/No, or Strength Scale: Weak to Strong)</w:t>
            </w:r>
          </w:p>
        </w:tc>
        <w:tc>
          <w:tcPr>
            <w:tcW w:w="3827" w:type="dxa"/>
            <w:vAlign w:val="center"/>
          </w:tcPr>
          <w:p w14:paraId="0CE752E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216335F7" w14:textId="1F276B22" w:rsidR="001E1D5F" w:rsidRPr="001E1D5F" w:rsidRDefault="001E1D5F" w:rsidP="001E1D5F">
            <w:pPr>
              <w:spacing w:before="60"/>
              <w:jc w:val="center"/>
              <w:rPr>
                <w:sz w:val="21"/>
                <w:szCs w:val="21"/>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{"citationID":"uTXjG4ov","properties":{"formattedCitation":"[73]","plainCitation":"[73]","noteIndex":0},"citationItems":[{"id":3170,"uris":["http://zotero.org/users/local/05JQq5lJ/items/3DLLB394"],"itemData":{"id":3170,"type":"article-journal","container-title":"Journal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75C24AC9" w14:textId="77777777" w:rsidTr="00040455">
        <w:tblPrEx>
          <w:jc w:val="left"/>
        </w:tblPrEx>
        <w:trPr>
          <w:trHeight w:val="300"/>
        </w:trPr>
        <w:tc>
          <w:tcPr>
            <w:tcW w:w="3002" w:type="dxa"/>
            <w:noWrap/>
            <w:vAlign w:val="center"/>
          </w:tcPr>
          <w:p w14:paraId="60CC12F6"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Worker Satisfaction</w:t>
            </w:r>
          </w:p>
        </w:tc>
        <w:tc>
          <w:tcPr>
            <w:tcW w:w="1337" w:type="dxa"/>
            <w:noWrap/>
            <w:vAlign w:val="center"/>
          </w:tcPr>
          <w:p w14:paraId="10005FC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79672B2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Employee satisfaction level based on surveys</w:t>
            </w:r>
          </w:p>
        </w:tc>
        <w:tc>
          <w:tcPr>
            <w:tcW w:w="1560" w:type="dxa"/>
            <w:vAlign w:val="center"/>
          </w:tcPr>
          <w:p w14:paraId="05EFA3E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Scored numerically based on a </w:t>
            </w:r>
            <w:r w:rsidRPr="001E1D5F">
              <w:rPr>
                <w:rFonts w:cs="Calibri"/>
                <w:color w:val="000000"/>
                <w:sz w:val="21"/>
                <w:szCs w:val="21"/>
                <w:lang w:eastAsia="en-GB"/>
              </w:rPr>
              <w:lastRenderedPageBreak/>
              <w:t>response scale (Scale: -5 to +5, or Satisfaction % index)</w:t>
            </w:r>
          </w:p>
        </w:tc>
        <w:tc>
          <w:tcPr>
            <w:tcW w:w="3827" w:type="dxa"/>
            <w:vAlign w:val="center"/>
          </w:tcPr>
          <w:p w14:paraId="556EBC7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Various Manufacturing Sectors</w:t>
            </w:r>
          </w:p>
        </w:tc>
        <w:tc>
          <w:tcPr>
            <w:tcW w:w="1576" w:type="dxa"/>
            <w:vAlign w:val="center"/>
          </w:tcPr>
          <w:p w14:paraId="143FFC64" w14:textId="3B0ABFD3" w:rsidR="001E1D5F" w:rsidRPr="001E1D5F" w:rsidRDefault="001E1D5F" w:rsidP="001E1D5F">
            <w:pPr>
              <w:spacing w:before="60"/>
              <w:jc w:val="center"/>
              <w:rPr>
                <w:sz w:val="21"/>
                <w:szCs w:val="21"/>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{"citationID":"gRqi128P","properties":{"formattedCitation":"[75]","plainCitation":"[75]","noteIndex":0},"citationItems":[{"id":3176,"uris":["http://zotero.org/users/local/05JQq5lJ/items/8V2YSST7"],"itemData":{"id":3176,"type":"article-journal","container-title":"Journal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w:t>
            </w:r>
            <w:r w:rsidRPr="001E1D5F">
              <w:rPr>
                <w:rFonts w:cs="Calibri"/>
                <w:color w:val="000000"/>
                <w:sz w:val="21"/>
                <w:szCs w:val="21"/>
                <w:lang w:eastAsia="en-GB"/>
              </w:rPr>
              <w:fldChar w:fldCharType="end"/>
            </w:r>
          </w:p>
        </w:tc>
      </w:tr>
      <w:tr w:rsidR="001E1D5F" w:rsidRPr="001E1D5F" w14:paraId="7D3151E5" w14:textId="77777777" w:rsidTr="00040455">
        <w:tblPrEx>
          <w:jc w:val="left"/>
        </w:tblPrEx>
        <w:trPr>
          <w:trHeight w:val="300"/>
        </w:trPr>
        <w:tc>
          <w:tcPr>
            <w:tcW w:w="16030" w:type="dxa"/>
            <w:gridSpan w:val="6"/>
            <w:shd w:val="clear" w:color="auto" w:fill="E7E6E6" w:themeFill="background2"/>
            <w:noWrap/>
            <w:vAlign w:val="center"/>
          </w:tcPr>
          <w:p w14:paraId="39BC05A5" w14:textId="77777777" w:rsidR="001E1D5F" w:rsidRPr="001E1D5F" w:rsidRDefault="001E1D5F" w:rsidP="001E1D5F">
            <w:pPr>
              <w:rPr>
                <w:rFonts w:cs="Calibri"/>
                <w:color w:val="000000"/>
                <w:sz w:val="21"/>
                <w:szCs w:val="21"/>
                <w:lang w:eastAsia="en-GB"/>
              </w:rPr>
            </w:pPr>
            <w:r w:rsidRPr="001E1D5F">
              <w:rPr>
                <w:rFonts w:ascii="Calibri" w:hAnsi="Calibri" w:cs="Calibri"/>
                <w:b/>
                <w:bCs/>
                <w:color w:val="000000"/>
                <w:sz w:val="21"/>
                <w:szCs w:val="21"/>
                <w:lang w:eastAsia="en-GB"/>
              </w:rPr>
              <w:t>Indicator Group S2: Fair Compensation &amp; Benefits</w:t>
            </w:r>
          </w:p>
        </w:tc>
      </w:tr>
      <w:tr w:rsidR="001E1D5F" w:rsidRPr="001E1D5F" w14:paraId="76757700" w14:textId="77777777" w:rsidTr="00040455">
        <w:tblPrEx>
          <w:jc w:val="left"/>
        </w:tblPrEx>
        <w:trPr>
          <w:trHeight w:val="300"/>
        </w:trPr>
        <w:tc>
          <w:tcPr>
            <w:tcW w:w="3002" w:type="dxa"/>
            <w:noWrap/>
            <w:vAlign w:val="center"/>
          </w:tcPr>
          <w:p w14:paraId="681FBEEB" w14:textId="77777777" w:rsidR="001E1D5F" w:rsidRPr="001E1D5F" w:rsidRDefault="001E1D5F" w:rsidP="001E1D5F">
            <w:pPr>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t xml:space="preserve">Pay Levels </w:t>
            </w:r>
          </w:p>
        </w:tc>
        <w:tc>
          <w:tcPr>
            <w:tcW w:w="1337" w:type="dxa"/>
            <w:noWrap/>
            <w:vAlign w:val="center"/>
          </w:tcPr>
          <w:p w14:paraId="24EC199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09F402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Evaluates the median monthly salary of employees</w:t>
            </w:r>
          </w:p>
        </w:tc>
        <w:tc>
          <w:tcPr>
            <w:tcW w:w="1560" w:type="dxa"/>
            <w:vAlign w:val="center"/>
          </w:tcPr>
          <w:p w14:paraId="486CE0C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Median monthly salary (€)</w:t>
            </w:r>
          </w:p>
        </w:tc>
        <w:tc>
          <w:tcPr>
            <w:tcW w:w="3827" w:type="dxa"/>
            <w:vAlign w:val="center"/>
          </w:tcPr>
          <w:p w14:paraId="13F7E62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 Electronics Manufacturing, Chemical Manufacturing</w:t>
            </w:r>
          </w:p>
        </w:tc>
        <w:tc>
          <w:tcPr>
            <w:tcW w:w="1576" w:type="dxa"/>
            <w:vAlign w:val="center"/>
          </w:tcPr>
          <w:p w14:paraId="2844E798" w14:textId="40A48F2E"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yhL2Gve6","properties":{"formattedCitation":"[73,76,77,80]","plainCitation":"[73,76,77,80]","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Gabriela"},{"family":"Baruque-Ramos","given":"Julia"}],"issued":{"date-parts":[["2022"]]}}},{"id":3172,"uris":["http://zotero.org/users/local/05JQq5lJ/items/EK34GDPT"],"itemData":{"id":3172,"type":"article-journal","container-title":"Journal of Cleaner Production","note":"publisher: Elsevier","page":"136238","source":"Google Scholar","title":"How to measure the social sustainability of the circular economy? Developing and piloting social circular economy indicators in Finland","title-short":"How to measure the social sustainability of the circular economy?","volume":"392","author":[{"family":"Pitkänen","given":"Kati"},{"family":"Karppinen","given":"T. K. M."},{"family":"Kautto","given":"Petrus"},{"family":"Pirtonen","given":"Heidi"},{"family":"Salmenperä","given":"Hanna"},{"family":"Savolahti","given":"Hanna"},{"family":"Schubin","given":"Elli"},{"family":"Myllymaa","given":"Tuuli"}],"issued":{"date-parts":[["2023"]]}}},{"id":3200,"uris":["http://zotero.org/users/local/05JQq5lJ/items/6PCGEXDK"],"itemData":{"id":3200,"type":"article-journal","abstract":"The role and position of the manufacturing sector changes over time. Its importance in the sustainable growth of the economy, innovations, trade, reducing energy demand, and environmental problems is currently being shown again. The study underlines the significance and importance of the manufacturing sector in the economy of countries, and the generally applicable economic principles are explicitly examined in regard to the manufacturing sector. It examines whether selected economic indicators of the manufacturing sector in the region of the Visegrad Group countries can affect the level of average wages in the sector. Wages represent a key determinant of attractiveness, as well as the potential to increase the standards of living and the long-term sustainability of a given sector. The selected economic indicators for the period 2008–2019 concerning average wages in the manufacturing sector were: FDI Flow, GDP, labour productivity, employment, and the number of hours worked in the manufacturing sector. The source of secondary data was the OECD database. A multiple regression model was used and tested. The suitability of the proposed model was tested using the ANOVA method. A significant effect was shown in the case of two of the examined variables, namely the GDP and employment in the manufacturing sector. Based on the findings of the study, it can be assumed that the sectoral GDP can positively affect average wages in the sector and the level of employment in manufacturing can negatively affect them. The summary of implications and proposals indirectly supports the need to develop and introduce innovations, new technologies, automation, and robotization, as well as for further implementation and support of Industry 4.0 and 5.0.","container-title":"Sustainability","DOI":"10.3390/su15054164","ISSN":"2071-1050","issue":"5","language":"en","license":"http://creativecommons.org/licenses/by/3.0/","note":"number: 5\npublisher: Multidisciplinary Digital Publishing Institute","page":"4164","source":"www.mdpi.com","title":"Relationships between Average Wages in the Manufacturing Sector and Economic Indicators of the Manufacturing Sector in the Region of Visegrad Group Countries","volume":"15","author":[{"family":"Suhányi","given":"Ladislav"},{"family":"Suhányiová","given":"Alžbeta"},{"family":"Kádárová","given":"Jaroslava"},{"family":"Janeková","given":"Jaroslava"}],"issued":{"date-parts":[["2023",1]]}}},{"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[73,76,77,80]</w:t>
            </w:r>
            <w:r w:rsidRPr="001E1D5F">
              <w:rPr>
                <w:rFonts w:cs="Calibri"/>
                <w:color w:val="000000"/>
                <w:sz w:val="21"/>
                <w:szCs w:val="21"/>
                <w:lang w:eastAsia="en-GB"/>
              </w:rPr>
              <w:fldChar w:fldCharType="end"/>
            </w:r>
          </w:p>
        </w:tc>
      </w:tr>
      <w:tr w:rsidR="001E1D5F" w:rsidRPr="001E1D5F" w14:paraId="2C368B5E" w14:textId="77777777" w:rsidTr="00040455">
        <w:tblPrEx>
          <w:jc w:val="left"/>
        </w:tblPrEx>
        <w:trPr>
          <w:trHeight w:val="300"/>
        </w:trPr>
        <w:tc>
          <w:tcPr>
            <w:tcW w:w="3002" w:type="dxa"/>
            <w:noWrap/>
            <w:vAlign w:val="center"/>
          </w:tcPr>
          <w:p w14:paraId="13633177" w14:textId="77777777" w:rsidR="001E1D5F" w:rsidRPr="001E1D5F" w:rsidRDefault="001E1D5F" w:rsidP="001E1D5F">
            <w:pPr>
              <w:ind w:left="220"/>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t>Living Wage Compliance</w:t>
            </w:r>
          </w:p>
        </w:tc>
        <w:tc>
          <w:tcPr>
            <w:tcW w:w="1337" w:type="dxa"/>
            <w:noWrap/>
            <w:vAlign w:val="center"/>
          </w:tcPr>
          <w:p w14:paraId="5F6D5C7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018086C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Providing wages that meet or exceed a middle-class living standard, ensuring economic security, personal autonomy, and career growth opportunities for workers</w:t>
            </w:r>
          </w:p>
        </w:tc>
        <w:tc>
          <w:tcPr>
            <w:tcW w:w="1560" w:type="dxa"/>
            <w:vAlign w:val="center"/>
          </w:tcPr>
          <w:p w14:paraId="3ABFB32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Average wage vs. living wage benchmark; Percentage of employees earning above the living wage</w:t>
            </w:r>
          </w:p>
        </w:tc>
        <w:tc>
          <w:tcPr>
            <w:tcW w:w="3827" w:type="dxa"/>
            <w:vAlign w:val="center"/>
          </w:tcPr>
          <w:p w14:paraId="6748826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63BEDD24" w14:textId="36715460"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{"citationID":"f7Lo5hfC","properties":{"formattedCitation":"[73]","plainCitation":"[73]","noteIndex":0},"citationItems":[{"id":3170,"uris":["http://zotero.org/users/local/05JQq5lJ/items/3DLLB394"],"itemData":{"id":3170,"type":"article-journal","container-title":"Journal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51F25509" w14:textId="77777777" w:rsidTr="00040455">
        <w:tblPrEx>
          <w:jc w:val="left"/>
        </w:tblPrEx>
        <w:trPr>
          <w:trHeight w:val="300"/>
        </w:trPr>
        <w:tc>
          <w:tcPr>
            <w:tcW w:w="3002" w:type="dxa"/>
            <w:noWrap/>
            <w:vAlign w:val="center"/>
          </w:tcPr>
          <w:p w14:paraId="438D4E18"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Workers’ benefits (e.g., transport, food, health, etc.)</w:t>
            </w:r>
          </w:p>
        </w:tc>
        <w:tc>
          <w:tcPr>
            <w:tcW w:w="1337" w:type="dxa"/>
            <w:noWrap/>
            <w:vAlign w:val="center"/>
          </w:tcPr>
          <w:p w14:paraId="1EF9CA5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6FD4E48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Provision of essential benefits such as transportation, food, and healthcare to support workers' overall well-being</w:t>
            </w:r>
          </w:p>
        </w:tc>
        <w:tc>
          <w:tcPr>
            <w:tcW w:w="1560" w:type="dxa"/>
            <w:vAlign w:val="center"/>
          </w:tcPr>
          <w:p w14:paraId="554F858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employees receiving essential benefits</w:t>
            </w:r>
          </w:p>
        </w:tc>
        <w:tc>
          <w:tcPr>
            <w:tcW w:w="3827" w:type="dxa"/>
            <w:vAlign w:val="center"/>
          </w:tcPr>
          <w:p w14:paraId="66C2635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4A69A52C" w14:textId="638E3A32"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{"citationID":"RU6c6I89","properties":{"formattedCitation":"[73]","plainCitation":"[73]","noteIndex":0},"citationItems":[{"id":3170,"uris":["http://zotero.org/users/local/05JQq5lJ/items/3DLLB394"],"itemData":{"id":3170,"type":"article-journal","container-title":"Journal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208D1BF1" w14:textId="77777777" w:rsidTr="00040455">
        <w:tblPrEx>
          <w:jc w:val="left"/>
        </w:tblPrEx>
        <w:trPr>
          <w:trHeight w:val="300"/>
        </w:trPr>
        <w:tc>
          <w:tcPr>
            <w:tcW w:w="3002" w:type="dxa"/>
            <w:noWrap/>
            <w:vAlign w:val="center"/>
          </w:tcPr>
          <w:p w14:paraId="58B5221E"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Additional workers benefit (e.g., bonuses, profit sharing, etc.)</w:t>
            </w:r>
          </w:p>
        </w:tc>
        <w:tc>
          <w:tcPr>
            <w:tcW w:w="1337" w:type="dxa"/>
            <w:noWrap/>
            <w:vAlign w:val="center"/>
          </w:tcPr>
          <w:p w14:paraId="37EACFA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462D5C6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Offering supplementary benefits, including bonuses and profit-sharing schemes, to enhance worker satisfaction and motivation beyond the basic salary</w:t>
            </w:r>
          </w:p>
        </w:tc>
        <w:tc>
          <w:tcPr>
            <w:tcW w:w="1560" w:type="dxa"/>
            <w:vAlign w:val="center"/>
          </w:tcPr>
          <w:p w14:paraId="553F161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employees receiving additional benefits; Value of bonuses/profit-sharing as a percentage of salary</w:t>
            </w:r>
          </w:p>
        </w:tc>
        <w:tc>
          <w:tcPr>
            <w:tcW w:w="3827" w:type="dxa"/>
            <w:vAlign w:val="center"/>
          </w:tcPr>
          <w:p w14:paraId="703E4F8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217F026F" w14:textId="045FBFD1"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{"citationID":"8wBiBwr6","properties":{"formattedCitation":"[73]","plainCitation":"[73]","noteIndex":0},"citationItems":[{"id":3170,"uris":["http://zotero.org/users/local/05JQq5lJ/items/3DLLB394"],"itemData":{"id":3170,"type":"article-journal","container-title":"Journal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1CC2501F" w14:textId="77777777" w:rsidTr="00040455">
        <w:tblPrEx>
          <w:jc w:val="left"/>
        </w:tblPrEx>
        <w:trPr>
          <w:trHeight w:val="300"/>
        </w:trPr>
        <w:tc>
          <w:tcPr>
            <w:tcW w:w="16030" w:type="dxa"/>
            <w:gridSpan w:val="6"/>
            <w:shd w:val="clear" w:color="auto" w:fill="E7E6E6" w:themeFill="background2"/>
            <w:noWrap/>
            <w:vAlign w:val="center"/>
          </w:tcPr>
          <w:p w14:paraId="6075A831"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S3: Ethical Practices</w:t>
            </w:r>
          </w:p>
        </w:tc>
      </w:tr>
      <w:tr w:rsidR="001E1D5F" w:rsidRPr="001E1D5F" w14:paraId="320CE888" w14:textId="77777777" w:rsidTr="00040455">
        <w:tblPrEx>
          <w:jc w:val="left"/>
        </w:tblPrEx>
        <w:trPr>
          <w:trHeight w:val="300"/>
        </w:trPr>
        <w:tc>
          <w:tcPr>
            <w:tcW w:w="3002" w:type="dxa"/>
            <w:noWrap/>
            <w:vAlign w:val="center"/>
          </w:tcPr>
          <w:p w14:paraId="65887373" w14:textId="77777777" w:rsidR="001E1D5F" w:rsidRPr="001E1D5F" w:rsidRDefault="001E1D5F" w:rsidP="001E1D5F">
            <w:pPr>
              <w:ind w:left="220"/>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lastRenderedPageBreak/>
              <w:t>Child Labour</w:t>
            </w:r>
          </w:p>
        </w:tc>
        <w:tc>
          <w:tcPr>
            <w:tcW w:w="1337" w:type="dxa"/>
            <w:noWrap/>
            <w:vAlign w:val="center"/>
          </w:tcPr>
          <w:p w14:paraId="3EC1F9D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329A78A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The use of children (under the legal working age) in economic activities that may hinder their education, health, and development</w:t>
            </w:r>
          </w:p>
        </w:tc>
        <w:tc>
          <w:tcPr>
            <w:tcW w:w="1560" w:type="dxa"/>
            <w:vAlign w:val="center"/>
          </w:tcPr>
          <w:p w14:paraId="6B12BC4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Number of children involved; percentage of total </w:t>
            </w:r>
            <w:proofErr w:type="spellStart"/>
            <w:r w:rsidRPr="001E1D5F">
              <w:rPr>
                <w:rFonts w:cs="Calibri"/>
                <w:color w:val="000000"/>
                <w:sz w:val="21"/>
                <w:szCs w:val="21"/>
                <w:lang w:eastAsia="en-GB"/>
              </w:rPr>
              <w:t>labor</w:t>
            </w:r>
            <w:proofErr w:type="spellEnd"/>
            <w:r w:rsidRPr="001E1D5F">
              <w:rPr>
                <w:rFonts w:cs="Calibri"/>
                <w:color w:val="000000"/>
                <w:sz w:val="21"/>
                <w:szCs w:val="21"/>
                <w:lang w:eastAsia="en-GB"/>
              </w:rPr>
              <w:t xml:space="preserve"> force</w:t>
            </w:r>
          </w:p>
        </w:tc>
        <w:tc>
          <w:tcPr>
            <w:tcW w:w="3827" w:type="dxa"/>
            <w:vAlign w:val="center"/>
          </w:tcPr>
          <w:p w14:paraId="48CE29C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 Electronics Manufacturing, Chemical Manufacturing</w:t>
            </w:r>
          </w:p>
        </w:tc>
        <w:tc>
          <w:tcPr>
            <w:tcW w:w="1576" w:type="dxa"/>
            <w:vAlign w:val="center"/>
          </w:tcPr>
          <w:p w14:paraId="282517C0" w14:textId="3BC3AB3F"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{"citationID":"3CHzIi8P","properties":{"formattedCitation":"[76,83,84]","plainCitation":"[76,83,84]","noteIndex":0},"citationItems":[{"id":3183,"uris":["http://zotero.org/users/local/05JQq5lJ/items/ZPBXNNMP"],"itemData":{"id":3183,"type":"article-journal","abstract":"Household decisions about child labor are influenced by income, uncertainty, and relative returns to work and education. The complexity of the phenomenon implies that a large set of policy instruments can be used to address child labor or can affect child labor. This review of 33 impact evaluations provides a comprehensive look at pathways through which social protection (credit and microfinance, cash transfers, vouchers, food programs), and labor programs affect child labor. Despite the complexity of integrating findings across different child labor definitions, implementation contexts, and policy instruments, some patterns emerge. For example, programs that address child labor by reducing the vulnerability of the household produce the desired effect. Transfers reduced child labor in most cases. Similarly, programs that help the household cope with exposure to risk, for example, health insurance, reduce household reliance on child labor. On the other hand, policies aimed at increasing adult household members’ participation in the labor market or entrepreneurial activities, can generate demand for adolescent and child work. Of course, such programs are an important component of anti-poverty strategies, but they could be modified and integrated with additional interventions to ensure that they do not produce adverse effects on child labor. While progress has been made over the past decade, there is still much to learn about the effects of public policy on the labor participation of many children in developing countries.","container-title":"World Development","DOI":"10.1016/j.worlddev.2018.05.001","ISSN":"0305-750X","journalAbbreviation":"World Development","page":"104-123","source":"ScienceDirect","title":"Effects of public policy on child labor: Current knowledge, gaps, and implications for program design","title-short":"Effects of public policy on child labor","volume":"110","author":[{"family":"Dammert","given":"Ana C."},{"family":"Hoop","given":"Jacobus","non-dropping-particle":"de"},{"family":"Mvukiyehe","given":"Eric"},{"family":"Rosati","given":"Furio C."}],"issued":{"date-parts":[["2018",10,1]]}}},{"id":3174,"uris":["http://zotero.org/users/local/05JQq5lJ/items/NBL5MC5T"],"itemData":{"id":3174,"type":"article-journal","container-title":"Sustainable Production and Consumption","note":"publisher: Elsevier","page":"101–110","source":"Google Scholar","title":"Social circular economy indicators: Selection through fuzzy delphi method","title-short":"Social circular economy indicators","volume":"26","author":[{"family":"Padilla-Rivera","given":"Alejandro"},{"family":"Carmo","given":"Breno Barros Telles","non-dropping-particle":"do"},{"family":"Arcese","given":"Gabriella"},{"family":"Merveille","given":"Nicolas"}],"issued":{"date-parts":[["2021"]]}}},{"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[76,83,84]</w:t>
            </w:r>
            <w:r w:rsidRPr="001E1D5F">
              <w:rPr>
                <w:rFonts w:cs="Calibri"/>
                <w:color w:val="000000"/>
                <w:sz w:val="21"/>
                <w:szCs w:val="21"/>
                <w:lang w:eastAsia="en-GB"/>
              </w:rPr>
              <w:fldChar w:fldCharType="end"/>
            </w:r>
          </w:p>
        </w:tc>
      </w:tr>
      <w:tr w:rsidR="001E1D5F" w:rsidRPr="001E1D5F" w14:paraId="23A05E1C" w14:textId="77777777" w:rsidTr="00040455">
        <w:tblPrEx>
          <w:jc w:val="left"/>
        </w:tblPrEx>
        <w:trPr>
          <w:trHeight w:val="300"/>
        </w:trPr>
        <w:tc>
          <w:tcPr>
            <w:tcW w:w="3002" w:type="dxa"/>
            <w:noWrap/>
            <w:vAlign w:val="center"/>
          </w:tcPr>
          <w:p w14:paraId="344183B2"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Forced or Compulsory Labour</w:t>
            </w:r>
          </w:p>
        </w:tc>
        <w:tc>
          <w:tcPr>
            <w:tcW w:w="1337" w:type="dxa"/>
            <w:noWrap/>
            <w:vAlign w:val="center"/>
          </w:tcPr>
          <w:p w14:paraId="506618C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77D197A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Work or services that individuals are compelled to perform against their will, under threat of penalty or harm, often without adequate compensation</w:t>
            </w:r>
          </w:p>
        </w:tc>
        <w:tc>
          <w:tcPr>
            <w:tcW w:w="1560" w:type="dxa"/>
            <w:vAlign w:val="center"/>
          </w:tcPr>
          <w:p w14:paraId="3EB4E50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Number of cases reported; percentage of workforce affected</w:t>
            </w:r>
          </w:p>
        </w:tc>
        <w:tc>
          <w:tcPr>
            <w:tcW w:w="3827" w:type="dxa"/>
            <w:vAlign w:val="center"/>
          </w:tcPr>
          <w:p w14:paraId="3CC3DA7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 Electronics Manufacturing, Chemical Manufacturing</w:t>
            </w:r>
          </w:p>
        </w:tc>
        <w:tc>
          <w:tcPr>
            <w:tcW w:w="1576" w:type="dxa"/>
            <w:vAlign w:val="center"/>
          </w:tcPr>
          <w:p w14:paraId="40A20B82" w14:textId="675D28C4"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GDy1vlhY","properties":{"formattedCitation":"[76,84]","plainCitation":"[76,84]","noteIndex":0},"citationItems":[{"id":3174,"uris":["http://zotero.org/users/local/05JQq5lJ/items/NBL5MC5T"],"itemData":{"id":3174,"type":"article-journal","container-title":"Sustainable Production and Consumption","note":"publisher: Elsevier","page":"101–110","source":"Google Scholar","title":"Social circular economy indicators: Selection through fuzzy delphi method","title-short":"Social circular economy indicators","volume":"26","author":[{"family":"Padilla-Rivera","given":"Alejandro"},{"family":"Carmo","given":"Breno Barros Telles","non-dropping-particle":"do"},{"family":"Arcese","given":"Gabriella"},{"family":"Merveille","given":"Nicolas"}],"issued":{"date-parts":[["2021"]]}}},{"id":3193,"uris":["http://zotero.org/users/local/05JQq5lJ/items/CNIRHMG6"],"itemData":{"id":3193,"type":"article-journal","abstract":"Manufacturing affects all three dimensions of sustainability: economy, environment, and society. This paper addresses the last of these dimensions. It explores social impacts identified by national level social indicators, frameworks, and principles. The effects of manufacturing on social performance are framed for different stakeholder groups with associated social needs. Methodology development as well as various challenges for social life cycle assessment (S-LCA) are further examined. Efforts to integrate social and another dimension of sustainability are considered, with attention to globalization challenges, including offshoring and reshoring. The paper concludes with a summary of key takeaways and promising directions for future work.","container-title":"CIRP Annals","DOI":"10.1016/j.cirp.2016.05.003","ISSN":"0007-8506","issue":"2","journalAbbreviation":"CIRP Annals","page":"689-712","source":"ScienceDirect","title":"The role of manufacturing in affecting the social dimension of sustainability","volume":"65","author":[{"family":"Sutherland","given":"John W."},{"family":"Richter","given":"Justin S."},{"family":"Hutchins","given":"Margot J."},{"family":"Dornfeld","given":"David"},{"family":"Dzombak","given":"Rachel"},{"family":"Mangold","given":"Jennifer"},{"family":"Robinson","given":"Stefanie"},{"family":"Hauschild","given":"Michael Z."},{"family":"Bonou","given":"Alexandra"},{"family":"Schönsleben","given":"Paul"},{"family":"Friemann","given":"Felix"}],"issued":{"date-parts":[["2016",1,1]]}}}],"schema":"https://github.com/citation-style-language/schema/raw/master/csl-citation.json"}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[76,84]</w:t>
            </w:r>
            <w:r w:rsidRPr="001E1D5F">
              <w:rPr>
                <w:rFonts w:cs="Calibri"/>
                <w:color w:val="000000"/>
                <w:sz w:val="21"/>
                <w:szCs w:val="21"/>
                <w:lang w:eastAsia="en-GB"/>
              </w:rPr>
              <w:fldChar w:fldCharType="end"/>
            </w:r>
          </w:p>
        </w:tc>
      </w:tr>
      <w:tr w:rsidR="001E1D5F" w:rsidRPr="001E1D5F" w14:paraId="525575FA" w14:textId="77777777" w:rsidTr="00040455">
        <w:tblPrEx>
          <w:jc w:val="left"/>
        </w:tblPrEx>
        <w:trPr>
          <w:trHeight w:val="300"/>
        </w:trPr>
        <w:tc>
          <w:tcPr>
            <w:tcW w:w="3002" w:type="dxa"/>
            <w:noWrap/>
            <w:vAlign w:val="center"/>
          </w:tcPr>
          <w:p w14:paraId="5A471084"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Ethical Sourcing &amp; Supplier Responsibility</w:t>
            </w:r>
          </w:p>
        </w:tc>
        <w:tc>
          <w:tcPr>
            <w:tcW w:w="1337" w:type="dxa"/>
            <w:noWrap/>
            <w:vAlign w:val="center"/>
          </w:tcPr>
          <w:p w14:paraId="7351889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19F1231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 set of questions related to suppliers, including social responsibility, employee human rights, contract issues, health, safety, education, and training</w:t>
            </w:r>
          </w:p>
        </w:tc>
        <w:tc>
          <w:tcPr>
            <w:tcW w:w="1560" w:type="dxa"/>
            <w:vAlign w:val="center"/>
          </w:tcPr>
          <w:p w14:paraId="52DC832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responses (e.g., Yes/No/Not Known, -5 to +5 scale)</w:t>
            </w:r>
          </w:p>
        </w:tc>
        <w:tc>
          <w:tcPr>
            <w:tcW w:w="3827" w:type="dxa"/>
            <w:vAlign w:val="center"/>
          </w:tcPr>
          <w:p w14:paraId="70A109F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Process Industry, Metal manufacturing</w:t>
            </w:r>
          </w:p>
        </w:tc>
        <w:tc>
          <w:tcPr>
            <w:tcW w:w="1576" w:type="dxa"/>
            <w:vAlign w:val="center"/>
          </w:tcPr>
          <w:p w14:paraId="6D077662" w14:textId="0CE59662"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idRmp7us","properties":{"formattedCitation":"[85\\uc0\\u8211{}87]","plainCitation":"[85–87]","noteIndex":0},"citationItems":[{"id":3180,"uris":["http://zotero.org/users/local/05JQq5lJ/items/LAAD4E3E"],"itemData":{"id":3180,"type":"article-journal","container-title":"International Journal of Sustainable Engineering","DOI":"10.1080/19397038.2013.800166","ISSN":"1939-7038, 1939-7046","issue":"2","journalAbbreviation":"International Journal of Sustainable Engineering","language":"en","page":"171-182","source":"DOI.org (Crossref)","title":"Social metrics in the process industry: background, theory and development work","title-short":"Social metrics in the process industry","volume":"7","author":[{"family":"Husgafvel","given":"Roope"},{"family":"Pajunen","given":"Nani"},{"family":"Päällysaho","given":"Minna"},{"family":"Paavola","given":"Inga-Liisa"},{"family":"Inkinen","given":"Ville"},{"family":"Heiskanen","given":"Kari"},{"family":"Dahl","given":"Olli"},{"family":"Ekroos","given":"Ari"}],"issued":{"date-parts":[["2014",4,3]]}}},{"id":3179,"uris":["http://zotero.org/users/local/05JQq5lJ/items/FHAT39UN"],"itemData":{"id":3179,"type":"article-journal","container-title":"International Journal of Sustainable Engineering","DOI":"10.1080/19397038.2014.898711","ISSN":"1939-7038, 1939-7046","issue":"1","journalAbbreviation":"International Journal of Sustainable Engineering","language":"en","page":"14-25","source":"DOI.org (Crossref)","title":"Social sustainability performance indicators – experiences from process industry","volume":"8","author":[{"family":"Husgafvel","given":"Roope"},{"family":"Pajunen","given":"Nani"},{"family":"Virtanen","given":"Kirsi"},{"family":"Paavola","given":"Inga-Liisa"},{"family":"Päällysaho","given":"Minna"},{"family":"Inkinen","given":"Ville"},{"family":"Heiskanen","given":"Kari"},{"family":"Dahl","given":"Olli"},{"family":"Ekroos","given":"Ari"}],"issued":{"date-parts":[["2015",1,2]]}}},{"id":3182,"uris":["http://zotero.org/users/local/05JQq5lJ/items/24K6PY7M"],"itemData":{"id":3182,"type":"paper-conference","container-title":"26th International Mineral Processing Congress IMPC 2012 New Delhi, India. 24.-28.9. 2012: Innovative Processing for Sustainable Growth-Conference Proceedings","page":"4033–4046","source":"Google Scholar","title":"Metrics for sustainable production in process industry","URL":"https://research.aalto.fi/en/publications/metrics-for-sustainable-production-in-process-industry","author":[{"family":"Päällysaho","given":"Minna"},{"family":"Pajunen","given":"Nani"},{"family":"Husgafvel","given":"R."},{"family":"Wierink","given":"Maaria"},{"family":"Paavola","given":"I. L."},{"family":"Heiskanen","given":"Kari"},{"family":"Dahl","given":"Olli"},{"family":"Ekroos","given":"A."}],"accessed":{"date-parts":[["2024",11,25]]},"issued":{"date-parts":[["2012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[85–87]</w:t>
            </w:r>
            <w:r w:rsidRPr="001E1D5F">
              <w:rPr>
                <w:rFonts w:cs="Calibri"/>
                <w:color w:val="000000"/>
                <w:sz w:val="21"/>
                <w:szCs w:val="21"/>
                <w:lang w:eastAsia="en-GB"/>
              </w:rPr>
              <w:fldChar w:fldCharType="end"/>
            </w:r>
          </w:p>
        </w:tc>
      </w:tr>
      <w:tr w:rsidR="001E1D5F" w:rsidRPr="001E1D5F" w14:paraId="27A563DC" w14:textId="77777777" w:rsidTr="00040455">
        <w:tblPrEx>
          <w:jc w:val="left"/>
        </w:tblPrEx>
        <w:trPr>
          <w:trHeight w:val="300"/>
        </w:trPr>
        <w:tc>
          <w:tcPr>
            <w:tcW w:w="3002" w:type="dxa"/>
            <w:noWrap/>
            <w:vAlign w:val="center"/>
          </w:tcPr>
          <w:p w14:paraId="339BD2B6" w14:textId="77777777" w:rsidR="001E1D5F" w:rsidRPr="001E1D5F" w:rsidDel="00A73A0C" w:rsidRDefault="001E1D5F" w:rsidP="001E1D5F">
            <w:pPr>
              <w:jc w:val="center"/>
              <w:rPr>
                <w:rFonts w:ascii="Calibri" w:hAnsi="Calibri" w:cs="Calibri"/>
                <w:color w:val="000000"/>
                <w:sz w:val="21"/>
                <w:szCs w:val="21"/>
              </w:rPr>
            </w:pPr>
            <w:r w:rsidRPr="001E1D5F">
              <w:rPr>
                <w:rFonts w:ascii="Calibri" w:hAnsi="Calibri" w:cs="Calibri"/>
                <w:color w:val="000000"/>
                <w:sz w:val="21"/>
                <w:szCs w:val="21"/>
              </w:rPr>
              <w:t>Freedom of association and collective bargaining</w:t>
            </w:r>
          </w:p>
        </w:tc>
        <w:tc>
          <w:tcPr>
            <w:tcW w:w="1337" w:type="dxa"/>
            <w:noWrap/>
            <w:vAlign w:val="center"/>
          </w:tcPr>
          <w:p w14:paraId="7BEF504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26E6BA0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Measures the extent to which workers have the right to form and join </w:t>
            </w:r>
            <w:proofErr w:type="spellStart"/>
            <w:r w:rsidRPr="001E1D5F">
              <w:rPr>
                <w:rFonts w:cs="Calibri"/>
                <w:color w:val="000000"/>
                <w:sz w:val="21"/>
                <w:szCs w:val="21"/>
                <w:lang w:eastAsia="en-GB"/>
              </w:rPr>
              <w:t>labor</w:t>
            </w:r>
            <w:proofErr w:type="spellEnd"/>
            <w:r w:rsidRPr="001E1D5F">
              <w:rPr>
                <w:rFonts w:cs="Calibri"/>
                <w:color w:val="000000"/>
                <w:sz w:val="21"/>
                <w:szCs w:val="21"/>
                <w:lang w:eastAsia="en-GB"/>
              </w:rPr>
              <w:t xml:space="preserve"> unions, participate in collective bargaining, and engage in worker representation without fear of retaliation.</w:t>
            </w:r>
          </w:p>
        </w:tc>
        <w:tc>
          <w:tcPr>
            <w:tcW w:w="1560" w:type="dxa"/>
            <w:vAlign w:val="center"/>
          </w:tcPr>
          <w:p w14:paraId="7C7BBED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of workers covered by collective agreements</w:t>
            </w:r>
          </w:p>
        </w:tc>
        <w:tc>
          <w:tcPr>
            <w:tcW w:w="3827" w:type="dxa"/>
            <w:vAlign w:val="center"/>
          </w:tcPr>
          <w:p w14:paraId="32541FB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60513D31" w14:textId="6B8E78F8"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{"citationID":"IluRA4OA","properties":{"formattedCitation":"[73]","plainCitation":"[73]","noteIndex":0},"citationItems":[{"id":3170,"uris":["http://zotero.org/users/local/05JQq5lJ/items/3DLLB394"],"itemData":{"id":3170,"type":"article-journal","container-title":"Journal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5AC4AC31" w14:textId="77777777" w:rsidTr="00040455">
        <w:tblPrEx>
          <w:jc w:val="left"/>
        </w:tblPrEx>
        <w:trPr>
          <w:trHeight w:val="300"/>
        </w:trPr>
        <w:tc>
          <w:tcPr>
            <w:tcW w:w="16030" w:type="dxa"/>
            <w:gridSpan w:val="6"/>
            <w:shd w:val="clear" w:color="auto" w:fill="E7E6E6" w:themeFill="background2"/>
            <w:noWrap/>
            <w:vAlign w:val="center"/>
          </w:tcPr>
          <w:p w14:paraId="0EF4A759"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S4: Health &amp; Safety</w:t>
            </w:r>
          </w:p>
        </w:tc>
      </w:tr>
      <w:tr w:rsidR="001E1D5F" w:rsidRPr="001E1D5F" w14:paraId="5654353A" w14:textId="77777777" w:rsidTr="00040455">
        <w:tblPrEx>
          <w:jc w:val="left"/>
        </w:tblPrEx>
        <w:trPr>
          <w:trHeight w:val="300"/>
        </w:trPr>
        <w:tc>
          <w:tcPr>
            <w:tcW w:w="3002" w:type="dxa"/>
            <w:noWrap/>
            <w:vAlign w:val="center"/>
          </w:tcPr>
          <w:p w14:paraId="460EA9BE" w14:textId="77777777" w:rsidR="001E1D5F" w:rsidRPr="001E1D5F" w:rsidRDefault="001E1D5F" w:rsidP="001E1D5F">
            <w:pPr>
              <w:ind w:left="220"/>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t>Work-related injuries</w:t>
            </w:r>
          </w:p>
        </w:tc>
        <w:tc>
          <w:tcPr>
            <w:tcW w:w="1337" w:type="dxa"/>
            <w:noWrap/>
            <w:vAlign w:val="center"/>
          </w:tcPr>
          <w:p w14:paraId="3B92C4F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089B745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Physical harm sustained by workers due to workplace activities, regardless of the cause (accident or repetitive strain), potentially impacting their health or ability to work</w:t>
            </w:r>
          </w:p>
        </w:tc>
        <w:tc>
          <w:tcPr>
            <w:tcW w:w="1560" w:type="dxa"/>
            <w:vAlign w:val="center"/>
          </w:tcPr>
          <w:p w14:paraId="4ECA754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Number of </w:t>
            </w:r>
            <w:proofErr w:type="gramStart"/>
            <w:r w:rsidRPr="001E1D5F">
              <w:rPr>
                <w:rFonts w:cs="Calibri"/>
                <w:color w:val="000000"/>
                <w:sz w:val="21"/>
                <w:szCs w:val="21"/>
                <w:lang w:eastAsia="en-GB"/>
              </w:rPr>
              <w:t>injuries/year</w:t>
            </w:r>
            <w:proofErr w:type="gramEnd"/>
          </w:p>
        </w:tc>
        <w:tc>
          <w:tcPr>
            <w:tcW w:w="3827" w:type="dxa"/>
            <w:vAlign w:val="center"/>
          </w:tcPr>
          <w:p w14:paraId="48014E6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w:t>
            </w:r>
          </w:p>
        </w:tc>
        <w:tc>
          <w:tcPr>
            <w:tcW w:w="1576" w:type="dxa"/>
            <w:vAlign w:val="center"/>
          </w:tcPr>
          <w:p w14:paraId="75298EB2" w14:textId="6DFA6278"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{"citationID":"6dQcPKRP","properties":{"formattedCitation":"[75]","plainCitation":"[75]","noteIndex":0},"citationItems":[{"id":3176,"uris":["http://zotero.org/users/local/05JQq5lJ/items/8V2YSST7"],"itemData":{"id":3176,"type":"article-journal","container-title":"Journal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w:t>
            </w:r>
            <w:r w:rsidRPr="001E1D5F">
              <w:rPr>
                <w:rFonts w:cs="Calibri"/>
                <w:color w:val="000000"/>
                <w:sz w:val="21"/>
                <w:szCs w:val="21"/>
                <w:lang w:eastAsia="en-GB"/>
              </w:rPr>
              <w:fldChar w:fldCharType="end"/>
            </w:r>
          </w:p>
        </w:tc>
      </w:tr>
      <w:tr w:rsidR="001E1D5F" w:rsidRPr="001E1D5F" w14:paraId="66F8CF8C" w14:textId="77777777" w:rsidTr="00040455">
        <w:tblPrEx>
          <w:jc w:val="left"/>
        </w:tblPrEx>
        <w:trPr>
          <w:trHeight w:val="300"/>
        </w:trPr>
        <w:tc>
          <w:tcPr>
            <w:tcW w:w="3002" w:type="dxa"/>
            <w:noWrap/>
            <w:vAlign w:val="center"/>
          </w:tcPr>
          <w:p w14:paraId="778AE7EE"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Work accidents</w:t>
            </w:r>
          </w:p>
        </w:tc>
        <w:tc>
          <w:tcPr>
            <w:tcW w:w="1337" w:type="dxa"/>
            <w:noWrap/>
            <w:vAlign w:val="center"/>
          </w:tcPr>
          <w:p w14:paraId="26F08AF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750F5EE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Unplanned events occurring in the workplace that may or may not result in injury, including near-misses and unsafe incidents.</w:t>
            </w:r>
          </w:p>
        </w:tc>
        <w:tc>
          <w:tcPr>
            <w:tcW w:w="1560" w:type="dxa"/>
            <w:vAlign w:val="center"/>
          </w:tcPr>
          <w:p w14:paraId="69B96AF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Number of </w:t>
            </w:r>
            <w:proofErr w:type="gramStart"/>
            <w:r w:rsidRPr="001E1D5F">
              <w:rPr>
                <w:rFonts w:cs="Calibri"/>
                <w:color w:val="000000"/>
                <w:sz w:val="21"/>
                <w:szCs w:val="21"/>
                <w:lang w:eastAsia="en-GB"/>
              </w:rPr>
              <w:t>accidents/year</w:t>
            </w:r>
            <w:proofErr w:type="gramEnd"/>
          </w:p>
        </w:tc>
        <w:tc>
          <w:tcPr>
            <w:tcW w:w="3827" w:type="dxa"/>
            <w:vAlign w:val="center"/>
          </w:tcPr>
          <w:p w14:paraId="094A2B1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w:t>
            </w:r>
          </w:p>
        </w:tc>
        <w:tc>
          <w:tcPr>
            <w:tcW w:w="1576" w:type="dxa"/>
            <w:vAlign w:val="center"/>
          </w:tcPr>
          <w:p w14:paraId="7D635675" w14:textId="3016DC9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{"citationID":"hcNR5Ohj","properties":{"formattedCitation":"[75,88]","plainCitation":"[75,88]","noteIndex":0},"citationItems":[{"id":3176,"uris":["http://zotero.org/users/local/05JQq5lJ/items/8V2YSST7"],"itemData":{"id":3176,"type":"article-journal","container-title":"Journal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Yew"},{"family":"Rajoo","given":"Srithar"}],"issued":{"date-parts":[["2019"]]}}},{"id":3190,"uris":["http://zotero.org/users/local/05JQq5lJ/items/BYUQ4XBE"],"itemData":{"id":3190,"type":"article-journal","container-title":"Global Journal of Research in Engineering","issue":"1","source":"Google Scholar","title":"Lean influence on occupational safety and health in manufacturing industries","URL":"https://www.academia.edu/download/50081780/2016_Lean-Influence-on-Occupational.pdf","volume":"16","author":[{"family":"Jilcha","given":"Kassu"},{"family":"Kitaw","given":"Daniel"}],"accessed":{"date-parts":[["2024",11,25]]},"issued":{"date-parts":[["2016"]]}}}],"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[75,88]</w:t>
            </w:r>
            <w:r w:rsidRPr="001E1D5F">
              <w:rPr>
                <w:rFonts w:cs="Calibri"/>
                <w:color w:val="000000"/>
                <w:sz w:val="21"/>
                <w:szCs w:val="21"/>
                <w:lang w:eastAsia="en-GB"/>
              </w:rPr>
              <w:fldChar w:fldCharType="end"/>
            </w:r>
          </w:p>
        </w:tc>
      </w:tr>
      <w:tr w:rsidR="001E1D5F" w:rsidRPr="001E1D5F" w14:paraId="6F0B846D" w14:textId="77777777" w:rsidTr="00040455">
        <w:tblPrEx>
          <w:jc w:val="left"/>
        </w:tblPrEx>
        <w:trPr>
          <w:trHeight w:val="300"/>
        </w:trPr>
        <w:tc>
          <w:tcPr>
            <w:tcW w:w="3002" w:type="dxa"/>
            <w:noWrap/>
            <w:vAlign w:val="center"/>
          </w:tcPr>
          <w:p w14:paraId="723F103D"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Personal protective equipment (PPE)</w:t>
            </w:r>
          </w:p>
        </w:tc>
        <w:tc>
          <w:tcPr>
            <w:tcW w:w="1337" w:type="dxa"/>
            <w:noWrap/>
            <w:vAlign w:val="center"/>
          </w:tcPr>
          <w:p w14:paraId="785EE0F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6AE8E6F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Equipment worn by workers to minimize exposure to occupational hazards that could cause injury or illness</w:t>
            </w:r>
          </w:p>
        </w:tc>
        <w:tc>
          <w:tcPr>
            <w:tcW w:w="1560" w:type="dxa"/>
            <w:vAlign w:val="center"/>
          </w:tcPr>
          <w:p w14:paraId="03F0F14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Percentage of workers using PPE</w:t>
            </w:r>
          </w:p>
        </w:tc>
        <w:tc>
          <w:tcPr>
            <w:tcW w:w="3827" w:type="dxa"/>
            <w:vAlign w:val="center"/>
          </w:tcPr>
          <w:p w14:paraId="4D6564D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 Metallurgical Manufacturing</w:t>
            </w:r>
          </w:p>
        </w:tc>
        <w:tc>
          <w:tcPr>
            <w:tcW w:w="1576" w:type="dxa"/>
            <w:vAlign w:val="center"/>
          </w:tcPr>
          <w:p w14:paraId="45DA9ED1" w14:textId="55E5612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WzdlOxzt","properties":{"formattedCitation":"[75,89]","plainCitation":"[75,89]","noteIndex":0},"citationItems":[{"id":3192,"uris":["http://zotero.org/users/local/05JQq5lJ/items/543VYI3E"],"itemData":{"id":3192,"type":"article-journal","container-title":"International Journal of Safety &amp; Security Engineering","issue":"5","title":"Relationship Between Occupational Risk and Personal Protective Equipment on the Example of Ferroalloy Production.","URL":"https://doi.org/10.18280/ijsse.120509","volume":"12","author":[{"family":"Abikenova","given":"Sholpan"},{"family":"Daumova","given":"Gulzhan"},{"family":"Kurmanbayeva","given":"Aigul"},{"family":"Yesbenbetova","given":"Zhanat"},{"family":"Kazbekova","given":"Diana"}],"accessed":{"date-parts":[["2024",11,25]]},"issued":{"date-parts":[["2022"]]}}},{"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[75,89]</w:t>
            </w:r>
            <w:r w:rsidRPr="001E1D5F">
              <w:rPr>
                <w:rFonts w:cs="Calibri"/>
                <w:color w:val="000000"/>
                <w:sz w:val="21"/>
                <w:szCs w:val="21"/>
                <w:lang w:eastAsia="en-GB"/>
              </w:rPr>
              <w:fldChar w:fldCharType="end"/>
            </w:r>
          </w:p>
        </w:tc>
      </w:tr>
      <w:tr w:rsidR="001E1D5F" w:rsidRPr="001E1D5F" w14:paraId="23910294" w14:textId="77777777" w:rsidTr="00040455">
        <w:tblPrEx>
          <w:jc w:val="left"/>
        </w:tblPrEx>
        <w:trPr>
          <w:trHeight w:val="300"/>
        </w:trPr>
        <w:tc>
          <w:tcPr>
            <w:tcW w:w="3002" w:type="dxa"/>
            <w:noWrap/>
            <w:vAlign w:val="center"/>
          </w:tcPr>
          <w:p w14:paraId="27E434E6"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lastRenderedPageBreak/>
              <w:t>Lost workdays</w:t>
            </w:r>
          </w:p>
        </w:tc>
        <w:tc>
          <w:tcPr>
            <w:tcW w:w="1337" w:type="dxa"/>
            <w:noWrap/>
            <w:vAlign w:val="center"/>
          </w:tcPr>
          <w:p w14:paraId="78CE133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14C4705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Days of work missed by workers due to injuries, accidents, or illnesses occurring as a result of workplace activities</w:t>
            </w:r>
          </w:p>
        </w:tc>
        <w:tc>
          <w:tcPr>
            <w:tcW w:w="1560" w:type="dxa"/>
            <w:vAlign w:val="center"/>
          </w:tcPr>
          <w:p w14:paraId="4F166C2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Days lost/year</w:t>
            </w:r>
          </w:p>
        </w:tc>
        <w:tc>
          <w:tcPr>
            <w:tcW w:w="3827" w:type="dxa"/>
            <w:vAlign w:val="center"/>
          </w:tcPr>
          <w:p w14:paraId="2A4111D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Various manufacturing sectors</w:t>
            </w:r>
          </w:p>
        </w:tc>
        <w:tc>
          <w:tcPr>
            <w:tcW w:w="1576" w:type="dxa"/>
            <w:vAlign w:val="center"/>
          </w:tcPr>
          <w:p w14:paraId="1D56BCAD" w14:textId="34DA2FDA"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{"citationID":"E75FOL8G","properties":{"formattedCitation":"[75,88]","plainCitation":"[75,88]","noteIndex":0},"citationItems":[{"id":3176,"uris":["http://zotero.org/users/local/05JQq5lJ/items/8V2YSST7"],"itemData":{"id":3176,"type":"article-journal","container-title":"Journal of Manufacturing Technology Management","issue":"2","note":"publisher: Emerald Publishing Limited","page":"312–334","source":"Google Scholar","title":"Sustainability indicators for manufacturing sectors: A literature survey and maturity analysis from the triple-bottom line perspective","title-short":"Sustainability indicators for manufacturing sectors","volume":"30","author":[{"family":"Ahmad","given":"Shamraiz"},{"family":"Wong","given":"Kuan Yew"},{"family":"Rajoo","given":"Srithar"}],"issued":{"date-parts":[["2019"]]}}},{"id":3190,"uris":["http://zotero.org/users/local/05JQq5lJ/items/BYUQ4XBE"],"itemData":{"id":3190,"type":"article-journal","container-title":"Global Journal of Research in Engineering","issue":"1","source":"Google Scholar","title":"Lean influence on occupational safety and health in manufacturing industries","URL":"https://www.academia.edu/download/50081780/2016_Lean-Influence-on-Occupational.pdf","volume":"16","author":[{"family":"Jilcha","given":"Kassu"},{"family":"Kitaw","given":"Daniel"}],"accessed":{"date-parts":[["2024",11,25]]},"issued":{"date-parts":[["2016"]]}}}],"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[75,88]</w:t>
            </w:r>
            <w:r w:rsidRPr="001E1D5F">
              <w:rPr>
                <w:rFonts w:cs="Calibri"/>
                <w:color w:val="000000"/>
                <w:sz w:val="21"/>
                <w:szCs w:val="21"/>
                <w:lang w:eastAsia="en-GB"/>
              </w:rPr>
              <w:fldChar w:fldCharType="end"/>
            </w:r>
          </w:p>
        </w:tc>
      </w:tr>
      <w:tr w:rsidR="001E1D5F" w:rsidRPr="001E1D5F" w14:paraId="0770CB61" w14:textId="77777777" w:rsidTr="00040455">
        <w:tblPrEx>
          <w:jc w:val="left"/>
        </w:tblPrEx>
        <w:trPr>
          <w:trHeight w:val="300"/>
        </w:trPr>
        <w:tc>
          <w:tcPr>
            <w:tcW w:w="3002" w:type="dxa"/>
            <w:noWrap/>
            <w:vAlign w:val="center"/>
          </w:tcPr>
          <w:p w14:paraId="0D1CB76B"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Workplace safety control</w:t>
            </w:r>
          </w:p>
        </w:tc>
        <w:tc>
          <w:tcPr>
            <w:tcW w:w="1337" w:type="dxa"/>
            <w:noWrap/>
            <w:vAlign w:val="center"/>
          </w:tcPr>
          <w:p w14:paraId="21B53A9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4094BD71"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Implementation of safety protocols and regular monitoring to prevent workplace accidents and ensure the health and well-being of all workers in the production chain</w:t>
            </w:r>
          </w:p>
        </w:tc>
        <w:tc>
          <w:tcPr>
            <w:tcW w:w="1560" w:type="dxa"/>
            <w:vAlign w:val="center"/>
          </w:tcPr>
          <w:p w14:paraId="2534800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Number of accidents/incidents reported; Compliance rate with safety standards</w:t>
            </w:r>
          </w:p>
        </w:tc>
        <w:tc>
          <w:tcPr>
            <w:tcW w:w="3827" w:type="dxa"/>
            <w:vAlign w:val="center"/>
          </w:tcPr>
          <w:p w14:paraId="6A21510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 Automotive manufacturing, Home Appliance Manufacturing, Leather Industry</w:t>
            </w:r>
          </w:p>
        </w:tc>
        <w:tc>
          <w:tcPr>
            <w:tcW w:w="1576" w:type="dxa"/>
            <w:vAlign w:val="center"/>
          </w:tcPr>
          <w:p w14:paraId="1B2F7A3A" w14:textId="7AE57EA6"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{"citationID":"yXZwgP0q","properties":{"formattedCitation":"[73,79]","plainCitation":"[73,79]","noteIndex":0},"citationItems":[{"id":3202,"uris":["http://zotero.org/users/local/05JQq5lJ/items/L55R7VJT"],"itemData":{"id":3202,"type":"article-journal","abstract":"Sustainability is a growing concern for manufacturing companies, as they are major contributors to pollution and consume a substantial portion of the world´s natural resources. Sustainable manufacturing can reduce waste, conserve energy and increase resource efficiency. However, one of the main challenges facing manufacturing organisations to put sustainability into practice is the lack of understanding of the cause-and-effect relationships between critical indicators of sustainable manufacturing. To overcome this challenge, a novel, rigorous and integrated framework, composed of four quantitative methods, is proposed to analyse critical indicators of sustainable manufacturing. The analysis is based on responses from both academic and industry experts. These four methods including DEMATEL (decision-making trial and evaluation laboratory), the MMDE (maximum mean de-entropy) algorithm, ISM (interpretive structural modelling) and SEM (structural equation modelling) are uniquely integrated to present statistically validated relationships between critical indicators using information on varying degrees of relationship between them. The final cause-and-effect models for the respondent groups (i.e., researchers and industry experts) are further validated through gathering the viewpoints of a researcher and an industry practitioner for its robustness. The novelty of our research lies in: (1) proposing a novel and integrated rigorous quantitative framework combined with qualitative research method; (2) applying the proposed framework to analyse contextual relationships between critical indicators of implementing sustainability, in the manufacturing sector as a whole, which to the best of authors’ knowledge is the first of its kind; and (3) comparing and contrasting results of researchers and industry practitioners’ groups along with a check of their validation and robustness.","container-title":"Sustainability","DOI":"10.3390/su12041517","ISSN":"2071-1050","issue":"4","language":"en","license":"http://creativecommons.org/licenses/by/3.0/","note":"number: 4\npublisher: Multidisciplinary Digital Publishing Institute","page":"1517","source":"www.mdpi.com","title":"An Integrated Decision-Making Approach for Cause-And-Effect Analysis of Sustainable Manufacturing Indicators","volume":"12","author":[{"family":"Bhanot","given":"Neeraj"},{"family":"Qaiser","given":"Fahham Hasan"},{"family":"Alkahtani","given":"Mohammed"},{"family":"Rehman","given":"Ateekh Ur"}],"issued":{"date-parts":[["2020",1]]}}},{"id":3170,"uris":["http://zotero.org/users/local/05JQq5lJ/items/3DLLB394"],"itemData":{"id":3170,"type":"article-journal","container-title":"Journal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[73,79]</w:t>
            </w:r>
            <w:r w:rsidRPr="001E1D5F">
              <w:rPr>
                <w:rFonts w:cs="Calibri"/>
                <w:color w:val="000000"/>
                <w:sz w:val="21"/>
                <w:szCs w:val="21"/>
                <w:lang w:eastAsia="en-GB"/>
              </w:rPr>
              <w:fldChar w:fldCharType="end"/>
            </w:r>
          </w:p>
        </w:tc>
      </w:tr>
      <w:tr w:rsidR="001E1D5F" w:rsidRPr="001E1D5F" w14:paraId="13043A67" w14:textId="77777777" w:rsidTr="00040455">
        <w:tblPrEx>
          <w:jc w:val="left"/>
        </w:tblPrEx>
        <w:trPr>
          <w:trHeight w:val="300"/>
        </w:trPr>
        <w:tc>
          <w:tcPr>
            <w:tcW w:w="16030" w:type="dxa"/>
            <w:gridSpan w:val="6"/>
            <w:shd w:val="clear" w:color="auto" w:fill="E7E6E6" w:themeFill="background2"/>
            <w:noWrap/>
            <w:vAlign w:val="center"/>
          </w:tcPr>
          <w:p w14:paraId="0D370695"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S5: Governance &amp; Reporting</w:t>
            </w:r>
          </w:p>
        </w:tc>
      </w:tr>
      <w:tr w:rsidR="001E1D5F" w:rsidRPr="001E1D5F" w14:paraId="1A3EA347" w14:textId="77777777" w:rsidTr="00040455">
        <w:tblPrEx>
          <w:jc w:val="left"/>
        </w:tblPrEx>
        <w:trPr>
          <w:trHeight w:val="300"/>
        </w:trPr>
        <w:tc>
          <w:tcPr>
            <w:tcW w:w="3002" w:type="dxa"/>
            <w:noWrap/>
            <w:vAlign w:val="center"/>
          </w:tcPr>
          <w:p w14:paraId="244144B5" w14:textId="77777777" w:rsidR="001E1D5F" w:rsidRPr="001E1D5F" w:rsidRDefault="001E1D5F" w:rsidP="001E1D5F">
            <w:pPr>
              <w:ind w:left="220"/>
              <w:jc w:val="center"/>
              <w:rPr>
                <w:rFonts w:ascii="Calibri" w:hAnsi="Calibri" w:cs="Calibri"/>
                <w:b/>
                <w:bCs/>
                <w:color w:val="000000"/>
                <w:sz w:val="21"/>
                <w:szCs w:val="21"/>
                <w:lang w:eastAsia="en-GB"/>
              </w:rPr>
            </w:pPr>
            <w:r w:rsidRPr="001E1D5F">
              <w:rPr>
                <w:rFonts w:ascii="Calibri" w:hAnsi="Calibri" w:cs="Calibri"/>
                <w:color w:val="000000"/>
                <w:sz w:val="21"/>
                <w:szCs w:val="21"/>
                <w:lang w:eastAsia="en-GB"/>
              </w:rPr>
              <w:t>Reporting Indicator</w:t>
            </w:r>
          </w:p>
        </w:tc>
        <w:tc>
          <w:tcPr>
            <w:tcW w:w="1337" w:type="dxa"/>
            <w:noWrap/>
            <w:vAlign w:val="center"/>
          </w:tcPr>
          <w:p w14:paraId="76F58B9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44F86C9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Covers CSR and local community matters, including the extent and quality of policies, standards, compliance programs, third-party certification and auditing, transparency in reporting activities, and proactive communication (e.g., risk communication and change policies)</w:t>
            </w:r>
          </w:p>
        </w:tc>
        <w:tc>
          <w:tcPr>
            <w:tcW w:w="1560" w:type="dxa"/>
            <w:vAlign w:val="center"/>
          </w:tcPr>
          <w:p w14:paraId="096B46DC"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responses to qualitative and quantitative aspects (e.g., -5 to +5 scale).</w:t>
            </w:r>
          </w:p>
        </w:tc>
        <w:tc>
          <w:tcPr>
            <w:tcW w:w="3827" w:type="dxa"/>
            <w:vAlign w:val="center"/>
          </w:tcPr>
          <w:p w14:paraId="738A238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Process Industry, Metal Manufacturing</w:t>
            </w:r>
          </w:p>
        </w:tc>
        <w:tc>
          <w:tcPr>
            <w:tcW w:w="1576" w:type="dxa"/>
            <w:vAlign w:val="center"/>
          </w:tcPr>
          <w:p w14:paraId="15813E45" w14:textId="2C0CD85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yFPg0cKY","properties":{"formattedCitation":"[85\\uc0\\u8211{}87]","plainCitation":"[85–87]","noteIndex":0},"citationItems":[{"id":3180,"uris":["http://zotero.org/users/local/05JQq5lJ/items/LAAD4E3E"],"itemData":{"id":3180,"type":"article-journal","container-title":"International Journal of Sustainable Engineering","DOI":"10.1080/19397038.2013.800166","ISSN":"1939-7038, 1939-7046","issue":"2","journalAbbreviation":"International Journal of Sustainable Engineering","language":"en","page":"171-182","source":"DOI.org (Crossref)","title":"Social metrics in the process industry: background, theory and development work","title-short":"Social metrics in the process industry","volume":"7","author":[{"family":"Husgafvel","given":"Roope"},{"family":"Pajunen","given":"Nani"},{"family":"Päällysaho","given":"Minna"},{"family":"Paavola","given":"Inga-Liisa"},{"family":"Inkinen","given":"Ville"},{"family":"Heiskanen","given":"Kari"},{"family":"Dahl","given":"Olli"},{"family":"Ekroos","given":"Ari"}],"issued":{"date-parts":[["2014",4,3]]}}},{"id":3179,"uris":["http://zotero.org/users/local/05JQq5lJ/items/FHAT39UN"],"itemData":{"id":3179,"type":"article-journal","container-title":"International Journal of Sustainable Engineering","DOI":"10.1080/19397038.2014.898711","ISSN":"1939-7038, 1939-7046","issue":"1","journalAbbreviation":"International Journal of Sustainable Engineering","language":"en","page":"14-25","source":"DOI.org (Crossref)","title":"Social sustainability performance indicators – experiences from process industry","volume":"8","author":[{"family":"Husgafvel","given":"Roope"},{"family":"Pajunen","given":"Nani"},{"family":"Virtanen","given":"Kirsi"},{"family":"Paavola","given":"Inga-Liisa"},{"family":"Päällysaho","given":"Minna"},{"family":"Inkinen","given":"Ville"},{"family":"Heiskanen","given":"Kari"},{"family":"Dahl","given":"Olli"},{"family":"Ekroos","given":"Ari"}],"issued":{"date-parts":[["2015",1,2]]}}},{"id":3182,"uris":["http://zotero.org/users/local/05JQq5lJ/items/24K6PY7M"],"itemData":{"id":3182,"type":"paper-conference","container-title":"26th International Mineral Processing Congress IMPC 2012 New Delhi, India. 24.-28.9. 2012: Innovative Processing for Sustainable Growth-Conference Proceedings","page":"4033–4046","source":"Google Scholar","title":"Metrics for sustainable production in process industry","URL":"https://research.aalto.fi/en/publications/metrics-for-sustainable-production-in-process-industry","author":[{"family":"Päällysaho","given":"Minna"},{"family":"Pajunen","given":"Nani"},{"family":"Husgafvel","given":"R."},{"family":"Wierink","given":"Maaria"},{"family":"Paavola","given":"I. L."},{"family":"Heiskanen","given":"Kari"},{"family":"Dahl","given":"Olli"},{"family":"Ekroos","given":"A."}],"accessed":{"date-parts":[["2024",11,25]]},"issued":{"date-parts":[["2012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[85–87]</w:t>
            </w:r>
            <w:r w:rsidRPr="001E1D5F">
              <w:rPr>
                <w:rFonts w:cs="Calibri"/>
                <w:color w:val="000000"/>
                <w:sz w:val="21"/>
                <w:szCs w:val="21"/>
                <w:lang w:eastAsia="en-GB"/>
              </w:rPr>
              <w:fldChar w:fldCharType="end"/>
            </w:r>
          </w:p>
        </w:tc>
      </w:tr>
      <w:tr w:rsidR="001E1D5F" w:rsidRPr="001E1D5F" w14:paraId="2C1CA3F4" w14:textId="77777777" w:rsidTr="00040455">
        <w:tblPrEx>
          <w:jc w:val="left"/>
        </w:tblPrEx>
        <w:trPr>
          <w:trHeight w:val="300"/>
        </w:trPr>
        <w:tc>
          <w:tcPr>
            <w:tcW w:w="3002" w:type="dxa"/>
            <w:noWrap/>
            <w:vAlign w:val="center"/>
          </w:tcPr>
          <w:p w14:paraId="700A95D5"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Location Indicator</w:t>
            </w:r>
          </w:p>
        </w:tc>
        <w:tc>
          <w:tcPr>
            <w:tcW w:w="1337" w:type="dxa"/>
            <w:noWrap/>
            <w:vAlign w:val="center"/>
          </w:tcPr>
          <w:p w14:paraId="612311A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1969F91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Encompasses governance dimensions such as voice and accountability, political stability, government effectiveness, regulatory quality, rule of law, and control of corruption, supporting cross-country comparisons and trend evaluations</w:t>
            </w:r>
          </w:p>
        </w:tc>
        <w:tc>
          <w:tcPr>
            <w:tcW w:w="1560" w:type="dxa"/>
            <w:vAlign w:val="center"/>
          </w:tcPr>
          <w:p w14:paraId="11856F4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Reported in standard normal units (-2.5 to 2.5) and percentile rank (0 to 100)</w:t>
            </w:r>
          </w:p>
        </w:tc>
        <w:tc>
          <w:tcPr>
            <w:tcW w:w="3827" w:type="dxa"/>
            <w:vAlign w:val="center"/>
          </w:tcPr>
          <w:p w14:paraId="470B9A3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Process Industry, Metal Manufacturing</w:t>
            </w:r>
          </w:p>
        </w:tc>
        <w:tc>
          <w:tcPr>
            <w:tcW w:w="1576" w:type="dxa"/>
            <w:vAlign w:val="center"/>
          </w:tcPr>
          <w:p w14:paraId="23270CA4" w14:textId="7A26B17D"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8CgRsp0i","properties":{"formattedCitation":"[85\\uc0\\u8211{}87]","plainCitation":"[85–87]","noteIndex":0},"citationItems":[{"id":3180,"uris":["http://zotero.org/users/local/05JQq5lJ/items/LAAD4E3E"],"itemData":{"id":3180,"type":"article-journal","container-title":"International Journal of Sustainable Engineering","DOI":"10.1080/19397038.2013.800166","ISSN":"1939-7038, 1939-7046","issue":"2","journalAbbreviation":"International Journal of Sustainable Engineering","language":"en","page":"171-182","source":"DOI.org (Crossref)","title":"Social metrics in the process industry: background, theory and development work","title-short":"Social metrics in the process industry","volume":"7","author":[{"family":"Husgafvel","given":"Roope"},{"family":"Pajunen","given":"Nani"},{"family":"Päällysaho","given":"Minna"},{"family":"Paavola","given":"Inga-Liisa"},{"family":"Inkinen","given":"Ville"},{"family":"Heiskanen","given":"Kari"},{"family":"Dahl","given":"Olli"},{"family":"Ekroos","given":"Ari"}],"issued":{"date-parts":[["2014",4,3]]}}},{"id":3179,"uris":["http://zotero.org/users/local/05JQq5lJ/items/FHAT39UN"],"itemData":{"id":3179,"type":"article-journal","container-title":"International Journal of Sustainable Engineering","DOI":"10.1080/19397038.2014.898711","ISSN":"1939-7038, 1939-7046","issue":"1","journalAbbreviation":"International Journal of Sustainable Engineering","language":"en","page":"14-25","source":"DOI.org (Crossref)","title":"Social sustainability performance indicators – experiences from process industry","volume":"8","author":[{"family":"Husgafvel","given":"Roope"},{"family":"Pajunen","given":"Nani"},{"family":"Virtanen","given":"Kirsi"},{"family":"Paavola","given":"Inga-Liisa"},{"family":"Päällysaho","given":"Minna"},{"family":"Inkinen","given":"Ville"},{"family":"Heiskanen","given":"Kari"},{"family":"Dahl","given":"Olli"},{"family":"Ekroos","given":"Ari"}],"issued":{"date-parts":[["2015",1,2]]}}},{"id":3182,"uris":["http://zotero.org/users/local/05JQq5lJ/items/24K6PY7M"],"itemData":{"id":3182,"type":"paper-conference","container-title":"26th International Mineral Processing Congress IMPC 2012 New Delhi, India. 24.-28.9. 2012: Innovative Processing for Sustainable Growth-Conference Proceedings","page":"4033–4046","source":"Google Scholar","title":"Metrics for sustainable production in process industry","URL":"https://research.aalto.fi/en/publications/metrics-for-sustainable-production-in-process-industry","author":[{"family":"Päällysaho","given":"Minna"},{"family":"Pajunen","given":"Nani"},{"family":"Husgafvel","given":"R."},{"family":"Wierink","given":"Maaria"},{"family":"Paavola","given":"I. L."},{"family":"Heiskanen","given":"Kari"},{"family":"Dahl","given":"Olli"},{"family":"Ekroos","given":"A."}],"accessed":{"date-parts":[["2024",11,25]]},"issued":{"date-parts":[["2012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[85–87]</w:t>
            </w:r>
            <w:r w:rsidRPr="001E1D5F">
              <w:rPr>
                <w:rFonts w:cs="Calibri"/>
                <w:color w:val="000000"/>
                <w:sz w:val="21"/>
                <w:szCs w:val="21"/>
                <w:lang w:eastAsia="en-GB"/>
              </w:rPr>
              <w:fldChar w:fldCharType="end"/>
            </w:r>
          </w:p>
        </w:tc>
      </w:tr>
      <w:tr w:rsidR="001E1D5F" w:rsidRPr="001E1D5F" w14:paraId="3570DF8E" w14:textId="77777777" w:rsidTr="00040455">
        <w:tblPrEx>
          <w:jc w:val="left"/>
        </w:tblPrEx>
        <w:trPr>
          <w:trHeight w:val="300"/>
        </w:trPr>
        <w:tc>
          <w:tcPr>
            <w:tcW w:w="16030" w:type="dxa"/>
            <w:gridSpan w:val="6"/>
            <w:shd w:val="clear" w:color="auto" w:fill="E7E6E6" w:themeFill="background2"/>
            <w:noWrap/>
            <w:vAlign w:val="center"/>
          </w:tcPr>
          <w:p w14:paraId="61CAA034" w14:textId="77777777" w:rsidR="001E1D5F" w:rsidRPr="001E1D5F" w:rsidRDefault="001E1D5F" w:rsidP="001E1D5F">
            <w:pPr>
              <w:spacing w:before="60"/>
              <w:rPr>
                <w:rFonts w:cs="Calibri"/>
                <w:color w:val="000000"/>
                <w:sz w:val="21"/>
                <w:szCs w:val="21"/>
                <w:lang w:eastAsia="en-GB"/>
              </w:rPr>
            </w:pPr>
            <w:r w:rsidRPr="001E1D5F">
              <w:rPr>
                <w:rFonts w:ascii="Calibri" w:hAnsi="Calibri" w:cs="Calibri"/>
                <w:b/>
                <w:bCs/>
                <w:color w:val="000000"/>
                <w:sz w:val="21"/>
                <w:szCs w:val="21"/>
                <w:lang w:eastAsia="en-GB"/>
              </w:rPr>
              <w:t>Indicator Group S6: Impacts on Society</w:t>
            </w:r>
          </w:p>
        </w:tc>
      </w:tr>
      <w:tr w:rsidR="001E1D5F" w:rsidRPr="001E1D5F" w14:paraId="54C45083" w14:textId="77777777" w:rsidTr="00040455">
        <w:tblPrEx>
          <w:jc w:val="left"/>
        </w:tblPrEx>
        <w:trPr>
          <w:trHeight w:val="300"/>
        </w:trPr>
        <w:tc>
          <w:tcPr>
            <w:tcW w:w="3002" w:type="dxa"/>
            <w:noWrap/>
            <w:vAlign w:val="center"/>
          </w:tcPr>
          <w:p w14:paraId="463D1D4F"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Number of Workplaces and Personnel in CE Industries</w:t>
            </w:r>
          </w:p>
        </w:tc>
        <w:tc>
          <w:tcPr>
            <w:tcW w:w="1337" w:type="dxa"/>
            <w:noWrap/>
            <w:vAlign w:val="center"/>
          </w:tcPr>
          <w:p w14:paraId="319A278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Quantitative</w:t>
            </w:r>
          </w:p>
        </w:tc>
        <w:tc>
          <w:tcPr>
            <w:tcW w:w="4728" w:type="dxa"/>
            <w:vAlign w:val="center"/>
          </w:tcPr>
          <w:p w14:paraId="01EC53D9"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Monitors the total number of workplaces and employees in CE industries, reflecting sector growth and economic contribution</w:t>
            </w:r>
          </w:p>
        </w:tc>
        <w:tc>
          <w:tcPr>
            <w:tcW w:w="1560" w:type="dxa"/>
            <w:vAlign w:val="center"/>
          </w:tcPr>
          <w:p w14:paraId="6259567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Count of workplaces and employees</w:t>
            </w:r>
          </w:p>
        </w:tc>
        <w:tc>
          <w:tcPr>
            <w:tcW w:w="3827" w:type="dxa"/>
            <w:vAlign w:val="center"/>
          </w:tcPr>
          <w:p w14:paraId="1856FAA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w:t>
            </w:r>
          </w:p>
        </w:tc>
        <w:tc>
          <w:tcPr>
            <w:tcW w:w="1576" w:type="dxa"/>
            <w:vAlign w:val="center"/>
          </w:tcPr>
          <w:p w14:paraId="5BD9FCCE" w14:textId="2E617ACB"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{"citationID":"HVF9AVxh","properties":{"formattedCitation":"[77]","plainCitation":"[77]","noteIndex":0},"citationItems":[{"id":3172,"uris":["http://zotero.org/users/local/05JQq5lJ/items/EK34GDPT"],"itemData":{"id":3172,"type":"article-journal","container-title":"Journal of Cleaner Production","note":"publisher: Elsevier","page":"136238","source":"Google Scholar","title":"How to measure the social sustainability of the circular economy? Developing and piloting social circular economy indicators in Finland","title-short":"How to measure the social sustainability of the circular economy?","volume":"392","author":[{"family":"Pitkänen","given":"Kati"},{"family":"Karppinen","given":"T. K. M."},{"family":"Kautto","given":"Petrus"},{"family":"Pirtonen","given":"Heidi"},{"family":"Salmenperä","given":"Hanna"},{"family":"Savolahti","given":"Hanna"},{"family":"Schubin","given":"Elli"},{"family":"Myllymaa","given":"Tuuli"}],"issued":{"date-parts":[["2023"]]}}}],"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[77]</w:t>
            </w:r>
            <w:r w:rsidRPr="001E1D5F">
              <w:rPr>
                <w:rFonts w:cs="Calibri"/>
                <w:color w:val="000000"/>
                <w:sz w:val="21"/>
                <w:szCs w:val="21"/>
                <w:lang w:eastAsia="en-GB"/>
              </w:rPr>
              <w:fldChar w:fldCharType="end"/>
            </w:r>
          </w:p>
        </w:tc>
      </w:tr>
      <w:tr w:rsidR="001E1D5F" w:rsidRPr="001E1D5F" w14:paraId="45008CDA" w14:textId="77777777" w:rsidTr="00040455">
        <w:tblPrEx>
          <w:jc w:val="left"/>
        </w:tblPrEx>
        <w:trPr>
          <w:trHeight w:val="300"/>
        </w:trPr>
        <w:tc>
          <w:tcPr>
            <w:tcW w:w="3002" w:type="dxa"/>
            <w:noWrap/>
            <w:vAlign w:val="center"/>
          </w:tcPr>
          <w:p w14:paraId="0A519E17"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Consumer Health &amp; Safety</w:t>
            </w:r>
          </w:p>
        </w:tc>
        <w:tc>
          <w:tcPr>
            <w:tcW w:w="1337" w:type="dxa"/>
            <w:noWrap/>
            <w:vAlign w:val="center"/>
          </w:tcPr>
          <w:p w14:paraId="782A8C6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135A3B0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Evaluates the extent to which a company ensures that its products and manufacturing processes do not pose health or safety risks to consumers. This includes compliance with health and safety </w:t>
            </w:r>
            <w:r w:rsidRPr="001E1D5F">
              <w:rPr>
                <w:rFonts w:cs="Calibri"/>
                <w:color w:val="000000"/>
                <w:sz w:val="21"/>
                <w:szCs w:val="21"/>
                <w:lang w:eastAsia="en-GB"/>
              </w:rPr>
              <w:lastRenderedPageBreak/>
              <w:t>regulations, use of non-toxic materials, adherence to product safety standards, and implementation of quality control measures. It also considers product recalls, reported safety incidents, and the presence of consumer protection policies.</w:t>
            </w:r>
          </w:p>
        </w:tc>
        <w:tc>
          <w:tcPr>
            <w:tcW w:w="1560" w:type="dxa"/>
            <w:vAlign w:val="center"/>
          </w:tcPr>
          <w:p w14:paraId="0796E76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 xml:space="preserve">Scored numerically based on response scale (Scale: No </w:t>
            </w:r>
            <w:r w:rsidRPr="001E1D5F">
              <w:rPr>
                <w:rFonts w:cs="Calibri"/>
                <w:color w:val="000000"/>
                <w:sz w:val="21"/>
                <w:szCs w:val="21"/>
                <w:lang w:eastAsia="en-GB"/>
              </w:rPr>
              <w:lastRenderedPageBreak/>
              <w:t xml:space="preserve">Safeguards to Strong Safeguards) </w:t>
            </w:r>
          </w:p>
        </w:tc>
        <w:tc>
          <w:tcPr>
            <w:tcW w:w="3827" w:type="dxa"/>
            <w:vAlign w:val="center"/>
          </w:tcPr>
          <w:p w14:paraId="4337A02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General</w:t>
            </w:r>
          </w:p>
        </w:tc>
        <w:tc>
          <w:tcPr>
            <w:tcW w:w="1576" w:type="dxa"/>
            <w:vAlign w:val="center"/>
          </w:tcPr>
          <w:p w14:paraId="4806B953" w14:textId="7966683C"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{"citationID":"s9CAgn8c","properties":{"formattedCitation":"[84]","plainCitation":"[84]","noteIndex":0},"citationItems":[{"id":3174,"uris":["http://zotero.org/users/local/05JQq5lJ/items/NBL5MC5T"],"itemData":{"id":3174,"type":"article-journal","container-title":"Sustainable Production and Consumption","note":"publisher: Elsevier","page":"101–110","source":"Google Scholar","title":"Social circular economy indicators: Selection through fuzzy delphi method","title-short":"Social circular economy indicators","volume":"26","author":[{"family":"Padilla-Rivera","given":"Alejandro"},{"family":"Carmo","given":"Breno Barros Telles","non-dropping-particle":"do"},{"family":"Arcese","given":"Gabriella"},{"family":"Merveille","given":"Nicolas"}],"issued":{"date-parts":[["2021"]]}}}],"schema":"https://github.com/citation-style-language/schema/raw/master/csl-citation.json"}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[84]</w:t>
            </w:r>
            <w:r w:rsidRPr="001E1D5F">
              <w:rPr>
                <w:rFonts w:cs="Calibri"/>
                <w:color w:val="000000"/>
                <w:sz w:val="21"/>
                <w:szCs w:val="21"/>
                <w:lang w:eastAsia="en-GB"/>
              </w:rPr>
              <w:fldChar w:fldCharType="end"/>
            </w:r>
          </w:p>
        </w:tc>
      </w:tr>
      <w:tr w:rsidR="001E1D5F" w:rsidRPr="001E1D5F" w14:paraId="157EF105" w14:textId="77777777" w:rsidTr="00040455">
        <w:tblPrEx>
          <w:jc w:val="left"/>
        </w:tblPrEx>
        <w:trPr>
          <w:trHeight w:val="300"/>
        </w:trPr>
        <w:tc>
          <w:tcPr>
            <w:tcW w:w="3002" w:type="dxa"/>
            <w:noWrap/>
            <w:vAlign w:val="center"/>
          </w:tcPr>
          <w:p w14:paraId="41287005"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Relationship and actions with local communities</w:t>
            </w:r>
          </w:p>
        </w:tc>
        <w:tc>
          <w:tcPr>
            <w:tcW w:w="1337" w:type="dxa"/>
            <w:noWrap/>
            <w:vAlign w:val="center"/>
          </w:tcPr>
          <w:p w14:paraId="475E4E1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07E61C1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Assesses the extent and nature of a company's engagement with local communities, focusing on corporate initiatives that support social development, economic growth, and environmental well-being (e.g., partnerships with local organizations, investment in community projects)</w:t>
            </w:r>
          </w:p>
        </w:tc>
        <w:tc>
          <w:tcPr>
            <w:tcW w:w="1560" w:type="dxa"/>
            <w:vAlign w:val="center"/>
          </w:tcPr>
          <w:p w14:paraId="21CFD155"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 scale (Scale: No Engagement to Active Programs)</w:t>
            </w:r>
          </w:p>
        </w:tc>
        <w:tc>
          <w:tcPr>
            <w:tcW w:w="3827" w:type="dxa"/>
            <w:vAlign w:val="center"/>
          </w:tcPr>
          <w:p w14:paraId="3C9E67D8"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Textile &amp; Fashion</w:t>
            </w:r>
          </w:p>
        </w:tc>
        <w:tc>
          <w:tcPr>
            <w:tcW w:w="1576" w:type="dxa"/>
            <w:vAlign w:val="center"/>
          </w:tcPr>
          <w:p w14:paraId="2402ABA0" w14:textId="5FC7EC6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{"citationID":"maeveo3t","properties":{"formattedCitation":"[73]","plainCitation":"[73]","noteIndex":0},"citationItems":[{"id":3170,"uris":["http://zotero.org/users/local/05JQq5lJ/items/3DLLB394"],"itemData":{"id":3170,"type":"article-journal","container-title":"Journal of Cleaner Production","note":"publisher: Elsevier","page":"132485","source":"Google Scholar","title":"Circular economy indicators for measuring social innovation in the Brazilian textile and fashion industry","volume":"363","author":[{"family":"Galatti","given":"Leticia Gabriela"},{"family":"Baruque-Ramos","given":"Julia"}],"issued":{"date-parts":[["2022"]]}}}],"schema":"https://github.com/citation-style-language/schema/raw/master/csl-citation.json"}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[73]</w:t>
            </w:r>
            <w:r w:rsidRPr="001E1D5F">
              <w:rPr>
                <w:rFonts w:cs="Calibri"/>
                <w:color w:val="000000"/>
                <w:sz w:val="21"/>
                <w:szCs w:val="21"/>
                <w:lang w:eastAsia="en-GB"/>
              </w:rPr>
              <w:fldChar w:fldCharType="end"/>
            </w:r>
          </w:p>
        </w:tc>
      </w:tr>
      <w:tr w:rsidR="001E1D5F" w:rsidRPr="001E1D5F" w14:paraId="23832E8F" w14:textId="77777777" w:rsidTr="00040455">
        <w:tblPrEx>
          <w:jc w:val="left"/>
        </w:tblPrEx>
        <w:trPr>
          <w:trHeight w:val="300"/>
        </w:trPr>
        <w:tc>
          <w:tcPr>
            <w:tcW w:w="3002" w:type="dxa"/>
            <w:noWrap/>
            <w:vAlign w:val="center"/>
          </w:tcPr>
          <w:p w14:paraId="41F102C4"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Opportunities to situate facilities improving future residents' lives</w:t>
            </w:r>
          </w:p>
        </w:tc>
        <w:tc>
          <w:tcPr>
            <w:tcW w:w="1337" w:type="dxa"/>
            <w:noWrap/>
            <w:vAlign w:val="center"/>
          </w:tcPr>
          <w:p w14:paraId="5603EAA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6F4DCD2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Evaluates the extent to which companies consider social and economic benefits when selecting locations for new facilities.</w:t>
            </w:r>
          </w:p>
        </w:tc>
        <w:tc>
          <w:tcPr>
            <w:tcW w:w="1560" w:type="dxa"/>
            <w:vAlign w:val="center"/>
          </w:tcPr>
          <w:p w14:paraId="16C42BC2"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 scale (Scale: No Consideration to Strong Integration)</w:t>
            </w:r>
          </w:p>
        </w:tc>
        <w:tc>
          <w:tcPr>
            <w:tcW w:w="3827" w:type="dxa"/>
            <w:vAlign w:val="center"/>
          </w:tcPr>
          <w:p w14:paraId="7ECF7C2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Industrial Material Manufacturing</w:t>
            </w:r>
          </w:p>
        </w:tc>
        <w:tc>
          <w:tcPr>
            <w:tcW w:w="1576" w:type="dxa"/>
            <w:vAlign w:val="center"/>
          </w:tcPr>
          <w:p w14:paraId="78DBCE38" w14:textId="641DCFDF"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{"citationID":"l1aox3Jv","properties":{"formattedCitation":"[90]","plainCitation":"[90]","noteIndex":0},"citationItems":[{"id":4619,"uris":["http://zotero.org/users/local/05JQq5lJ/items/4WEW6XMQ"],"itemData":{"id":4619,"type":"article-journal","abstract":"Sustainable development is a global aim, aided in its application by the use of social, environmental and economic indicators for monitoring, planning, and assessment. However, several significant weaknesses are reported which reveal the need for improvement of the social indicators such as problems of being difficult to localize; to measure, and to be complete; being less commonly used; and thus, leading to assessments which are unbalanced across the three domains. Here we demonstrate that a values-based approach called WeValue InSitu, previously known to reliably 'crystallize' local shared values, can be successfully used as a bolt-on process to produce localized social indicators for direct insertion into the SuRF-UK process. SuRF-UK is a widely used decision-support framework for sustainable remediation of brownfield sites, and we apply it here to a hypothetical scenario analysis for a real community in villages near a derelict Salt Lake in Nigeria. Results show the WeValue InSitu approach resolves the reported challenges of localized social indicators, does not introduce any new issues, and in addition provides a route for wider participation and auditability. The study shows that a mechanism of red-flag boundaries may need to be introduced into SuRF-UK to allow veto of unacceptable breaches of social issues by proposed scenarios.","container-title":"Science of The Total Environment","DOI":"10.1016/j.scitotenv.2019.135045","ISSN":"0048-9697","journalAbbreviation":"Science of The Total Environment","page":"135045","source":"ScienceDirect","title":"A values-based approach for generating localized social indicators for use in sustainability assessment and decision-making: Test case of brownfield soft reuse in Nigeria","title-short":"A values-based approach for generating localized social indicators for use in sustainability assessment and decision-making","volume":"711","author":[{"family":"Odii","given":"Elijah C."},{"family":"Ebido","given":"Chike C."},{"family":"Harder","given":"Marie K."}],"issued":{"date-parts":[["2020",4,1]]}}}],"schema":"https://github.com/citation-style-language/schema/raw/master/csl-citation.json"}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[90]</w:t>
            </w:r>
            <w:r w:rsidRPr="001E1D5F">
              <w:rPr>
                <w:rFonts w:cs="Calibri"/>
                <w:color w:val="000000"/>
                <w:sz w:val="21"/>
                <w:szCs w:val="21"/>
                <w:lang w:eastAsia="en-GB"/>
              </w:rPr>
              <w:fldChar w:fldCharType="end"/>
            </w:r>
          </w:p>
        </w:tc>
      </w:tr>
      <w:tr w:rsidR="001E1D5F" w:rsidRPr="001E1D5F" w14:paraId="134F9597" w14:textId="77777777" w:rsidTr="00040455">
        <w:tblPrEx>
          <w:jc w:val="left"/>
        </w:tblPrEx>
        <w:trPr>
          <w:trHeight w:val="300"/>
        </w:trPr>
        <w:tc>
          <w:tcPr>
            <w:tcW w:w="3002" w:type="dxa"/>
            <w:noWrap/>
            <w:vAlign w:val="center"/>
          </w:tcPr>
          <w:p w14:paraId="7A9DF34C"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Potential to attract government attention to ongoing community needs</w:t>
            </w:r>
          </w:p>
        </w:tc>
        <w:tc>
          <w:tcPr>
            <w:tcW w:w="1337" w:type="dxa"/>
            <w:noWrap/>
            <w:vAlign w:val="center"/>
          </w:tcPr>
          <w:p w14:paraId="188B922A"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3D7309E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Measures the company's influence in drawing government attention to pressing local community issues, encouraging policy changes, and securing public support for infrastructure or social development programs. </w:t>
            </w:r>
          </w:p>
        </w:tc>
        <w:tc>
          <w:tcPr>
            <w:tcW w:w="1560" w:type="dxa"/>
            <w:vAlign w:val="center"/>
          </w:tcPr>
          <w:p w14:paraId="0150E3E7"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 scale (Scale: None to Strong Policy Influence)</w:t>
            </w:r>
          </w:p>
        </w:tc>
        <w:tc>
          <w:tcPr>
            <w:tcW w:w="3827" w:type="dxa"/>
            <w:vAlign w:val="center"/>
          </w:tcPr>
          <w:p w14:paraId="1743D2BD"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Industrial Material Manufacturing </w:t>
            </w:r>
          </w:p>
        </w:tc>
        <w:tc>
          <w:tcPr>
            <w:tcW w:w="1576" w:type="dxa"/>
            <w:vAlign w:val="center"/>
          </w:tcPr>
          <w:p w14:paraId="1FF84A85" w14:textId="6DEDBCC5"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{"citationID":"2ApcXZGl","properties":{"formattedCitation":"[90]","plainCitation":"[90]","noteIndex":0},"citationItems":[{"id":4619,"uris":["http://zotero.org/users/local/05JQq5lJ/items/4WEW6XMQ"],"itemData":{"id":4619,"type":"article-journal","abstract":"Sustainable development is a global aim, aided in its application by the use of social, environmental and economic indicators for monitoring, planning, and assessment. However, several significant weaknesses are reported which reveal the need for improvement of the social indicators such as problems of being difficult to localize; to measure, and to be complete; being less commonly used; and thus, leading to assessments which are unbalanced across the three domains. Here we demonstrate that a values-based approach called WeValue InSitu, previously known to reliably 'crystallize' local shared values, can be successfully used as a bolt-on process to produce localized social indicators for direct insertion into the SuRF-UK process. SuRF-UK is a widely used decision-support framework for sustainable remediation of brownfield sites, and we apply it here to a hypothetical scenario analysis for a real community in villages near a derelict Salt Lake in Nigeria. Results show the WeValue InSitu approach resolves the reported challenges of localized social indicators, does not introduce any new issues, and in addition provides a route for wider participation and auditability. The study shows that a mechanism of red-flag boundaries may need to be introduced into SuRF-UK to allow veto of unacceptable breaches of social issues by proposed scenarios.","container-title":"Science of The Total Environment","DOI":"10.1016/j.scitotenv.2019.135045","ISSN":"0048-9697","journalAbbreviation":"Science of The Total Environment","page":"135045","source":"ScienceDirect","title":"A values-based approach for generating localized social indicators for use in sustainability assessment and decision-making: Test case of brownfield soft reuse in Nigeria","title-short":"A values-based approach for generating localized social indicators for use in sustainability assessment and decision-making","volume":"711","author":[{"family":"Odii","given":"Elijah C."},{"family":"Ebido","given":"Chike C."},{"family":"Harder","given":"Marie K."}],"issued":{"date-parts":[["2020",4,1]]}}}],"schema":"https://github.com/citation-style-language/schema/raw/master/csl-citation.json"}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[90]</w:t>
            </w:r>
            <w:r w:rsidRPr="001E1D5F">
              <w:rPr>
                <w:rFonts w:cs="Calibri"/>
                <w:color w:val="000000"/>
                <w:sz w:val="21"/>
                <w:szCs w:val="21"/>
                <w:lang w:eastAsia="en-GB"/>
              </w:rPr>
              <w:fldChar w:fldCharType="end"/>
            </w:r>
          </w:p>
        </w:tc>
      </w:tr>
      <w:tr w:rsidR="001E1D5F" w:rsidRPr="001E1D5F" w14:paraId="4EA0B238" w14:textId="77777777" w:rsidTr="00040455">
        <w:tblPrEx>
          <w:jc w:val="left"/>
        </w:tblPrEx>
        <w:trPr>
          <w:trHeight w:val="300"/>
        </w:trPr>
        <w:tc>
          <w:tcPr>
            <w:tcW w:w="3002" w:type="dxa"/>
            <w:noWrap/>
            <w:vAlign w:val="center"/>
          </w:tcPr>
          <w:p w14:paraId="6F2A85B3"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Fair Trading Relationships</w:t>
            </w:r>
          </w:p>
        </w:tc>
        <w:tc>
          <w:tcPr>
            <w:tcW w:w="1337" w:type="dxa"/>
            <w:noWrap/>
            <w:vAlign w:val="center"/>
          </w:tcPr>
          <w:p w14:paraId="4D58234B"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494ECED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Examines a company's commitment to ethical business practices, particularly in supplier and customer relationships.</w:t>
            </w:r>
          </w:p>
        </w:tc>
        <w:tc>
          <w:tcPr>
            <w:tcW w:w="1560" w:type="dxa"/>
            <w:vAlign w:val="center"/>
          </w:tcPr>
          <w:p w14:paraId="6F61B25E"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Scored numerically based on response scale (Scale: Not Considered to Fully Implemented)</w:t>
            </w:r>
          </w:p>
        </w:tc>
        <w:tc>
          <w:tcPr>
            <w:tcW w:w="3827" w:type="dxa"/>
            <w:vAlign w:val="center"/>
          </w:tcPr>
          <w:p w14:paraId="1204BD0F"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General</w:t>
            </w:r>
          </w:p>
        </w:tc>
        <w:tc>
          <w:tcPr>
            <w:tcW w:w="1576" w:type="dxa"/>
            <w:vAlign w:val="center"/>
          </w:tcPr>
          <w:p w14:paraId="5AD59422" w14:textId="27FFF11E"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{"citationID":"VvWQpxEs","properties":{"formattedCitation":"[84]","plainCitation":"[84]","noteIndex":0},"citationItems":[{"id":3174,"uris":["http://zotero.org/users/local/05JQq5lJ/items/NBL5MC5T"],"itemData":{"id":3174,"type":"article-journal","container-title":"Sustainable Production and Consumption","note":"publisher: Elsevier","page":"101–110","source":"Google Scholar","title":"Social circular economy indicators: Selection through fuzzy delphi method","title-short":"Social circular economy indicators","volume":"26","author":[{"family":"Padilla-Rivera","given":"Alejandro"},{"family":"Carmo","given":"Breno Barros Telles","non-dropping-particle":"do"},{"family":"Arcese","given":"Gabriella"},{"family":"Merveille","given":"Nicolas"}],"issued":{"date-parts":[["2021"]]}}}],"schema":"https://github.com/citation-style-language/schema/raw/master/csl-citation.json"}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[84]</w:t>
            </w:r>
            <w:r w:rsidRPr="001E1D5F">
              <w:rPr>
                <w:rFonts w:cs="Calibri"/>
                <w:color w:val="000000"/>
                <w:sz w:val="21"/>
                <w:szCs w:val="21"/>
                <w:lang w:eastAsia="en-GB"/>
              </w:rPr>
              <w:fldChar w:fldCharType="end"/>
            </w:r>
          </w:p>
        </w:tc>
      </w:tr>
      <w:tr w:rsidR="001E1D5F" w:rsidRPr="001E1D5F" w14:paraId="4C997180" w14:textId="77777777" w:rsidTr="00040455">
        <w:tblPrEx>
          <w:jc w:val="left"/>
        </w:tblPrEx>
        <w:trPr>
          <w:trHeight w:val="300"/>
        </w:trPr>
        <w:tc>
          <w:tcPr>
            <w:tcW w:w="3002" w:type="dxa"/>
            <w:noWrap/>
            <w:vAlign w:val="center"/>
          </w:tcPr>
          <w:p w14:paraId="05E1EE55" w14:textId="77777777" w:rsidR="001E1D5F" w:rsidRPr="001E1D5F" w:rsidRDefault="001E1D5F" w:rsidP="001E1D5F">
            <w:pPr>
              <w:ind w:left="220"/>
              <w:jc w:val="center"/>
              <w:rPr>
                <w:rFonts w:ascii="Calibri" w:hAnsi="Calibri" w:cs="Calibri"/>
                <w:color w:val="000000"/>
                <w:sz w:val="21"/>
                <w:szCs w:val="21"/>
                <w:lang w:eastAsia="en-GB"/>
              </w:rPr>
            </w:pPr>
            <w:r w:rsidRPr="001E1D5F">
              <w:rPr>
                <w:rFonts w:ascii="Calibri" w:hAnsi="Calibri" w:cs="Calibri"/>
                <w:color w:val="000000"/>
                <w:sz w:val="21"/>
                <w:szCs w:val="21"/>
                <w:lang w:eastAsia="en-GB"/>
              </w:rPr>
              <w:t>Philanthropy</w:t>
            </w:r>
          </w:p>
        </w:tc>
        <w:tc>
          <w:tcPr>
            <w:tcW w:w="1337" w:type="dxa"/>
            <w:noWrap/>
            <w:vAlign w:val="center"/>
          </w:tcPr>
          <w:p w14:paraId="4780DA24"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Semi-Quantitative</w:t>
            </w:r>
          </w:p>
        </w:tc>
        <w:tc>
          <w:tcPr>
            <w:tcW w:w="4728" w:type="dxa"/>
            <w:vAlign w:val="center"/>
          </w:tcPr>
          <w:p w14:paraId="353D77D0"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t xml:space="preserve">Assesses the extent to which a company engages in philanthropic activities, including charitable donations, CSR programs, and employee volunteerism. This indicator captures both financial </w:t>
            </w:r>
            <w:r w:rsidRPr="001E1D5F">
              <w:rPr>
                <w:rFonts w:cs="Calibri"/>
                <w:color w:val="000000"/>
                <w:sz w:val="21"/>
                <w:szCs w:val="21"/>
                <w:lang w:eastAsia="en-GB"/>
              </w:rPr>
              <w:lastRenderedPageBreak/>
              <w:t>contributions and non-monetary efforts to support social and environmental causes.</w:t>
            </w:r>
          </w:p>
        </w:tc>
        <w:tc>
          <w:tcPr>
            <w:tcW w:w="1560" w:type="dxa"/>
            <w:vAlign w:val="center"/>
          </w:tcPr>
          <w:p w14:paraId="122A2D26"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 xml:space="preserve">Scored numerically based on response scale (Scale: None </w:t>
            </w:r>
            <w:r w:rsidRPr="001E1D5F">
              <w:rPr>
                <w:rFonts w:cs="Calibri"/>
                <w:color w:val="000000"/>
                <w:sz w:val="21"/>
                <w:szCs w:val="21"/>
                <w:lang w:eastAsia="en-GB"/>
              </w:rPr>
              <w:lastRenderedPageBreak/>
              <w:t>to High Contribution)</w:t>
            </w:r>
          </w:p>
        </w:tc>
        <w:tc>
          <w:tcPr>
            <w:tcW w:w="3827" w:type="dxa"/>
            <w:vAlign w:val="center"/>
          </w:tcPr>
          <w:p w14:paraId="7712C253" w14:textId="77777777"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lastRenderedPageBreak/>
              <w:t>General</w:t>
            </w:r>
          </w:p>
        </w:tc>
        <w:tc>
          <w:tcPr>
            <w:tcW w:w="1576" w:type="dxa"/>
            <w:vAlign w:val="center"/>
          </w:tcPr>
          <w:p w14:paraId="25B5DAD9" w14:textId="4CE05F8F" w:rsidR="001E1D5F" w:rsidRPr="001E1D5F" w:rsidRDefault="001E1D5F" w:rsidP="001E1D5F">
            <w:pPr>
              <w:spacing w:before="60"/>
              <w:jc w:val="center"/>
              <w:rPr>
                <w:rFonts w:cs="Calibri"/>
                <w:color w:val="000000"/>
                <w:sz w:val="21"/>
                <w:szCs w:val="21"/>
                <w:lang w:eastAsia="en-GB"/>
              </w:rPr>
            </w:pPr>
            <w:r w:rsidRPr="001E1D5F">
              <w:rPr>
                <w:rFonts w:cs="Calibri"/>
                <w:color w:val="000000"/>
                <w:sz w:val="21"/>
                <w:szCs w:val="21"/>
                <w:lang w:eastAsia="en-GB"/>
              </w:rPr>
              <w:fldChar w:fldCharType="begin"/>
            </w:r>
            <w:r w:rsidR="00C41CDD">
              <w:rPr>
                <w:rFonts w:cs="Calibri"/>
                <w:color w:val="000000"/>
                <w:sz w:val="21"/>
                <w:szCs w:val="21"/>
                <w:lang w:eastAsia="en-GB"/>
              </w:rPr>
              <w:instrText xml:space="preserve"> ADDIN ZOTERO_ITEM CSL_CITATION {"citationID":"XxbQq1EY","properties":{"formattedCitation":"[91]","plainCitation":"[91]","noteIndex":0},"citationItems":[{"id":4617,"uris":["http://zotero.org/users/local/05JQq5lJ/items/2GCCPSJC"],"itemData":{"id":4617,"type":"article-journal","abstract":"Sustainability recognizes the interdependence of ecological, social, and economic systems – the three pillars of sustainability. The definition of corporate social responsibility (CSR) often advocates ethical behavior with respect to these systems. As more corporations commit to sustainability and CSR policies, there is increasing pressure to consider social impacts throughout the supply chain. This paper reviews metrics, indicators, and frameworks of social impacts and initiatives relative to their ability to evaluate the social sustainability of supply chains. Then, the relationship between business decision-making and social sustainability is explored with attention initially focused on directly impacting national level measures. A general strategy for considering measures of social sustainability is proposed, and a variety of indicators of CSR are described. Several of these indicators are then employed in an example to demonstrate how they may be applied to supply chain decision-making.","collection-title":"Sustainability and Supply Chain Management","container-title":"Journal of Cleaner Production","DOI":"10.1016/j.jclepro.2008.06.001","ISSN":"0959-6526","issue":"15","journalAbbreviation":"Journal of Cleaner Production","page":"1688-1698","source":"ScienceDirect","title":"An exploration of measures of social sustainability and their application to supply chain decisions","volume":"16","author":[{"family":"Hutchins","given":"Margot J."},{"family":"Sutherland","given":"John W."}],"issued":{"date-parts":[["2008",10,1]]}}}],"schema":"https://github.com/citation-style-language/schema/raw/master/csl-citation.json"} </w:instrText>
            </w:r>
            <w:r w:rsidRPr="001E1D5F">
              <w:rPr>
                <w:rFonts w:cs="Calibri"/>
                <w:color w:val="000000"/>
                <w:sz w:val="21"/>
                <w:szCs w:val="21"/>
                <w:lang w:eastAsia="en-GB"/>
              </w:rPr>
              <w:fldChar w:fldCharType="separate"/>
            </w:r>
            <w:r w:rsidR="00C41CDD" w:rsidRPr="00C41CDD">
              <w:rPr>
                <w:rFonts w:ascii="Calibri" w:hAnsi="Calibri" w:cs="Calibri"/>
                <w:sz w:val="21"/>
              </w:rPr>
              <w:t>[91]</w:t>
            </w:r>
            <w:r w:rsidRPr="001E1D5F">
              <w:rPr>
                <w:rFonts w:cs="Calibri"/>
                <w:color w:val="000000"/>
                <w:sz w:val="21"/>
                <w:szCs w:val="21"/>
                <w:lang w:eastAsia="en-GB"/>
              </w:rPr>
              <w:fldChar w:fldCharType="end"/>
            </w:r>
          </w:p>
        </w:tc>
      </w:tr>
    </w:tbl>
    <w:p w14:paraId="05B68270" w14:textId="34C20C5B" w:rsidR="004A7E73" w:rsidRDefault="004A7E73"/>
    <w:p w14:paraId="49C27D23" w14:textId="5A2908CC" w:rsidR="00C41CDD" w:rsidRPr="00C41CDD" w:rsidRDefault="00C41CDD">
      <w:pPr>
        <w:rPr>
          <w:b/>
          <w:bCs/>
          <w:sz w:val="24"/>
          <w:szCs w:val="24"/>
        </w:rPr>
      </w:pPr>
      <w:r w:rsidRPr="00C41CDD">
        <w:rPr>
          <w:b/>
          <w:bCs/>
          <w:sz w:val="24"/>
          <w:szCs w:val="24"/>
        </w:rPr>
        <w:t>References</w:t>
      </w:r>
    </w:p>
    <w:p w14:paraId="68D7F2EC" w14:textId="77777777" w:rsidR="00C41CDD" w:rsidRPr="00C41CDD" w:rsidRDefault="00C41CDD" w:rsidP="00C41CDD">
      <w:pPr>
        <w:pStyle w:val="ad"/>
        <w:rPr>
          <w:rFonts w:ascii="Calibri" w:hAnsi="Calibri" w:cs="Calibri"/>
        </w:rPr>
      </w:pPr>
      <w:r>
        <w:fldChar w:fldCharType="begin"/>
      </w:r>
      <w:r>
        <w:instrText xml:space="preserve"> ADDIN ZOTERO_BIBL {"uncited":[],"omitted":[],"custom":[]} CSL_BIBLIOGRAPHY </w:instrText>
      </w:r>
      <w:r>
        <w:fldChar w:fldCharType="separate"/>
      </w:r>
      <w:r w:rsidRPr="00C41CDD">
        <w:rPr>
          <w:rFonts w:ascii="Calibri" w:hAnsi="Calibri" w:cs="Calibri"/>
        </w:rPr>
        <w:t xml:space="preserve">1. </w:t>
      </w:r>
      <w:r w:rsidRPr="00C41CDD">
        <w:rPr>
          <w:rFonts w:ascii="Calibri" w:hAnsi="Calibri" w:cs="Calibri"/>
        </w:rPr>
        <w:tab/>
        <w:t xml:space="preserve">Figge, F.; Thorpe, A.S.; Givry, P.; Canning, L.; Franklin-Johnson, E. Longevity and Circularity as Indicators of Eco-Efficient Resource Use in the Circular Economy. </w:t>
      </w:r>
      <w:r w:rsidRPr="00C41CDD">
        <w:rPr>
          <w:rFonts w:ascii="Calibri" w:hAnsi="Calibri" w:cs="Calibri"/>
          <w:i/>
          <w:iCs/>
        </w:rPr>
        <w:t>Ecological Economics</w:t>
      </w:r>
      <w:r w:rsidRPr="00C41CDD">
        <w:rPr>
          <w:rFonts w:ascii="Calibri" w:hAnsi="Calibri" w:cs="Calibri"/>
        </w:rPr>
        <w:t xml:space="preserve"> </w:t>
      </w:r>
      <w:r w:rsidRPr="00C41CDD">
        <w:rPr>
          <w:rFonts w:ascii="Calibri" w:hAnsi="Calibri" w:cs="Calibri"/>
          <w:b/>
          <w:bCs/>
        </w:rPr>
        <w:t>2018</w:t>
      </w:r>
      <w:r w:rsidRPr="00C41CDD">
        <w:rPr>
          <w:rFonts w:ascii="Calibri" w:hAnsi="Calibri" w:cs="Calibri"/>
        </w:rPr>
        <w:t xml:space="preserve">, </w:t>
      </w:r>
      <w:r w:rsidRPr="00C41CDD">
        <w:rPr>
          <w:rFonts w:ascii="Calibri" w:hAnsi="Calibri" w:cs="Calibri"/>
          <w:i/>
          <w:iCs/>
        </w:rPr>
        <w:t>150</w:t>
      </w:r>
      <w:r w:rsidRPr="00C41CDD">
        <w:rPr>
          <w:rFonts w:ascii="Calibri" w:hAnsi="Calibri" w:cs="Calibri"/>
        </w:rPr>
        <w:t xml:space="preserve">, 297–306, </w:t>
      </w:r>
      <w:proofErr w:type="gramStart"/>
      <w:r w:rsidRPr="00C41CDD">
        <w:rPr>
          <w:rFonts w:ascii="Calibri" w:hAnsi="Calibri" w:cs="Calibri"/>
        </w:rPr>
        <w:t>doi:10.1016/j.ecolecon</w:t>
      </w:r>
      <w:proofErr w:type="gramEnd"/>
      <w:r w:rsidRPr="00C41CDD">
        <w:rPr>
          <w:rFonts w:ascii="Calibri" w:hAnsi="Calibri" w:cs="Calibri"/>
        </w:rPr>
        <w:t>.2018.04.030.</w:t>
      </w:r>
    </w:p>
    <w:p w14:paraId="3F8F3F9F" w14:textId="77777777" w:rsidR="00C41CDD" w:rsidRPr="00C41CDD" w:rsidRDefault="00C41CDD" w:rsidP="00C41CDD">
      <w:pPr>
        <w:pStyle w:val="ad"/>
        <w:rPr>
          <w:rFonts w:ascii="Calibri" w:hAnsi="Calibri" w:cs="Calibri"/>
        </w:rPr>
      </w:pPr>
      <w:r w:rsidRPr="00C41CDD">
        <w:rPr>
          <w:rFonts w:ascii="Calibri" w:hAnsi="Calibri" w:cs="Calibri"/>
        </w:rPr>
        <w:t xml:space="preserve">2. </w:t>
      </w:r>
      <w:r w:rsidRPr="00C41CDD">
        <w:rPr>
          <w:rFonts w:ascii="Calibri" w:hAnsi="Calibri" w:cs="Calibri"/>
        </w:rPr>
        <w:tab/>
        <w:t xml:space="preserve">Saidani, M.; Kreuder, A.; Babilonia, G.; Benavides, P.T.; Blume, N.; Jackson, S.; Koffler, C.; Kumar, M.; Minke, C.; Richkus, J.; et al. Clarify the Nexus between Life Cycle Assessment and Circularity Indicators: A SETAC/ACLCA Interest Group. </w:t>
      </w:r>
      <w:r w:rsidRPr="00C41CDD">
        <w:rPr>
          <w:rFonts w:ascii="Calibri" w:hAnsi="Calibri" w:cs="Calibri"/>
          <w:i/>
          <w:iCs/>
        </w:rPr>
        <w:t>Int J Life Cycle Assess</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27</w:t>
      </w:r>
      <w:r w:rsidRPr="00C41CDD">
        <w:rPr>
          <w:rFonts w:ascii="Calibri" w:hAnsi="Calibri" w:cs="Calibri"/>
        </w:rPr>
        <w:t>, 916–925, doi:10.1007/s11367-022-02061-w.</w:t>
      </w:r>
    </w:p>
    <w:p w14:paraId="75888236" w14:textId="77777777" w:rsidR="00C41CDD" w:rsidRPr="00C41CDD" w:rsidRDefault="00C41CDD" w:rsidP="00C41CDD">
      <w:pPr>
        <w:pStyle w:val="ad"/>
        <w:rPr>
          <w:rFonts w:ascii="Calibri" w:hAnsi="Calibri" w:cs="Calibri"/>
        </w:rPr>
      </w:pPr>
      <w:r w:rsidRPr="00C41CDD">
        <w:rPr>
          <w:rFonts w:ascii="Calibri" w:hAnsi="Calibri" w:cs="Calibri"/>
        </w:rPr>
        <w:t xml:space="preserve">3. </w:t>
      </w:r>
      <w:r w:rsidRPr="00C41CDD">
        <w:rPr>
          <w:rFonts w:ascii="Calibri" w:hAnsi="Calibri" w:cs="Calibri"/>
        </w:rPr>
        <w:tab/>
        <w:t xml:space="preserve">Saidani, M.; Kim, H. Nexus Between Life Cycle Assessment, Circularity, and Sustainability Indicators—Part I: A Review. </w:t>
      </w:r>
      <w:proofErr w:type="spellStart"/>
      <w:proofErr w:type="gramStart"/>
      <w:r w:rsidRPr="00C41CDD">
        <w:rPr>
          <w:rFonts w:ascii="Calibri" w:hAnsi="Calibri" w:cs="Calibri"/>
          <w:i/>
          <w:iCs/>
        </w:rPr>
        <w:t>Circ.Econ.Sust</w:t>
      </w:r>
      <w:proofErr w:type="spellEnd"/>
      <w:proofErr w:type="gramEnd"/>
      <w:r w:rsidRPr="00C41CDD">
        <w:rPr>
          <w:rFonts w:ascii="Calibri" w:hAnsi="Calibri" w:cs="Calibri"/>
          <w:i/>
          <w:iCs/>
        </w:rPr>
        <w:t>.</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2</w:t>
      </w:r>
      <w:r w:rsidRPr="00C41CDD">
        <w:rPr>
          <w:rFonts w:ascii="Calibri" w:hAnsi="Calibri" w:cs="Calibri"/>
        </w:rPr>
        <w:t>, 1143–1156, doi:10.1007/s43615-022-00159-9.</w:t>
      </w:r>
    </w:p>
    <w:p w14:paraId="10F84E73" w14:textId="77777777" w:rsidR="00C41CDD" w:rsidRPr="00C41CDD" w:rsidRDefault="00C41CDD" w:rsidP="00C41CDD">
      <w:pPr>
        <w:pStyle w:val="ad"/>
        <w:rPr>
          <w:rFonts w:ascii="Calibri" w:hAnsi="Calibri" w:cs="Calibri"/>
        </w:rPr>
      </w:pPr>
      <w:r w:rsidRPr="00C41CDD">
        <w:rPr>
          <w:rFonts w:ascii="Calibri" w:hAnsi="Calibri" w:cs="Calibri"/>
        </w:rPr>
        <w:t xml:space="preserve">4. </w:t>
      </w:r>
      <w:r w:rsidRPr="00C41CDD">
        <w:rPr>
          <w:rFonts w:ascii="Calibri" w:hAnsi="Calibri" w:cs="Calibri"/>
        </w:rPr>
        <w:tab/>
        <w:t xml:space="preserve">De Pascale, A.; </w:t>
      </w:r>
      <w:proofErr w:type="spellStart"/>
      <w:r w:rsidRPr="00C41CDD">
        <w:rPr>
          <w:rFonts w:ascii="Calibri" w:hAnsi="Calibri" w:cs="Calibri"/>
        </w:rPr>
        <w:t>Arbolino</w:t>
      </w:r>
      <w:proofErr w:type="spellEnd"/>
      <w:r w:rsidRPr="00C41CDD">
        <w:rPr>
          <w:rFonts w:ascii="Calibri" w:hAnsi="Calibri" w:cs="Calibri"/>
        </w:rPr>
        <w:t xml:space="preserve">, R.; </w:t>
      </w:r>
      <w:proofErr w:type="spellStart"/>
      <w:r w:rsidRPr="00C41CDD">
        <w:rPr>
          <w:rFonts w:ascii="Calibri" w:hAnsi="Calibri" w:cs="Calibri"/>
        </w:rPr>
        <w:t>Szopik-Depczyńska</w:t>
      </w:r>
      <w:proofErr w:type="spellEnd"/>
      <w:r w:rsidRPr="00C41CDD">
        <w:rPr>
          <w:rFonts w:ascii="Calibri" w:hAnsi="Calibri" w:cs="Calibri"/>
        </w:rPr>
        <w:t xml:space="preserve">, K.; </w:t>
      </w:r>
      <w:proofErr w:type="spellStart"/>
      <w:r w:rsidRPr="00C41CDD">
        <w:rPr>
          <w:rFonts w:ascii="Calibri" w:hAnsi="Calibri" w:cs="Calibri"/>
        </w:rPr>
        <w:t>Limosani</w:t>
      </w:r>
      <w:proofErr w:type="spellEnd"/>
      <w:r w:rsidRPr="00C41CDD">
        <w:rPr>
          <w:rFonts w:ascii="Calibri" w:hAnsi="Calibri" w:cs="Calibri"/>
        </w:rPr>
        <w:t xml:space="preserve">, M.; Ioppolo, G. A Systematic Review for Measuring Circular Economy: The 61 Indicators.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281</w:t>
      </w:r>
      <w:r w:rsidRPr="00C41CDD">
        <w:rPr>
          <w:rFonts w:ascii="Calibri" w:hAnsi="Calibri" w:cs="Calibri"/>
        </w:rPr>
        <w:t xml:space="preserve">, 124942, </w:t>
      </w:r>
      <w:proofErr w:type="gramStart"/>
      <w:r w:rsidRPr="00C41CDD">
        <w:rPr>
          <w:rFonts w:ascii="Calibri" w:hAnsi="Calibri" w:cs="Calibri"/>
        </w:rPr>
        <w:t>doi:10.1016/j.jclepro</w:t>
      </w:r>
      <w:proofErr w:type="gramEnd"/>
      <w:r w:rsidRPr="00C41CDD">
        <w:rPr>
          <w:rFonts w:ascii="Calibri" w:hAnsi="Calibri" w:cs="Calibri"/>
        </w:rPr>
        <w:t>.2020.124942.</w:t>
      </w:r>
    </w:p>
    <w:p w14:paraId="20E65CEF" w14:textId="77777777" w:rsidR="00C41CDD" w:rsidRPr="00C41CDD" w:rsidRDefault="00C41CDD" w:rsidP="00C41CDD">
      <w:pPr>
        <w:pStyle w:val="ad"/>
        <w:rPr>
          <w:rFonts w:ascii="Calibri" w:hAnsi="Calibri" w:cs="Calibri"/>
        </w:rPr>
      </w:pPr>
      <w:r w:rsidRPr="00C41CDD">
        <w:rPr>
          <w:rFonts w:ascii="Calibri" w:hAnsi="Calibri" w:cs="Calibri"/>
        </w:rPr>
        <w:t xml:space="preserve">5. </w:t>
      </w:r>
      <w:r w:rsidRPr="00C41CDD">
        <w:rPr>
          <w:rFonts w:ascii="Calibri" w:hAnsi="Calibri" w:cs="Calibri"/>
        </w:rPr>
        <w:tab/>
        <w:t xml:space="preserve">Halada, K.; </w:t>
      </w:r>
      <w:proofErr w:type="spellStart"/>
      <w:r w:rsidRPr="00C41CDD">
        <w:rPr>
          <w:rFonts w:ascii="Calibri" w:hAnsi="Calibri" w:cs="Calibri"/>
        </w:rPr>
        <w:t>Tahara</w:t>
      </w:r>
      <w:proofErr w:type="spellEnd"/>
      <w:r w:rsidRPr="00C41CDD">
        <w:rPr>
          <w:rFonts w:ascii="Calibri" w:hAnsi="Calibri" w:cs="Calibri"/>
        </w:rPr>
        <w:t>, K.; Matsumoto, M. New Indicators ‘</w:t>
      </w:r>
      <w:proofErr w:type="spellStart"/>
      <w:r w:rsidRPr="00C41CDD">
        <w:rPr>
          <w:rFonts w:ascii="Calibri" w:hAnsi="Calibri" w:cs="Calibri"/>
        </w:rPr>
        <w:t>Acircularity</w:t>
      </w:r>
      <w:proofErr w:type="spellEnd"/>
      <w:r w:rsidRPr="00C41CDD">
        <w:rPr>
          <w:rFonts w:ascii="Calibri" w:hAnsi="Calibri" w:cs="Calibri"/>
        </w:rPr>
        <w:t xml:space="preserve">’ and ‘Resource Efficiency Account’ to Evaluate the Efforts of Eco-Design in Circular Economy. </w:t>
      </w:r>
      <w:r w:rsidRPr="00C41CDD">
        <w:rPr>
          <w:rFonts w:ascii="Calibri" w:hAnsi="Calibri" w:cs="Calibri"/>
          <w:i/>
          <w:iCs/>
        </w:rPr>
        <w:t>International Journal of Automation Technology</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 684–695, doi:10.20965/</w:t>
      </w:r>
      <w:proofErr w:type="gramStart"/>
      <w:r w:rsidRPr="00C41CDD">
        <w:rPr>
          <w:rFonts w:ascii="Calibri" w:hAnsi="Calibri" w:cs="Calibri"/>
        </w:rPr>
        <w:t>ijat.2022.p</w:t>
      </w:r>
      <w:proofErr w:type="gramEnd"/>
      <w:r w:rsidRPr="00C41CDD">
        <w:rPr>
          <w:rFonts w:ascii="Calibri" w:hAnsi="Calibri" w:cs="Calibri"/>
        </w:rPr>
        <w:t>0684.</w:t>
      </w:r>
    </w:p>
    <w:p w14:paraId="4087F76B" w14:textId="77777777" w:rsidR="00C41CDD" w:rsidRPr="00C41CDD" w:rsidRDefault="00C41CDD" w:rsidP="00C41CDD">
      <w:pPr>
        <w:pStyle w:val="ad"/>
        <w:rPr>
          <w:rFonts w:ascii="Calibri" w:hAnsi="Calibri" w:cs="Calibri"/>
        </w:rPr>
      </w:pPr>
      <w:r w:rsidRPr="00C41CDD">
        <w:rPr>
          <w:rFonts w:ascii="Calibri" w:hAnsi="Calibri" w:cs="Calibri"/>
        </w:rPr>
        <w:t xml:space="preserve">6. </w:t>
      </w:r>
      <w:r w:rsidRPr="00C41CDD">
        <w:rPr>
          <w:rFonts w:ascii="Calibri" w:hAnsi="Calibri" w:cs="Calibri"/>
        </w:rPr>
        <w:tab/>
        <w:t xml:space="preserve">Maio, F.D.; Rem, P.C. A Robust Indicator for Promoting Circular Economy through Recycling. </w:t>
      </w:r>
      <w:r w:rsidRPr="00C41CDD">
        <w:rPr>
          <w:rFonts w:ascii="Calibri" w:hAnsi="Calibri" w:cs="Calibri"/>
          <w:i/>
          <w:iCs/>
        </w:rPr>
        <w:t>Journal of Environmental Protection</w:t>
      </w:r>
      <w:r w:rsidRPr="00C41CDD">
        <w:rPr>
          <w:rFonts w:ascii="Calibri" w:hAnsi="Calibri" w:cs="Calibri"/>
        </w:rPr>
        <w:t xml:space="preserve"> </w:t>
      </w:r>
      <w:r w:rsidRPr="00C41CDD">
        <w:rPr>
          <w:rFonts w:ascii="Calibri" w:hAnsi="Calibri" w:cs="Calibri"/>
          <w:b/>
          <w:bCs/>
        </w:rPr>
        <w:t>2015</w:t>
      </w:r>
      <w:r w:rsidRPr="00C41CDD">
        <w:rPr>
          <w:rFonts w:ascii="Calibri" w:hAnsi="Calibri" w:cs="Calibri"/>
        </w:rPr>
        <w:t xml:space="preserve">, </w:t>
      </w:r>
      <w:r w:rsidRPr="00C41CDD">
        <w:rPr>
          <w:rFonts w:ascii="Calibri" w:hAnsi="Calibri" w:cs="Calibri"/>
          <w:i/>
          <w:iCs/>
        </w:rPr>
        <w:t>6</w:t>
      </w:r>
      <w:r w:rsidRPr="00C41CDD">
        <w:rPr>
          <w:rFonts w:ascii="Calibri" w:hAnsi="Calibri" w:cs="Calibri"/>
        </w:rPr>
        <w:t>, 1095–1104, doi:10.4236/jep.2015.610096.</w:t>
      </w:r>
    </w:p>
    <w:p w14:paraId="3B2B9F5C" w14:textId="77777777" w:rsidR="00C41CDD" w:rsidRPr="00C41CDD" w:rsidRDefault="00C41CDD" w:rsidP="00C41CDD">
      <w:pPr>
        <w:pStyle w:val="ad"/>
        <w:rPr>
          <w:rFonts w:ascii="Calibri" w:hAnsi="Calibri" w:cs="Calibri"/>
        </w:rPr>
      </w:pPr>
      <w:r w:rsidRPr="00C41CDD">
        <w:rPr>
          <w:rFonts w:ascii="Calibri" w:hAnsi="Calibri" w:cs="Calibri"/>
        </w:rPr>
        <w:t xml:space="preserve">7. </w:t>
      </w:r>
      <w:r w:rsidRPr="00C41CDD">
        <w:rPr>
          <w:rFonts w:ascii="Calibri" w:hAnsi="Calibri" w:cs="Calibri"/>
        </w:rPr>
        <w:tab/>
        <w:t xml:space="preserve">Matos, J.; Martins, C.I.; Simoes, R. Circularity Micro-Indicators for Plastic Packaging and Their Relation to Circular Economy Principles and Design Tools.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2024</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 2182, doi:10.3390/su16052182.</w:t>
      </w:r>
    </w:p>
    <w:p w14:paraId="138D5DF2" w14:textId="77777777" w:rsidR="00C41CDD" w:rsidRPr="00C41CDD" w:rsidRDefault="00C41CDD" w:rsidP="00C41CDD">
      <w:pPr>
        <w:pStyle w:val="ad"/>
        <w:rPr>
          <w:rFonts w:ascii="Calibri" w:hAnsi="Calibri" w:cs="Calibri"/>
        </w:rPr>
      </w:pPr>
      <w:r w:rsidRPr="00C41CDD">
        <w:rPr>
          <w:rFonts w:ascii="Calibri" w:hAnsi="Calibri" w:cs="Calibri"/>
        </w:rPr>
        <w:t xml:space="preserve">8. </w:t>
      </w:r>
      <w:r w:rsidRPr="00C41CDD">
        <w:rPr>
          <w:rFonts w:ascii="Calibri" w:hAnsi="Calibri" w:cs="Calibri"/>
        </w:rPr>
        <w:tab/>
        <w:t xml:space="preserve">Mesa, J.A.; Gonzalez-Quiroga, A.; Aguiar, M.F.; </w:t>
      </w:r>
      <w:proofErr w:type="spellStart"/>
      <w:r w:rsidRPr="00C41CDD">
        <w:rPr>
          <w:rFonts w:ascii="Calibri" w:hAnsi="Calibri" w:cs="Calibri"/>
        </w:rPr>
        <w:t>Jugend</w:t>
      </w:r>
      <w:proofErr w:type="spellEnd"/>
      <w:r w:rsidRPr="00C41CDD">
        <w:rPr>
          <w:rFonts w:ascii="Calibri" w:hAnsi="Calibri" w:cs="Calibri"/>
        </w:rPr>
        <w:t xml:space="preserve">, D. Linking Product Design and Durability: A Review and Research Agenda. </w:t>
      </w:r>
      <w:proofErr w:type="spellStart"/>
      <w:r w:rsidRPr="00C41CDD">
        <w:rPr>
          <w:rFonts w:ascii="Calibri" w:hAnsi="Calibri" w:cs="Calibri"/>
          <w:i/>
          <w:iCs/>
        </w:rPr>
        <w:t>Heliyon</w:t>
      </w:r>
      <w:proofErr w:type="spellEnd"/>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8</w:t>
      </w:r>
      <w:r w:rsidRPr="00C41CDD">
        <w:rPr>
          <w:rFonts w:ascii="Calibri" w:hAnsi="Calibri" w:cs="Calibri"/>
        </w:rPr>
        <w:t xml:space="preserve">, </w:t>
      </w:r>
      <w:proofErr w:type="gramStart"/>
      <w:r w:rsidRPr="00C41CDD">
        <w:rPr>
          <w:rFonts w:ascii="Calibri" w:hAnsi="Calibri" w:cs="Calibri"/>
        </w:rPr>
        <w:t>doi:10.1016/j.heliyon</w:t>
      </w:r>
      <w:proofErr w:type="gramEnd"/>
      <w:r w:rsidRPr="00C41CDD">
        <w:rPr>
          <w:rFonts w:ascii="Calibri" w:hAnsi="Calibri" w:cs="Calibri"/>
        </w:rPr>
        <w:t>.2022.e10734.</w:t>
      </w:r>
    </w:p>
    <w:p w14:paraId="3159D85E" w14:textId="77777777" w:rsidR="00C41CDD" w:rsidRPr="00C41CDD" w:rsidRDefault="00C41CDD" w:rsidP="00C41CDD">
      <w:pPr>
        <w:pStyle w:val="ad"/>
        <w:rPr>
          <w:rFonts w:ascii="Calibri" w:hAnsi="Calibri" w:cs="Calibri"/>
        </w:rPr>
      </w:pPr>
      <w:r w:rsidRPr="00C41CDD">
        <w:rPr>
          <w:rFonts w:ascii="Calibri" w:hAnsi="Calibri" w:cs="Calibri"/>
        </w:rPr>
        <w:t xml:space="preserve">9. </w:t>
      </w:r>
      <w:r w:rsidRPr="00C41CDD">
        <w:rPr>
          <w:rFonts w:ascii="Calibri" w:hAnsi="Calibri" w:cs="Calibri"/>
        </w:rPr>
        <w:tab/>
        <w:t xml:space="preserve">dos Santos Gonçalves, P.V.; Barbosa, R.F.M.; Allan, V.; Raspini, P.; </w:t>
      </w:r>
      <w:proofErr w:type="spellStart"/>
      <w:r w:rsidRPr="00C41CDD">
        <w:rPr>
          <w:rFonts w:ascii="Calibri" w:hAnsi="Calibri" w:cs="Calibri"/>
        </w:rPr>
        <w:t>Sehnem</w:t>
      </w:r>
      <w:proofErr w:type="spellEnd"/>
      <w:r w:rsidRPr="00C41CDD">
        <w:rPr>
          <w:rFonts w:ascii="Calibri" w:hAnsi="Calibri" w:cs="Calibri"/>
        </w:rPr>
        <w:t xml:space="preserve">, S.; Campos, L.M. The Use of Circular Economy Indicators to Improve Sustainability in the Recycling Aluminium Context.". </w:t>
      </w:r>
      <w:r w:rsidRPr="00C41CDD">
        <w:rPr>
          <w:rFonts w:ascii="Calibri" w:hAnsi="Calibri" w:cs="Calibri"/>
          <w:b/>
          <w:bCs/>
        </w:rPr>
        <w:t>2021</w:t>
      </w:r>
      <w:r w:rsidRPr="00C41CDD">
        <w:rPr>
          <w:rFonts w:ascii="Calibri" w:hAnsi="Calibri" w:cs="Calibri"/>
        </w:rPr>
        <w:t>.</w:t>
      </w:r>
    </w:p>
    <w:p w14:paraId="5ECE649D" w14:textId="77777777" w:rsidR="00C41CDD" w:rsidRPr="00C41CDD" w:rsidRDefault="00C41CDD" w:rsidP="00C41CDD">
      <w:pPr>
        <w:pStyle w:val="ad"/>
        <w:rPr>
          <w:rFonts w:ascii="Calibri" w:hAnsi="Calibri" w:cs="Calibri"/>
        </w:rPr>
      </w:pPr>
      <w:r w:rsidRPr="00C41CDD">
        <w:rPr>
          <w:rFonts w:ascii="Calibri" w:hAnsi="Calibri" w:cs="Calibri"/>
        </w:rPr>
        <w:t xml:space="preserve">10. </w:t>
      </w:r>
      <w:r w:rsidRPr="00C41CDD">
        <w:rPr>
          <w:rFonts w:ascii="Calibri" w:hAnsi="Calibri" w:cs="Calibri"/>
        </w:rPr>
        <w:tab/>
        <w:t xml:space="preserve">Hatzfeld, T.; Backes, J.G.; Guenther, E.; Traverso, M. </w:t>
      </w:r>
      <w:proofErr w:type="spellStart"/>
      <w:r w:rsidRPr="00C41CDD">
        <w:rPr>
          <w:rFonts w:ascii="Calibri" w:hAnsi="Calibri" w:cs="Calibri"/>
        </w:rPr>
        <w:t>Modeling</w:t>
      </w:r>
      <w:proofErr w:type="spellEnd"/>
      <w:r w:rsidRPr="00C41CDD">
        <w:rPr>
          <w:rFonts w:ascii="Calibri" w:hAnsi="Calibri" w:cs="Calibri"/>
        </w:rPr>
        <w:t xml:space="preserve"> Circularity as Functionality Over Use-Time to Reflect on Circularity Indicator Challenges and Identify New Indicators for the Circular Economy.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379</w:t>
      </w:r>
      <w:r w:rsidRPr="00C41CDD">
        <w:rPr>
          <w:rFonts w:ascii="Calibri" w:hAnsi="Calibri" w:cs="Calibri"/>
        </w:rPr>
        <w:t xml:space="preserve">, 134797, </w:t>
      </w:r>
      <w:proofErr w:type="gramStart"/>
      <w:r w:rsidRPr="00C41CDD">
        <w:rPr>
          <w:rFonts w:ascii="Calibri" w:hAnsi="Calibri" w:cs="Calibri"/>
        </w:rPr>
        <w:t>doi:10.1016/j.jclepro</w:t>
      </w:r>
      <w:proofErr w:type="gramEnd"/>
      <w:r w:rsidRPr="00C41CDD">
        <w:rPr>
          <w:rFonts w:ascii="Calibri" w:hAnsi="Calibri" w:cs="Calibri"/>
        </w:rPr>
        <w:t>.2022.134797.</w:t>
      </w:r>
    </w:p>
    <w:p w14:paraId="2EF6CC67" w14:textId="77777777" w:rsidR="00C41CDD" w:rsidRPr="00C41CDD" w:rsidRDefault="00C41CDD" w:rsidP="00C41CDD">
      <w:pPr>
        <w:pStyle w:val="ad"/>
        <w:rPr>
          <w:rFonts w:ascii="Calibri" w:hAnsi="Calibri" w:cs="Calibri"/>
        </w:rPr>
      </w:pPr>
      <w:r w:rsidRPr="00C41CDD">
        <w:rPr>
          <w:rFonts w:ascii="Calibri" w:hAnsi="Calibri" w:cs="Calibri"/>
        </w:rPr>
        <w:t xml:space="preserve">11. </w:t>
      </w:r>
      <w:r w:rsidRPr="00C41CDD">
        <w:rPr>
          <w:rFonts w:ascii="Calibri" w:hAnsi="Calibri" w:cs="Calibri"/>
        </w:rPr>
        <w:tab/>
      </w:r>
      <w:proofErr w:type="spellStart"/>
      <w:r w:rsidRPr="00C41CDD">
        <w:rPr>
          <w:rFonts w:ascii="Calibri" w:hAnsi="Calibri" w:cs="Calibri"/>
        </w:rPr>
        <w:t>Hummen</w:t>
      </w:r>
      <w:proofErr w:type="spellEnd"/>
      <w:r w:rsidRPr="00C41CDD">
        <w:rPr>
          <w:rFonts w:ascii="Calibri" w:hAnsi="Calibri" w:cs="Calibri"/>
        </w:rPr>
        <w:t xml:space="preserve">, T.; Hellweg, S.; </w:t>
      </w:r>
      <w:proofErr w:type="spellStart"/>
      <w:r w:rsidRPr="00C41CDD">
        <w:rPr>
          <w:rFonts w:ascii="Calibri" w:hAnsi="Calibri" w:cs="Calibri"/>
        </w:rPr>
        <w:t>Roshandel</w:t>
      </w:r>
      <w:proofErr w:type="spellEnd"/>
      <w:r w:rsidRPr="00C41CDD">
        <w:rPr>
          <w:rFonts w:ascii="Calibri" w:hAnsi="Calibri" w:cs="Calibri"/>
        </w:rPr>
        <w:t xml:space="preserve">, R. Optimizing Lifespan of Circular Products: A Generic Dynamic Programming Approach for Energy-Using Products. </w:t>
      </w:r>
      <w:r w:rsidRPr="00C41CDD">
        <w:rPr>
          <w:rFonts w:ascii="Calibri" w:hAnsi="Calibri" w:cs="Calibri"/>
          <w:i/>
          <w:iCs/>
        </w:rPr>
        <w:t>Energies</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 6711, doi:10.3390/en16186711.</w:t>
      </w:r>
    </w:p>
    <w:p w14:paraId="4D0C5E70" w14:textId="77777777" w:rsidR="00C41CDD" w:rsidRPr="00C41CDD" w:rsidRDefault="00C41CDD" w:rsidP="00C41CDD">
      <w:pPr>
        <w:pStyle w:val="ad"/>
        <w:rPr>
          <w:rFonts w:ascii="Calibri" w:hAnsi="Calibri" w:cs="Calibri"/>
        </w:rPr>
      </w:pPr>
      <w:r w:rsidRPr="00C41CDD">
        <w:rPr>
          <w:rFonts w:ascii="Calibri" w:hAnsi="Calibri" w:cs="Calibri"/>
        </w:rPr>
        <w:t xml:space="preserve">12. </w:t>
      </w:r>
      <w:r w:rsidRPr="00C41CDD">
        <w:rPr>
          <w:rFonts w:ascii="Calibri" w:hAnsi="Calibri" w:cs="Calibri"/>
        </w:rPr>
        <w:tab/>
      </w:r>
      <w:proofErr w:type="spellStart"/>
      <w:r w:rsidRPr="00C41CDD">
        <w:rPr>
          <w:rFonts w:ascii="Calibri" w:hAnsi="Calibri" w:cs="Calibri"/>
        </w:rPr>
        <w:t>Incelli</w:t>
      </w:r>
      <w:proofErr w:type="spellEnd"/>
      <w:r w:rsidRPr="00C41CDD">
        <w:rPr>
          <w:rFonts w:ascii="Calibri" w:hAnsi="Calibri" w:cs="Calibri"/>
        </w:rPr>
        <w:t xml:space="preserve">, F.; </w:t>
      </w:r>
      <w:proofErr w:type="spellStart"/>
      <w:r w:rsidRPr="00C41CDD">
        <w:rPr>
          <w:rFonts w:ascii="Calibri" w:hAnsi="Calibri" w:cs="Calibri"/>
        </w:rPr>
        <w:t>Cardellicchio</w:t>
      </w:r>
      <w:proofErr w:type="spellEnd"/>
      <w:r w:rsidRPr="00C41CDD">
        <w:rPr>
          <w:rFonts w:ascii="Calibri" w:hAnsi="Calibri" w:cs="Calibri"/>
        </w:rPr>
        <w:t xml:space="preserve">, L.; Rossetti, M. Circularity Indicators as a Design Tool for Design and Construction Strategies in Architecture. </w:t>
      </w:r>
      <w:r w:rsidRPr="00C41CDD">
        <w:rPr>
          <w:rFonts w:ascii="Calibri" w:hAnsi="Calibri" w:cs="Calibri"/>
          <w:i/>
          <w:iCs/>
        </w:rPr>
        <w:t>Buildings</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13</w:t>
      </w:r>
      <w:r w:rsidRPr="00C41CDD">
        <w:rPr>
          <w:rFonts w:ascii="Calibri" w:hAnsi="Calibri" w:cs="Calibri"/>
        </w:rPr>
        <w:t>, 1706, doi:10.3390/buildings13071706.</w:t>
      </w:r>
    </w:p>
    <w:p w14:paraId="6E8FD26A"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13. </w:t>
      </w:r>
      <w:r w:rsidRPr="00C41CDD">
        <w:rPr>
          <w:rFonts w:ascii="Calibri" w:hAnsi="Calibri" w:cs="Calibri"/>
        </w:rPr>
        <w:tab/>
        <w:t xml:space="preserve">Khadim, N.; Agliata, R.; Marino, A.; </w:t>
      </w:r>
      <w:proofErr w:type="spellStart"/>
      <w:r w:rsidRPr="00C41CDD">
        <w:rPr>
          <w:rFonts w:ascii="Calibri" w:hAnsi="Calibri" w:cs="Calibri"/>
        </w:rPr>
        <w:t>Thaheem</w:t>
      </w:r>
      <w:proofErr w:type="spellEnd"/>
      <w:r w:rsidRPr="00C41CDD">
        <w:rPr>
          <w:rFonts w:ascii="Calibri" w:hAnsi="Calibri" w:cs="Calibri"/>
        </w:rPr>
        <w:t xml:space="preserve">, M.J.; Mollo, L. Critical Review of Nano and Micro-Level Building Circularity Indicators and Frameworks.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357</w:t>
      </w:r>
      <w:r w:rsidRPr="00C41CDD">
        <w:rPr>
          <w:rFonts w:ascii="Calibri" w:hAnsi="Calibri" w:cs="Calibri"/>
        </w:rPr>
        <w:t>, 131859.</w:t>
      </w:r>
    </w:p>
    <w:p w14:paraId="1E8823A5" w14:textId="77777777" w:rsidR="00C41CDD" w:rsidRPr="00C41CDD" w:rsidRDefault="00C41CDD" w:rsidP="00C41CDD">
      <w:pPr>
        <w:pStyle w:val="ad"/>
        <w:rPr>
          <w:rFonts w:ascii="Calibri" w:hAnsi="Calibri" w:cs="Calibri"/>
        </w:rPr>
      </w:pPr>
      <w:r w:rsidRPr="00C41CDD">
        <w:rPr>
          <w:rFonts w:ascii="Calibri" w:hAnsi="Calibri" w:cs="Calibri"/>
        </w:rPr>
        <w:t xml:space="preserve">14. </w:t>
      </w:r>
      <w:r w:rsidRPr="00C41CDD">
        <w:rPr>
          <w:rFonts w:ascii="Calibri" w:hAnsi="Calibri" w:cs="Calibri"/>
        </w:rPr>
        <w:tab/>
      </w:r>
      <w:proofErr w:type="spellStart"/>
      <w:r w:rsidRPr="00C41CDD">
        <w:rPr>
          <w:rFonts w:ascii="Calibri" w:hAnsi="Calibri" w:cs="Calibri"/>
        </w:rPr>
        <w:t>Kounani</w:t>
      </w:r>
      <w:proofErr w:type="spellEnd"/>
      <w:r w:rsidRPr="00C41CDD">
        <w:rPr>
          <w:rFonts w:ascii="Calibri" w:hAnsi="Calibri" w:cs="Calibri"/>
        </w:rPr>
        <w:t xml:space="preserve">, A.; PAVLOUDI, A.; AGGELOPOULOS, S.; KONTOGEORGOS, A. Circular Economy: Assessment of Circularity in Olive Oil Mills. </w:t>
      </w:r>
      <w:r w:rsidRPr="00C41CDD">
        <w:rPr>
          <w:rFonts w:ascii="Calibri" w:hAnsi="Calibri" w:cs="Calibri"/>
          <w:b/>
          <w:bCs/>
        </w:rPr>
        <w:t>2023</w:t>
      </w:r>
      <w:r w:rsidRPr="00C41CDD">
        <w:rPr>
          <w:rFonts w:ascii="Calibri" w:hAnsi="Calibri" w:cs="Calibri"/>
        </w:rPr>
        <w:t>.</w:t>
      </w:r>
    </w:p>
    <w:p w14:paraId="67CC4396" w14:textId="77777777" w:rsidR="00C41CDD" w:rsidRPr="00C41CDD" w:rsidRDefault="00C41CDD" w:rsidP="00C41CDD">
      <w:pPr>
        <w:pStyle w:val="ad"/>
        <w:rPr>
          <w:rFonts w:ascii="Calibri" w:hAnsi="Calibri" w:cs="Calibri"/>
        </w:rPr>
      </w:pPr>
      <w:r w:rsidRPr="00C41CDD">
        <w:rPr>
          <w:rFonts w:ascii="Calibri" w:hAnsi="Calibri" w:cs="Calibri"/>
        </w:rPr>
        <w:t xml:space="preserve">15. </w:t>
      </w:r>
      <w:r w:rsidRPr="00C41CDD">
        <w:rPr>
          <w:rFonts w:ascii="Calibri" w:hAnsi="Calibri" w:cs="Calibri"/>
        </w:rPr>
        <w:tab/>
        <w:t xml:space="preserve">Kravchenko, M.; </w:t>
      </w:r>
      <w:proofErr w:type="spellStart"/>
      <w:r w:rsidRPr="00C41CDD">
        <w:rPr>
          <w:rFonts w:ascii="Calibri" w:hAnsi="Calibri" w:cs="Calibri"/>
        </w:rPr>
        <w:t>McAloone</w:t>
      </w:r>
      <w:proofErr w:type="spellEnd"/>
      <w:r w:rsidRPr="00C41CDD">
        <w:rPr>
          <w:rFonts w:ascii="Calibri" w:hAnsi="Calibri" w:cs="Calibri"/>
        </w:rPr>
        <w:t xml:space="preserve">, T.C.; </w:t>
      </w:r>
      <w:proofErr w:type="spellStart"/>
      <w:r w:rsidRPr="00C41CDD">
        <w:rPr>
          <w:rFonts w:ascii="Calibri" w:hAnsi="Calibri" w:cs="Calibri"/>
        </w:rPr>
        <w:t>Pigosso</w:t>
      </w:r>
      <w:proofErr w:type="spellEnd"/>
      <w:r w:rsidRPr="00C41CDD">
        <w:rPr>
          <w:rFonts w:ascii="Calibri" w:hAnsi="Calibri" w:cs="Calibri"/>
        </w:rPr>
        <w:t xml:space="preserve">, D.C. To What Extent Do Circular Economy Indicators Capture Sustainability? </w:t>
      </w:r>
      <w:r w:rsidRPr="00C41CDD">
        <w:rPr>
          <w:rFonts w:ascii="Calibri" w:hAnsi="Calibri" w:cs="Calibri"/>
          <w:i/>
          <w:iCs/>
        </w:rPr>
        <w:t>Procedia CIRP</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90</w:t>
      </w:r>
      <w:r w:rsidRPr="00C41CDD">
        <w:rPr>
          <w:rFonts w:ascii="Calibri" w:hAnsi="Calibri" w:cs="Calibri"/>
        </w:rPr>
        <w:t>, 31–36.</w:t>
      </w:r>
    </w:p>
    <w:p w14:paraId="2249B8BF" w14:textId="77777777" w:rsidR="00C41CDD" w:rsidRPr="00C41CDD" w:rsidRDefault="00C41CDD" w:rsidP="00C41CDD">
      <w:pPr>
        <w:pStyle w:val="ad"/>
        <w:rPr>
          <w:rFonts w:ascii="Calibri" w:hAnsi="Calibri" w:cs="Calibri"/>
        </w:rPr>
      </w:pPr>
      <w:r w:rsidRPr="00C41CDD">
        <w:rPr>
          <w:rFonts w:ascii="Calibri" w:hAnsi="Calibri" w:cs="Calibri"/>
        </w:rPr>
        <w:t xml:space="preserve">16. </w:t>
      </w:r>
      <w:r w:rsidRPr="00C41CDD">
        <w:rPr>
          <w:rFonts w:ascii="Calibri" w:hAnsi="Calibri" w:cs="Calibri"/>
        </w:rPr>
        <w:tab/>
        <w:t xml:space="preserve">Lavallais, C.M.; Dunn, J.B. Developing Product Level Indicators to Advance the Nitrogen Circular Economy.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198</w:t>
      </w:r>
      <w:r w:rsidRPr="00C41CDD">
        <w:rPr>
          <w:rFonts w:ascii="Calibri" w:hAnsi="Calibri" w:cs="Calibri"/>
        </w:rPr>
        <w:t xml:space="preserve">, 107167, </w:t>
      </w:r>
      <w:proofErr w:type="gramStart"/>
      <w:r w:rsidRPr="00C41CDD">
        <w:rPr>
          <w:rFonts w:ascii="Calibri" w:hAnsi="Calibri" w:cs="Calibri"/>
        </w:rPr>
        <w:t>doi:10.1016/j.resconrec</w:t>
      </w:r>
      <w:proofErr w:type="gramEnd"/>
      <w:r w:rsidRPr="00C41CDD">
        <w:rPr>
          <w:rFonts w:ascii="Calibri" w:hAnsi="Calibri" w:cs="Calibri"/>
        </w:rPr>
        <w:t>.2023.107167.</w:t>
      </w:r>
    </w:p>
    <w:p w14:paraId="01413668" w14:textId="77777777" w:rsidR="00C41CDD" w:rsidRPr="00C41CDD" w:rsidRDefault="00C41CDD" w:rsidP="00C41CDD">
      <w:pPr>
        <w:pStyle w:val="ad"/>
        <w:rPr>
          <w:rFonts w:ascii="Calibri" w:hAnsi="Calibri" w:cs="Calibri"/>
        </w:rPr>
      </w:pPr>
      <w:r w:rsidRPr="00C41CDD">
        <w:rPr>
          <w:rFonts w:ascii="Calibri" w:hAnsi="Calibri" w:cs="Calibri"/>
        </w:rPr>
        <w:t xml:space="preserve">17. </w:t>
      </w:r>
      <w:r w:rsidRPr="00C41CDD">
        <w:rPr>
          <w:rFonts w:ascii="Calibri" w:hAnsi="Calibri" w:cs="Calibri"/>
        </w:rPr>
        <w:tab/>
        <w:t xml:space="preserve">Matos, J.; Martins, C.; Simões, C.L.; Simoes, R. Comparative Analysis of Micro Level Indicators for Evaluating the Progress towards a Circular Economy. </w:t>
      </w:r>
      <w:r w:rsidRPr="00C41CDD">
        <w:rPr>
          <w:rFonts w:ascii="Calibri" w:hAnsi="Calibri" w:cs="Calibri"/>
          <w:i/>
          <w:iCs/>
        </w:rPr>
        <w:t>Sustainable Production and Consumption</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39</w:t>
      </w:r>
      <w:r w:rsidRPr="00C41CDD">
        <w:rPr>
          <w:rFonts w:ascii="Calibri" w:hAnsi="Calibri" w:cs="Calibri"/>
        </w:rPr>
        <w:t xml:space="preserve">, 521–533, </w:t>
      </w:r>
      <w:proofErr w:type="gramStart"/>
      <w:r w:rsidRPr="00C41CDD">
        <w:rPr>
          <w:rFonts w:ascii="Calibri" w:hAnsi="Calibri" w:cs="Calibri"/>
        </w:rPr>
        <w:t>doi:10.1016/j.spc</w:t>
      </w:r>
      <w:proofErr w:type="gramEnd"/>
      <w:r w:rsidRPr="00C41CDD">
        <w:rPr>
          <w:rFonts w:ascii="Calibri" w:hAnsi="Calibri" w:cs="Calibri"/>
        </w:rPr>
        <w:t>.2023.06.002.</w:t>
      </w:r>
    </w:p>
    <w:p w14:paraId="3DD0DE0B" w14:textId="77777777" w:rsidR="00C41CDD" w:rsidRPr="00C41CDD" w:rsidRDefault="00C41CDD" w:rsidP="00C41CDD">
      <w:pPr>
        <w:pStyle w:val="ad"/>
        <w:rPr>
          <w:rFonts w:ascii="Calibri" w:hAnsi="Calibri" w:cs="Calibri"/>
        </w:rPr>
      </w:pPr>
      <w:r w:rsidRPr="00C41CDD">
        <w:rPr>
          <w:rFonts w:ascii="Calibri" w:hAnsi="Calibri" w:cs="Calibri"/>
        </w:rPr>
        <w:t xml:space="preserve">18. </w:t>
      </w:r>
      <w:r w:rsidRPr="00C41CDD">
        <w:rPr>
          <w:rFonts w:ascii="Calibri" w:hAnsi="Calibri" w:cs="Calibri"/>
        </w:rPr>
        <w:tab/>
        <w:t xml:space="preserve">Matos, J.; Santos, S.; Simões, C.L.; Martins, C.I.; Simoes, R. Practical Application of Circularity Micro-Indicators to Automotive Plastic Parts in an Industrial Context. </w:t>
      </w:r>
      <w:r w:rsidRPr="00C41CDD">
        <w:rPr>
          <w:rFonts w:ascii="Calibri" w:hAnsi="Calibri" w:cs="Calibri"/>
          <w:i/>
          <w:iCs/>
        </w:rPr>
        <w:t>Sustainable Production and Consumption</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43</w:t>
      </w:r>
      <w:r w:rsidRPr="00C41CDD">
        <w:rPr>
          <w:rFonts w:ascii="Calibri" w:hAnsi="Calibri" w:cs="Calibri"/>
        </w:rPr>
        <w:t xml:space="preserve">, 155–167, </w:t>
      </w:r>
      <w:proofErr w:type="gramStart"/>
      <w:r w:rsidRPr="00C41CDD">
        <w:rPr>
          <w:rFonts w:ascii="Calibri" w:hAnsi="Calibri" w:cs="Calibri"/>
        </w:rPr>
        <w:t>doi:10.1016/j.spc</w:t>
      </w:r>
      <w:proofErr w:type="gramEnd"/>
      <w:r w:rsidRPr="00C41CDD">
        <w:rPr>
          <w:rFonts w:ascii="Calibri" w:hAnsi="Calibri" w:cs="Calibri"/>
        </w:rPr>
        <w:t>.2023.11.009.</w:t>
      </w:r>
    </w:p>
    <w:p w14:paraId="10E3108F" w14:textId="77777777" w:rsidR="00C41CDD" w:rsidRPr="00C41CDD" w:rsidRDefault="00C41CDD" w:rsidP="00C41CDD">
      <w:pPr>
        <w:pStyle w:val="ad"/>
        <w:rPr>
          <w:rFonts w:ascii="Calibri" w:hAnsi="Calibri" w:cs="Calibri"/>
        </w:rPr>
      </w:pPr>
      <w:r w:rsidRPr="00C41CDD">
        <w:rPr>
          <w:rFonts w:ascii="Calibri" w:hAnsi="Calibri" w:cs="Calibri"/>
        </w:rPr>
        <w:t xml:space="preserve">19. </w:t>
      </w:r>
      <w:r w:rsidRPr="00C41CDD">
        <w:rPr>
          <w:rFonts w:ascii="Calibri" w:hAnsi="Calibri" w:cs="Calibri"/>
        </w:rPr>
        <w:tab/>
        <w:t xml:space="preserve">Mesa, J.; González-Quiroga, A.; Maury, H. Developing an Indicator for Material Selection Based on Durability and Environmental Footprint: A Circular Economy Perspective.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160</w:t>
      </w:r>
      <w:r w:rsidRPr="00C41CDD">
        <w:rPr>
          <w:rFonts w:ascii="Calibri" w:hAnsi="Calibri" w:cs="Calibri"/>
        </w:rPr>
        <w:t xml:space="preserve">, 104887, </w:t>
      </w:r>
      <w:proofErr w:type="gramStart"/>
      <w:r w:rsidRPr="00C41CDD">
        <w:rPr>
          <w:rFonts w:ascii="Calibri" w:hAnsi="Calibri" w:cs="Calibri"/>
        </w:rPr>
        <w:t>doi:10.1016/j.resconrec</w:t>
      </w:r>
      <w:proofErr w:type="gramEnd"/>
      <w:r w:rsidRPr="00C41CDD">
        <w:rPr>
          <w:rFonts w:ascii="Calibri" w:hAnsi="Calibri" w:cs="Calibri"/>
        </w:rPr>
        <w:t>.2020.104887.</w:t>
      </w:r>
    </w:p>
    <w:p w14:paraId="71FF049B" w14:textId="77777777" w:rsidR="00C41CDD" w:rsidRPr="00C41CDD" w:rsidRDefault="00C41CDD" w:rsidP="00C41CDD">
      <w:pPr>
        <w:pStyle w:val="ad"/>
        <w:rPr>
          <w:rFonts w:ascii="Calibri" w:hAnsi="Calibri" w:cs="Calibri"/>
        </w:rPr>
      </w:pPr>
      <w:r w:rsidRPr="00C41CDD">
        <w:rPr>
          <w:rFonts w:ascii="Calibri" w:hAnsi="Calibri" w:cs="Calibri"/>
        </w:rPr>
        <w:t xml:space="preserve">20. </w:t>
      </w:r>
      <w:r w:rsidRPr="00C41CDD">
        <w:rPr>
          <w:rFonts w:ascii="Calibri" w:hAnsi="Calibri" w:cs="Calibri"/>
        </w:rPr>
        <w:tab/>
        <w:t xml:space="preserve">Moraga, G.; </w:t>
      </w:r>
      <w:proofErr w:type="spellStart"/>
      <w:r w:rsidRPr="00C41CDD">
        <w:rPr>
          <w:rFonts w:ascii="Calibri" w:hAnsi="Calibri" w:cs="Calibri"/>
        </w:rPr>
        <w:t>Huysveld</w:t>
      </w:r>
      <w:proofErr w:type="spellEnd"/>
      <w:r w:rsidRPr="00C41CDD">
        <w:rPr>
          <w:rFonts w:ascii="Calibri" w:hAnsi="Calibri" w:cs="Calibri"/>
        </w:rPr>
        <w:t xml:space="preserve">, S.; De Meester, S.; Dewulf, J. Development of Circularity Indicators Based on the In-Use Occupation of Materials.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279</w:t>
      </w:r>
      <w:r w:rsidRPr="00C41CDD">
        <w:rPr>
          <w:rFonts w:ascii="Calibri" w:hAnsi="Calibri" w:cs="Calibri"/>
        </w:rPr>
        <w:t>, 123889.</w:t>
      </w:r>
    </w:p>
    <w:p w14:paraId="5F609329" w14:textId="77777777" w:rsidR="00C41CDD" w:rsidRPr="00C41CDD" w:rsidRDefault="00C41CDD" w:rsidP="00C41CDD">
      <w:pPr>
        <w:pStyle w:val="ad"/>
        <w:rPr>
          <w:rFonts w:ascii="Calibri" w:hAnsi="Calibri" w:cs="Calibri"/>
        </w:rPr>
      </w:pPr>
      <w:r w:rsidRPr="00C41CDD">
        <w:rPr>
          <w:rFonts w:ascii="Calibri" w:hAnsi="Calibri" w:cs="Calibri"/>
        </w:rPr>
        <w:t xml:space="preserve">21. </w:t>
      </w:r>
      <w:r w:rsidRPr="00C41CDD">
        <w:rPr>
          <w:rFonts w:ascii="Calibri" w:hAnsi="Calibri" w:cs="Calibri"/>
        </w:rPr>
        <w:tab/>
      </w:r>
      <w:proofErr w:type="spellStart"/>
      <w:r w:rsidRPr="00C41CDD">
        <w:rPr>
          <w:rFonts w:ascii="Calibri" w:hAnsi="Calibri" w:cs="Calibri"/>
        </w:rPr>
        <w:t>Niero</w:t>
      </w:r>
      <w:proofErr w:type="spellEnd"/>
      <w:r w:rsidRPr="00C41CDD">
        <w:rPr>
          <w:rFonts w:ascii="Calibri" w:hAnsi="Calibri" w:cs="Calibri"/>
        </w:rPr>
        <w:t xml:space="preserve">, M.; Kalbar, P.P. Coupling Material Circularity Indicators and Life Cycle Based Indicators: A Proposal to Advance the Assessment of Circular Economy Strategies at the Product Level.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140</w:t>
      </w:r>
      <w:r w:rsidRPr="00C41CDD">
        <w:rPr>
          <w:rFonts w:ascii="Calibri" w:hAnsi="Calibri" w:cs="Calibri"/>
        </w:rPr>
        <w:t>, 305–312.</w:t>
      </w:r>
    </w:p>
    <w:p w14:paraId="16FA789E" w14:textId="77777777" w:rsidR="00C41CDD" w:rsidRPr="00C41CDD" w:rsidRDefault="00C41CDD" w:rsidP="00C41CDD">
      <w:pPr>
        <w:pStyle w:val="ad"/>
        <w:rPr>
          <w:rFonts w:ascii="Calibri" w:hAnsi="Calibri" w:cs="Calibri"/>
        </w:rPr>
      </w:pPr>
      <w:r w:rsidRPr="00C41CDD">
        <w:rPr>
          <w:rFonts w:ascii="Calibri" w:hAnsi="Calibri" w:cs="Calibri"/>
        </w:rPr>
        <w:t xml:space="preserve">22. </w:t>
      </w:r>
      <w:r w:rsidRPr="00C41CDD">
        <w:rPr>
          <w:rFonts w:ascii="Calibri" w:hAnsi="Calibri" w:cs="Calibri"/>
        </w:rPr>
        <w:tab/>
      </w:r>
      <w:proofErr w:type="spellStart"/>
      <w:r w:rsidRPr="00C41CDD">
        <w:rPr>
          <w:rFonts w:ascii="Calibri" w:hAnsi="Calibri" w:cs="Calibri"/>
        </w:rPr>
        <w:t>Niyommaneerat</w:t>
      </w:r>
      <w:proofErr w:type="spellEnd"/>
      <w:r w:rsidRPr="00C41CDD">
        <w:rPr>
          <w:rFonts w:ascii="Calibri" w:hAnsi="Calibri" w:cs="Calibri"/>
        </w:rPr>
        <w:t xml:space="preserve">, W.; </w:t>
      </w:r>
      <w:proofErr w:type="spellStart"/>
      <w:r w:rsidRPr="00C41CDD">
        <w:rPr>
          <w:rFonts w:ascii="Calibri" w:hAnsi="Calibri" w:cs="Calibri"/>
        </w:rPr>
        <w:t>Suwanteep</w:t>
      </w:r>
      <w:proofErr w:type="spellEnd"/>
      <w:r w:rsidRPr="00C41CDD">
        <w:rPr>
          <w:rFonts w:ascii="Calibri" w:hAnsi="Calibri" w:cs="Calibri"/>
        </w:rPr>
        <w:t xml:space="preserve">, K.; </w:t>
      </w:r>
      <w:proofErr w:type="spellStart"/>
      <w:r w:rsidRPr="00C41CDD">
        <w:rPr>
          <w:rFonts w:ascii="Calibri" w:hAnsi="Calibri" w:cs="Calibri"/>
        </w:rPr>
        <w:t>Chavalparit</w:t>
      </w:r>
      <w:proofErr w:type="spellEnd"/>
      <w:r w:rsidRPr="00C41CDD">
        <w:rPr>
          <w:rFonts w:ascii="Calibri" w:hAnsi="Calibri" w:cs="Calibri"/>
        </w:rPr>
        <w:t xml:space="preserve">, O. Sustainability Indicators to Achieve a Circular Economy: A Case Study of Renewable Energy and Plastic Waste Recycling Corporate Social Responsibility (CSR) Projects in Thailand.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391</w:t>
      </w:r>
      <w:r w:rsidRPr="00C41CDD">
        <w:rPr>
          <w:rFonts w:ascii="Calibri" w:hAnsi="Calibri" w:cs="Calibri"/>
        </w:rPr>
        <w:t xml:space="preserve">, 136203, </w:t>
      </w:r>
      <w:proofErr w:type="gramStart"/>
      <w:r w:rsidRPr="00C41CDD">
        <w:rPr>
          <w:rFonts w:ascii="Calibri" w:hAnsi="Calibri" w:cs="Calibri"/>
        </w:rPr>
        <w:t>doi:10.1016/j.jclepro</w:t>
      </w:r>
      <w:proofErr w:type="gramEnd"/>
      <w:r w:rsidRPr="00C41CDD">
        <w:rPr>
          <w:rFonts w:ascii="Calibri" w:hAnsi="Calibri" w:cs="Calibri"/>
        </w:rPr>
        <w:t>.2023.136203.</w:t>
      </w:r>
    </w:p>
    <w:p w14:paraId="21F20E61" w14:textId="77777777" w:rsidR="00C41CDD" w:rsidRPr="00C41CDD" w:rsidRDefault="00C41CDD" w:rsidP="00C41CDD">
      <w:pPr>
        <w:pStyle w:val="ad"/>
        <w:rPr>
          <w:rFonts w:ascii="Calibri" w:hAnsi="Calibri" w:cs="Calibri"/>
        </w:rPr>
      </w:pPr>
      <w:r w:rsidRPr="00C41CDD">
        <w:rPr>
          <w:rFonts w:ascii="Calibri" w:hAnsi="Calibri" w:cs="Calibri"/>
        </w:rPr>
        <w:t xml:space="preserve">23. </w:t>
      </w:r>
      <w:r w:rsidRPr="00C41CDD">
        <w:rPr>
          <w:rFonts w:ascii="Calibri" w:hAnsi="Calibri" w:cs="Calibri"/>
        </w:rPr>
        <w:tab/>
      </w:r>
      <w:proofErr w:type="spellStart"/>
      <w:r w:rsidRPr="00C41CDD">
        <w:rPr>
          <w:rFonts w:ascii="Calibri" w:hAnsi="Calibri" w:cs="Calibri"/>
        </w:rPr>
        <w:t>Roos</w:t>
      </w:r>
      <w:proofErr w:type="spellEnd"/>
      <w:r w:rsidRPr="00C41CDD">
        <w:rPr>
          <w:rFonts w:ascii="Calibri" w:hAnsi="Calibri" w:cs="Calibri"/>
        </w:rPr>
        <w:t xml:space="preserve"> Lindgreen, E.; Mondello, G.; Salomone, R.; </w:t>
      </w:r>
      <w:proofErr w:type="spellStart"/>
      <w:r w:rsidRPr="00C41CDD">
        <w:rPr>
          <w:rFonts w:ascii="Calibri" w:hAnsi="Calibri" w:cs="Calibri"/>
        </w:rPr>
        <w:t>Lanuzza</w:t>
      </w:r>
      <w:proofErr w:type="spellEnd"/>
      <w:r w:rsidRPr="00C41CDD">
        <w:rPr>
          <w:rFonts w:ascii="Calibri" w:hAnsi="Calibri" w:cs="Calibri"/>
        </w:rPr>
        <w:t xml:space="preserve">, F.; Saija, G. Exploring the Effectiveness of Grey Literature Indicators and Life Cycle Assessment in Assessing Circular Economy at the Micro Level: A Comparative Analysis. </w:t>
      </w:r>
      <w:r w:rsidRPr="00C41CDD">
        <w:rPr>
          <w:rFonts w:ascii="Calibri" w:hAnsi="Calibri" w:cs="Calibri"/>
          <w:i/>
          <w:iCs/>
        </w:rPr>
        <w:t>Int J Life Cycle Assess</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26</w:t>
      </w:r>
      <w:r w:rsidRPr="00C41CDD">
        <w:rPr>
          <w:rFonts w:ascii="Calibri" w:hAnsi="Calibri" w:cs="Calibri"/>
        </w:rPr>
        <w:t>, 2171–2191, doi:10.1007/s11367-021-01972-4.</w:t>
      </w:r>
    </w:p>
    <w:p w14:paraId="5E1E75EE" w14:textId="77777777" w:rsidR="00C41CDD" w:rsidRPr="00C41CDD" w:rsidRDefault="00C41CDD" w:rsidP="00C41CDD">
      <w:pPr>
        <w:pStyle w:val="ad"/>
        <w:rPr>
          <w:rFonts w:ascii="Calibri" w:hAnsi="Calibri" w:cs="Calibri"/>
        </w:rPr>
      </w:pPr>
      <w:r w:rsidRPr="00C41CDD">
        <w:rPr>
          <w:rFonts w:ascii="Calibri" w:hAnsi="Calibri" w:cs="Calibri"/>
        </w:rPr>
        <w:t xml:space="preserve">24. </w:t>
      </w:r>
      <w:r w:rsidRPr="00C41CDD">
        <w:rPr>
          <w:rFonts w:ascii="Calibri" w:hAnsi="Calibri" w:cs="Calibri"/>
        </w:rPr>
        <w:tab/>
        <w:t xml:space="preserve">Saidani, M.; </w:t>
      </w:r>
      <w:proofErr w:type="spellStart"/>
      <w:r w:rsidRPr="00C41CDD">
        <w:rPr>
          <w:rFonts w:ascii="Calibri" w:hAnsi="Calibri" w:cs="Calibri"/>
        </w:rPr>
        <w:t>Cluzel</w:t>
      </w:r>
      <w:proofErr w:type="spellEnd"/>
      <w:r w:rsidRPr="00C41CDD">
        <w:rPr>
          <w:rFonts w:ascii="Calibri" w:hAnsi="Calibri" w:cs="Calibri"/>
        </w:rPr>
        <w:t xml:space="preserve">, F.; Leroy, Y.; Yannou, B. Testing the Robustness of Circularity Indicators: Empirical Insights from Workshops on an Industrial Product. </w:t>
      </w:r>
      <w:r w:rsidRPr="00C41CDD">
        <w:rPr>
          <w:rFonts w:ascii="Calibri" w:hAnsi="Calibri" w:cs="Calibri"/>
          <w:i/>
          <w:iCs/>
        </w:rPr>
        <w:t>Proceedings of the Design Society: International Conference on Engineering Design</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1</w:t>
      </w:r>
      <w:r w:rsidRPr="00C41CDD">
        <w:rPr>
          <w:rFonts w:ascii="Calibri" w:hAnsi="Calibri" w:cs="Calibri"/>
        </w:rPr>
        <w:t>, 3401–3410, doi:10.1017/dsi.2019.347.</w:t>
      </w:r>
    </w:p>
    <w:p w14:paraId="519F0B5E" w14:textId="77777777" w:rsidR="00C41CDD" w:rsidRPr="00C41CDD" w:rsidRDefault="00C41CDD" w:rsidP="00C41CDD">
      <w:pPr>
        <w:pStyle w:val="ad"/>
        <w:rPr>
          <w:rFonts w:ascii="Calibri" w:hAnsi="Calibri" w:cs="Calibri"/>
        </w:rPr>
      </w:pPr>
      <w:r w:rsidRPr="00C41CDD">
        <w:rPr>
          <w:rFonts w:ascii="Calibri" w:hAnsi="Calibri" w:cs="Calibri"/>
        </w:rPr>
        <w:t xml:space="preserve">25. </w:t>
      </w:r>
      <w:r w:rsidRPr="00C41CDD">
        <w:rPr>
          <w:rFonts w:ascii="Calibri" w:hAnsi="Calibri" w:cs="Calibri"/>
        </w:rPr>
        <w:tab/>
        <w:t xml:space="preserve">Saidani, M.; Kim, H.; </w:t>
      </w:r>
      <w:proofErr w:type="spellStart"/>
      <w:r w:rsidRPr="00C41CDD">
        <w:rPr>
          <w:rFonts w:ascii="Calibri" w:hAnsi="Calibri" w:cs="Calibri"/>
        </w:rPr>
        <w:t>Cluzel</w:t>
      </w:r>
      <w:proofErr w:type="spellEnd"/>
      <w:r w:rsidRPr="00C41CDD">
        <w:rPr>
          <w:rFonts w:ascii="Calibri" w:hAnsi="Calibri" w:cs="Calibri"/>
        </w:rPr>
        <w:t xml:space="preserve">, F.; Leroy, Y.; Yannou, B. PRODUCT CIRCULARITY INDICATORS: WHAT CONTRIBUTIONS IN DESIGNING FOR A CIRCULAR ECONOMY? </w:t>
      </w:r>
      <w:r w:rsidRPr="00C41CDD">
        <w:rPr>
          <w:rFonts w:ascii="Calibri" w:hAnsi="Calibri" w:cs="Calibri"/>
          <w:i/>
          <w:iCs/>
        </w:rPr>
        <w:t>Proceedings of the Design Society: DESIGN Conference</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1</w:t>
      </w:r>
      <w:r w:rsidRPr="00C41CDD">
        <w:rPr>
          <w:rFonts w:ascii="Calibri" w:hAnsi="Calibri" w:cs="Calibri"/>
        </w:rPr>
        <w:t>, 2129–2138, doi:10.1017/dsd.2020.76.</w:t>
      </w:r>
    </w:p>
    <w:p w14:paraId="5D84022B" w14:textId="77777777" w:rsidR="00C41CDD" w:rsidRPr="00C41CDD" w:rsidRDefault="00C41CDD" w:rsidP="00C41CDD">
      <w:pPr>
        <w:pStyle w:val="ad"/>
        <w:rPr>
          <w:rFonts w:ascii="Calibri" w:hAnsi="Calibri" w:cs="Calibri"/>
        </w:rPr>
      </w:pPr>
      <w:r w:rsidRPr="00C41CDD">
        <w:rPr>
          <w:rFonts w:ascii="Calibri" w:hAnsi="Calibri" w:cs="Calibri"/>
        </w:rPr>
        <w:t xml:space="preserve">26. </w:t>
      </w:r>
      <w:r w:rsidRPr="00C41CDD">
        <w:rPr>
          <w:rFonts w:ascii="Calibri" w:hAnsi="Calibri" w:cs="Calibri"/>
        </w:rPr>
        <w:tab/>
        <w:t xml:space="preserve">Silva, N.R.; Rodrigues, T.O.; Braga, T.E.N.; Christoforo, A.L.; Silva, D.A.L. Re-Refining of Lubricant Oil Used and Contaminated (LOUC) or Its Combustion in Cement Plants? An Exploratory Study in Brazil Based on the Life Cycle Assessment and Circularity Indicators. </w:t>
      </w:r>
      <w:r w:rsidRPr="00C41CDD">
        <w:rPr>
          <w:rFonts w:ascii="Calibri" w:hAnsi="Calibri" w:cs="Calibri"/>
          <w:i/>
          <w:iCs/>
        </w:rPr>
        <w:t>Sustainable Production and Consumption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33</w:t>
      </w:r>
      <w:r w:rsidRPr="00C41CDD">
        <w:rPr>
          <w:rFonts w:ascii="Calibri" w:hAnsi="Calibri" w:cs="Calibri"/>
        </w:rPr>
        <w:t>, 360–371.</w:t>
      </w:r>
    </w:p>
    <w:p w14:paraId="2C54107A"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27. </w:t>
      </w:r>
      <w:r w:rsidRPr="00C41CDD">
        <w:rPr>
          <w:rFonts w:ascii="Calibri" w:hAnsi="Calibri" w:cs="Calibri"/>
        </w:rPr>
        <w:tab/>
      </w:r>
      <w:proofErr w:type="spellStart"/>
      <w:r w:rsidRPr="00C41CDD">
        <w:rPr>
          <w:rFonts w:ascii="Calibri" w:hAnsi="Calibri" w:cs="Calibri"/>
        </w:rPr>
        <w:t>Syu</w:t>
      </w:r>
      <w:proofErr w:type="spellEnd"/>
      <w:r w:rsidRPr="00C41CDD">
        <w:rPr>
          <w:rFonts w:ascii="Calibri" w:hAnsi="Calibri" w:cs="Calibri"/>
        </w:rPr>
        <w:t xml:space="preserve">, F.-S.; Vasudevan, A.; </w:t>
      </w:r>
      <w:proofErr w:type="spellStart"/>
      <w:r w:rsidRPr="00C41CDD">
        <w:rPr>
          <w:rFonts w:ascii="Calibri" w:hAnsi="Calibri" w:cs="Calibri"/>
        </w:rPr>
        <w:t>Despeisse</w:t>
      </w:r>
      <w:proofErr w:type="spellEnd"/>
      <w:r w:rsidRPr="00C41CDD">
        <w:rPr>
          <w:rFonts w:ascii="Calibri" w:hAnsi="Calibri" w:cs="Calibri"/>
        </w:rPr>
        <w:t xml:space="preserve">, M.; Chari, A.; Bekar, E.T.; Gonçalves, M.M.; Estrela, M.A. Usability and Usefulness of Circularity Indicators for Manufacturing Performance Management. </w:t>
      </w:r>
      <w:r w:rsidRPr="00C41CDD">
        <w:rPr>
          <w:rFonts w:ascii="Calibri" w:hAnsi="Calibri" w:cs="Calibri"/>
          <w:i/>
          <w:iCs/>
        </w:rPr>
        <w:t>Procedia CIRP</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105</w:t>
      </w:r>
      <w:r w:rsidRPr="00C41CDD">
        <w:rPr>
          <w:rFonts w:ascii="Calibri" w:hAnsi="Calibri" w:cs="Calibri"/>
        </w:rPr>
        <w:t>, 835–840.</w:t>
      </w:r>
    </w:p>
    <w:p w14:paraId="3008DE88" w14:textId="77777777" w:rsidR="00C41CDD" w:rsidRPr="00C41CDD" w:rsidRDefault="00C41CDD" w:rsidP="00C41CDD">
      <w:pPr>
        <w:pStyle w:val="ad"/>
        <w:rPr>
          <w:rFonts w:ascii="Calibri" w:hAnsi="Calibri" w:cs="Calibri"/>
        </w:rPr>
      </w:pPr>
      <w:r w:rsidRPr="00C41CDD">
        <w:rPr>
          <w:rFonts w:ascii="Calibri" w:hAnsi="Calibri" w:cs="Calibri"/>
        </w:rPr>
        <w:t xml:space="preserve">28. </w:t>
      </w:r>
      <w:r w:rsidRPr="00C41CDD">
        <w:rPr>
          <w:rFonts w:ascii="Calibri" w:hAnsi="Calibri" w:cs="Calibri"/>
        </w:rPr>
        <w:tab/>
      </w:r>
      <w:proofErr w:type="spellStart"/>
      <w:r w:rsidRPr="00C41CDD">
        <w:rPr>
          <w:rFonts w:ascii="Calibri" w:hAnsi="Calibri" w:cs="Calibri"/>
        </w:rPr>
        <w:t>Vadoudi</w:t>
      </w:r>
      <w:proofErr w:type="spellEnd"/>
      <w:r w:rsidRPr="00C41CDD">
        <w:rPr>
          <w:rFonts w:ascii="Calibri" w:hAnsi="Calibri" w:cs="Calibri"/>
        </w:rPr>
        <w:t xml:space="preserve">, K.; Deckers, P.; </w:t>
      </w:r>
      <w:proofErr w:type="spellStart"/>
      <w:r w:rsidRPr="00C41CDD">
        <w:rPr>
          <w:rFonts w:ascii="Calibri" w:hAnsi="Calibri" w:cs="Calibri"/>
        </w:rPr>
        <w:t>Demuytere</w:t>
      </w:r>
      <w:proofErr w:type="spellEnd"/>
      <w:r w:rsidRPr="00C41CDD">
        <w:rPr>
          <w:rFonts w:ascii="Calibri" w:hAnsi="Calibri" w:cs="Calibri"/>
        </w:rPr>
        <w:t xml:space="preserve">, C.; </w:t>
      </w:r>
      <w:proofErr w:type="spellStart"/>
      <w:r w:rsidRPr="00C41CDD">
        <w:rPr>
          <w:rFonts w:ascii="Calibri" w:hAnsi="Calibri" w:cs="Calibri"/>
        </w:rPr>
        <w:t>Askanian</w:t>
      </w:r>
      <w:proofErr w:type="spellEnd"/>
      <w:r w:rsidRPr="00C41CDD">
        <w:rPr>
          <w:rFonts w:ascii="Calibri" w:hAnsi="Calibri" w:cs="Calibri"/>
        </w:rPr>
        <w:t xml:space="preserve">, H.; Verney, V. Comparing a Material Circularity Indicator to Life Cycle Assessment: The Case of a Three-Layer Plastic Packaging. </w:t>
      </w:r>
      <w:r w:rsidRPr="00C41CDD">
        <w:rPr>
          <w:rFonts w:ascii="Calibri" w:hAnsi="Calibri" w:cs="Calibri"/>
          <w:i/>
          <w:iCs/>
        </w:rPr>
        <w:t>Sustainable production and consumption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33</w:t>
      </w:r>
      <w:r w:rsidRPr="00C41CDD">
        <w:rPr>
          <w:rFonts w:ascii="Calibri" w:hAnsi="Calibri" w:cs="Calibri"/>
        </w:rPr>
        <w:t>, 820–830.</w:t>
      </w:r>
    </w:p>
    <w:p w14:paraId="5F4DC273" w14:textId="77777777" w:rsidR="00C41CDD" w:rsidRPr="00C41CDD" w:rsidRDefault="00C41CDD" w:rsidP="00C41CDD">
      <w:pPr>
        <w:pStyle w:val="ad"/>
        <w:rPr>
          <w:rFonts w:ascii="Calibri" w:hAnsi="Calibri" w:cs="Calibri"/>
        </w:rPr>
      </w:pPr>
      <w:r w:rsidRPr="00C41CDD">
        <w:rPr>
          <w:rFonts w:ascii="Calibri" w:hAnsi="Calibri" w:cs="Calibri"/>
        </w:rPr>
        <w:t xml:space="preserve">29. </w:t>
      </w:r>
      <w:r w:rsidRPr="00C41CDD">
        <w:rPr>
          <w:rFonts w:ascii="Calibri" w:hAnsi="Calibri" w:cs="Calibri"/>
        </w:rPr>
        <w:tab/>
        <w:t xml:space="preserve">Vural </w:t>
      </w:r>
      <w:proofErr w:type="spellStart"/>
      <w:r w:rsidRPr="00C41CDD">
        <w:rPr>
          <w:rFonts w:ascii="Calibri" w:hAnsi="Calibri" w:cs="Calibri"/>
        </w:rPr>
        <w:t>Gursel</w:t>
      </w:r>
      <w:proofErr w:type="spellEnd"/>
      <w:r w:rsidRPr="00C41CDD">
        <w:rPr>
          <w:rFonts w:ascii="Calibri" w:hAnsi="Calibri" w:cs="Calibri"/>
        </w:rPr>
        <w:t xml:space="preserve">, I.; </w:t>
      </w:r>
      <w:proofErr w:type="spellStart"/>
      <w:r w:rsidRPr="00C41CDD">
        <w:rPr>
          <w:rFonts w:ascii="Calibri" w:hAnsi="Calibri" w:cs="Calibri"/>
        </w:rPr>
        <w:t>Elbersen</w:t>
      </w:r>
      <w:proofErr w:type="spellEnd"/>
      <w:r w:rsidRPr="00C41CDD">
        <w:rPr>
          <w:rFonts w:ascii="Calibri" w:hAnsi="Calibri" w:cs="Calibri"/>
        </w:rPr>
        <w:t xml:space="preserve">, B.; </w:t>
      </w:r>
      <w:proofErr w:type="spellStart"/>
      <w:r w:rsidRPr="00C41CDD">
        <w:rPr>
          <w:rFonts w:ascii="Calibri" w:hAnsi="Calibri" w:cs="Calibri"/>
        </w:rPr>
        <w:t>Meesters</w:t>
      </w:r>
      <w:proofErr w:type="spellEnd"/>
      <w:r w:rsidRPr="00C41CDD">
        <w:rPr>
          <w:rFonts w:ascii="Calibri" w:hAnsi="Calibri" w:cs="Calibri"/>
        </w:rPr>
        <w:t xml:space="preserve">, K.P.H. Monitoring Circular Biobased Economy – Systematic Review of Circularity Indicators at the Micro Level.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197</w:t>
      </w:r>
      <w:r w:rsidRPr="00C41CDD">
        <w:rPr>
          <w:rFonts w:ascii="Calibri" w:hAnsi="Calibri" w:cs="Calibri"/>
        </w:rPr>
        <w:t xml:space="preserve">, 107104, </w:t>
      </w:r>
      <w:proofErr w:type="gramStart"/>
      <w:r w:rsidRPr="00C41CDD">
        <w:rPr>
          <w:rFonts w:ascii="Calibri" w:hAnsi="Calibri" w:cs="Calibri"/>
        </w:rPr>
        <w:t>doi:10.1016/j.resconrec</w:t>
      </w:r>
      <w:proofErr w:type="gramEnd"/>
      <w:r w:rsidRPr="00C41CDD">
        <w:rPr>
          <w:rFonts w:ascii="Calibri" w:hAnsi="Calibri" w:cs="Calibri"/>
        </w:rPr>
        <w:t>.2023.107104.</w:t>
      </w:r>
    </w:p>
    <w:p w14:paraId="452994B6" w14:textId="77777777" w:rsidR="00C41CDD" w:rsidRPr="00C41CDD" w:rsidRDefault="00C41CDD" w:rsidP="00C41CDD">
      <w:pPr>
        <w:pStyle w:val="ad"/>
        <w:rPr>
          <w:rFonts w:ascii="Calibri" w:hAnsi="Calibri" w:cs="Calibri"/>
        </w:rPr>
      </w:pPr>
      <w:r w:rsidRPr="00C41CDD">
        <w:rPr>
          <w:rFonts w:ascii="Calibri" w:hAnsi="Calibri" w:cs="Calibri"/>
        </w:rPr>
        <w:t xml:space="preserve">30. </w:t>
      </w:r>
      <w:r w:rsidRPr="00C41CDD">
        <w:rPr>
          <w:rFonts w:ascii="Calibri" w:hAnsi="Calibri" w:cs="Calibri"/>
        </w:rPr>
        <w:tab/>
        <w:t xml:space="preserve">Wiedemann, S.G.; Nguyen, Q.V.; Clarke, S.J. Using LCA and Circularity Indicators to Measure the Sustainability of Textiles—Examples of Renewable and Non-Renewable Fibres.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14</w:t>
      </w:r>
      <w:r w:rsidRPr="00C41CDD">
        <w:rPr>
          <w:rFonts w:ascii="Calibri" w:hAnsi="Calibri" w:cs="Calibri"/>
        </w:rPr>
        <w:t>, 16683.</w:t>
      </w:r>
    </w:p>
    <w:p w14:paraId="673AE946" w14:textId="77777777" w:rsidR="00C41CDD" w:rsidRPr="00C41CDD" w:rsidRDefault="00C41CDD" w:rsidP="00C41CDD">
      <w:pPr>
        <w:pStyle w:val="ad"/>
        <w:rPr>
          <w:rFonts w:ascii="Calibri" w:hAnsi="Calibri" w:cs="Calibri"/>
        </w:rPr>
      </w:pPr>
      <w:r w:rsidRPr="00C41CDD">
        <w:rPr>
          <w:rFonts w:ascii="Calibri" w:hAnsi="Calibri" w:cs="Calibri"/>
        </w:rPr>
        <w:t xml:space="preserve">31. </w:t>
      </w:r>
      <w:r w:rsidRPr="00C41CDD">
        <w:rPr>
          <w:rFonts w:ascii="Calibri" w:hAnsi="Calibri" w:cs="Calibri"/>
        </w:rPr>
        <w:tab/>
        <w:t xml:space="preserve">Huysman, S.; De </w:t>
      </w:r>
      <w:proofErr w:type="spellStart"/>
      <w:r w:rsidRPr="00C41CDD">
        <w:rPr>
          <w:rFonts w:ascii="Calibri" w:hAnsi="Calibri" w:cs="Calibri"/>
        </w:rPr>
        <w:t>Schaepmeester</w:t>
      </w:r>
      <w:proofErr w:type="spellEnd"/>
      <w:r w:rsidRPr="00C41CDD">
        <w:rPr>
          <w:rFonts w:ascii="Calibri" w:hAnsi="Calibri" w:cs="Calibri"/>
        </w:rPr>
        <w:t xml:space="preserve">, J.; </w:t>
      </w:r>
      <w:proofErr w:type="spellStart"/>
      <w:r w:rsidRPr="00C41CDD">
        <w:rPr>
          <w:rFonts w:ascii="Calibri" w:hAnsi="Calibri" w:cs="Calibri"/>
        </w:rPr>
        <w:t>Ragaert</w:t>
      </w:r>
      <w:proofErr w:type="spellEnd"/>
      <w:r w:rsidRPr="00C41CDD">
        <w:rPr>
          <w:rFonts w:ascii="Calibri" w:hAnsi="Calibri" w:cs="Calibri"/>
        </w:rPr>
        <w:t xml:space="preserve">, K.; Dewulf, J.; De Meester, S. Performance Indicators for a Circular Economy: A Case Study on Post-Industrial Plastic Waste. </w:t>
      </w:r>
      <w:r w:rsidRPr="00C41CDD">
        <w:rPr>
          <w:rFonts w:ascii="Calibri" w:hAnsi="Calibri" w:cs="Calibri"/>
          <w:i/>
          <w:iCs/>
        </w:rPr>
        <w:t>Resources, Conservation &amp; Recycling</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120</w:t>
      </w:r>
      <w:r w:rsidRPr="00C41CDD">
        <w:rPr>
          <w:rFonts w:ascii="Calibri" w:hAnsi="Calibri" w:cs="Calibri"/>
        </w:rPr>
        <w:t>, 46–54.</w:t>
      </w:r>
    </w:p>
    <w:p w14:paraId="5A14167E" w14:textId="77777777" w:rsidR="00C41CDD" w:rsidRPr="00C41CDD" w:rsidRDefault="00C41CDD" w:rsidP="00C41CDD">
      <w:pPr>
        <w:pStyle w:val="ad"/>
        <w:rPr>
          <w:rFonts w:ascii="Calibri" w:hAnsi="Calibri" w:cs="Calibri"/>
        </w:rPr>
      </w:pPr>
      <w:r w:rsidRPr="00C41CDD">
        <w:rPr>
          <w:rFonts w:ascii="Calibri" w:hAnsi="Calibri" w:cs="Calibri"/>
        </w:rPr>
        <w:t xml:space="preserve">32. </w:t>
      </w:r>
      <w:r w:rsidRPr="00C41CDD">
        <w:rPr>
          <w:rFonts w:ascii="Calibri" w:hAnsi="Calibri" w:cs="Calibri"/>
        </w:rPr>
        <w:tab/>
        <w:t xml:space="preserve">Bobba, S.; </w:t>
      </w:r>
      <w:proofErr w:type="spellStart"/>
      <w:r w:rsidRPr="00C41CDD">
        <w:rPr>
          <w:rFonts w:ascii="Calibri" w:hAnsi="Calibri" w:cs="Calibri"/>
        </w:rPr>
        <w:t>Eynard</w:t>
      </w:r>
      <w:proofErr w:type="spellEnd"/>
      <w:r w:rsidRPr="00C41CDD">
        <w:rPr>
          <w:rFonts w:ascii="Calibri" w:hAnsi="Calibri" w:cs="Calibri"/>
        </w:rPr>
        <w:t xml:space="preserve">, U.; Maury, T.; Ardente, F.; </w:t>
      </w:r>
      <w:proofErr w:type="spellStart"/>
      <w:r w:rsidRPr="00C41CDD">
        <w:rPr>
          <w:rFonts w:ascii="Calibri" w:hAnsi="Calibri" w:cs="Calibri"/>
        </w:rPr>
        <w:t>Blengini</w:t>
      </w:r>
      <w:proofErr w:type="spellEnd"/>
      <w:r w:rsidRPr="00C41CDD">
        <w:rPr>
          <w:rFonts w:ascii="Calibri" w:hAnsi="Calibri" w:cs="Calibri"/>
        </w:rPr>
        <w:t xml:space="preserve">, G.A.; Mathieux, F. Circular Input Rate: Novel Indicator to Assess Circularity Performances of Materials in a Sector – Application to Rare Earth Elements in e-Vehicles Motors.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197</w:t>
      </w:r>
      <w:r w:rsidRPr="00C41CDD">
        <w:rPr>
          <w:rFonts w:ascii="Calibri" w:hAnsi="Calibri" w:cs="Calibri"/>
        </w:rPr>
        <w:t xml:space="preserve">, 107037, </w:t>
      </w:r>
      <w:proofErr w:type="gramStart"/>
      <w:r w:rsidRPr="00C41CDD">
        <w:rPr>
          <w:rFonts w:ascii="Calibri" w:hAnsi="Calibri" w:cs="Calibri"/>
        </w:rPr>
        <w:t>doi:10.1016/j.resconrec</w:t>
      </w:r>
      <w:proofErr w:type="gramEnd"/>
      <w:r w:rsidRPr="00C41CDD">
        <w:rPr>
          <w:rFonts w:ascii="Calibri" w:hAnsi="Calibri" w:cs="Calibri"/>
        </w:rPr>
        <w:t>.2023.107037.</w:t>
      </w:r>
    </w:p>
    <w:p w14:paraId="4FAFC779" w14:textId="77777777" w:rsidR="00C41CDD" w:rsidRPr="00C41CDD" w:rsidRDefault="00C41CDD" w:rsidP="00C41CDD">
      <w:pPr>
        <w:pStyle w:val="ad"/>
        <w:rPr>
          <w:rFonts w:ascii="Calibri" w:hAnsi="Calibri" w:cs="Calibri"/>
        </w:rPr>
      </w:pPr>
      <w:r w:rsidRPr="00C41CDD">
        <w:rPr>
          <w:rFonts w:ascii="Calibri" w:hAnsi="Calibri" w:cs="Calibri"/>
        </w:rPr>
        <w:t xml:space="preserve">33. </w:t>
      </w:r>
      <w:r w:rsidRPr="00C41CDD">
        <w:rPr>
          <w:rFonts w:ascii="Calibri" w:hAnsi="Calibri" w:cs="Calibri"/>
        </w:rPr>
        <w:tab/>
        <w:t xml:space="preserve">Lee, H.M.; Lu, W.F.; Song, B. A Framework for Assessing Product End-Of-Life Performance: Reviewing the State of the Art and Proposing an Innovative Approach Using an End-of-Life Index.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2014</w:t>
      </w:r>
      <w:r w:rsidRPr="00C41CDD">
        <w:rPr>
          <w:rFonts w:ascii="Calibri" w:hAnsi="Calibri" w:cs="Calibri"/>
        </w:rPr>
        <w:t xml:space="preserve">, </w:t>
      </w:r>
      <w:r w:rsidRPr="00C41CDD">
        <w:rPr>
          <w:rFonts w:ascii="Calibri" w:hAnsi="Calibri" w:cs="Calibri"/>
          <w:i/>
          <w:iCs/>
        </w:rPr>
        <w:t>66</w:t>
      </w:r>
      <w:r w:rsidRPr="00C41CDD">
        <w:rPr>
          <w:rFonts w:ascii="Calibri" w:hAnsi="Calibri" w:cs="Calibri"/>
        </w:rPr>
        <w:t>, 355–371.</w:t>
      </w:r>
    </w:p>
    <w:p w14:paraId="258455C9" w14:textId="77777777" w:rsidR="00C41CDD" w:rsidRPr="00C41CDD" w:rsidRDefault="00C41CDD" w:rsidP="00C41CDD">
      <w:pPr>
        <w:pStyle w:val="ad"/>
        <w:rPr>
          <w:rFonts w:ascii="Calibri" w:hAnsi="Calibri" w:cs="Calibri"/>
        </w:rPr>
      </w:pPr>
      <w:r w:rsidRPr="00C41CDD">
        <w:rPr>
          <w:rFonts w:ascii="Calibri" w:hAnsi="Calibri" w:cs="Calibri"/>
        </w:rPr>
        <w:t xml:space="preserve">34. </w:t>
      </w:r>
      <w:r w:rsidRPr="00C41CDD">
        <w:rPr>
          <w:rFonts w:ascii="Calibri" w:hAnsi="Calibri" w:cs="Calibri"/>
        </w:rPr>
        <w:tab/>
        <w:t xml:space="preserve">Pollard, J.; Osmani, M.; Cole, C.; </w:t>
      </w:r>
      <w:proofErr w:type="spellStart"/>
      <w:r w:rsidRPr="00C41CDD">
        <w:rPr>
          <w:rFonts w:ascii="Calibri" w:hAnsi="Calibri" w:cs="Calibri"/>
        </w:rPr>
        <w:t>Grubnic</w:t>
      </w:r>
      <w:proofErr w:type="spellEnd"/>
      <w:r w:rsidRPr="00C41CDD">
        <w:rPr>
          <w:rFonts w:ascii="Calibri" w:hAnsi="Calibri" w:cs="Calibri"/>
        </w:rPr>
        <w:t xml:space="preserve">, S.; Colwill, J.; Díaz, A.I. Developing and Applying Circularity Indicators for the Electrical and Electronic Sector: A Product Lifecycle Approach.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14</w:t>
      </w:r>
      <w:r w:rsidRPr="00C41CDD">
        <w:rPr>
          <w:rFonts w:ascii="Calibri" w:hAnsi="Calibri" w:cs="Calibri"/>
        </w:rPr>
        <w:t>, 1154, doi:10.3390/su14031154.</w:t>
      </w:r>
    </w:p>
    <w:p w14:paraId="60DBB7EA" w14:textId="77777777" w:rsidR="00C41CDD" w:rsidRPr="00C41CDD" w:rsidRDefault="00C41CDD" w:rsidP="00C41CDD">
      <w:pPr>
        <w:pStyle w:val="ad"/>
        <w:rPr>
          <w:rFonts w:ascii="Calibri" w:hAnsi="Calibri" w:cs="Calibri"/>
        </w:rPr>
      </w:pPr>
      <w:r w:rsidRPr="00C41CDD">
        <w:rPr>
          <w:rFonts w:ascii="Calibri" w:hAnsi="Calibri" w:cs="Calibri"/>
        </w:rPr>
        <w:t xml:space="preserve">35. </w:t>
      </w:r>
      <w:r w:rsidRPr="00C41CDD">
        <w:rPr>
          <w:rFonts w:ascii="Calibri" w:hAnsi="Calibri" w:cs="Calibri"/>
        </w:rPr>
        <w:tab/>
        <w:t xml:space="preserve">Kowalski, Z.; Kulczycka, J.; Makara, A.; </w:t>
      </w:r>
      <w:proofErr w:type="spellStart"/>
      <w:r w:rsidRPr="00C41CDD">
        <w:rPr>
          <w:rFonts w:ascii="Calibri" w:hAnsi="Calibri" w:cs="Calibri"/>
        </w:rPr>
        <w:t>Verhé</w:t>
      </w:r>
      <w:proofErr w:type="spellEnd"/>
      <w:r w:rsidRPr="00C41CDD">
        <w:rPr>
          <w:rFonts w:ascii="Calibri" w:hAnsi="Calibri" w:cs="Calibri"/>
        </w:rPr>
        <w:t xml:space="preserve">, R.; De Clercq, G. Assessment of Energy Recovery from Municipal Waste Management Systems Using Circular Economy Quality Indicators. </w:t>
      </w:r>
      <w:r w:rsidRPr="00C41CDD">
        <w:rPr>
          <w:rFonts w:ascii="Calibri" w:hAnsi="Calibri" w:cs="Calibri"/>
          <w:i/>
          <w:iCs/>
        </w:rPr>
        <w:t>Energies</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15</w:t>
      </w:r>
      <w:r w:rsidRPr="00C41CDD">
        <w:rPr>
          <w:rFonts w:ascii="Calibri" w:hAnsi="Calibri" w:cs="Calibri"/>
        </w:rPr>
        <w:t>, 8625, doi:10.3390/en15228625.</w:t>
      </w:r>
    </w:p>
    <w:p w14:paraId="682B792D" w14:textId="77777777" w:rsidR="00C41CDD" w:rsidRPr="00C41CDD" w:rsidRDefault="00C41CDD" w:rsidP="00C41CDD">
      <w:pPr>
        <w:pStyle w:val="ad"/>
        <w:rPr>
          <w:rFonts w:ascii="Calibri" w:hAnsi="Calibri" w:cs="Calibri"/>
        </w:rPr>
      </w:pPr>
      <w:r w:rsidRPr="00C41CDD">
        <w:rPr>
          <w:rFonts w:ascii="Calibri" w:hAnsi="Calibri" w:cs="Calibri"/>
        </w:rPr>
        <w:t xml:space="preserve">36. </w:t>
      </w:r>
      <w:r w:rsidRPr="00C41CDD">
        <w:rPr>
          <w:rFonts w:ascii="Calibri" w:hAnsi="Calibri" w:cs="Calibri"/>
        </w:rPr>
        <w:tab/>
        <w:t xml:space="preserve">Kowalski, Z.; Kulczycka, J.; Banach, M.; Makara, A. A Complex Circular-Economy Quality Indicator for Assessing Production Systems at the Micro Level.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15</w:t>
      </w:r>
      <w:r w:rsidRPr="00C41CDD">
        <w:rPr>
          <w:rFonts w:ascii="Calibri" w:hAnsi="Calibri" w:cs="Calibri"/>
        </w:rPr>
        <w:t>, 13495, doi:10.3390/su151813495.</w:t>
      </w:r>
    </w:p>
    <w:p w14:paraId="66D4A623" w14:textId="77777777" w:rsidR="00C41CDD" w:rsidRPr="00C41CDD" w:rsidRDefault="00C41CDD" w:rsidP="00C41CDD">
      <w:pPr>
        <w:pStyle w:val="ad"/>
        <w:rPr>
          <w:rFonts w:ascii="Calibri" w:hAnsi="Calibri" w:cs="Calibri"/>
        </w:rPr>
      </w:pPr>
      <w:r w:rsidRPr="00C41CDD">
        <w:rPr>
          <w:rFonts w:ascii="Calibri" w:hAnsi="Calibri" w:cs="Calibri"/>
        </w:rPr>
        <w:t xml:space="preserve">37. </w:t>
      </w:r>
      <w:r w:rsidRPr="00C41CDD">
        <w:rPr>
          <w:rFonts w:ascii="Calibri" w:hAnsi="Calibri" w:cs="Calibri"/>
        </w:rPr>
        <w:tab/>
        <w:t xml:space="preserve">Mesa, J.; Esparragoza, I.; Maury, H. Developing a Set of Sustainability Indicators for Product Families Based on the Circular Economy Model.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2018</w:t>
      </w:r>
      <w:r w:rsidRPr="00C41CDD">
        <w:rPr>
          <w:rFonts w:ascii="Calibri" w:hAnsi="Calibri" w:cs="Calibri"/>
        </w:rPr>
        <w:t xml:space="preserve">, </w:t>
      </w:r>
      <w:r w:rsidRPr="00C41CDD">
        <w:rPr>
          <w:rFonts w:ascii="Calibri" w:hAnsi="Calibri" w:cs="Calibri"/>
          <w:i/>
          <w:iCs/>
        </w:rPr>
        <w:t>196</w:t>
      </w:r>
      <w:r w:rsidRPr="00C41CDD">
        <w:rPr>
          <w:rFonts w:ascii="Calibri" w:hAnsi="Calibri" w:cs="Calibri"/>
        </w:rPr>
        <w:t>, 1429–1442.</w:t>
      </w:r>
    </w:p>
    <w:p w14:paraId="06F6710C" w14:textId="77777777" w:rsidR="00C41CDD" w:rsidRPr="00C41CDD" w:rsidRDefault="00C41CDD" w:rsidP="00C41CDD">
      <w:pPr>
        <w:pStyle w:val="ad"/>
        <w:rPr>
          <w:rFonts w:ascii="Calibri" w:hAnsi="Calibri" w:cs="Calibri"/>
        </w:rPr>
      </w:pPr>
      <w:r w:rsidRPr="00C41CDD">
        <w:rPr>
          <w:rFonts w:ascii="Calibri" w:hAnsi="Calibri" w:cs="Calibri"/>
        </w:rPr>
        <w:t xml:space="preserve">38. </w:t>
      </w:r>
      <w:r w:rsidRPr="00C41CDD">
        <w:rPr>
          <w:rFonts w:ascii="Calibri" w:hAnsi="Calibri" w:cs="Calibri"/>
        </w:rPr>
        <w:tab/>
        <w:t xml:space="preserve">Kravchenko, M.; </w:t>
      </w:r>
      <w:proofErr w:type="spellStart"/>
      <w:r w:rsidRPr="00C41CDD">
        <w:rPr>
          <w:rFonts w:ascii="Calibri" w:hAnsi="Calibri" w:cs="Calibri"/>
        </w:rPr>
        <w:t>Pigosso</w:t>
      </w:r>
      <w:proofErr w:type="spellEnd"/>
      <w:r w:rsidRPr="00C41CDD">
        <w:rPr>
          <w:rFonts w:ascii="Calibri" w:hAnsi="Calibri" w:cs="Calibri"/>
        </w:rPr>
        <w:t xml:space="preserve">, D.CA.; </w:t>
      </w:r>
      <w:proofErr w:type="spellStart"/>
      <w:r w:rsidRPr="00C41CDD">
        <w:rPr>
          <w:rFonts w:ascii="Calibri" w:hAnsi="Calibri" w:cs="Calibri"/>
        </w:rPr>
        <w:t>McAloone</w:t>
      </w:r>
      <w:proofErr w:type="spellEnd"/>
      <w:r w:rsidRPr="00C41CDD">
        <w:rPr>
          <w:rFonts w:ascii="Calibri" w:hAnsi="Calibri" w:cs="Calibri"/>
        </w:rPr>
        <w:t xml:space="preserve">, T.C. Towards the Ex-Ante Sustainability Screening of Circular Economy Initiatives in Manufacturing Companies: Consolidation of Leading Sustainability-Related Performance Indicators.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241</w:t>
      </w:r>
      <w:r w:rsidRPr="00C41CDD">
        <w:rPr>
          <w:rFonts w:ascii="Calibri" w:hAnsi="Calibri" w:cs="Calibri"/>
        </w:rPr>
        <w:t xml:space="preserve">, 118318, </w:t>
      </w:r>
      <w:proofErr w:type="gramStart"/>
      <w:r w:rsidRPr="00C41CDD">
        <w:rPr>
          <w:rFonts w:ascii="Calibri" w:hAnsi="Calibri" w:cs="Calibri"/>
        </w:rPr>
        <w:t>doi:10.1016/j.jclepro</w:t>
      </w:r>
      <w:proofErr w:type="gramEnd"/>
      <w:r w:rsidRPr="00C41CDD">
        <w:rPr>
          <w:rFonts w:ascii="Calibri" w:hAnsi="Calibri" w:cs="Calibri"/>
        </w:rPr>
        <w:t>.2019.118318.</w:t>
      </w:r>
    </w:p>
    <w:p w14:paraId="375B9527" w14:textId="77777777" w:rsidR="00C41CDD" w:rsidRPr="00C41CDD" w:rsidRDefault="00C41CDD" w:rsidP="00C41CDD">
      <w:pPr>
        <w:pStyle w:val="ad"/>
        <w:rPr>
          <w:rFonts w:ascii="Calibri" w:hAnsi="Calibri" w:cs="Calibri"/>
        </w:rPr>
      </w:pPr>
      <w:r w:rsidRPr="00C41CDD">
        <w:rPr>
          <w:rFonts w:ascii="Calibri" w:hAnsi="Calibri" w:cs="Calibri"/>
        </w:rPr>
        <w:t xml:space="preserve">39. </w:t>
      </w:r>
      <w:r w:rsidRPr="00C41CDD">
        <w:rPr>
          <w:rFonts w:ascii="Calibri" w:hAnsi="Calibri" w:cs="Calibri"/>
        </w:rPr>
        <w:tab/>
        <w:t xml:space="preserve">Das, S.K.; </w:t>
      </w:r>
      <w:proofErr w:type="spellStart"/>
      <w:r w:rsidRPr="00C41CDD">
        <w:rPr>
          <w:rFonts w:ascii="Calibri" w:hAnsi="Calibri" w:cs="Calibri"/>
        </w:rPr>
        <w:t>Yedlarajiah</w:t>
      </w:r>
      <w:proofErr w:type="spellEnd"/>
      <w:r w:rsidRPr="00C41CDD">
        <w:rPr>
          <w:rFonts w:ascii="Calibri" w:hAnsi="Calibri" w:cs="Calibri"/>
        </w:rPr>
        <w:t xml:space="preserve">, P.; Narendra, R. An Approach for Estimating the End-of-Life Product Disassembly Effort and Cost. </w:t>
      </w:r>
      <w:r w:rsidRPr="00C41CDD">
        <w:rPr>
          <w:rFonts w:ascii="Calibri" w:hAnsi="Calibri" w:cs="Calibri"/>
          <w:i/>
          <w:iCs/>
        </w:rPr>
        <w:t>International Journal of Production Research</w:t>
      </w:r>
      <w:r w:rsidRPr="00C41CDD">
        <w:rPr>
          <w:rFonts w:ascii="Calibri" w:hAnsi="Calibri" w:cs="Calibri"/>
        </w:rPr>
        <w:t xml:space="preserve"> </w:t>
      </w:r>
      <w:r w:rsidRPr="00C41CDD">
        <w:rPr>
          <w:rFonts w:ascii="Calibri" w:hAnsi="Calibri" w:cs="Calibri"/>
          <w:b/>
          <w:bCs/>
        </w:rPr>
        <w:t>2000</w:t>
      </w:r>
      <w:r w:rsidRPr="00C41CDD">
        <w:rPr>
          <w:rFonts w:ascii="Calibri" w:hAnsi="Calibri" w:cs="Calibri"/>
        </w:rPr>
        <w:t xml:space="preserve">, </w:t>
      </w:r>
      <w:r w:rsidRPr="00C41CDD">
        <w:rPr>
          <w:rFonts w:ascii="Calibri" w:hAnsi="Calibri" w:cs="Calibri"/>
          <w:i/>
          <w:iCs/>
        </w:rPr>
        <w:t>38</w:t>
      </w:r>
      <w:r w:rsidRPr="00C41CDD">
        <w:rPr>
          <w:rFonts w:ascii="Calibri" w:hAnsi="Calibri" w:cs="Calibri"/>
        </w:rPr>
        <w:t>, 657–673, doi:10.1080/002075400189356.</w:t>
      </w:r>
    </w:p>
    <w:p w14:paraId="4F75D10F"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40. </w:t>
      </w:r>
      <w:r w:rsidRPr="00C41CDD">
        <w:rPr>
          <w:rFonts w:ascii="Calibri" w:hAnsi="Calibri" w:cs="Calibri"/>
        </w:rPr>
        <w:tab/>
        <w:t xml:space="preserve">Rossi, E.; </w:t>
      </w:r>
      <w:proofErr w:type="spellStart"/>
      <w:r w:rsidRPr="00C41CDD">
        <w:rPr>
          <w:rFonts w:ascii="Calibri" w:hAnsi="Calibri" w:cs="Calibri"/>
        </w:rPr>
        <w:t>Bertassini</w:t>
      </w:r>
      <w:proofErr w:type="spellEnd"/>
      <w:r w:rsidRPr="00C41CDD">
        <w:rPr>
          <w:rFonts w:ascii="Calibri" w:hAnsi="Calibri" w:cs="Calibri"/>
        </w:rPr>
        <w:t xml:space="preserve">, A.C.; Ferreira, C. dos S.; Neves do Amaral, W.A.; </w:t>
      </w:r>
      <w:proofErr w:type="spellStart"/>
      <w:r w:rsidRPr="00C41CDD">
        <w:rPr>
          <w:rFonts w:ascii="Calibri" w:hAnsi="Calibri" w:cs="Calibri"/>
        </w:rPr>
        <w:t>Ometto</w:t>
      </w:r>
      <w:proofErr w:type="spellEnd"/>
      <w:r w:rsidRPr="00C41CDD">
        <w:rPr>
          <w:rFonts w:ascii="Calibri" w:hAnsi="Calibri" w:cs="Calibri"/>
        </w:rPr>
        <w:t xml:space="preserve">, A.R. Circular Economy Indicators for Organizations Considering Sustainability and Business Models: Plastic, Textile and Electro-Electronic Cases.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247</w:t>
      </w:r>
      <w:r w:rsidRPr="00C41CDD">
        <w:rPr>
          <w:rFonts w:ascii="Calibri" w:hAnsi="Calibri" w:cs="Calibri"/>
        </w:rPr>
        <w:t xml:space="preserve">, 119137, </w:t>
      </w:r>
      <w:proofErr w:type="gramStart"/>
      <w:r w:rsidRPr="00C41CDD">
        <w:rPr>
          <w:rFonts w:ascii="Calibri" w:hAnsi="Calibri" w:cs="Calibri"/>
        </w:rPr>
        <w:t>doi:10.1016/j.jclepro</w:t>
      </w:r>
      <w:proofErr w:type="gramEnd"/>
      <w:r w:rsidRPr="00C41CDD">
        <w:rPr>
          <w:rFonts w:ascii="Calibri" w:hAnsi="Calibri" w:cs="Calibri"/>
        </w:rPr>
        <w:t>.2019.119137.</w:t>
      </w:r>
    </w:p>
    <w:p w14:paraId="75E208C2" w14:textId="77777777" w:rsidR="00C41CDD" w:rsidRPr="00C41CDD" w:rsidRDefault="00C41CDD" w:rsidP="00C41CDD">
      <w:pPr>
        <w:pStyle w:val="ad"/>
        <w:rPr>
          <w:rFonts w:ascii="Calibri" w:hAnsi="Calibri" w:cs="Calibri"/>
        </w:rPr>
      </w:pPr>
      <w:r w:rsidRPr="00C41CDD">
        <w:rPr>
          <w:rFonts w:ascii="Calibri" w:hAnsi="Calibri" w:cs="Calibri"/>
        </w:rPr>
        <w:t xml:space="preserve">41. </w:t>
      </w:r>
      <w:r w:rsidRPr="00C41CDD">
        <w:rPr>
          <w:rFonts w:ascii="Calibri" w:hAnsi="Calibri" w:cs="Calibri"/>
        </w:rPr>
        <w:tab/>
        <w:t xml:space="preserve">Park, J.Y.; </w:t>
      </w:r>
      <w:proofErr w:type="spellStart"/>
      <w:r w:rsidRPr="00C41CDD">
        <w:rPr>
          <w:rFonts w:ascii="Calibri" w:hAnsi="Calibri" w:cs="Calibri"/>
        </w:rPr>
        <w:t>Chertow</w:t>
      </w:r>
      <w:proofErr w:type="spellEnd"/>
      <w:r w:rsidRPr="00C41CDD">
        <w:rPr>
          <w:rFonts w:ascii="Calibri" w:hAnsi="Calibri" w:cs="Calibri"/>
        </w:rPr>
        <w:t xml:space="preserve">, M.R. Establishing and Testing the “Reuse Potential” Indicator for Managing Wastes as Resources. </w:t>
      </w:r>
      <w:r w:rsidRPr="00C41CDD">
        <w:rPr>
          <w:rFonts w:ascii="Calibri" w:hAnsi="Calibri" w:cs="Calibri"/>
          <w:i/>
          <w:iCs/>
        </w:rPr>
        <w:t>Journal of Environmental Management</w:t>
      </w:r>
      <w:r w:rsidRPr="00C41CDD">
        <w:rPr>
          <w:rFonts w:ascii="Calibri" w:hAnsi="Calibri" w:cs="Calibri"/>
        </w:rPr>
        <w:t xml:space="preserve"> </w:t>
      </w:r>
      <w:r w:rsidRPr="00C41CDD">
        <w:rPr>
          <w:rFonts w:ascii="Calibri" w:hAnsi="Calibri" w:cs="Calibri"/>
          <w:b/>
          <w:bCs/>
        </w:rPr>
        <w:t>2014</w:t>
      </w:r>
      <w:r w:rsidRPr="00C41CDD">
        <w:rPr>
          <w:rFonts w:ascii="Calibri" w:hAnsi="Calibri" w:cs="Calibri"/>
        </w:rPr>
        <w:t xml:space="preserve">, </w:t>
      </w:r>
      <w:r w:rsidRPr="00C41CDD">
        <w:rPr>
          <w:rFonts w:ascii="Calibri" w:hAnsi="Calibri" w:cs="Calibri"/>
          <w:i/>
          <w:iCs/>
        </w:rPr>
        <w:t>137</w:t>
      </w:r>
      <w:r w:rsidRPr="00C41CDD">
        <w:rPr>
          <w:rFonts w:ascii="Calibri" w:hAnsi="Calibri" w:cs="Calibri"/>
        </w:rPr>
        <w:t xml:space="preserve">, 45–53, </w:t>
      </w:r>
      <w:proofErr w:type="gramStart"/>
      <w:r w:rsidRPr="00C41CDD">
        <w:rPr>
          <w:rFonts w:ascii="Calibri" w:hAnsi="Calibri" w:cs="Calibri"/>
        </w:rPr>
        <w:t>doi:10.1016/j.jenvman</w:t>
      </w:r>
      <w:proofErr w:type="gramEnd"/>
      <w:r w:rsidRPr="00C41CDD">
        <w:rPr>
          <w:rFonts w:ascii="Calibri" w:hAnsi="Calibri" w:cs="Calibri"/>
        </w:rPr>
        <w:t>.2013.11.053.</w:t>
      </w:r>
    </w:p>
    <w:p w14:paraId="7B76F249" w14:textId="77777777" w:rsidR="00C41CDD" w:rsidRPr="00C41CDD" w:rsidRDefault="00C41CDD" w:rsidP="00C41CDD">
      <w:pPr>
        <w:pStyle w:val="ad"/>
        <w:rPr>
          <w:rFonts w:ascii="Calibri" w:hAnsi="Calibri" w:cs="Calibri"/>
        </w:rPr>
      </w:pPr>
      <w:r w:rsidRPr="00C41CDD">
        <w:rPr>
          <w:rFonts w:ascii="Calibri" w:hAnsi="Calibri" w:cs="Calibri"/>
        </w:rPr>
        <w:t xml:space="preserve">42. </w:t>
      </w:r>
      <w:r w:rsidRPr="00C41CDD">
        <w:rPr>
          <w:rFonts w:ascii="Calibri" w:hAnsi="Calibri" w:cs="Calibri"/>
        </w:rPr>
        <w:tab/>
        <w:t xml:space="preserve">Saidani, M.; Kim, H. Design for Product Circularity: Circular Economy Indicators </w:t>
      </w:r>
      <w:proofErr w:type="gramStart"/>
      <w:r w:rsidRPr="00C41CDD">
        <w:rPr>
          <w:rFonts w:ascii="Calibri" w:hAnsi="Calibri" w:cs="Calibri"/>
        </w:rPr>
        <w:t>With</w:t>
      </w:r>
      <w:proofErr w:type="gramEnd"/>
      <w:r w:rsidRPr="00C41CDD">
        <w:rPr>
          <w:rFonts w:ascii="Calibri" w:hAnsi="Calibri" w:cs="Calibri"/>
        </w:rPr>
        <w:t xml:space="preserve"> Tools Mapped Along the Engineering Design Process. In Proceedings of the ASME 2021 International Design Engineering Technical Conferences and Computers and Information in Engineering Conference; American Society of Mechanical Engineers: Virtual, United States, December 2021.</w:t>
      </w:r>
    </w:p>
    <w:p w14:paraId="1D39C572" w14:textId="77777777" w:rsidR="00C41CDD" w:rsidRPr="00C41CDD" w:rsidRDefault="00C41CDD" w:rsidP="00C41CDD">
      <w:pPr>
        <w:pStyle w:val="ad"/>
        <w:rPr>
          <w:rFonts w:ascii="Calibri" w:hAnsi="Calibri" w:cs="Calibri"/>
        </w:rPr>
      </w:pPr>
      <w:r w:rsidRPr="00C41CDD">
        <w:rPr>
          <w:rFonts w:ascii="Calibri" w:hAnsi="Calibri" w:cs="Calibri"/>
        </w:rPr>
        <w:t xml:space="preserve">43. </w:t>
      </w:r>
      <w:r w:rsidRPr="00C41CDD">
        <w:rPr>
          <w:rFonts w:ascii="Calibri" w:hAnsi="Calibri" w:cs="Calibri"/>
        </w:rPr>
        <w:tab/>
        <w:t xml:space="preserve">Tanguay, X.; </w:t>
      </w:r>
      <w:proofErr w:type="spellStart"/>
      <w:r w:rsidRPr="00C41CDD">
        <w:rPr>
          <w:rFonts w:ascii="Calibri" w:hAnsi="Calibri" w:cs="Calibri"/>
        </w:rPr>
        <w:t>Essoua</w:t>
      </w:r>
      <w:proofErr w:type="spellEnd"/>
      <w:r w:rsidRPr="00C41CDD">
        <w:rPr>
          <w:rFonts w:ascii="Calibri" w:hAnsi="Calibri" w:cs="Calibri"/>
        </w:rPr>
        <w:t xml:space="preserve"> </w:t>
      </w:r>
      <w:proofErr w:type="spellStart"/>
      <w:r w:rsidRPr="00C41CDD">
        <w:rPr>
          <w:rFonts w:ascii="Calibri" w:hAnsi="Calibri" w:cs="Calibri"/>
        </w:rPr>
        <w:t>Essoua</w:t>
      </w:r>
      <w:proofErr w:type="spellEnd"/>
      <w:r w:rsidRPr="00C41CDD">
        <w:rPr>
          <w:rFonts w:ascii="Calibri" w:hAnsi="Calibri" w:cs="Calibri"/>
        </w:rPr>
        <w:t xml:space="preserve">, G.G.; Amor, B. Attributional and Consequential Life Cycle Assessments in a Circular Economy with Integration of a Quality Indicator: A Case Study of Cascading Wood Products. </w:t>
      </w:r>
      <w:r w:rsidRPr="00C41CDD">
        <w:rPr>
          <w:rFonts w:ascii="Calibri" w:hAnsi="Calibri" w:cs="Calibri"/>
          <w:i/>
          <w:iCs/>
        </w:rPr>
        <w:t>Journal of Industrial Ecology</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25</w:t>
      </w:r>
      <w:r w:rsidRPr="00C41CDD">
        <w:rPr>
          <w:rFonts w:ascii="Calibri" w:hAnsi="Calibri" w:cs="Calibri"/>
        </w:rPr>
        <w:t>, 1462–1473, doi:10.1111/jiec.13167.</w:t>
      </w:r>
    </w:p>
    <w:p w14:paraId="4C5861AF" w14:textId="77777777" w:rsidR="00C41CDD" w:rsidRPr="00C41CDD" w:rsidRDefault="00C41CDD" w:rsidP="00C41CDD">
      <w:pPr>
        <w:pStyle w:val="ad"/>
        <w:rPr>
          <w:rFonts w:ascii="Calibri" w:hAnsi="Calibri" w:cs="Calibri"/>
        </w:rPr>
      </w:pPr>
      <w:r w:rsidRPr="00C41CDD">
        <w:rPr>
          <w:rFonts w:ascii="Calibri" w:hAnsi="Calibri" w:cs="Calibri"/>
        </w:rPr>
        <w:t xml:space="preserve">44. </w:t>
      </w:r>
      <w:r w:rsidRPr="00C41CDD">
        <w:rPr>
          <w:rFonts w:ascii="Calibri" w:hAnsi="Calibri" w:cs="Calibri"/>
        </w:rPr>
        <w:tab/>
        <w:t xml:space="preserve">Di Maio, F.; Rem, P.C.; Baldé, K.; Polder, M. Measuring Resource Efficiency and Circular Economy: A Market Value Approach.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122</w:t>
      </w:r>
      <w:r w:rsidRPr="00C41CDD">
        <w:rPr>
          <w:rFonts w:ascii="Calibri" w:hAnsi="Calibri" w:cs="Calibri"/>
        </w:rPr>
        <w:t xml:space="preserve">, 163–171, </w:t>
      </w:r>
      <w:proofErr w:type="gramStart"/>
      <w:r w:rsidRPr="00C41CDD">
        <w:rPr>
          <w:rFonts w:ascii="Calibri" w:hAnsi="Calibri" w:cs="Calibri"/>
        </w:rPr>
        <w:t>doi:10.1016/j.resconrec</w:t>
      </w:r>
      <w:proofErr w:type="gramEnd"/>
      <w:r w:rsidRPr="00C41CDD">
        <w:rPr>
          <w:rFonts w:ascii="Calibri" w:hAnsi="Calibri" w:cs="Calibri"/>
        </w:rPr>
        <w:t>.2017.02.009.</w:t>
      </w:r>
    </w:p>
    <w:p w14:paraId="75A8440C" w14:textId="77777777" w:rsidR="00C41CDD" w:rsidRPr="00C41CDD" w:rsidRDefault="00C41CDD" w:rsidP="00C41CDD">
      <w:pPr>
        <w:pStyle w:val="ad"/>
        <w:rPr>
          <w:rFonts w:ascii="Calibri" w:hAnsi="Calibri" w:cs="Calibri"/>
        </w:rPr>
      </w:pPr>
      <w:r w:rsidRPr="00C41CDD">
        <w:rPr>
          <w:rFonts w:ascii="Calibri" w:hAnsi="Calibri" w:cs="Calibri"/>
        </w:rPr>
        <w:t xml:space="preserve">45. </w:t>
      </w:r>
      <w:r w:rsidRPr="00C41CDD">
        <w:rPr>
          <w:rFonts w:ascii="Calibri" w:hAnsi="Calibri" w:cs="Calibri"/>
        </w:rPr>
        <w:tab/>
      </w:r>
      <w:proofErr w:type="spellStart"/>
      <w:r w:rsidRPr="00C41CDD">
        <w:rPr>
          <w:rFonts w:ascii="Calibri" w:hAnsi="Calibri" w:cs="Calibri"/>
        </w:rPr>
        <w:t>Bracquené</w:t>
      </w:r>
      <w:proofErr w:type="spellEnd"/>
      <w:r w:rsidRPr="00C41CDD">
        <w:rPr>
          <w:rFonts w:ascii="Calibri" w:hAnsi="Calibri" w:cs="Calibri"/>
        </w:rPr>
        <w:t xml:space="preserve">, E.; Lindemann, J.; </w:t>
      </w:r>
      <w:proofErr w:type="spellStart"/>
      <w:r w:rsidRPr="00C41CDD">
        <w:rPr>
          <w:rFonts w:ascii="Calibri" w:hAnsi="Calibri" w:cs="Calibri"/>
        </w:rPr>
        <w:t>Duflou</w:t>
      </w:r>
      <w:proofErr w:type="spellEnd"/>
      <w:r w:rsidRPr="00C41CDD">
        <w:rPr>
          <w:rFonts w:ascii="Calibri" w:hAnsi="Calibri" w:cs="Calibri"/>
        </w:rPr>
        <w:t xml:space="preserve">, J. Implementation of Circularity Indicators in a Household Product Manufacturing Company. </w:t>
      </w:r>
      <w:r w:rsidRPr="00C41CDD">
        <w:rPr>
          <w:rFonts w:ascii="Calibri" w:hAnsi="Calibri" w:cs="Calibri"/>
          <w:i/>
          <w:iCs/>
        </w:rPr>
        <w:t>Procedia CIRP</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105</w:t>
      </w:r>
      <w:r w:rsidRPr="00C41CDD">
        <w:rPr>
          <w:rFonts w:ascii="Calibri" w:hAnsi="Calibri" w:cs="Calibri"/>
        </w:rPr>
        <w:t xml:space="preserve">, 660–665, </w:t>
      </w:r>
      <w:proofErr w:type="gramStart"/>
      <w:r w:rsidRPr="00C41CDD">
        <w:rPr>
          <w:rFonts w:ascii="Calibri" w:hAnsi="Calibri" w:cs="Calibri"/>
        </w:rPr>
        <w:t>doi:10.1016/j.procir</w:t>
      </w:r>
      <w:proofErr w:type="gramEnd"/>
      <w:r w:rsidRPr="00C41CDD">
        <w:rPr>
          <w:rFonts w:ascii="Calibri" w:hAnsi="Calibri" w:cs="Calibri"/>
        </w:rPr>
        <w:t>.2022.02.110.</w:t>
      </w:r>
    </w:p>
    <w:p w14:paraId="53477984" w14:textId="77777777" w:rsidR="00C41CDD" w:rsidRPr="00C41CDD" w:rsidRDefault="00C41CDD" w:rsidP="00C41CDD">
      <w:pPr>
        <w:pStyle w:val="ad"/>
        <w:rPr>
          <w:rFonts w:ascii="Calibri" w:hAnsi="Calibri" w:cs="Calibri"/>
        </w:rPr>
      </w:pPr>
      <w:r w:rsidRPr="00C41CDD">
        <w:rPr>
          <w:rFonts w:ascii="Calibri" w:hAnsi="Calibri" w:cs="Calibri"/>
        </w:rPr>
        <w:t xml:space="preserve">46. </w:t>
      </w:r>
      <w:r w:rsidRPr="00C41CDD">
        <w:rPr>
          <w:rFonts w:ascii="Calibri" w:hAnsi="Calibri" w:cs="Calibri"/>
        </w:rPr>
        <w:tab/>
        <w:t xml:space="preserve">Broeren, M.L.M.; Zijp, M.C.; </w:t>
      </w:r>
      <w:proofErr w:type="spellStart"/>
      <w:r w:rsidRPr="00C41CDD">
        <w:rPr>
          <w:rFonts w:ascii="Calibri" w:hAnsi="Calibri" w:cs="Calibri"/>
        </w:rPr>
        <w:t>Waaijers</w:t>
      </w:r>
      <w:proofErr w:type="spellEnd"/>
      <w:r w:rsidRPr="00C41CDD">
        <w:rPr>
          <w:rFonts w:ascii="Calibri" w:hAnsi="Calibri" w:cs="Calibri"/>
        </w:rPr>
        <w:t xml:space="preserve">-van der Loop, S.L.; </w:t>
      </w:r>
      <w:proofErr w:type="spellStart"/>
      <w:r w:rsidRPr="00C41CDD">
        <w:rPr>
          <w:rFonts w:ascii="Calibri" w:hAnsi="Calibri" w:cs="Calibri"/>
        </w:rPr>
        <w:t>Heugens</w:t>
      </w:r>
      <w:proofErr w:type="spellEnd"/>
      <w:r w:rsidRPr="00C41CDD">
        <w:rPr>
          <w:rFonts w:ascii="Calibri" w:hAnsi="Calibri" w:cs="Calibri"/>
        </w:rPr>
        <w:t xml:space="preserve">, E.H.W.; Posthuma, L.; Worrell, E.; Shen, L. Environmental Assessment of Bio-Based Chemicals in Early-Stage Development: A Review of Methods and Indicators. </w:t>
      </w:r>
      <w:r w:rsidRPr="00C41CDD">
        <w:rPr>
          <w:rFonts w:ascii="Calibri" w:hAnsi="Calibri" w:cs="Calibri"/>
          <w:i/>
          <w:iCs/>
        </w:rPr>
        <w:t>Biofuels, Bioproducts and Biorefining</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11</w:t>
      </w:r>
      <w:r w:rsidRPr="00C41CDD">
        <w:rPr>
          <w:rFonts w:ascii="Calibri" w:hAnsi="Calibri" w:cs="Calibri"/>
        </w:rPr>
        <w:t>, 701–718, doi:10.1002/bbb.1772.</w:t>
      </w:r>
    </w:p>
    <w:p w14:paraId="780DB236" w14:textId="77777777" w:rsidR="00C41CDD" w:rsidRPr="00C41CDD" w:rsidRDefault="00C41CDD" w:rsidP="00C41CDD">
      <w:pPr>
        <w:pStyle w:val="ad"/>
        <w:rPr>
          <w:rFonts w:ascii="Calibri" w:hAnsi="Calibri" w:cs="Calibri"/>
        </w:rPr>
      </w:pPr>
      <w:r w:rsidRPr="00C41CDD">
        <w:rPr>
          <w:rFonts w:ascii="Calibri" w:hAnsi="Calibri" w:cs="Calibri"/>
        </w:rPr>
        <w:t xml:space="preserve">47. </w:t>
      </w:r>
      <w:r w:rsidRPr="00C41CDD">
        <w:rPr>
          <w:rFonts w:ascii="Calibri" w:hAnsi="Calibri" w:cs="Calibri"/>
        </w:rPr>
        <w:tab/>
        <w:t xml:space="preserve">Espinoza, L.A.T.; Soulier, M. Defining Regional Recycling Indicators for Metals.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2018</w:t>
      </w:r>
      <w:r w:rsidRPr="00C41CDD">
        <w:rPr>
          <w:rFonts w:ascii="Calibri" w:hAnsi="Calibri" w:cs="Calibri"/>
        </w:rPr>
        <w:t xml:space="preserve">, </w:t>
      </w:r>
      <w:r w:rsidRPr="00C41CDD">
        <w:rPr>
          <w:rFonts w:ascii="Calibri" w:hAnsi="Calibri" w:cs="Calibri"/>
          <w:i/>
          <w:iCs/>
        </w:rPr>
        <w:t>129</w:t>
      </w:r>
      <w:r w:rsidRPr="00C41CDD">
        <w:rPr>
          <w:rFonts w:ascii="Calibri" w:hAnsi="Calibri" w:cs="Calibri"/>
        </w:rPr>
        <w:t>, 120–128.</w:t>
      </w:r>
    </w:p>
    <w:p w14:paraId="407ACC16" w14:textId="77777777" w:rsidR="00C41CDD" w:rsidRPr="00C41CDD" w:rsidRDefault="00C41CDD" w:rsidP="00C41CDD">
      <w:pPr>
        <w:pStyle w:val="ad"/>
        <w:rPr>
          <w:rFonts w:ascii="Calibri" w:hAnsi="Calibri" w:cs="Calibri"/>
        </w:rPr>
      </w:pPr>
      <w:r w:rsidRPr="00C41CDD">
        <w:rPr>
          <w:rFonts w:ascii="Calibri" w:hAnsi="Calibri" w:cs="Calibri"/>
        </w:rPr>
        <w:t xml:space="preserve">48. </w:t>
      </w:r>
      <w:r w:rsidRPr="00C41CDD">
        <w:rPr>
          <w:rFonts w:ascii="Calibri" w:hAnsi="Calibri" w:cs="Calibri"/>
        </w:rPr>
        <w:tab/>
      </w:r>
      <w:proofErr w:type="spellStart"/>
      <w:r w:rsidRPr="00C41CDD">
        <w:rPr>
          <w:rFonts w:ascii="Calibri" w:hAnsi="Calibri" w:cs="Calibri"/>
        </w:rPr>
        <w:t>Glöser</w:t>
      </w:r>
      <w:proofErr w:type="spellEnd"/>
      <w:r w:rsidRPr="00C41CDD">
        <w:rPr>
          <w:rFonts w:ascii="Calibri" w:hAnsi="Calibri" w:cs="Calibri"/>
        </w:rPr>
        <w:t xml:space="preserve">, S.; Soulier, M.; Tercero Espinoza, L.A. Dynamic Analysis of Global Copper Flows. Global Stocks, Postconsumer Material Flows, Recycling Indicators, and Uncertainty Evaluation. </w:t>
      </w:r>
      <w:r w:rsidRPr="00C41CDD">
        <w:rPr>
          <w:rFonts w:ascii="Calibri" w:hAnsi="Calibri" w:cs="Calibri"/>
          <w:i/>
          <w:iCs/>
        </w:rPr>
        <w:t>Environ. Sci. Technol.</w:t>
      </w:r>
      <w:r w:rsidRPr="00C41CDD">
        <w:rPr>
          <w:rFonts w:ascii="Calibri" w:hAnsi="Calibri" w:cs="Calibri"/>
        </w:rPr>
        <w:t xml:space="preserve"> </w:t>
      </w:r>
      <w:r w:rsidRPr="00C41CDD">
        <w:rPr>
          <w:rFonts w:ascii="Calibri" w:hAnsi="Calibri" w:cs="Calibri"/>
          <w:b/>
          <w:bCs/>
        </w:rPr>
        <w:t>2013</w:t>
      </w:r>
      <w:r w:rsidRPr="00C41CDD">
        <w:rPr>
          <w:rFonts w:ascii="Calibri" w:hAnsi="Calibri" w:cs="Calibri"/>
        </w:rPr>
        <w:t xml:space="preserve">, </w:t>
      </w:r>
      <w:r w:rsidRPr="00C41CDD">
        <w:rPr>
          <w:rFonts w:ascii="Calibri" w:hAnsi="Calibri" w:cs="Calibri"/>
          <w:i/>
          <w:iCs/>
        </w:rPr>
        <w:t>47</w:t>
      </w:r>
      <w:r w:rsidRPr="00C41CDD">
        <w:rPr>
          <w:rFonts w:ascii="Calibri" w:hAnsi="Calibri" w:cs="Calibri"/>
        </w:rPr>
        <w:t>, 6564–6572, doi:10.1021/es400069b.</w:t>
      </w:r>
    </w:p>
    <w:p w14:paraId="41F4353E" w14:textId="77777777" w:rsidR="00C41CDD" w:rsidRPr="00C41CDD" w:rsidRDefault="00C41CDD" w:rsidP="00C41CDD">
      <w:pPr>
        <w:pStyle w:val="ad"/>
        <w:rPr>
          <w:rFonts w:ascii="Calibri" w:hAnsi="Calibri" w:cs="Calibri"/>
        </w:rPr>
      </w:pPr>
      <w:r w:rsidRPr="00C41CDD">
        <w:rPr>
          <w:rFonts w:ascii="Calibri" w:hAnsi="Calibri" w:cs="Calibri"/>
        </w:rPr>
        <w:t xml:space="preserve">49. </w:t>
      </w:r>
      <w:r w:rsidRPr="00C41CDD">
        <w:rPr>
          <w:rFonts w:ascii="Calibri" w:hAnsi="Calibri" w:cs="Calibri"/>
        </w:rPr>
        <w:tab/>
        <w:t xml:space="preserve">Saidani, M.; Kendall, A.; Yannou, B.; Leroy, Y.; </w:t>
      </w:r>
      <w:proofErr w:type="spellStart"/>
      <w:r w:rsidRPr="00C41CDD">
        <w:rPr>
          <w:rFonts w:ascii="Calibri" w:hAnsi="Calibri" w:cs="Calibri"/>
        </w:rPr>
        <w:t>Cluzel</w:t>
      </w:r>
      <w:proofErr w:type="spellEnd"/>
      <w:r w:rsidRPr="00C41CDD">
        <w:rPr>
          <w:rFonts w:ascii="Calibri" w:hAnsi="Calibri" w:cs="Calibri"/>
        </w:rPr>
        <w:t xml:space="preserve">, F. Closing the Loop on Platinum from Catalytic Converters: Contributions from Material Flow Analysis and Circularity Indicators. </w:t>
      </w:r>
      <w:r w:rsidRPr="00C41CDD">
        <w:rPr>
          <w:rFonts w:ascii="Calibri" w:hAnsi="Calibri" w:cs="Calibri"/>
          <w:i/>
          <w:iCs/>
        </w:rPr>
        <w:t>Journal of Industrial Ecology</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doi:10.1111/jiec.12852.</w:t>
      </w:r>
    </w:p>
    <w:p w14:paraId="50AB6FC7" w14:textId="77777777" w:rsidR="00C41CDD" w:rsidRPr="00C41CDD" w:rsidRDefault="00C41CDD" w:rsidP="00C41CDD">
      <w:pPr>
        <w:pStyle w:val="ad"/>
        <w:rPr>
          <w:rFonts w:ascii="Calibri" w:hAnsi="Calibri" w:cs="Calibri"/>
        </w:rPr>
      </w:pPr>
      <w:r w:rsidRPr="00C41CDD">
        <w:rPr>
          <w:rFonts w:ascii="Calibri" w:hAnsi="Calibri" w:cs="Calibri"/>
        </w:rPr>
        <w:t xml:space="preserve">50. </w:t>
      </w:r>
      <w:r w:rsidRPr="00C41CDD">
        <w:rPr>
          <w:rFonts w:ascii="Calibri" w:hAnsi="Calibri" w:cs="Calibri"/>
        </w:rPr>
        <w:tab/>
        <w:t xml:space="preserve">Lou, E.; Mativenga, P.T. What Should Be Recycled: An Integrated Model for Product Recycling Desirability.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154</w:t>
      </w:r>
      <w:r w:rsidRPr="00C41CDD">
        <w:rPr>
          <w:rFonts w:ascii="Calibri" w:hAnsi="Calibri" w:cs="Calibri"/>
        </w:rPr>
        <w:t>, 51–60.</w:t>
      </w:r>
    </w:p>
    <w:p w14:paraId="5BEC007B" w14:textId="77777777" w:rsidR="00C41CDD" w:rsidRPr="00C41CDD" w:rsidRDefault="00C41CDD" w:rsidP="00C41CDD">
      <w:pPr>
        <w:pStyle w:val="ad"/>
        <w:rPr>
          <w:rFonts w:ascii="Calibri" w:hAnsi="Calibri" w:cs="Calibri"/>
        </w:rPr>
      </w:pPr>
      <w:r w:rsidRPr="00C41CDD">
        <w:rPr>
          <w:rFonts w:ascii="Calibri" w:hAnsi="Calibri" w:cs="Calibri"/>
        </w:rPr>
        <w:t xml:space="preserve">51. </w:t>
      </w:r>
      <w:r w:rsidRPr="00C41CDD">
        <w:rPr>
          <w:rFonts w:ascii="Calibri" w:hAnsi="Calibri" w:cs="Calibri"/>
        </w:rPr>
        <w:tab/>
      </w:r>
      <w:proofErr w:type="spellStart"/>
      <w:r w:rsidRPr="00C41CDD">
        <w:rPr>
          <w:rFonts w:ascii="Calibri" w:hAnsi="Calibri" w:cs="Calibri"/>
        </w:rPr>
        <w:t>Smirlis</w:t>
      </w:r>
      <w:proofErr w:type="spellEnd"/>
      <w:r w:rsidRPr="00C41CDD">
        <w:rPr>
          <w:rFonts w:ascii="Calibri" w:hAnsi="Calibri" w:cs="Calibri"/>
        </w:rPr>
        <w:t xml:space="preserve">, Y.; </w:t>
      </w:r>
      <w:proofErr w:type="spellStart"/>
      <w:r w:rsidRPr="00C41CDD">
        <w:rPr>
          <w:rFonts w:ascii="Calibri" w:hAnsi="Calibri" w:cs="Calibri"/>
        </w:rPr>
        <w:t>Bonazountas</w:t>
      </w:r>
      <w:proofErr w:type="spellEnd"/>
      <w:r w:rsidRPr="00C41CDD">
        <w:rPr>
          <w:rFonts w:ascii="Calibri" w:hAnsi="Calibri" w:cs="Calibri"/>
        </w:rPr>
        <w:t xml:space="preserve">, M. LCA/LCC. </w:t>
      </w:r>
      <w:r w:rsidRPr="00C41CDD">
        <w:rPr>
          <w:rFonts w:ascii="Calibri" w:hAnsi="Calibri" w:cs="Calibri"/>
          <w:b/>
          <w:bCs/>
        </w:rPr>
        <w:t>2022</w:t>
      </w:r>
      <w:r w:rsidRPr="00C41CDD">
        <w:rPr>
          <w:rFonts w:ascii="Calibri" w:hAnsi="Calibri" w:cs="Calibri"/>
        </w:rPr>
        <w:t>.</w:t>
      </w:r>
    </w:p>
    <w:p w14:paraId="07DB4AB3" w14:textId="77777777" w:rsidR="00C41CDD" w:rsidRPr="00C41CDD" w:rsidRDefault="00C41CDD" w:rsidP="00C41CDD">
      <w:pPr>
        <w:pStyle w:val="ad"/>
        <w:rPr>
          <w:rFonts w:ascii="Calibri" w:hAnsi="Calibri" w:cs="Calibri"/>
        </w:rPr>
      </w:pPr>
      <w:r w:rsidRPr="00C41CDD">
        <w:rPr>
          <w:rFonts w:ascii="Calibri" w:hAnsi="Calibri" w:cs="Calibri"/>
        </w:rPr>
        <w:t xml:space="preserve">52. </w:t>
      </w:r>
      <w:r w:rsidRPr="00C41CDD">
        <w:rPr>
          <w:rFonts w:ascii="Calibri" w:hAnsi="Calibri" w:cs="Calibri"/>
        </w:rPr>
        <w:tab/>
        <w:t xml:space="preserve">Carvalho, M.L.; Cusenza, M.A.; Mela, G.; </w:t>
      </w:r>
      <w:proofErr w:type="spellStart"/>
      <w:r w:rsidRPr="00C41CDD">
        <w:rPr>
          <w:rFonts w:ascii="Calibri" w:hAnsi="Calibri" w:cs="Calibri"/>
        </w:rPr>
        <w:t>Temporelli</w:t>
      </w:r>
      <w:proofErr w:type="spellEnd"/>
      <w:r w:rsidRPr="00C41CDD">
        <w:rPr>
          <w:rFonts w:ascii="Calibri" w:hAnsi="Calibri" w:cs="Calibri"/>
        </w:rPr>
        <w:t xml:space="preserve">, A.; </w:t>
      </w:r>
      <w:proofErr w:type="spellStart"/>
      <w:r w:rsidRPr="00C41CDD">
        <w:rPr>
          <w:rFonts w:ascii="Calibri" w:hAnsi="Calibri" w:cs="Calibri"/>
        </w:rPr>
        <w:t>Quinzeni</w:t>
      </w:r>
      <w:proofErr w:type="spellEnd"/>
      <w:r w:rsidRPr="00C41CDD">
        <w:rPr>
          <w:rFonts w:ascii="Calibri" w:hAnsi="Calibri" w:cs="Calibri"/>
        </w:rPr>
        <w:t xml:space="preserve">, I.; Girardi, P. LCA and C-LCC Indicator as Tools for Sodium-Ion Batteries’ Eco-Design. </w:t>
      </w:r>
      <w:r w:rsidRPr="00C41CDD">
        <w:rPr>
          <w:rFonts w:ascii="Calibri" w:hAnsi="Calibri" w:cs="Calibri"/>
          <w:i/>
          <w:iCs/>
        </w:rPr>
        <w:t>Energies</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 6220, doi:10.3390/en16176220.</w:t>
      </w:r>
    </w:p>
    <w:p w14:paraId="02CD6A9B" w14:textId="77777777" w:rsidR="00C41CDD" w:rsidRPr="00C41CDD" w:rsidRDefault="00C41CDD" w:rsidP="00C41CDD">
      <w:pPr>
        <w:pStyle w:val="ad"/>
        <w:rPr>
          <w:rFonts w:ascii="Calibri" w:hAnsi="Calibri" w:cs="Calibri"/>
        </w:rPr>
      </w:pPr>
      <w:r w:rsidRPr="00C41CDD">
        <w:rPr>
          <w:rFonts w:ascii="Calibri" w:hAnsi="Calibri" w:cs="Calibri"/>
        </w:rPr>
        <w:t xml:space="preserve">53. </w:t>
      </w:r>
      <w:r w:rsidRPr="00C41CDD">
        <w:rPr>
          <w:rFonts w:ascii="Calibri" w:hAnsi="Calibri" w:cs="Calibri"/>
        </w:rPr>
        <w:tab/>
        <w:t xml:space="preserve">Scipioni, A.; </w:t>
      </w:r>
      <w:proofErr w:type="spellStart"/>
      <w:r w:rsidRPr="00C41CDD">
        <w:rPr>
          <w:rFonts w:ascii="Calibri" w:hAnsi="Calibri" w:cs="Calibri"/>
        </w:rPr>
        <w:t>Niero</w:t>
      </w:r>
      <w:proofErr w:type="spellEnd"/>
      <w:r w:rsidRPr="00C41CDD">
        <w:rPr>
          <w:rFonts w:ascii="Calibri" w:hAnsi="Calibri" w:cs="Calibri"/>
        </w:rPr>
        <w:t xml:space="preserve">, M.; Mazzi, A.; </w:t>
      </w:r>
      <w:proofErr w:type="spellStart"/>
      <w:r w:rsidRPr="00C41CDD">
        <w:rPr>
          <w:rFonts w:ascii="Calibri" w:hAnsi="Calibri" w:cs="Calibri"/>
        </w:rPr>
        <w:t>Manzardo</w:t>
      </w:r>
      <w:proofErr w:type="spellEnd"/>
      <w:r w:rsidRPr="00C41CDD">
        <w:rPr>
          <w:rFonts w:ascii="Calibri" w:hAnsi="Calibri" w:cs="Calibri"/>
        </w:rPr>
        <w:t xml:space="preserve">, A.; </w:t>
      </w:r>
      <w:proofErr w:type="spellStart"/>
      <w:r w:rsidRPr="00C41CDD">
        <w:rPr>
          <w:rFonts w:ascii="Calibri" w:hAnsi="Calibri" w:cs="Calibri"/>
        </w:rPr>
        <w:t>Piubello</w:t>
      </w:r>
      <w:proofErr w:type="spellEnd"/>
      <w:r w:rsidRPr="00C41CDD">
        <w:rPr>
          <w:rFonts w:ascii="Calibri" w:hAnsi="Calibri" w:cs="Calibri"/>
        </w:rPr>
        <w:t xml:space="preserve">, S. Significance of the Use of Non-Renewable Fossil CED as Proxy Indicator for Screening LCA in the Beverage Packaging Sector. </w:t>
      </w:r>
      <w:r w:rsidRPr="00C41CDD">
        <w:rPr>
          <w:rFonts w:ascii="Calibri" w:hAnsi="Calibri" w:cs="Calibri"/>
          <w:i/>
          <w:iCs/>
        </w:rPr>
        <w:t>Int J Life Cycle Assess</w:t>
      </w:r>
      <w:r w:rsidRPr="00C41CDD">
        <w:rPr>
          <w:rFonts w:ascii="Calibri" w:hAnsi="Calibri" w:cs="Calibri"/>
        </w:rPr>
        <w:t xml:space="preserve"> </w:t>
      </w:r>
      <w:r w:rsidRPr="00C41CDD">
        <w:rPr>
          <w:rFonts w:ascii="Calibri" w:hAnsi="Calibri" w:cs="Calibri"/>
          <w:b/>
          <w:bCs/>
        </w:rPr>
        <w:t>2013</w:t>
      </w:r>
      <w:r w:rsidRPr="00C41CDD">
        <w:rPr>
          <w:rFonts w:ascii="Calibri" w:hAnsi="Calibri" w:cs="Calibri"/>
        </w:rPr>
        <w:t xml:space="preserve">, </w:t>
      </w:r>
      <w:r w:rsidRPr="00C41CDD">
        <w:rPr>
          <w:rFonts w:ascii="Calibri" w:hAnsi="Calibri" w:cs="Calibri"/>
          <w:i/>
          <w:iCs/>
        </w:rPr>
        <w:t>18</w:t>
      </w:r>
      <w:r w:rsidRPr="00C41CDD">
        <w:rPr>
          <w:rFonts w:ascii="Calibri" w:hAnsi="Calibri" w:cs="Calibri"/>
        </w:rPr>
        <w:t>, 673–682, doi:10.1007/s11367-012-0484-x.</w:t>
      </w:r>
    </w:p>
    <w:p w14:paraId="1D7F6AEB"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54. </w:t>
      </w:r>
      <w:r w:rsidRPr="00C41CDD">
        <w:rPr>
          <w:rFonts w:ascii="Calibri" w:hAnsi="Calibri" w:cs="Calibri"/>
        </w:rPr>
        <w:tab/>
        <w:t xml:space="preserve">Vesce, E.; Olivieri, G.; </w:t>
      </w:r>
      <w:proofErr w:type="spellStart"/>
      <w:r w:rsidRPr="00C41CDD">
        <w:rPr>
          <w:rFonts w:ascii="Calibri" w:hAnsi="Calibri" w:cs="Calibri"/>
        </w:rPr>
        <w:t>Pairotti</w:t>
      </w:r>
      <w:proofErr w:type="spellEnd"/>
      <w:r w:rsidRPr="00C41CDD">
        <w:rPr>
          <w:rFonts w:ascii="Calibri" w:hAnsi="Calibri" w:cs="Calibri"/>
        </w:rPr>
        <w:t xml:space="preserve">, M.B.; Romani, A.; Beltramo, R. Life Cycle Assessment as a Tool to Integrate Environmental Indicators in Food Products: A Chocolate LCA Case Study. </w:t>
      </w:r>
      <w:r w:rsidRPr="00C41CDD">
        <w:rPr>
          <w:rFonts w:ascii="Calibri" w:hAnsi="Calibri" w:cs="Calibri"/>
          <w:i/>
          <w:iCs/>
        </w:rPr>
        <w:t>International Journal of Environment and Health</w:t>
      </w:r>
      <w:r w:rsidRPr="00C41CDD">
        <w:rPr>
          <w:rFonts w:ascii="Calibri" w:hAnsi="Calibri" w:cs="Calibri"/>
        </w:rPr>
        <w:t xml:space="preserve"> </w:t>
      </w:r>
      <w:r w:rsidRPr="00C41CDD">
        <w:rPr>
          <w:rFonts w:ascii="Calibri" w:hAnsi="Calibri" w:cs="Calibri"/>
          <w:b/>
          <w:bCs/>
        </w:rPr>
        <w:t>2016</w:t>
      </w:r>
      <w:r w:rsidRPr="00C41CDD">
        <w:rPr>
          <w:rFonts w:ascii="Calibri" w:hAnsi="Calibri" w:cs="Calibri"/>
        </w:rPr>
        <w:t xml:space="preserve">, </w:t>
      </w:r>
      <w:r w:rsidRPr="00C41CDD">
        <w:rPr>
          <w:rFonts w:ascii="Calibri" w:hAnsi="Calibri" w:cs="Calibri"/>
          <w:i/>
          <w:iCs/>
        </w:rPr>
        <w:t>8</w:t>
      </w:r>
      <w:r w:rsidRPr="00C41CDD">
        <w:rPr>
          <w:rFonts w:ascii="Calibri" w:hAnsi="Calibri" w:cs="Calibri"/>
        </w:rPr>
        <w:t>, 21–37, doi:10.1504/IJENVH.2016.077660.</w:t>
      </w:r>
    </w:p>
    <w:p w14:paraId="3C356C1A" w14:textId="77777777" w:rsidR="00C41CDD" w:rsidRPr="00C41CDD" w:rsidRDefault="00C41CDD" w:rsidP="00C41CDD">
      <w:pPr>
        <w:pStyle w:val="ad"/>
        <w:rPr>
          <w:rFonts w:ascii="Calibri" w:hAnsi="Calibri" w:cs="Calibri"/>
        </w:rPr>
      </w:pPr>
      <w:r w:rsidRPr="00C41CDD">
        <w:rPr>
          <w:rFonts w:ascii="Calibri" w:hAnsi="Calibri" w:cs="Calibri"/>
        </w:rPr>
        <w:t xml:space="preserve">55. </w:t>
      </w:r>
      <w:r w:rsidRPr="00C41CDD">
        <w:rPr>
          <w:rFonts w:ascii="Calibri" w:hAnsi="Calibri" w:cs="Calibri"/>
        </w:rPr>
        <w:tab/>
      </w:r>
      <w:proofErr w:type="spellStart"/>
      <w:r w:rsidRPr="00C41CDD">
        <w:rPr>
          <w:rFonts w:ascii="Calibri" w:hAnsi="Calibri" w:cs="Calibri"/>
        </w:rPr>
        <w:t>Filleti</w:t>
      </w:r>
      <w:proofErr w:type="spellEnd"/>
      <w:r w:rsidRPr="00C41CDD">
        <w:rPr>
          <w:rFonts w:ascii="Calibri" w:hAnsi="Calibri" w:cs="Calibri"/>
        </w:rPr>
        <w:t xml:space="preserve">, R.A.P.; Silva, D.A.L.; Silva, E.J. da; </w:t>
      </w:r>
      <w:proofErr w:type="spellStart"/>
      <w:r w:rsidRPr="00C41CDD">
        <w:rPr>
          <w:rFonts w:ascii="Calibri" w:hAnsi="Calibri" w:cs="Calibri"/>
        </w:rPr>
        <w:t>Ometto</w:t>
      </w:r>
      <w:proofErr w:type="spellEnd"/>
      <w:r w:rsidRPr="00C41CDD">
        <w:rPr>
          <w:rFonts w:ascii="Calibri" w:hAnsi="Calibri" w:cs="Calibri"/>
        </w:rPr>
        <w:t xml:space="preserve">, A.R. Productive and Environmental Performance Indicators Analysis by a Combined LCA Hybrid Model and Real-Time Manufacturing Process Monitoring: A Grinding Unit Process Application.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161</w:t>
      </w:r>
      <w:r w:rsidRPr="00C41CDD">
        <w:rPr>
          <w:rFonts w:ascii="Calibri" w:hAnsi="Calibri" w:cs="Calibri"/>
        </w:rPr>
        <w:t xml:space="preserve">, 510–523, </w:t>
      </w:r>
      <w:proofErr w:type="gramStart"/>
      <w:r w:rsidRPr="00C41CDD">
        <w:rPr>
          <w:rFonts w:ascii="Calibri" w:hAnsi="Calibri" w:cs="Calibri"/>
        </w:rPr>
        <w:t>doi:10.1016/j.jclepro</w:t>
      </w:r>
      <w:proofErr w:type="gramEnd"/>
      <w:r w:rsidRPr="00C41CDD">
        <w:rPr>
          <w:rFonts w:ascii="Calibri" w:hAnsi="Calibri" w:cs="Calibri"/>
        </w:rPr>
        <w:t>.2017.05.158.</w:t>
      </w:r>
    </w:p>
    <w:p w14:paraId="6880EACC" w14:textId="77777777" w:rsidR="00C41CDD" w:rsidRPr="00C41CDD" w:rsidRDefault="00C41CDD" w:rsidP="00C41CDD">
      <w:pPr>
        <w:pStyle w:val="ad"/>
        <w:rPr>
          <w:rFonts w:ascii="Calibri" w:hAnsi="Calibri" w:cs="Calibri"/>
        </w:rPr>
      </w:pPr>
      <w:r w:rsidRPr="00C41CDD">
        <w:rPr>
          <w:rFonts w:ascii="Calibri" w:hAnsi="Calibri" w:cs="Calibri"/>
        </w:rPr>
        <w:t xml:space="preserve">56. </w:t>
      </w:r>
      <w:r w:rsidRPr="00C41CDD">
        <w:rPr>
          <w:rFonts w:ascii="Calibri" w:hAnsi="Calibri" w:cs="Calibri"/>
        </w:rPr>
        <w:tab/>
        <w:t xml:space="preserve">Namdari, M.; Rafiee, S.; Notarnicola, B.; </w:t>
      </w:r>
      <w:proofErr w:type="spellStart"/>
      <w:r w:rsidRPr="00C41CDD">
        <w:rPr>
          <w:rFonts w:ascii="Calibri" w:hAnsi="Calibri" w:cs="Calibri"/>
        </w:rPr>
        <w:t>Tassielli</w:t>
      </w:r>
      <w:proofErr w:type="spellEnd"/>
      <w:r w:rsidRPr="00C41CDD">
        <w:rPr>
          <w:rFonts w:ascii="Calibri" w:hAnsi="Calibri" w:cs="Calibri"/>
        </w:rPr>
        <w:t xml:space="preserve">, G.; Renzulli, P.A.; Hosseinpour, S. Use of LCA Indicators to Assess Iranian Sugar Production Systems: Case Study — Hamadan Province. </w:t>
      </w:r>
      <w:r w:rsidRPr="00C41CDD">
        <w:rPr>
          <w:rFonts w:ascii="Calibri" w:hAnsi="Calibri" w:cs="Calibri"/>
          <w:i/>
          <w:iCs/>
        </w:rPr>
        <w:t xml:space="preserve">Biomass Conv. </w:t>
      </w:r>
      <w:proofErr w:type="spellStart"/>
      <w:r w:rsidRPr="00C41CDD">
        <w:rPr>
          <w:rFonts w:ascii="Calibri" w:hAnsi="Calibri" w:cs="Calibri"/>
          <w:i/>
          <w:iCs/>
        </w:rPr>
        <w:t>Bioref</w:t>
      </w:r>
      <w:proofErr w:type="spellEnd"/>
      <w:r w:rsidRPr="00C41CDD">
        <w:rPr>
          <w:rFonts w:ascii="Calibri" w:hAnsi="Calibri" w:cs="Calibri"/>
          <w:i/>
          <w:iCs/>
        </w:rPr>
        <w:t>.</w:t>
      </w:r>
      <w:r w:rsidRPr="00C41CDD">
        <w:rPr>
          <w:rFonts w:ascii="Calibri" w:hAnsi="Calibri" w:cs="Calibri"/>
        </w:rPr>
        <w:t xml:space="preserve"> </w:t>
      </w:r>
      <w:r w:rsidRPr="00C41CDD">
        <w:rPr>
          <w:rFonts w:ascii="Calibri" w:hAnsi="Calibri" w:cs="Calibri"/>
          <w:b/>
          <w:bCs/>
        </w:rPr>
        <w:t>2024</w:t>
      </w:r>
      <w:r w:rsidRPr="00C41CDD">
        <w:rPr>
          <w:rFonts w:ascii="Calibri" w:hAnsi="Calibri" w:cs="Calibri"/>
        </w:rPr>
        <w:t xml:space="preserve">, </w:t>
      </w:r>
      <w:r w:rsidRPr="00C41CDD">
        <w:rPr>
          <w:rFonts w:ascii="Calibri" w:hAnsi="Calibri" w:cs="Calibri"/>
          <w:i/>
          <w:iCs/>
        </w:rPr>
        <w:t>14</w:t>
      </w:r>
      <w:r w:rsidRPr="00C41CDD">
        <w:rPr>
          <w:rFonts w:ascii="Calibri" w:hAnsi="Calibri" w:cs="Calibri"/>
        </w:rPr>
        <w:t>, 6759–6772, doi:10.1007/s13399-022-02982-4.</w:t>
      </w:r>
    </w:p>
    <w:p w14:paraId="34BC8DA5" w14:textId="77777777" w:rsidR="00C41CDD" w:rsidRPr="00C41CDD" w:rsidRDefault="00C41CDD" w:rsidP="00C41CDD">
      <w:pPr>
        <w:pStyle w:val="ad"/>
        <w:rPr>
          <w:rFonts w:ascii="Calibri" w:hAnsi="Calibri" w:cs="Calibri"/>
        </w:rPr>
      </w:pPr>
      <w:r w:rsidRPr="00C41CDD">
        <w:rPr>
          <w:rFonts w:ascii="Calibri" w:hAnsi="Calibri" w:cs="Calibri"/>
        </w:rPr>
        <w:t xml:space="preserve">57. </w:t>
      </w:r>
      <w:r w:rsidRPr="00C41CDD">
        <w:rPr>
          <w:rFonts w:ascii="Calibri" w:hAnsi="Calibri" w:cs="Calibri"/>
        </w:rPr>
        <w:tab/>
        <w:t xml:space="preserve">Elkhaldi, I.; </w:t>
      </w:r>
      <w:proofErr w:type="spellStart"/>
      <w:r w:rsidRPr="00C41CDD">
        <w:rPr>
          <w:rFonts w:ascii="Calibri" w:hAnsi="Calibri" w:cs="Calibri"/>
        </w:rPr>
        <w:t>Roziere</w:t>
      </w:r>
      <w:proofErr w:type="spellEnd"/>
      <w:r w:rsidRPr="00C41CDD">
        <w:rPr>
          <w:rFonts w:ascii="Calibri" w:hAnsi="Calibri" w:cs="Calibri"/>
        </w:rPr>
        <w:t xml:space="preserve">, E.; </w:t>
      </w:r>
      <w:proofErr w:type="spellStart"/>
      <w:r w:rsidRPr="00C41CDD">
        <w:rPr>
          <w:rFonts w:ascii="Calibri" w:hAnsi="Calibri" w:cs="Calibri"/>
        </w:rPr>
        <w:t>Turcry</w:t>
      </w:r>
      <w:proofErr w:type="spellEnd"/>
      <w:r w:rsidRPr="00C41CDD">
        <w:rPr>
          <w:rFonts w:ascii="Calibri" w:hAnsi="Calibri" w:cs="Calibri"/>
        </w:rPr>
        <w:t xml:space="preserve">, P.; Loukili, A. Towards Global Indicator of Durability Performance and Carbon Footprint of Clinker-Slag-Limestone Cement-Based Concrete Exposed to Carbonation.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380</w:t>
      </w:r>
      <w:r w:rsidRPr="00C41CDD">
        <w:rPr>
          <w:rFonts w:ascii="Calibri" w:hAnsi="Calibri" w:cs="Calibri"/>
        </w:rPr>
        <w:t xml:space="preserve">, 134876, </w:t>
      </w:r>
      <w:proofErr w:type="gramStart"/>
      <w:r w:rsidRPr="00C41CDD">
        <w:rPr>
          <w:rFonts w:ascii="Calibri" w:hAnsi="Calibri" w:cs="Calibri"/>
        </w:rPr>
        <w:t>doi:10.1016/j.jclepro</w:t>
      </w:r>
      <w:proofErr w:type="gramEnd"/>
      <w:r w:rsidRPr="00C41CDD">
        <w:rPr>
          <w:rFonts w:ascii="Calibri" w:hAnsi="Calibri" w:cs="Calibri"/>
        </w:rPr>
        <w:t>.2022.134876.</w:t>
      </w:r>
    </w:p>
    <w:p w14:paraId="4092BE3F" w14:textId="77777777" w:rsidR="00C41CDD" w:rsidRPr="00C41CDD" w:rsidRDefault="00C41CDD" w:rsidP="00C41CDD">
      <w:pPr>
        <w:pStyle w:val="ad"/>
        <w:rPr>
          <w:rFonts w:ascii="Calibri" w:hAnsi="Calibri" w:cs="Calibri"/>
        </w:rPr>
      </w:pPr>
      <w:r w:rsidRPr="00C41CDD">
        <w:rPr>
          <w:rFonts w:ascii="Calibri" w:hAnsi="Calibri" w:cs="Calibri"/>
        </w:rPr>
        <w:t xml:space="preserve">58. </w:t>
      </w:r>
      <w:r w:rsidRPr="00C41CDD">
        <w:rPr>
          <w:rFonts w:ascii="Calibri" w:hAnsi="Calibri" w:cs="Calibri"/>
        </w:rPr>
        <w:tab/>
        <w:t xml:space="preserve">Hussain, M.; Naseem Malik, R.; Taylor, A. Carbon Footprint as an Environmental Sustainability Indicator for the Particleboard Produced in Pakistan. </w:t>
      </w:r>
      <w:r w:rsidRPr="00C41CDD">
        <w:rPr>
          <w:rFonts w:ascii="Calibri" w:hAnsi="Calibri" w:cs="Calibri"/>
          <w:i/>
          <w:iCs/>
        </w:rPr>
        <w:t>Environmental Research</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155</w:t>
      </w:r>
      <w:r w:rsidRPr="00C41CDD">
        <w:rPr>
          <w:rFonts w:ascii="Calibri" w:hAnsi="Calibri" w:cs="Calibri"/>
        </w:rPr>
        <w:t xml:space="preserve">, 385–393, </w:t>
      </w:r>
      <w:proofErr w:type="gramStart"/>
      <w:r w:rsidRPr="00C41CDD">
        <w:rPr>
          <w:rFonts w:ascii="Calibri" w:hAnsi="Calibri" w:cs="Calibri"/>
        </w:rPr>
        <w:t>doi:10.1016/j.envres</w:t>
      </w:r>
      <w:proofErr w:type="gramEnd"/>
      <w:r w:rsidRPr="00C41CDD">
        <w:rPr>
          <w:rFonts w:ascii="Calibri" w:hAnsi="Calibri" w:cs="Calibri"/>
        </w:rPr>
        <w:t>.2017.02.024.</w:t>
      </w:r>
    </w:p>
    <w:p w14:paraId="58993F6B" w14:textId="77777777" w:rsidR="00C41CDD" w:rsidRPr="00C41CDD" w:rsidRDefault="00C41CDD" w:rsidP="00C41CDD">
      <w:pPr>
        <w:pStyle w:val="ad"/>
        <w:rPr>
          <w:rFonts w:ascii="Calibri" w:hAnsi="Calibri" w:cs="Calibri"/>
        </w:rPr>
      </w:pPr>
      <w:r w:rsidRPr="00C41CDD">
        <w:rPr>
          <w:rFonts w:ascii="Calibri" w:hAnsi="Calibri" w:cs="Calibri"/>
        </w:rPr>
        <w:t xml:space="preserve">59. </w:t>
      </w:r>
      <w:r w:rsidRPr="00C41CDD">
        <w:rPr>
          <w:rFonts w:ascii="Calibri" w:hAnsi="Calibri" w:cs="Calibri"/>
        </w:rPr>
        <w:tab/>
        <w:t xml:space="preserve">Rugani, B.; Vázquez-Rowe, I.; Benedetto, G.; Benetto, E. A Comprehensive Review of Carbon Footprint Analysis as an Extended Environmental Indicator in the Wine Sector.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2013</w:t>
      </w:r>
      <w:r w:rsidRPr="00C41CDD">
        <w:rPr>
          <w:rFonts w:ascii="Calibri" w:hAnsi="Calibri" w:cs="Calibri"/>
        </w:rPr>
        <w:t xml:space="preserve">, </w:t>
      </w:r>
      <w:r w:rsidRPr="00C41CDD">
        <w:rPr>
          <w:rFonts w:ascii="Calibri" w:hAnsi="Calibri" w:cs="Calibri"/>
          <w:i/>
          <w:iCs/>
        </w:rPr>
        <w:t>54</w:t>
      </w:r>
      <w:r w:rsidRPr="00C41CDD">
        <w:rPr>
          <w:rFonts w:ascii="Calibri" w:hAnsi="Calibri" w:cs="Calibri"/>
        </w:rPr>
        <w:t xml:space="preserve">, 61–77, </w:t>
      </w:r>
      <w:proofErr w:type="gramStart"/>
      <w:r w:rsidRPr="00C41CDD">
        <w:rPr>
          <w:rFonts w:ascii="Calibri" w:hAnsi="Calibri" w:cs="Calibri"/>
        </w:rPr>
        <w:t>doi:10.1016/j.jclepro</w:t>
      </w:r>
      <w:proofErr w:type="gramEnd"/>
      <w:r w:rsidRPr="00C41CDD">
        <w:rPr>
          <w:rFonts w:ascii="Calibri" w:hAnsi="Calibri" w:cs="Calibri"/>
        </w:rPr>
        <w:t>.2013.04.036.</w:t>
      </w:r>
    </w:p>
    <w:p w14:paraId="0A22BF1F" w14:textId="77777777" w:rsidR="00C41CDD" w:rsidRPr="00C41CDD" w:rsidRDefault="00C41CDD" w:rsidP="00C41CDD">
      <w:pPr>
        <w:pStyle w:val="ad"/>
        <w:rPr>
          <w:rFonts w:ascii="Calibri" w:hAnsi="Calibri" w:cs="Calibri"/>
        </w:rPr>
      </w:pPr>
      <w:r w:rsidRPr="00C41CDD">
        <w:rPr>
          <w:rFonts w:ascii="Calibri" w:hAnsi="Calibri" w:cs="Calibri"/>
        </w:rPr>
        <w:t xml:space="preserve">60. </w:t>
      </w:r>
      <w:r w:rsidRPr="00C41CDD">
        <w:rPr>
          <w:rFonts w:ascii="Calibri" w:hAnsi="Calibri" w:cs="Calibri"/>
        </w:rPr>
        <w:tab/>
      </w:r>
      <w:proofErr w:type="spellStart"/>
      <w:r w:rsidRPr="00C41CDD">
        <w:rPr>
          <w:rFonts w:ascii="Calibri" w:hAnsi="Calibri" w:cs="Calibri"/>
        </w:rPr>
        <w:t>Pešta</w:t>
      </w:r>
      <w:proofErr w:type="spellEnd"/>
      <w:r w:rsidRPr="00C41CDD">
        <w:rPr>
          <w:rFonts w:ascii="Calibri" w:hAnsi="Calibri" w:cs="Calibri"/>
        </w:rPr>
        <w:t xml:space="preserve">, J.; </w:t>
      </w:r>
      <w:proofErr w:type="spellStart"/>
      <w:r w:rsidRPr="00C41CDD">
        <w:rPr>
          <w:rFonts w:ascii="Calibri" w:hAnsi="Calibri" w:cs="Calibri"/>
        </w:rPr>
        <w:t>Šerešová</w:t>
      </w:r>
      <w:proofErr w:type="spellEnd"/>
      <w:r w:rsidRPr="00C41CDD">
        <w:rPr>
          <w:rFonts w:ascii="Calibri" w:hAnsi="Calibri" w:cs="Calibri"/>
        </w:rPr>
        <w:t xml:space="preserve">, M.; Kočí, V. Carbon Footprint Assessment of Construction Waste Packaging Using the Package-to-Product Indicator.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12</w:t>
      </w:r>
      <w:r w:rsidRPr="00C41CDD">
        <w:rPr>
          <w:rFonts w:ascii="Calibri" w:hAnsi="Calibri" w:cs="Calibri"/>
        </w:rPr>
        <w:t>, 10094, doi:10.3390/su122310094.</w:t>
      </w:r>
    </w:p>
    <w:p w14:paraId="720AB42B" w14:textId="77777777" w:rsidR="00C41CDD" w:rsidRPr="00C41CDD" w:rsidRDefault="00C41CDD" w:rsidP="00C41CDD">
      <w:pPr>
        <w:pStyle w:val="ad"/>
        <w:rPr>
          <w:rFonts w:ascii="Calibri" w:hAnsi="Calibri" w:cs="Calibri"/>
        </w:rPr>
      </w:pPr>
      <w:r w:rsidRPr="00C41CDD">
        <w:rPr>
          <w:rFonts w:ascii="Calibri" w:hAnsi="Calibri" w:cs="Calibri"/>
        </w:rPr>
        <w:t xml:space="preserve">61. </w:t>
      </w:r>
      <w:r w:rsidRPr="00C41CDD">
        <w:rPr>
          <w:rFonts w:ascii="Calibri" w:hAnsi="Calibri" w:cs="Calibri"/>
        </w:rPr>
        <w:tab/>
        <w:t xml:space="preserve">Šerešová, M.; Kočí, V. Proposal of Package-to-Product Indicator for Carbon Footprint Assessment with Focus on the Czech Republic.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12</w:t>
      </w:r>
      <w:r w:rsidRPr="00C41CDD">
        <w:rPr>
          <w:rFonts w:ascii="Calibri" w:hAnsi="Calibri" w:cs="Calibri"/>
        </w:rPr>
        <w:t>, 3034, doi:10.3390/su12073034.</w:t>
      </w:r>
    </w:p>
    <w:p w14:paraId="1FAEC065" w14:textId="77777777" w:rsidR="00C41CDD" w:rsidRPr="00C41CDD" w:rsidRDefault="00C41CDD" w:rsidP="00C41CDD">
      <w:pPr>
        <w:pStyle w:val="ad"/>
        <w:rPr>
          <w:rFonts w:ascii="Calibri" w:hAnsi="Calibri" w:cs="Calibri"/>
        </w:rPr>
      </w:pPr>
      <w:r w:rsidRPr="00C41CDD">
        <w:rPr>
          <w:rFonts w:ascii="Calibri" w:hAnsi="Calibri" w:cs="Calibri"/>
        </w:rPr>
        <w:t xml:space="preserve">62. </w:t>
      </w:r>
      <w:r w:rsidRPr="00C41CDD">
        <w:rPr>
          <w:rFonts w:ascii="Calibri" w:hAnsi="Calibri" w:cs="Calibri"/>
        </w:rPr>
        <w:tab/>
      </w:r>
      <w:proofErr w:type="spellStart"/>
      <w:r w:rsidRPr="00C41CDD">
        <w:rPr>
          <w:rFonts w:ascii="Calibri" w:hAnsi="Calibri" w:cs="Calibri"/>
        </w:rPr>
        <w:t>Tintelecan</w:t>
      </w:r>
      <w:proofErr w:type="spellEnd"/>
      <w:r w:rsidRPr="00C41CDD">
        <w:rPr>
          <w:rFonts w:ascii="Calibri" w:hAnsi="Calibri" w:cs="Calibri"/>
        </w:rPr>
        <w:t xml:space="preserve">, A.; Dobra, A.C.; </w:t>
      </w:r>
      <w:proofErr w:type="spellStart"/>
      <w:r w:rsidRPr="00C41CDD">
        <w:rPr>
          <w:rFonts w:ascii="Calibri" w:hAnsi="Calibri" w:cs="Calibri"/>
        </w:rPr>
        <w:t>Marţiş</w:t>
      </w:r>
      <w:proofErr w:type="spellEnd"/>
      <w:r w:rsidRPr="00C41CDD">
        <w:rPr>
          <w:rFonts w:ascii="Calibri" w:hAnsi="Calibri" w:cs="Calibri"/>
        </w:rPr>
        <w:t>, C. LCA Indicators in Electric Vehicles Environmental Impact Assessment. In Proceedings of the 2019 Electric Vehicles International Conference (EV); July 2019; pp. 1–5.</w:t>
      </w:r>
    </w:p>
    <w:p w14:paraId="0E17B664" w14:textId="77777777" w:rsidR="00C41CDD" w:rsidRPr="00C41CDD" w:rsidRDefault="00C41CDD" w:rsidP="00C41CDD">
      <w:pPr>
        <w:pStyle w:val="ad"/>
        <w:rPr>
          <w:rFonts w:ascii="Calibri" w:hAnsi="Calibri" w:cs="Calibri"/>
        </w:rPr>
      </w:pPr>
      <w:r w:rsidRPr="00C41CDD">
        <w:rPr>
          <w:rFonts w:ascii="Calibri" w:hAnsi="Calibri" w:cs="Calibri"/>
        </w:rPr>
        <w:t xml:space="preserve">63. </w:t>
      </w:r>
      <w:r w:rsidRPr="00C41CDD">
        <w:rPr>
          <w:rFonts w:ascii="Calibri" w:hAnsi="Calibri" w:cs="Calibri"/>
        </w:rPr>
        <w:tab/>
        <w:t xml:space="preserve">Lehn, F.; Goossens, Y.; Schmidt, T. Economic and Environmental Assessment of Food Waste Reduction Measures – </w:t>
      </w:r>
      <w:proofErr w:type="spellStart"/>
      <w:r w:rsidRPr="00C41CDD">
        <w:rPr>
          <w:rFonts w:ascii="Calibri" w:hAnsi="Calibri" w:cs="Calibri"/>
        </w:rPr>
        <w:t>Trialing</w:t>
      </w:r>
      <w:proofErr w:type="spellEnd"/>
      <w:r w:rsidRPr="00C41CDD">
        <w:rPr>
          <w:rFonts w:ascii="Calibri" w:hAnsi="Calibri" w:cs="Calibri"/>
        </w:rPr>
        <w:t xml:space="preserve"> a Time-Temperature Indicator on Salmon in HelloFresh Meal Boxes.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392</w:t>
      </w:r>
      <w:r w:rsidRPr="00C41CDD">
        <w:rPr>
          <w:rFonts w:ascii="Calibri" w:hAnsi="Calibri" w:cs="Calibri"/>
        </w:rPr>
        <w:t xml:space="preserve">, 136183, </w:t>
      </w:r>
      <w:proofErr w:type="gramStart"/>
      <w:r w:rsidRPr="00C41CDD">
        <w:rPr>
          <w:rFonts w:ascii="Calibri" w:hAnsi="Calibri" w:cs="Calibri"/>
        </w:rPr>
        <w:t>doi:10.1016/j.jclepro</w:t>
      </w:r>
      <w:proofErr w:type="gramEnd"/>
      <w:r w:rsidRPr="00C41CDD">
        <w:rPr>
          <w:rFonts w:ascii="Calibri" w:hAnsi="Calibri" w:cs="Calibri"/>
        </w:rPr>
        <w:t>.2023.136183.</w:t>
      </w:r>
    </w:p>
    <w:p w14:paraId="3EBCC9AF" w14:textId="77777777" w:rsidR="00C41CDD" w:rsidRPr="00C41CDD" w:rsidRDefault="00C41CDD" w:rsidP="00C41CDD">
      <w:pPr>
        <w:pStyle w:val="ad"/>
        <w:rPr>
          <w:rFonts w:ascii="Calibri" w:hAnsi="Calibri" w:cs="Calibri"/>
        </w:rPr>
      </w:pPr>
      <w:r w:rsidRPr="00C41CDD">
        <w:rPr>
          <w:rFonts w:ascii="Calibri" w:hAnsi="Calibri" w:cs="Calibri"/>
        </w:rPr>
        <w:t xml:space="preserve">64. </w:t>
      </w:r>
      <w:r w:rsidRPr="00C41CDD">
        <w:rPr>
          <w:rFonts w:ascii="Calibri" w:hAnsi="Calibri" w:cs="Calibri"/>
        </w:rPr>
        <w:tab/>
        <w:t xml:space="preserve">Stefanini, R.; Borghesi, G.; </w:t>
      </w:r>
      <w:proofErr w:type="spellStart"/>
      <w:r w:rsidRPr="00C41CDD">
        <w:rPr>
          <w:rFonts w:ascii="Calibri" w:hAnsi="Calibri" w:cs="Calibri"/>
        </w:rPr>
        <w:t>Ronzano</w:t>
      </w:r>
      <w:proofErr w:type="spellEnd"/>
      <w:r w:rsidRPr="00C41CDD">
        <w:rPr>
          <w:rFonts w:ascii="Calibri" w:hAnsi="Calibri" w:cs="Calibri"/>
        </w:rPr>
        <w:t xml:space="preserve">, A.; Vignali, G. Plastic or Glass: A New Environmental Assessment with a Marine Litter Indicator for the Comparison of Pasteurized Milk Bottles. </w:t>
      </w:r>
      <w:r w:rsidRPr="00C41CDD">
        <w:rPr>
          <w:rFonts w:ascii="Calibri" w:hAnsi="Calibri" w:cs="Calibri"/>
          <w:i/>
          <w:iCs/>
        </w:rPr>
        <w:t>Int J Life Cycle Assess</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26</w:t>
      </w:r>
      <w:r w:rsidRPr="00C41CDD">
        <w:rPr>
          <w:rFonts w:ascii="Calibri" w:hAnsi="Calibri" w:cs="Calibri"/>
        </w:rPr>
        <w:t>, 767–784, doi:10.1007/s11367-020-01804-x.</w:t>
      </w:r>
    </w:p>
    <w:p w14:paraId="6B92109E" w14:textId="77777777" w:rsidR="00C41CDD" w:rsidRPr="00C41CDD" w:rsidRDefault="00C41CDD" w:rsidP="00C41CDD">
      <w:pPr>
        <w:pStyle w:val="ad"/>
        <w:rPr>
          <w:rFonts w:ascii="Calibri" w:hAnsi="Calibri" w:cs="Calibri"/>
        </w:rPr>
      </w:pPr>
      <w:r w:rsidRPr="00C41CDD">
        <w:rPr>
          <w:rFonts w:ascii="Calibri" w:hAnsi="Calibri" w:cs="Calibri"/>
        </w:rPr>
        <w:t xml:space="preserve">65. </w:t>
      </w:r>
      <w:r w:rsidRPr="00C41CDD">
        <w:rPr>
          <w:rFonts w:ascii="Calibri" w:hAnsi="Calibri" w:cs="Calibri"/>
        </w:rPr>
        <w:tab/>
        <w:t xml:space="preserve">Hanssen, O.J.; Olsen, A.; Møller, H.; Rubach, S. National Indicators for Material Efficiency and Waste Minimization for the Norwegian Packaging Sector 1995–2001.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2003</w:t>
      </w:r>
      <w:r w:rsidRPr="00C41CDD">
        <w:rPr>
          <w:rFonts w:ascii="Calibri" w:hAnsi="Calibri" w:cs="Calibri"/>
        </w:rPr>
        <w:t xml:space="preserve">, </w:t>
      </w:r>
      <w:r w:rsidRPr="00C41CDD">
        <w:rPr>
          <w:rFonts w:ascii="Calibri" w:hAnsi="Calibri" w:cs="Calibri"/>
          <w:i/>
          <w:iCs/>
        </w:rPr>
        <w:t>38</w:t>
      </w:r>
      <w:r w:rsidRPr="00C41CDD">
        <w:rPr>
          <w:rFonts w:ascii="Calibri" w:hAnsi="Calibri" w:cs="Calibri"/>
        </w:rPr>
        <w:t>, 123–137, doi:10.1016/S0921-3449(02)00104-0.</w:t>
      </w:r>
    </w:p>
    <w:p w14:paraId="5D9479A1" w14:textId="77777777" w:rsidR="00C41CDD" w:rsidRPr="00C41CDD" w:rsidRDefault="00C41CDD" w:rsidP="00C41CDD">
      <w:pPr>
        <w:pStyle w:val="ad"/>
        <w:rPr>
          <w:rFonts w:ascii="Calibri" w:hAnsi="Calibri" w:cs="Calibri"/>
        </w:rPr>
      </w:pPr>
      <w:r w:rsidRPr="00C41CDD">
        <w:rPr>
          <w:rFonts w:ascii="Calibri" w:hAnsi="Calibri" w:cs="Calibri"/>
        </w:rPr>
        <w:t xml:space="preserve">66. </w:t>
      </w:r>
      <w:r w:rsidRPr="00C41CDD">
        <w:rPr>
          <w:rFonts w:ascii="Calibri" w:hAnsi="Calibri" w:cs="Calibri"/>
        </w:rPr>
        <w:tab/>
        <w:t xml:space="preserve">Pak, S.-C.; O, N.-C.; Ri, R.-J.; Ro, J.-S.; Ri, P.-C. Applicability of Carbon Footprint as Indicator for Environmental Performance of Food Products. </w:t>
      </w:r>
      <w:r w:rsidRPr="00C41CDD">
        <w:rPr>
          <w:rFonts w:ascii="Calibri" w:hAnsi="Calibri" w:cs="Calibri"/>
          <w:i/>
          <w:iCs/>
        </w:rPr>
        <w:t>Int J Environ Res</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18</w:t>
      </w:r>
      <w:r w:rsidRPr="00C41CDD">
        <w:rPr>
          <w:rFonts w:ascii="Calibri" w:hAnsi="Calibri" w:cs="Calibri"/>
        </w:rPr>
        <w:t>, 5, doi:10.1007/s41742-023-00553-7.</w:t>
      </w:r>
    </w:p>
    <w:p w14:paraId="240AF5A0" w14:textId="77777777" w:rsidR="00C41CDD" w:rsidRPr="00C41CDD" w:rsidRDefault="00C41CDD" w:rsidP="00C41CDD">
      <w:pPr>
        <w:pStyle w:val="ad"/>
        <w:rPr>
          <w:rFonts w:ascii="Calibri" w:hAnsi="Calibri" w:cs="Calibri"/>
        </w:rPr>
      </w:pPr>
      <w:r w:rsidRPr="00C41CDD">
        <w:rPr>
          <w:rFonts w:ascii="Calibri" w:hAnsi="Calibri" w:cs="Calibri"/>
        </w:rPr>
        <w:t xml:space="preserve">67. </w:t>
      </w:r>
      <w:r w:rsidRPr="00C41CDD">
        <w:rPr>
          <w:rFonts w:ascii="Calibri" w:hAnsi="Calibri" w:cs="Calibri"/>
        </w:rPr>
        <w:tab/>
        <w:t xml:space="preserve">Zhang, C.; Chen, W.-Q.; Ruth, M. Measuring Material Efficiency: A Review of the Historical Evolution of Indicators, Methodologies and Findings. </w:t>
      </w:r>
      <w:r w:rsidRPr="00C41CDD">
        <w:rPr>
          <w:rFonts w:ascii="Calibri" w:hAnsi="Calibri" w:cs="Calibri"/>
          <w:i/>
          <w:iCs/>
        </w:rPr>
        <w:t>Resources, Conservation and Recycling</w:t>
      </w:r>
      <w:r w:rsidRPr="00C41CDD">
        <w:rPr>
          <w:rFonts w:ascii="Calibri" w:hAnsi="Calibri" w:cs="Calibri"/>
        </w:rPr>
        <w:t xml:space="preserve"> </w:t>
      </w:r>
      <w:r w:rsidRPr="00C41CDD">
        <w:rPr>
          <w:rFonts w:ascii="Calibri" w:hAnsi="Calibri" w:cs="Calibri"/>
          <w:b/>
          <w:bCs/>
        </w:rPr>
        <w:t>2018</w:t>
      </w:r>
      <w:r w:rsidRPr="00C41CDD">
        <w:rPr>
          <w:rFonts w:ascii="Calibri" w:hAnsi="Calibri" w:cs="Calibri"/>
        </w:rPr>
        <w:t xml:space="preserve">, </w:t>
      </w:r>
      <w:r w:rsidRPr="00C41CDD">
        <w:rPr>
          <w:rFonts w:ascii="Calibri" w:hAnsi="Calibri" w:cs="Calibri"/>
          <w:i/>
          <w:iCs/>
        </w:rPr>
        <w:t>132</w:t>
      </w:r>
      <w:r w:rsidRPr="00C41CDD">
        <w:rPr>
          <w:rFonts w:ascii="Calibri" w:hAnsi="Calibri" w:cs="Calibri"/>
        </w:rPr>
        <w:t xml:space="preserve">, 79–92, </w:t>
      </w:r>
      <w:proofErr w:type="gramStart"/>
      <w:r w:rsidRPr="00C41CDD">
        <w:rPr>
          <w:rFonts w:ascii="Calibri" w:hAnsi="Calibri" w:cs="Calibri"/>
        </w:rPr>
        <w:t>doi:10.1016/j.resconrec</w:t>
      </w:r>
      <w:proofErr w:type="gramEnd"/>
      <w:r w:rsidRPr="00C41CDD">
        <w:rPr>
          <w:rFonts w:ascii="Calibri" w:hAnsi="Calibri" w:cs="Calibri"/>
        </w:rPr>
        <w:t>.2018.01.028.</w:t>
      </w:r>
    </w:p>
    <w:p w14:paraId="537DB053"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68. </w:t>
      </w:r>
      <w:r w:rsidRPr="00C41CDD">
        <w:rPr>
          <w:rFonts w:ascii="Calibri" w:hAnsi="Calibri" w:cs="Calibri"/>
        </w:rPr>
        <w:tab/>
        <w:t xml:space="preserve">Vandermeulen, B.; Dewulf, W.; </w:t>
      </w:r>
      <w:proofErr w:type="spellStart"/>
      <w:r w:rsidRPr="00C41CDD">
        <w:rPr>
          <w:rFonts w:ascii="Calibri" w:hAnsi="Calibri" w:cs="Calibri"/>
        </w:rPr>
        <w:t>Duflou</w:t>
      </w:r>
      <w:proofErr w:type="spellEnd"/>
      <w:r w:rsidRPr="00C41CDD">
        <w:rPr>
          <w:rFonts w:ascii="Calibri" w:hAnsi="Calibri" w:cs="Calibri"/>
        </w:rPr>
        <w:t xml:space="preserve">, J.; Ander, Å.; Zimmermann, T. The Use of Performance Indicators for Environmental Assessment within the Railway Business: The RAVEL Workbench Prototype, a Web-Based Tool.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2003</w:t>
      </w:r>
      <w:r w:rsidRPr="00C41CDD">
        <w:rPr>
          <w:rFonts w:ascii="Calibri" w:hAnsi="Calibri" w:cs="Calibri"/>
        </w:rPr>
        <w:t xml:space="preserve">, </w:t>
      </w:r>
      <w:r w:rsidRPr="00C41CDD">
        <w:rPr>
          <w:rFonts w:ascii="Calibri" w:hAnsi="Calibri" w:cs="Calibri"/>
          <w:i/>
          <w:iCs/>
        </w:rPr>
        <w:t>11</w:t>
      </w:r>
      <w:r w:rsidRPr="00C41CDD">
        <w:rPr>
          <w:rFonts w:ascii="Calibri" w:hAnsi="Calibri" w:cs="Calibri"/>
        </w:rPr>
        <w:t>, 779–785, doi:10.1016/S0959-6526(02)00149-X.</w:t>
      </w:r>
    </w:p>
    <w:p w14:paraId="17E238A5" w14:textId="77777777" w:rsidR="00C41CDD" w:rsidRPr="00C41CDD" w:rsidRDefault="00C41CDD" w:rsidP="00C41CDD">
      <w:pPr>
        <w:pStyle w:val="ad"/>
        <w:rPr>
          <w:rFonts w:ascii="Calibri" w:hAnsi="Calibri" w:cs="Calibri"/>
        </w:rPr>
      </w:pPr>
      <w:r w:rsidRPr="00C41CDD">
        <w:rPr>
          <w:rFonts w:ascii="Calibri" w:hAnsi="Calibri" w:cs="Calibri"/>
        </w:rPr>
        <w:t xml:space="preserve">69. </w:t>
      </w:r>
      <w:r w:rsidRPr="00C41CDD">
        <w:rPr>
          <w:rFonts w:ascii="Calibri" w:hAnsi="Calibri" w:cs="Calibri"/>
        </w:rPr>
        <w:tab/>
        <w:t xml:space="preserve">Bortoluzzi, M.; Correia de Souza, C.; Furlan, M. Bibliometric Analysis of Renewable Energy Types Using Key Performance Indicators and Multicriteria Decision Models. </w:t>
      </w:r>
      <w:r w:rsidRPr="00C41CDD">
        <w:rPr>
          <w:rFonts w:ascii="Calibri" w:hAnsi="Calibri" w:cs="Calibri"/>
          <w:i/>
          <w:iCs/>
        </w:rPr>
        <w:t>Renewable and Sustainable Energy Reviews</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143</w:t>
      </w:r>
      <w:r w:rsidRPr="00C41CDD">
        <w:rPr>
          <w:rFonts w:ascii="Calibri" w:hAnsi="Calibri" w:cs="Calibri"/>
        </w:rPr>
        <w:t xml:space="preserve">, 110958, </w:t>
      </w:r>
      <w:proofErr w:type="gramStart"/>
      <w:r w:rsidRPr="00C41CDD">
        <w:rPr>
          <w:rFonts w:ascii="Calibri" w:hAnsi="Calibri" w:cs="Calibri"/>
        </w:rPr>
        <w:t>doi:10.1016/j.rser</w:t>
      </w:r>
      <w:proofErr w:type="gramEnd"/>
      <w:r w:rsidRPr="00C41CDD">
        <w:rPr>
          <w:rFonts w:ascii="Calibri" w:hAnsi="Calibri" w:cs="Calibri"/>
        </w:rPr>
        <w:t>.2021.110958.</w:t>
      </w:r>
    </w:p>
    <w:p w14:paraId="5CA3D946" w14:textId="77777777" w:rsidR="00C41CDD" w:rsidRPr="00C41CDD" w:rsidRDefault="00C41CDD" w:rsidP="00C41CDD">
      <w:pPr>
        <w:pStyle w:val="ad"/>
        <w:rPr>
          <w:rFonts w:ascii="Calibri" w:hAnsi="Calibri" w:cs="Calibri"/>
        </w:rPr>
      </w:pPr>
      <w:r w:rsidRPr="00C41CDD">
        <w:rPr>
          <w:rFonts w:ascii="Calibri" w:hAnsi="Calibri" w:cs="Calibri"/>
        </w:rPr>
        <w:t xml:space="preserve">70. </w:t>
      </w:r>
      <w:r w:rsidRPr="00C41CDD">
        <w:rPr>
          <w:rFonts w:ascii="Calibri" w:hAnsi="Calibri" w:cs="Calibri"/>
        </w:rPr>
        <w:tab/>
        <w:t xml:space="preserve">Adhitya, A.; Halim, I.; Srinivasan, R. Decision Support for Green Supply Chain Operations by Integrating Dynamic Simulation and LCA Indicators: Diaper Case Study. </w:t>
      </w:r>
      <w:r w:rsidRPr="00C41CDD">
        <w:rPr>
          <w:rFonts w:ascii="Calibri" w:hAnsi="Calibri" w:cs="Calibri"/>
          <w:i/>
          <w:iCs/>
        </w:rPr>
        <w:t>Environ. Sci. Technol.</w:t>
      </w:r>
      <w:r w:rsidRPr="00C41CDD">
        <w:rPr>
          <w:rFonts w:ascii="Calibri" w:hAnsi="Calibri" w:cs="Calibri"/>
        </w:rPr>
        <w:t xml:space="preserve"> </w:t>
      </w:r>
      <w:r w:rsidRPr="00C41CDD">
        <w:rPr>
          <w:rFonts w:ascii="Calibri" w:hAnsi="Calibri" w:cs="Calibri"/>
          <w:b/>
          <w:bCs/>
        </w:rPr>
        <w:t>2011</w:t>
      </w:r>
      <w:r w:rsidRPr="00C41CDD">
        <w:rPr>
          <w:rFonts w:ascii="Calibri" w:hAnsi="Calibri" w:cs="Calibri"/>
        </w:rPr>
        <w:t xml:space="preserve">, </w:t>
      </w:r>
      <w:r w:rsidRPr="00C41CDD">
        <w:rPr>
          <w:rFonts w:ascii="Calibri" w:hAnsi="Calibri" w:cs="Calibri"/>
          <w:i/>
          <w:iCs/>
        </w:rPr>
        <w:t>45</w:t>
      </w:r>
      <w:r w:rsidRPr="00C41CDD">
        <w:rPr>
          <w:rFonts w:ascii="Calibri" w:hAnsi="Calibri" w:cs="Calibri"/>
        </w:rPr>
        <w:t>, 10178–10185, doi:10.1021/es201763q.</w:t>
      </w:r>
    </w:p>
    <w:p w14:paraId="14D32946" w14:textId="77777777" w:rsidR="00C41CDD" w:rsidRPr="00C41CDD" w:rsidRDefault="00C41CDD" w:rsidP="00C41CDD">
      <w:pPr>
        <w:pStyle w:val="ad"/>
        <w:rPr>
          <w:rFonts w:ascii="Calibri" w:hAnsi="Calibri" w:cs="Calibri"/>
        </w:rPr>
      </w:pPr>
      <w:r w:rsidRPr="00C41CDD">
        <w:rPr>
          <w:rFonts w:ascii="Calibri" w:hAnsi="Calibri" w:cs="Calibri"/>
        </w:rPr>
        <w:t xml:space="preserve">71. </w:t>
      </w:r>
      <w:r w:rsidRPr="00C41CDD">
        <w:rPr>
          <w:rFonts w:ascii="Calibri" w:hAnsi="Calibri" w:cs="Calibri"/>
        </w:rPr>
        <w:tab/>
      </w:r>
      <w:proofErr w:type="spellStart"/>
      <w:r w:rsidRPr="00C41CDD">
        <w:rPr>
          <w:rFonts w:ascii="Calibri" w:hAnsi="Calibri" w:cs="Calibri"/>
        </w:rPr>
        <w:t>Lamnatou</w:t>
      </w:r>
      <w:proofErr w:type="spellEnd"/>
      <w:r w:rsidRPr="00C41CDD">
        <w:rPr>
          <w:rFonts w:ascii="Calibri" w:hAnsi="Calibri" w:cs="Calibri"/>
        </w:rPr>
        <w:t xml:space="preserve">, Chr.; </w:t>
      </w:r>
      <w:proofErr w:type="spellStart"/>
      <w:r w:rsidRPr="00C41CDD">
        <w:rPr>
          <w:rFonts w:ascii="Calibri" w:hAnsi="Calibri" w:cs="Calibri"/>
        </w:rPr>
        <w:t>Cristofari</w:t>
      </w:r>
      <w:proofErr w:type="spellEnd"/>
      <w:r w:rsidRPr="00C41CDD">
        <w:rPr>
          <w:rFonts w:ascii="Calibri" w:hAnsi="Calibri" w:cs="Calibri"/>
        </w:rPr>
        <w:t xml:space="preserve">, C.; </w:t>
      </w:r>
      <w:proofErr w:type="spellStart"/>
      <w:r w:rsidRPr="00C41CDD">
        <w:rPr>
          <w:rFonts w:ascii="Calibri" w:hAnsi="Calibri" w:cs="Calibri"/>
        </w:rPr>
        <w:t>Chemisana</w:t>
      </w:r>
      <w:proofErr w:type="spellEnd"/>
      <w:r w:rsidRPr="00C41CDD">
        <w:rPr>
          <w:rFonts w:ascii="Calibri" w:hAnsi="Calibri" w:cs="Calibri"/>
        </w:rPr>
        <w:t xml:space="preserve">, D.; </w:t>
      </w:r>
      <w:proofErr w:type="spellStart"/>
      <w:r w:rsidRPr="00C41CDD">
        <w:rPr>
          <w:rFonts w:ascii="Calibri" w:hAnsi="Calibri" w:cs="Calibri"/>
        </w:rPr>
        <w:t>Canaletti</w:t>
      </w:r>
      <w:proofErr w:type="spellEnd"/>
      <w:r w:rsidRPr="00C41CDD">
        <w:rPr>
          <w:rFonts w:ascii="Calibri" w:hAnsi="Calibri" w:cs="Calibri"/>
        </w:rPr>
        <w:t xml:space="preserve">, J.L. Payback Times and Multiple Midpoint/Endpoint Impact Categories about Building-Integrated Solar Thermal (BIST) Collectors. </w:t>
      </w:r>
      <w:r w:rsidRPr="00C41CDD">
        <w:rPr>
          <w:rFonts w:ascii="Calibri" w:hAnsi="Calibri" w:cs="Calibri"/>
          <w:i/>
          <w:iCs/>
        </w:rPr>
        <w:t>Science of The Total Environment</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658</w:t>
      </w:r>
      <w:r w:rsidRPr="00C41CDD">
        <w:rPr>
          <w:rFonts w:ascii="Calibri" w:hAnsi="Calibri" w:cs="Calibri"/>
        </w:rPr>
        <w:t xml:space="preserve">, 1039–1055, </w:t>
      </w:r>
      <w:proofErr w:type="gramStart"/>
      <w:r w:rsidRPr="00C41CDD">
        <w:rPr>
          <w:rFonts w:ascii="Calibri" w:hAnsi="Calibri" w:cs="Calibri"/>
        </w:rPr>
        <w:t>doi:10.1016/j.scitotenv</w:t>
      </w:r>
      <w:proofErr w:type="gramEnd"/>
      <w:r w:rsidRPr="00C41CDD">
        <w:rPr>
          <w:rFonts w:ascii="Calibri" w:hAnsi="Calibri" w:cs="Calibri"/>
        </w:rPr>
        <w:t>.2018.12.110.</w:t>
      </w:r>
    </w:p>
    <w:p w14:paraId="03E329EA" w14:textId="77777777" w:rsidR="00C41CDD" w:rsidRPr="00C41CDD" w:rsidRDefault="00C41CDD" w:rsidP="00C41CDD">
      <w:pPr>
        <w:pStyle w:val="ad"/>
        <w:rPr>
          <w:rFonts w:ascii="Calibri" w:hAnsi="Calibri" w:cs="Calibri"/>
        </w:rPr>
      </w:pPr>
      <w:r w:rsidRPr="00C41CDD">
        <w:rPr>
          <w:rFonts w:ascii="Calibri" w:hAnsi="Calibri" w:cs="Calibri"/>
        </w:rPr>
        <w:t xml:space="preserve">72. </w:t>
      </w:r>
      <w:r w:rsidRPr="00C41CDD">
        <w:rPr>
          <w:rFonts w:ascii="Calibri" w:hAnsi="Calibri" w:cs="Calibri"/>
        </w:rPr>
        <w:tab/>
        <w:t xml:space="preserve">Kuo, T.C.; Huang, M.-L.; Hsu, C.W.; Lin, C.J.; Hsieh, C.-C.; Chu, C.-H. Application of Data Quality Indicator of Carbon Footprint and Water Footprint. </w:t>
      </w:r>
      <w:r w:rsidRPr="00C41CDD">
        <w:rPr>
          <w:rFonts w:ascii="Calibri" w:hAnsi="Calibri" w:cs="Calibri"/>
          <w:i/>
          <w:iCs/>
        </w:rPr>
        <w:t>Int. J. of Precis. Eng. and Manuf.-Green Tech.</w:t>
      </w:r>
      <w:r w:rsidRPr="00C41CDD">
        <w:rPr>
          <w:rFonts w:ascii="Calibri" w:hAnsi="Calibri" w:cs="Calibri"/>
        </w:rPr>
        <w:t xml:space="preserve"> </w:t>
      </w:r>
      <w:r w:rsidRPr="00C41CDD">
        <w:rPr>
          <w:rFonts w:ascii="Calibri" w:hAnsi="Calibri" w:cs="Calibri"/>
          <w:b/>
          <w:bCs/>
        </w:rPr>
        <w:t>2015</w:t>
      </w:r>
      <w:r w:rsidRPr="00C41CDD">
        <w:rPr>
          <w:rFonts w:ascii="Calibri" w:hAnsi="Calibri" w:cs="Calibri"/>
        </w:rPr>
        <w:t xml:space="preserve">, </w:t>
      </w:r>
      <w:r w:rsidRPr="00C41CDD">
        <w:rPr>
          <w:rFonts w:ascii="Calibri" w:hAnsi="Calibri" w:cs="Calibri"/>
          <w:i/>
          <w:iCs/>
        </w:rPr>
        <w:t>2</w:t>
      </w:r>
      <w:r w:rsidRPr="00C41CDD">
        <w:rPr>
          <w:rFonts w:ascii="Calibri" w:hAnsi="Calibri" w:cs="Calibri"/>
        </w:rPr>
        <w:t>, 43–50, doi:10.1007/s40684-015-0006-y.</w:t>
      </w:r>
    </w:p>
    <w:p w14:paraId="3CCBB46C" w14:textId="77777777" w:rsidR="00C41CDD" w:rsidRPr="00C41CDD" w:rsidRDefault="00C41CDD" w:rsidP="00C41CDD">
      <w:pPr>
        <w:pStyle w:val="ad"/>
        <w:rPr>
          <w:rFonts w:ascii="Calibri" w:hAnsi="Calibri" w:cs="Calibri"/>
        </w:rPr>
      </w:pPr>
      <w:r w:rsidRPr="00C41CDD">
        <w:rPr>
          <w:rFonts w:ascii="Calibri" w:hAnsi="Calibri" w:cs="Calibri"/>
        </w:rPr>
        <w:t xml:space="preserve">73. </w:t>
      </w:r>
      <w:r w:rsidRPr="00C41CDD">
        <w:rPr>
          <w:rFonts w:ascii="Calibri" w:hAnsi="Calibri" w:cs="Calibri"/>
        </w:rPr>
        <w:tab/>
        <w:t xml:space="preserve">Galatti, L.G.; </w:t>
      </w:r>
      <w:proofErr w:type="spellStart"/>
      <w:r w:rsidRPr="00C41CDD">
        <w:rPr>
          <w:rFonts w:ascii="Calibri" w:hAnsi="Calibri" w:cs="Calibri"/>
        </w:rPr>
        <w:t>Baruque</w:t>
      </w:r>
      <w:proofErr w:type="spellEnd"/>
      <w:r w:rsidRPr="00C41CDD">
        <w:rPr>
          <w:rFonts w:ascii="Calibri" w:hAnsi="Calibri" w:cs="Calibri"/>
        </w:rPr>
        <w:t xml:space="preserve">-Ramos, J. Circular Economy Indicators for Measuring Social Innovation in the Brazilian Textile and Fashion Industry.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363</w:t>
      </w:r>
      <w:r w:rsidRPr="00C41CDD">
        <w:rPr>
          <w:rFonts w:ascii="Calibri" w:hAnsi="Calibri" w:cs="Calibri"/>
        </w:rPr>
        <w:t>, 132485.</w:t>
      </w:r>
    </w:p>
    <w:p w14:paraId="6DD578D6" w14:textId="77777777" w:rsidR="00C41CDD" w:rsidRPr="00C41CDD" w:rsidRDefault="00C41CDD" w:rsidP="00C41CDD">
      <w:pPr>
        <w:pStyle w:val="ad"/>
        <w:rPr>
          <w:rFonts w:ascii="Calibri" w:hAnsi="Calibri" w:cs="Calibri"/>
        </w:rPr>
      </w:pPr>
      <w:r w:rsidRPr="00C41CDD">
        <w:rPr>
          <w:rFonts w:ascii="Calibri" w:hAnsi="Calibri" w:cs="Calibri"/>
        </w:rPr>
        <w:t xml:space="preserve">74. </w:t>
      </w:r>
      <w:r w:rsidRPr="00C41CDD">
        <w:rPr>
          <w:rFonts w:ascii="Calibri" w:hAnsi="Calibri" w:cs="Calibri"/>
        </w:rPr>
        <w:tab/>
        <w:t xml:space="preserve">Riesen, T.; Morgan, R.L.; Griffin, C. Customized Employment: A Review </w:t>
      </w:r>
      <w:proofErr w:type="spellStart"/>
      <w:r w:rsidRPr="00C41CDD">
        <w:rPr>
          <w:rFonts w:ascii="Calibri" w:hAnsi="Calibri" w:cs="Calibri"/>
        </w:rPr>
        <w:t>Of&amp;</w:t>
      </w:r>
      <w:proofErr w:type="gramStart"/>
      <w:r w:rsidRPr="00C41CDD">
        <w:rPr>
          <w:rFonts w:ascii="Calibri" w:hAnsi="Calibri" w:cs="Calibri"/>
        </w:rPr>
        <w:t>nbsp;The</w:t>
      </w:r>
      <w:proofErr w:type="gramEnd"/>
      <w:r w:rsidRPr="00C41CDD">
        <w:rPr>
          <w:rFonts w:ascii="Calibri" w:hAnsi="Calibri" w:cs="Calibri"/>
        </w:rPr>
        <w:t>&amp;</w:t>
      </w:r>
      <w:proofErr w:type="gramStart"/>
      <w:r w:rsidRPr="00C41CDD">
        <w:rPr>
          <w:rFonts w:ascii="Calibri" w:hAnsi="Calibri" w:cs="Calibri"/>
        </w:rPr>
        <w:t>nbsp;Literature</w:t>
      </w:r>
      <w:proofErr w:type="spellEnd"/>
      <w:proofErr w:type="gramEnd"/>
      <w:r w:rsidRPr="00C41CDD">
        <w:rPr>
          <w:rFonts w:ascii="Calibri" w:hAnsi="Calibri" w:cs="Calibri"/>
        </w:rPr>
        <w:t xml:space="preserve">. </w:t>
      </w:r>
      <w:r w:rsidRPr="00C41CDD">
        <w:rPr>
          <w:rFonts w:ascii="Calibri" w:hAnsi="Calibri" w:cs="Calibri"/>
          <w:i/>
          <w:iCs/>
        </w:rPr>
        <w:t>Journal of Vocational Rehabilitation</w:t>
      </w:r>
      <w:r w:rsidRPr="00C41CDD">
        <w:rPr>
          <w:rFonts w:ascii="Calibri" w:hAnsi="Calibri" w:cs="Calibri"/>
        </w:rPr>
        <w:t xml:space="preserve"> </w:t>
      </w:r>
      <w:r w:rsidRPr="00C41CDD">
        <w:rPr>
          <w:rFonts w:ascii="Calibri" w:hAnsi="Calibri" w:cs="Calibri"/>
          <w:b/>
          <w:bCs/>
        </w:rPr>
        <w:t>2015</w:t>
      </w:r>
      <w:r w:rsidRPr="00C41CDD">
        <w:rPr>
          <w:rFonts w:ascii="Calibri" w:hAnsi="Calibri" w:cs="Calibri"/>
        </w:rPr>
        <w:t xml:space="preserve">, </w:t>
      </w:r>
      <w:r w:rsidRPr="00C41CDD">
        <w:rPr>
          <w:rFonts w:ascii="Calibri" w:hAnsi="Calibri" w:cs="Calibri"/>
          <w:i/>
          <w:iCs/>
        </w:rPr>
        <w:t>43</w:t>
      </w:r>
      <w:r w:rsidRPr="00C41CDD">
        <w:rPr>
          <w:rFonts w:ascii="Calibri" w:hAnsi="Calibri" w:cs="Calibri"/>
        </w:rPr>
        <w:t>, 183–193, doi:10.3233/JVR-150768.</w:t>
      </w:r>
    </w:p>
    <w:p w14:paraId="31898F45" w14:textId="77777777" w:rsidR="00C41CDD" w:rsidRPr="00C41CDD" w:rsidRDefault="00C41CDD" w:rsidP="00C41CDD">
      <w:pPr>
        <w:pStyle w:val="ad"/>
        <w:rPr>
          <w:rFonts w:ascii="Calibri" w:hAnsi="Calibri" w:cs="Calibri"/>
        </w:rPr>
      </w:pPr>
      <w:r w:rsidRPr="00C41CDD">
        <w:rPr>
          <w:rFonts w:ascii="Calibri" w:hAnsi="Calibri" w:cs="Calibri"/>
        </w:rPr>
        <w:t xml:space="preserve">75. </w:t>
      </w:r>
      <w:r w:rsidRPr="00C41CDD">
        <w:rPr>
          <w:rFonts w:ascii="Calibri" w:hAnsi="Calibri" w:cs="Calibri"/>
        </w:rPr>
        <w:tab/>
        <w:t xml:space="preserve">Ahmad, S.; Wong, K.Y.; </w:t>
      </w:r>
      <w:proofErr w:type="spellStart"/>
      <w:r w:rsidRPr="00C41CDD">
        <w:rPr>
          <w:rFonts w:ascii="Calibri" w:hAnsi="Calibri" w:cs="Calibri"/>
        </w:rPr>
        <w:t>Rajoo</w:t>
      </w:r>
      <w:proofErr w:type="spellEnd"/>
      <w:r w:rsidRPr="00C41CDD">
        <w:rPr>
          <w:rFonts w:ascii="Calibri" w:hAnsi="Calibri" w:cs="Calibri"/>
        </w:rPr>
        <w:t xml:space="preserve">, S. Sustainability Indicators for Manufacturing Sectors: A Literature Survey and Maturity Analysis from the Triple-Bottom Line Perspective. </w:t>
      </w:r>
      <w:r w:rsidRPr="00C41CDD">
        <w:rPr>
          <w:rFonts w:ascii="Calibri" w:hAnsi="Calibri" w:cs="Calibri"/>
          <w:i/>
          <w:iCs/>
        </w:rPr>
        <w:t>Journal of Manufacturing Technology Management</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30</w:t>
      </w:r>
      <w:r w:rsidRPr="00C41CDD">
        <w:rPr>
          <w:rFonts w:ascii="Calibri" w:hAnsi="Calibri" w:cs="Calibri"/>
        </w:rPr>
        <w:t>, 312–334.</w:t>
      </w:r>
    </w:p>
    <w:p w14:paraId="054A28B4" w14:textId="77777777" w:rsidR="00C41CDD" w:rsidRPr="00C41CDD" w:rsidRDefault="00C41CDD" w:rsidP="00C41CDD">
      <w:pPr>
        <w:pStyle w:val="ad"/>
        <w:rPr>
          <w:rFonts w:ascii="Calibri" w:hAnsi="Calibri" w:cs="Calibri"/>
        </w:rPr>
      </w:pPr>
      <w:r w:rsidRPr="00C41CDD">
        <w:rPr>
          <w:rFonts w:ascii="Calibri" w:hAnsi="Calibri" w:cs="Calibri"/>
        </w:rPr>
        <w:t xml:space="preserve">76. </w:t>
      </w:r>
      <w:r w:rsidRPr="00C41CDD">
        <w:rPr>
          <w:rFonts w:ascii="Calibri" w:hAnsi="Calibri" w:cs="Calibri"/>
        </w:rPr>
        <w:tab/>
        <w:t xml:space="preserve">Sutherland, J.W.; Richter, J.S.; Hutchins, M.J.; Dornfeld, D.; </w:t>
      </w:r>
      <w:proofErr w:type="spellStart"/>
      <w:r w:rsidRPr="00C41CDD">
        <w:rPr>
          <w:rFonts w:ascii="Calibri" w:hAnsi="Calibri" w:cs="Calibri"/>
        </w:rPr>
        <w:t>Dzombak</w:t>
      </w:r>
      <w:proofErr w:type="spellEnd"/>
      <w:r w:rsidRPr="00C41CDD">
        <w:rPr>
          <w:rFonts w:ascii="Calibri" w:hAnsi="Calibri" w:cs="Calibri"/>
        </w:rPr>
        <w:t xml:space="preserve">, R.; Mangold, J.; Robinson, S.; Hauschild, M.Z.; Bonou, A.; </w:t>
      </w:r>
      <w:proofErr w:type="spellStart"/>
      <w:r w:rsidRPr="00C41CDD">
        <w:rPr>
          <w:rFonts w:ascii="Calibri" w:hAnsi="Calibri" w:cs="Calibri"/>
        </w:rPr>
        <w:t>Schönsleben</w:t>
      </w:r>
      <w:proofErr w:type="spellEnd"/>
      <w:r w:rsidRPr="00C41CDD">
        <w:rPr>
          <w:rFonts w:ascii="Calibri" w:hAnsi="Calibri" w:cs="Calibri"/>
        </w:rPr>
        <w:t xml:space="preserve">, P.; et al. The Role of Manufacturing in Affecting the Social Dimension of Sustainability. </w:t>
      </w:r>
      <w:r w:rsidRPr="00C41CDD">
        <w:rPr>
          <w:rFonts w:ascii="Calibri" w:hAnsi="Calibri" w:cs="Calibri"/>
          <w:i/>
          <w:iCs/>
        </w:rPr>
        <w:t>CIRP Annals</w:t>
      </w:r>
      <w:r w:rsidRPr="00C41CDD">
        <w:rPr>
          <w:rFonts w:ascii="Calibri" w:hAnsi="Calibri" w:cs="Calibri"/>
        </w:rPr>
        <w:t xml:space="preserve"> </w:t>
      </w:r>
      <w:r w:rsidRPr="00C41CDD">
        <w:rPr>
          <w:rFonts w:ascii="Calibri" w:hAnsi="Calibri" w:cs="Calibri"/>
          <w:b/>
          <w:bCs/>
        </w:rPr>
        <w:t>2016</w:t>
      </w:r>
      <w:r w:rsidRPr="00C41CDD">
        <w:rPr>
          <w:rFonts w:ascii="Calibri" w:hAnsi="Calibri" w:cs="Calibri"/>
        </w:rPr>
        <w:t xml:space="preserve">, </w:t>
      </w:r>
      <w:r w:rsidRPr="00C41CDD">
        <w:rPr>
          <w:rFonts w:ascii="Calibri" w:hAnsi="Calibri" w:cs="Calibri"/>
          <w:i/>
          <w:iCs/>
        </w:rPr>
        <w:t>65</w:t>
      </w:r>
      <w:r w:rsidRPr="00C41CDD">
        <w:rPr>
          <w:rFonts w:ascii="Calibri" w:hAnsi="Calibri" w:cs="Calibri"/>
        </w:rPr>
        <w:t xml:space="preserve">, 689–712, </w:t>
      </w:r>
      <w:proofErr w:type="gramStart"/>
      <w:r w:rsidRPr="00C41CDD">
        <w:rPr>
          <w:rFonts w:ascii="Calibri" w:hAnsi="Calibri" w:cs="Calibri"/>
        </w:rPr>
        <w:t>doi:10.1016/j.cirp</w:t>
      </w:r>
      <w:proofErr w:type="gramEnd"/>
      <w:r w:rsidRPr="00C41CDD">
        <w:rPr>
          <w:rFonts w:ascii="Calibri" w:hAnsi="Calibri" w:cs="Calibri"/>
        </w:rPr>
        <w:t>.2016.05.003.</w:t>
      </w:r>
    </w:p>
    <w:p w14:paraId="090844AE" w14:textId="77777777" w:rsidR="00C41CDD" w:rsidRPr="00C41CDD" w:rsidRDefault="00C41CDD" w:rsidP="00C41CDD">
      <w:pPr>
        <w:pStyle w:val="ad"/>
        <w:rPr>
          <w:rFonts w:ascii="Calibri" w:hAnsi="Calibri" w:cs="Calibri"/>
        </w:rPr>
      </w:pPr>
      <w:r w:rsidRPr="00C41CDD">
        <w:rPr>
          <w:rFonts w:ascii="Calibri" w:hAnsi="Calibri" w:cs="Calibri"/>
        </w:rPr>
        <w:t xml:space="preserve">77. </w:t>
      </w:r>
      <w:r w:rsidRPr="00C41CDD">
        <w:rPr>
          <w:rFonts w:ascii="Calibri" w:hAnsi="Calibri" w:cs="Calibri"/>
        </w:rPr>
        <w:tab/>
        <w:t xml:space="preserve">Pitkänen, K.; Karppinen, T.K.M.; Kautto, P.; </w:t>
      </w:r>
      <w:proofErr w:type="spellStart"/>
      <w:r w:rsidRPr="00C41CDD">
        <w:rPr>
          <w:rFonts w:ascii="Calibri" w:hAnsi="Calibri" w:cs="Calibri"/>
        </w:rPr>
        <w:t>Pirtonen</w:t>
      </w:r>
      <w:proofErr w:type="spellEnd"/>
      <w:r w:rsidRPr="00C41CDD">
        <w:rPr>
          <w:rFonts w:ascii="Calibri" w:hAnsi="Calibri" w:cs="Calibri"/>
        </w:rPr>
        <w:t xml:space="preserve">, H.; </w:t>
      </w:r>
      <w:proofErr w:type="spellStart"/>
      <w:r w:rsidRPr="00C41CDD">
        <w:rPr>
          <w:rFonts w:ascii="Calibri" w:hAnsi="Calibri" w:cs="Calibri"/>
        </w:rPr>
        <w:t>Salmenperä</w:t>
      </w:r>
      <w:proofErr w:type="spellEnd"/>
      <w:r w:rsidRPr="00C41CDD">
        <w:rPr>
          <w:rFonts w:ascii="Calibri" w:hAnsi="Calibri" w:cs="Calibri"/>
        </w:rPr>
        <w:t xml:space="preserve">, H.; </w:t>
      </w:r>
      <w:proofErr w:type="spellStart"/>
      <w:r w:rsidRPr="00C41CDD">
        <w:rPr>
          <w:rFonts w:ascii="Calibri" w:hAnsi="Calibri" w:cs="Calibri"/>
        </w:rPr>
        <w:t>Savolahti</w:t>
      </w:r>
      <w:proofErr w:type="spellEnd"/>
      <w:r w:rsidRPr="00C41CDD">
        <w:rPr>
          <w:rFonts w:ascii="Calibri" w:hAnsi="Calibri" w:cs="Calibri"/>
        </w:rPr>
        <w:t xml:space="preserve">, H.; </w:t>
      </w:r>
      <w:proofErr w:type="spellStart"/>
      <w:r w:rsidRPr="00C41CDD">
        <w:rPr>
          <w:rFonts w:ascii="Calibri" w:hAnsi="Calibri" w:cs="Calibri"/>
        </w:rPr>
        <w:t>Schubin</w:t>
      </w:r>
      <w:proofErr w:type="spellEnd"/>
      <w:r w:rsidRPr="00C41CDD">
        <w:rPr>
          <w:rFonts w:ascii="Calibri" w:hAnsi="Calibri" w:cs="Calibri"/>
        </w:rPr>
        <w:t xml:space="preserve">, E.; </w:t>
      </w:r>
      <w:proofErr w:type="spellStart"/>
      <w:r w:rsidRPr="00C41CDD">
        <w:rPr>
          <w:rFonts w:ascii="Calibri" w:hAnsi="Calibri" w:cs="Calibri"/>
        </w:rPr>
        <w:t>Myllymaa</w:t>
      </w:r>
      <w:proofErr w:type="spellEnd"/>
      <w:r w:rsidRPr="00C41CDD">
        <w:rPr>
          <w:rFonts w:ascii="Calibri" w:hAnsi="Calibri" w:cs="Calibri"/>
        </w:rPr>
        <w:t xml:space="preserve">, T. How to Measure the Social Sustainability of the Circular Economy? Developing and Piloting Social Circular Economy Indicators in Finland.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392</w:t>
      </w:r>
      <w:r w:rsidRPr="00C41CDD">
        <w:rPr>
          <w:rFonts w:ascii="Calibri" w:hAnsi="Calibri" w:cs="Calibri"/>
        </w:rPr>
        <w:t>, 136238.</w:t>
      </w:r>
    </w:p>
    <w:p w14:paraId="1D3F7F09" w14:textId="77777777" w:rsidR="00C41CDD" w:rsidRPr="00C41CDD" w:rsidRDefault="00C41CDD" w:rsidP="00C41CDD">
      <w:pPr>
        <w:pStyle w:val="ad"/>
        <w:rPr>
          <w:rFonts w:ascii="Calibri" w:hAnsi="Calibri" w:cs="Calibri"/>
        </w:rPr>
      </w:pPr>
      <w:r w:rsidRPr="00C41CDD">
        <w:rPr>
          <w:rFonts w:ascii="Calibri" w:hAnsi="Calibri" w:cs="Calibri"/>
        </w:rPr>
        <w:t xml:space="preserve">78. </w:t>
      </w:r>
      <w:r w:rsidRPr="00C41CDD">
        <w:rPr>
          <w:rFonts w:ascii="Calibri" w:hAnsi="Calibri" w:cs="Calibri"/>
        </w:rPr>
        <w:tab/>
        <w:t xml:space="preserve">Ahmad, S.; Wong, K.Y. Development of Weighted Triple-Bottom Line Sustainability Indicators for the Malaysian Food Manufacturing Industry Using the Delphi Method.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229</w:t>
      </w:r>
      <w:r w:rsidRPr="00C41CDD">
        <w:rPr>
          <w:rFonts w:ascii="Calibri" w:hAnsi="Calibri" w:cs="Calibri"/>
        </w:rPr>
        <w:t xml:space="preserve">, 1167–1182, </w:t>
      </w:r>
      <w:proofErr w:type="gramStart"/>
      <w:r w:rsidRPr="00C41CDD">
        <w:rPr>
          <w:rFonts w:ascii="Calibri" w:hAnsi="Calibri" w:cs="Calibri"/>
        </w:rPr>
        <w:t>doi:10.1016/j.jclepro</w:t>
      </w:r>
      <w:proofErr w:type="gramEnd"/>
      <w:r w:rsidRPr="00C41CDD">
        <w:rPr>
          <w:rFonts w:ascii="Calibri" w:hAnsi="Calibri" w:cs="Calibri"/>
        </w:rPr>
        <w:t>.2019.04.399.</w:t>
      </w:r>
    </w:p>
    <w:p w14:paraId="27F93C1C" w14:textId="77777777" w:rsidR="00C41CDD" w:rsidRPr="00C41CDD" w:rsidRDefault="00C41CDD" w:rsidP="00C41CDD">
      <w:pPr>
        <w:pStyle w:val="ad"/>
        <w:rPr>
          <w:rFonts w:ascii="Calibri" w:hAnsi="Calibri" w:cs="Calibri"/>
        </w:rPr>
      </w:pPr>
      <w:r w:rsidRPr="00C41CDD">
        <w:rPr>
          <w:rFonts w:ascii="Calibri" w:hAnsi="Calibri" w:cs="Calibri"/>
        </w:rPr>
        <w:t xml:space="preserve">79. </w:t>
      </w:r>
      <w:r w:rsidRPr="00C41CDD">
        <w:rPr>
          <w:rFonts w:ascii="Calibri" w:hAnsi="Calibri" w:cs="Calibri"/>
        </w:rPr>
        <w:tab/>
        <w:t xml:space="preserve">Bhanot, N.; Qaiser, F.H.; </w:t>
      </w:r>
      <w:proofErr w:type="spellStart"/>
      <w:r w:rsidRPr="00C41CDD">
        <w:rPr>
          <w:rFonts w:ascii="Calibri" w:hAnsi="Calibri" w:cs="Calibri"/>
        </w:rPr>
        <w:t>Alkahtani</w:t>
      </w:r>
      <w:proofErr w:type="spellEnd"/>
      <w:r w:rsidRPr="00C41CDD">
        <w:rPr>
          <w:rFonts w:ascii="Calibri" w:hAnsi="Calibri" w:cs="Calibri"/>
        </w:rPr>
        <w:t xml:space="preserve">, M.; Rehman, A.U. An Integrated Decision-Making Approach for Cause-And-Effect Analysis of Sustainable Manufacturing Indicators.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12</w:t>
      </w:r>
      <w:r w:rsidRPr="00C41CDD">
        <w:rPr>
          <w:rFonts w:ascii="Calibri" w:hAnsi="Calibri" w:cs="Calibri"/>
        </w:rPr>
        <w:t>, 1517, doi:10.3390/su12041517.</w:t>
      </w:r>
    </w:p>
    <w:p w14:paraId="1F83CEB9" w14:textId="77777777" w:rsidR="00C41CDD" w:rsidRPr="00C41CDD" w:rsidRDefault="00C41CDD" w:rsidP="00C41CDD">
      <w:pPr>
        <w:pStyle w:val="ad"/>
        <w:rPr>
          <w:rFonts w:ascii="Calibri" w:hAnsi="Calibri" w:cs="Calibri"/>
        </w:rPr>
      </w:pPr>
      <w:r w:rsidRPr="00C41CDD">
        <w:rPr>
          <w:rFonts w:ascii="Calibri" w:hAnsi="Calibri" w:cs="Calibri"/>
        </w:rPr>
        <w:t xml:space="preserve">80. </w:t>
      </w:r>
      <w:r w:rsidRPr="00C41CDD">
        <w:rPr>
          <w:rFonts w:ascii="Calibri" w:hAnsi="Calibri" w:cs="Calibri"/>
        </w:rPr>
        <w:tab/>
        <w:t xml:space="preserve">Suhányi, L.; </w:t>
      </w:r>
      <w:proofErr w:type="spellStart"/>
      <w:r w:rsidRPr="00C41CDD">
        <w:rPr>
          <w:rFonts w:ascii="Calibri" w:hAnsi="Calibri" w:cs="Calibri"/>
        </w:rPr>
        <w:t>Suhányiová</w:t>
      </w:r>
      <w:proofErr w:type="spellEnd"/>
      <w:r w:rsidRPr="00C41CDD">
        <w:rPr>
          <w:rFonts w:ascii="Calibri" w:hAnsi="Calibri" w:cs="Calibri"/>
        </w:rPr>
        <w:t xml:space="preserve">, A.; </w:t>
      </w:r>
      <w:proofErr w:type="spellStart"/>
      <w:r w:rsidRPr="00C41CDD">
        <w:rPr>
          <w:rFonts w:ascii="Calibri" w:hAnsi="Calibri" w:cs="Calibri"/>
        </w:rPr>
        <w:t>Kádárová</w:t>
      </w:r>
      <w:proofErr w:type="spellEnd"/>
      <w:r w:rsidRPr="00C41CDD">
        <w:rPr>
          <w:rFonts w:ascii="Calibri" w:hAnsi="Calibri" w:cs="Calibri"/>
        </w:rPr>
        <w:t xml:space="preserve">, J.; </w:t>
      </w:r>
      <w:proofErr w:type="spellStart"/>
      <w:r w:rsidRPr="00C41CDD">
        <w:rPr>
          <w:rFonts w:ascii="Calibri" w:hAnsi="Calibri" w:cs="Calibri"/>
        </w:rPr>
        <w:t>Janeková</w:t>
      </w:r>
      <w:proofErr w:type="spellEnd"/>
      <w:r w:rsidRPr="00C41CDD">
        <w:rPr>
          <w:rFonts w:ascii="Calibri" w:hAnsi="Calibri" w:cs="Calibri"/>
        </w:rPr>
        <w:t xml:space="preserve">, J. Relationships between Average Wages in the Manufacturing Sector and Economic Indicators of the Manufacturing Sector in the Region of Visegrad Group Countries.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2023</w:t>
      </w:r>
      <w:r w:rsidRPr="00C41CDD">
        <w:rPr>
          <w:rFonts w:ascii="Calibri" w:hAnsi="Calibri" w:cs="Calibri"/>
        </w:rPr>
        <w:t xml:space="preserve">, </w:t>
      </w:r>
      <w:r w:rsidRPr="00C41CDD">
        <w:rPr>
          <w:rFonts w:ascii="Calibri" w:hAnsi="Calibri" w:cs="Calibri"/>
          <w:i/>
          <w:iCs/>
        </w:rPr>
        <w:t>15</w:t>
      </w:r>
      <w:r w:rsidRPr="00C41CDD">
        <w:rPr>
          <w:rFonts w:ascii="Calibri" w:hAnsi="Calibri" w:cs="Calibri"/>
        </w:rPr>
        <w:t>, 4164, doi:10.3390/su15054164.</w:t>
      </w:r>
    </w:p>
    <w:p w14:paraId="1E9E4CCD" w14:textId="77777777" w:rsidR="00C41CDD" w:rsidRPr="00C41CDD" w:rsidRDefault="00C41CDD" w:rsidP="00C41CDD">
      <w:pPr>
        <w:pStyle w:val="ad"/>
        <w:rPr>
          <w:rFonts w:ascii="Calibri" w:hAnsi="Calibri" w:cs="Calibri"/>
        </w:rPr>
      </w:pPr>
      <w:r w:rsidRPr="00C41CDD">
        <w:rPr>
          <w:rFonts w:ascii="Calibri" w:hAnsi="Calibri" w:cs="Calibri"/>
        </w:rPr>
        <w:t xml:space="preserve">81. </w:t>
      </w:r>
      <w:r w:rsidRPr="00C41CDD">
        <w:rPr>
          <w:rFonts w:ascii="Calibri" w:hAnsi="Calibri" w:cs="Calibri"/>
        </w:rPr>
        <w:tab/>
        <w:t xml:space="preserve">Gregori, F.; Papetti, A.; Pandolfi, M.; </w:t>
      </w:r>
      <w:proofErr w:type="spellStart"/>
      <w:r w:rsidRPr="00C41CDD">
        <w:rPr>
          <w:rFonts w:ascii="Calibri" w:hAnsi="Calibri" w:cs="Calibri"/>
        </w:rPr>
        <w:t>Peruzzini</w:t>
      </w:r>
      <w:proofErr w:type="spellEnd"/>
      <w:r w:rsidRPr="00C41CDD">
        <w:rPr>
          <w:rFonts w:ascii="Calibri" w:hAnsi="Calibri" w:cs="Calibri"/>
        </w:rPr>
        <w:t xml:space="preserve">, M.; Germani, M. Digital Manufacturing Systems: A Framework to Improve Social Sustainability of a Production Site. </w:t>
      </w:r>
      <w:r w:rsidRPr="00C41CDD">
        <w:rPr>
          <w:rFonts w:ascii="Calibri" w:hAnsi="Calibri" w:cs="Calibri"/>
          <w:i/>
          <w:iCs/>
        </w:rPr>
        <w:t>Procedia CIRP</w:t>
      </w:r>
      <w:r w:rsidRPr="00C41CDD">
        <w:rPr>
          <w:rFonts w:ascii="Calibri" w:hAnsi="Calibri" w:cs="Calibri"/>
        </w:rPr>
        <w:t xml:space="preserve"> </w:t>
      </w:r>
      <w:r w:rsidRPr="00C41CDD">
        <w:rPr>
          <w:rFonts w:ascii="Calibri" w:hAnsi="Calibri" w:cs="Calibri"/>
          <w:b/>
          <w:bCs/>
        </w:rPr>
        <w:t>2017</w:t>
      </w:r>
      <w:r w:rsidRPr="00C41CDD">
        <w:rPr>
          <w:rFonts w:ascii="Calibri" w:hAnsi="Calibri" w:cs="Calibri"/>
        </w:rPr>
        <w:t xml:space="preserve">, </w:t>
      </w:r>
      <w:r w:rsidRPr="00C41CDD">
        <w:rPr>
          <w:rFonts w:ascii="Calibri" w:hAnsi="Calibri" w:cs="Calibri"/>
          <w:i/>
          <w:iCs/>
        </w:rPr>
        <w:t>63</w:t>
      </w:r>
      <w:r w:rsidRPr="00C41CDD">
        <w:rPr>
          <w:rFonts w:ascii="Calibri" w:hAnsi="Calibri" w:cs="Calibri"/>
        </w:rPr>
        <w:t>, 436–442.</w:t>
      </w:r>
    </w:p>
    <w:p w14:paraId="39F513CA" w14:textId="77777777" w:rsidR="00C41CDD" w:rsidRPr="00C41CDD" w:rsidRDefault="00C41CDD" w:rsidP="00C41CDD">
      <w:pPr>
        <w:pStyle w:val="ad"/>
        <w:rPr>
          <w:rFonts w:ascii="Calibri" w:hAnsi="Calibri" w:cs="Calibri"/>
        </w:rPr>
      </w:pPr>
      <w:r w:rsidRPr="00C41CDD">
        <w:rPr>
          <w:rFonts w:ascii="Calibri" w:hAnsi="Calibri" w:cs="Calibri"/>
        </w:rPr>
        <w:lastRenderedPageBreak/>
        <w:t xml:space="preserve">82. </w:t>
      </w:r>
      <w:r w:rsidRPr="00C41CDD">
        <w:rPr>
          <w:rFonts w:ascii="Calibri" w:hAnsi="Calibri" w:cs="Calibri"/>
        </w:rPr>
        <w:tab/>
        <w:t xml:space="preserve">Lin, C.J.; Belis, T.T.; Kuo, T.C. Ergonomics-Based Factors or Criteria for the Evaluation of Sustainable Product Manufacturing. </w:t>
      </w:r>
      <w:r w:rsidRPr="00C41CDD">
        <w:rPr>
          <w:rFonts w:ascii="Calibri" w:hAnsi="Calibri" w:cs="Calibri"/>
          <w:i/>
          <w:iCs/>
        </w:rPr>
        <w:t>Sustainability</w:t>
      </w:r>
      <w:r w:rsidRPr="00C41CDD">
        <w:rPr>
          <w:rFonts w:ascii="Calibri" w:hAnsi="Calibri" w:cs="Calibri"/>
        </w:rPr>
        <w:t xml:space="preserve"> </w:t>
      </w:r>
      <w:r w:rsidRPr="00C41CDD">
        <w:rPr>
          <w:rFonts w:ascii="Calibri" w:hAnsi="Calibri" w:cs="Calibri"/>
          <w:b/>
          <w:bCs/>
        </w:rPr>
        <w:t>2019</w:t>
      </w:r>
      <w:r w:rsidRPr="00C41CDD">
        <w:rPr>
          <w:rFonts w:ascii="Calibri" w:hAnsi="Calibri" w:cs="Calibri"/>
        </w:rPr>
        <w:t xml:space="preserve">, </w:t>
      </w:r>
      <w:r w:rsidRPr="00C41CDD">
        <w:rPr>
          <w:rFonts w:ascii="Calibri" w:hAnsi="Calibri" w:cs="Calibri"/>
          <w:i/>
          <w:iCs/>
        </w:rPr>
        <w:t>11</w:t>
      </w:r>
      <w:r w:rsidRPr="00C41CDD">
        <w:rPr>
          <w:rFonts w:ascii="Calibri" w:hAnsi="Calibri" w:cs="Calibri"/>
        </w:rPr>
        <w:t>, 4955, doi:10.3390/su11184955.</w:t>
      </w:r>
    </w:p>
    <w:p w14:paraId="0A04F285" w14:textId="77777777" w:rsidR="00C41CDD" w:rsidRPr="00C41CDD" w:rsidRDefault="00C41CDD" w:rsidP="00C41CDD">
      <w:pPr>
        <w:pStyle w:val="ad"/>
        <w:rPr>
          <w:rFonts w:ascii="Calibri" w:hAnsi="Calibri" w:cs="Calibri"/>
        </w:rPr>
      </w:pPr>
      <w:r w:rsidRPr="00C41CDD">
        <w:rPr>
          <w:rFonts w:ascii="Calibri" w:hAnsi="Calibri" w:cs="Calibri"/>
        </w:rPr>
        <w:t xml:space="preserve">83. </w:t>
      </w:r>
      <w:r w:rsidRPr="00C41CDD">
        <w:rPr>
          <w:rFonts w:ascii="Calibri" w:hAnsi="Calibri" w:cs="Calibri"/>
        </w:rPr>
        <w:tab/>
        <w:t xml:space="preserve">Dammert, A.C.; de Hoop, J.; </w:t>
      </w:r>
      <w:proofErr w:type="spellStart"/>
      <w:r w:rsidRPr="00C41CDD">
        <w:rPr>
          <w:rFonts w:ascii="Calibri" w:hAnsi="Calibri" w:cs="Calibri"/>
        </w:rPr>
        <w:t>Mvukiyehe</w:t>
      </w:r>
      <w:proofErr w:type="spellEnd"/>
      <w:r w:rsidRPr="00C41CDD">
        <w:rPr>
          <w:rFonts w:ascii="Calibri" w:hAnsi="Calibri" w:cs="Calibri"/>
        </w:rPr>
        <w:t xml:space="preserve">, E.; Rosati, F.C. Effects of Public Policy on Child Labor: Current Knowledge, Gaps, and Implications for Program Design. </w:t>
      </w:r>
      <w:r w:rsidRPr="00C41CDD">
        <w:rPr>
          <w:rFonts w:ascii="Calibri" w:hAnsi="Calibri" w:cs="Calibri"/>
          <w:i/>
          <w:iCs/>
        </w:rPr>
        <w:t>World Development</w:t>
      </w:r>
      <w:r w:rsidRPr="00C41CDD">
        <w:rPr>
          <w:rFonts w:ascii="Calibri" w:hAnsi="Calibri" w:cs="Calibri"/>
        </w:rPr>
        <w:t xml:space="preserve"> </w:t>
      </w:r>
      <w:r w:rsidRPr="00C41CDD">
        <w:rPr>
          <w:rFonts w:ascii="Calibri" w:hAnsi="Calibri" w:cs="Calibri"/>
          <w:b/>
          <w:bCs/>
        </w:rPr>
        <w:t>2018</w:t>
      </w:r>
      <w:r w:rsidRPr="00C41CDD">
        <w:rPr>
          <w:rFonts w:ascii="Calibri" w:hAnsi="Calibri" w:cs="Calibri"/>
        </w:rPr>
        <w:t xml:space="preserve">, </w:t>
      </w:r>
      <w:r w:rsidRPr="00C41CDD">
        <w:rPr>
          <w:rFonts w:ascii="Calibri" w:hAnsi="Calibri" w:cs="Calibri"/>
          <w:i/>
          <w:iCs/>
        </w:rPr>
        <w:t>110</w:t>
      </w:r>
      <w:r w:rsidRPr="00C41CDD">
        <w:rPr>
          <w:rFonts w:ascii="Calibri" w:hAnsi="Calibri" w:cs="Calibri"/>
        </w:rPr>
        <w:t xml:space="preserve">, 104–123, </w:t>
      </w:r>
      <w:proofErr w:type="gramStart"/>
      <w:r w:rsidRPr="00C41CDD">
        <w:rPr>
          <w:rFonts w:ascii="Calibri" w:hAnsi="Calibri" w:cs="Calibri"/>
        </w:rPr>
        <w:t>doi:10.1016/j.worlddev</w:t>
      </w:r>
      <w:proofErr w:type="gramEnd"/>
      <w:r w:rsidRPr="00C41CDD">
        <w:rPr>
          <w:rFonts w:ascii="Calibri" w:hAnsi="Calibri" w:cs="Calibri"/>
        </w:rPr>
        <w:t>.2018.05.001.</w:t>
      </w:r>
    </w:p>
    <w:p w14:paraId="7AD88C63" w14:textId="77777777" w:rsidR="00C41CDD" w:rsidRPr="00C41CDD" w:rsidRDefault="00C41CDD" w:rsidP="00C41CDD">
      <w:pPr>
        <w:pStyle w:val="ad"/>
        <w:rPr>
          <w:rFonts w:ascii="Calibri" w:hAnsi="Calibri" w:cs="Calibri"/>
        </w:rPr>
      </w:pPr>
      <w:r w:rsidRPr="00C41CDD">
        <w:rPr>
          <w:rFonts w:ascii="Calibri" w:hAnsi="Calibri" w:cs="Calibri"/>
        </w:rPr>
        <w:t xml:space="preserve">84. </w:t>
      </w:r>
      <w:r w:rsidRPr="00C41CDD">
        <w:rPr>
          <w:rFonts w:ascii="Calibri" w:hAnsi="Calibri" w:cs="Calibri"/>
        </w:rPr>
        <w:tab/>
        <w:t xml:space="preserve">Padilla-Rivera, A.; do Carmo, B.B.T.; Arcese, G.; Merveille, N. Social Circular Economy Indicators: Selection through Fuzzy Delphi Method. </w:t>
      </w:r>
      <w:r w:rsidRPr="00C41CDD">
        <w:rPr>
          <w:rFonts w:ascii="Calibri" w:hAnsi="Calibri" w:cs="Calibri"/>
          <w:i/>
          <w:iCs/>
        </w:rPr>
        <w:t>Sustainable Production and Consumption</w:t>
      </w:r>
      <w:r w:rsidRPr="00C41CDD">
        <w:rPr>
          <w:rFonts w:ascii="Calibri" w:hAnsi="Calibri" w:cs="Calibri"/>
        </w:rPr>
        <w:t xml:space="preserve"> </w:t>
      </w:r>
      <w:r w:rsidRPr="00C41CDD">
        <w:rPr>
          <w:rFonts w:ascii="Calibri" w:hAnsi="Calibri" w:cs="Calibri"/>
          <w:b/>
          <w:bCs/>
        </w:rPr>
        <w:t>2021</w:t>
      </w:r>
      <w:r w:rsidRPr="00C41CDD">
        <w:rPr>
          <w:rFonts w:ascii="Calibri" w:hAnsi="Calibri" w:cs="Calibri"/>
        </w:rPr>
        <w:t xml:space="preserve">, </w:t>
      </w:r>
      <w:r w:rsidRPr="00C41CDD">
        <w:rPr>
          <w:rFonts w:ascii="Calibri" w:hAnsi="Calibri" w:cs="Calibri"/>
          <w:i/>
          <w:iCs/>
        </w:rPr>
        <w:t>26</w:t>
      </w:r>
      <w:r w:rsidRPr="00C41CDD">
        <w:rPr>
          <w:rFonts w:ascii="Calibri" w:hAnsi="Calibri" w:cs="Calibri"/>
        </w:rPr>
        <w:t>, 101–110.</w:t>
      </w:r>
    </w:p>
    <w:p w14:paraId="608EBB62" w14:textId="77777777" w:rsidR="00C41CDD" w:rsidRPr="00C41CDD" w:rsidRDefault="00C41CDD" w:rsidP="00C41CDD">
      <w:pPr>
        <w:pStyle w:val="ad"/>
        <w:rPr>
          <w:rFonts w:ascii="Calibri" w:hAnsi="Calibri" w:cs="Calibri"/>
        </w:rPr>
      </w:pPr>
      <w:r w:rsidRPr="00C41CDD">
        <w:rPr>
          <w:rFonts w:ascii="Calibri" w:hAnsi="Calibri" w:cs="Calibri"/>
        </w:rPr>
        <w:t xml:space="preserve">85. </w:t>
      </w:r>
      <w:r w:rsidRPr="00C41CDD">
        <w:rPr>
          <w:rFonts w:ascii="Calibri" w:hAnsi="Calibri" w:cs="Calibri"/>
        </w:rPr>
        <w:tab/>
      </w:r>
      <w:proofErr w:type="spellStart"/>
      <w:r w:rsidRPr="00C41CDD">
        <w:rPr>
          <w:rFonts w:ascii="Calibri" w:hAnsi="Calibri" w:cs="Calibri"/>
        </w:rPr>
        <w:t>Husgafvel</w:t>
      </w:r>
      <w:proofErr w:type="spellEnd"/>
      <w:r w:rsidRPr="00C41CDD">
        <w:rPr>
          <w:rFonts w:ascii="Calibri" w:hAnsi="Calibri" w:cs="Calibri"/>
        </w:rPr>
        <w:t xml:space="preserve">, R.; Pajunen, N.; </w:t>
      </w:r>
      <w:proofErr w:type="spellStart"/>
      <w:r w:rsidRPr="00C41CDD">
        <w:rPr>
          <w:rFonts w:ascii="Calibri" w:hAnsi="Calibri" w:cs="Calibri"/>
        </w:rPr>
        <w:t>Päällysaho</w:t>
      </w:r>
      <w:proofErr w:type="spellEnd"/>
      <w:r w:rsidRPr="00C41CDD">
        <w:rPr>
          <w:rFonts w:ascii="Calibri" w:hAnsi="Calibri" w:cs="Calibri"/>
        </w:rPr>
        <w:t xml:space="preserve">, M.; Paavola, I.-L.; Inkinen, V.; Heiskanen, K.; Dahl, O.; </w:t>
      </w:r>
      <w:proofErr w:type="spellStart"/>
      <w:r w:rsidRPr="00C41CDD">
        <w:rPr>
          <w:rFonts w:ascii="Calibri" w:hAnsi="Calibri" w:cs="Calibri"/>
        </w:rPr>
        <w:t>Ekroos</w:t>
      </w:r>
      <w:proofErr w:type="spellEnd"/>
      <w:r w:rsidRPr="00C41CDD">
        <w:rPr>
          <w:rFonts w:ascii="Calibri" w:hAnsi="Calibri" w:cs="Calibri"/>
        </w:rPr>
        <w:t xml:space="preserve">, A. Social Metrics in the Process Industry: Background, Theory and Development Work. </w:t>
      </w:r>
      <w:r w:rsidRPr="00C41CDD">
        <w:rPr>
          <w:rFonts w:ascii="Calibri" w:hAnsi="Calibri" w:cs="Calibri"/>
          <w:i/>
          <w:iCs/>
        </w:rPr>
        <w:t>International Journal of Sustainable Engineering</w:t>
      </w:r>
      <w:r w:rsidRPr="00C41CDD">
        <w:rPr>
          <w:rFonts w:ascii="Calibri" w:hAnsi="Calibri" w:cs="Calibri"/>
        </w:rPr>
        <w:t xml:space="preserve"> </w:t>
      </w:r>
      <w:r w:rsidRPr="00C41CDD">
        <w:rPr>
          <w:rFonts w:ascii="Calibri" w:hAnsi="Calibri" w:cs="Calibri"/>
          <w:b/>
          <w:bCs/>
        </w:rPr>
        <w:t>2014</w:t>
      </w:r>
      <w:r w:rsidRPr="00C41CDD">
        <w:rPr>
          <w:rFonts w:ascii="Calibri" w:hAnsi="Calibri" w:cs="Calibri"/>
        </w:rPr>
        <w:t xml:space="preserve">, </w:t>
      </w:r>
      <w:r w:rsidRPr="00C41CDD">
        <w:rPr>
          <w:rFonts w:ascii="Calibri" w:hAnsi="Calibri" w:cs="Calibri"/>
          <w:i/>
          <w:iCs/>
        </w:rPr>
        <w:t>7</w:t>
      </w:r>
      <w:r w:rsidRPr="00C41CDD">
        <w:rPr>
          <w:rFonts w:ascii="Calibri" w:hAnsi="Calibri" w:cs="Calibri"/>
        </w:rPr>
        <w:t>, 171–182, doi:10.1080/19397038.2013.800166.</w:t>
      </w:r>
    </w:p>
    <w:p w14:paraId="5EB77D89" w14:textId="77777777" w:rsidR="00C41CDD" w:rsidRPr="00C41CDD" w:rsidRDefault="00C41CDD" w:rsidP="00C41CDD">
      <w:pPr>
        <w:pStyle w:val="ad"/>
        <w:rPr>
          <w:rFonts w:ascii="Calibri" w:hAnsi="Calibri" w:cs="Calibri"/>
        </w:rPr>
      </w:pPr>
      <w:r w:rsidRPr="00C41CDD">
        <w:rPr>
          <w:rFonts w:ascii="Calibri" w:hAnsi="Calibri" w:cs="Calibri"/>
        </w:rPr>
        <w:t xml:space="preserve">86. </w:t>
      </w:r>
      <w:r w:rsidRPr="00C41CDD">
        <w:rPr>
          <w:rFonts w:ascii="Calibri" w:hAnsi="Calibri" w:cs="Calibri"/>
        </w:rPr>
        <w:tab/>
      </w:r>
      <w:proofErr w:type="spellStart"/>
      <w:r w:rsidRPr="00C41CDD">
        <w:rPr>
          <w:rFonts w:ascii="Calibri" w:hAnsi="Calibri" w:cs="Calibri"/>
        </w:rPr>
        <w:t>Husgafvel</w:t>
      </w:r>
      <w:proofErr w:type="spellEnd"/>
      <w:r w:rsidRPr="00C41CDD">
        <w:rPr>
          <w:rFonts w:ascii="Calibri" w:hAnsi="Calibri" w:cs="Calibri"/>
        </w:rPr>
        <w:t xml:space="preserve">, R.; Pajunen, N.; Virtanen, K.; Paavola, I.-L.; </w:t>
      </w:r>
      <w:proofErr w:type="spellStart"/>
      <w:r w:rsidRPr="00C41CDD">
        <w:rPr>
          <w:rFonts w:ascii="Calibri" w:hAnsi="Calibri" w:cs="Calibri"/>
        </w:rPr>
        <w:t>Päällysaho</w:t>
      </w:r>
      <w:proofErr w:type="spellEnd"/>
      <w:r w:rsidRPr="00C41CDD">
        <w:rPr>
          <w:rFonts w:ascii="Calibri" w:hAnsi="Calibri" w:cs="Calibri"/>
        </w:rPr>
        <w:t xml:space="preserve">, M.; Inkinen, V.; Heiskanen, K.; Dahl, O.; </w:t>
      </w:r>
      <w:proofErr w:type="spellStart"/>
      <w:r w:rsidRPr="00C41CDD">
        <w:rPr>
          <w:rFonts w:ascii="Calibri" w:hAnsi="Calibri" w:cs="Calibri"/>
        </w:rPr>
        <w:t>Ekroos</w:t>
      </w:r>
      <w:proofErr w:type="spellEnd"/>
      <w:r w:rsidRPr="00C41CDD">
        <w:rPr>
          <w:rFonts w:ascii="Calibri" w:hAnsi="Calibri" w:cs="Calibri"/>
        </w:rPr>
        <w:t xml:space="preserve">, A. Social Sustainability Performance Indicators – Experiences from Process Industry. </w:t>
      </w:r>
      <w:r w:rsidRPr="00C41CDD">
        <w:rPr>
          <w:rFonts w:ascii="Calibri" w:hAnsi="Calibri" w:cs="Calibri"/>
          <w:i/>
          <w:iCs/>
        </w:rPr>
        <w:t>International Journal of Sustainable Engineering</w:t>
      </w:r>
      <w:r w:rsidRPr="00C41CDD">
        <w:rPr>
          <w:rFonts w:ascii="Calibri" w:hAnsi="Calibri" w:cs="Calibri"/>
        </w:rPr>
        <w:t xml:space="preserve"> </w:t>
      </w:r>
      <w:r w:rsidRPr="00C41CDD">
        <w:rPr>
          <w:rFonts w:ascii="Calibri" w:hAnsi="Calibri" w:cs="Calibri"/>
          <w:b/>
          <w:bCs/>
        </w:rPr>
        <w:t>2015</w:t>
      </w:r>
      <w:r w:rsidRPr="00C41CDD">
        <w:rPr>
          <w:rFonts w:ascii="Calibri" w:hAnsi="Calibri" w:cs="Calibri"/>
        </w:rPr>
        <w:t xml:space="preserve">, </w:t>
      </w:r>
      <w:r w:rsidRPr="00C41CDD">
        <w:rPr>
          <w:rFonts w:ascii="Calibri" w:hAnsi="Calibri" w:cs="Calibri"/>
          <w:i/>
          <w:iCs/>
        </w:rPr>
        <w:t>8</w:t>
      </w:r>
      <w:r w:rsidRPr="00C41CDD">
        <w:rPr>
          <w:rFonts w:ascii="Calibri" w:hAnsi="Calibri" w:cs="Calibri"/>
        </w:rPr>
        <w:t>, 14–25, doi:10.1080/19397038.2014.898711.</w:t>
      </w:r>
    </w:p>
    <w:p w14:paraId="4057CFEE" w14:textId="77777777" w:rsidR="00C41CDD" w:rsidRPr="00C41CDD" w:rsidRDefault="00C41CDD" w:rsidP="00C41CDD">
      <w:pPr>
        <w:pStyle w:val="ad"/>
        <w:rPr>
          <w:rFonts w:ascii="Calibri" w:hAnsi="Calibri" w:cs="Calibri"/>
        </w:rPr>
      </w:pPr>
      <w:r w:rsidRPr="00C41CDD">
        <w:rPr>
          <w:rFonts w:ascii="Calibri" w:hAnsi="Calibri" w:cs="Calibri"/>
        </w:rPr>
        <w:t xml:space="preserve">87. </w:t>
      </w:r>
      <w:r w:rsidRPr="00C41CDD">
        <w:rPr>
          <w:rFonts w:ascii="Calibri" w:hAnsi="Calibri" w:cs="Calibri"/>
        </w:rPr>
        <w:tab/>
      </w:r>
      <w:proofErr w:type="spellStart"/>
      <w:r w:rsidRPr="00C41CDD">
        <w:rPr>
          <w:rFonts w:ascii="Calibri" w:hAnsi="Calibri" w:cs="Calibri"/>
        </w:rPr>
        <w:t>Päällysaho</w:t>
      </w:r>
      <w:proofErr w:type="spellEnd"/>
      <w:r w:rsidRPr="00C41CDD">
        <w:rPr>
          <w:rFonts w:ascii="Calibri" w:hAnsi="Calibri" w:cs="Calibri"/>
        </w:rPr>
        <w:t xml:space="preserve">, M.; Pajunen, N.; </w:t>
      </w:r>
      <w:proofErr w:type="spellStart"/>
      <w:r w:rsidRPr="00C41CDD">
        <w:rPr>
          <w:rFonts w:ascii="Calibri" w:hAnsi="Calibri" w:cs="Calibri"/>
        </w:rPr>
        <w:t>Husgafvel</w:t>
      </w:r>
      <w:proofErr w:type="spellEnd"/>
      <w:r w:rsidRPr="00C41CDD">
        <w:rPr>
          <w:rFonts w:ascii="Calibri" w:hAnsi="Calibri" w:cs="Calibri"/>
        </w:rPr>
        <w:t xml:space="preserve">, R.; </w:t>
      </w:r>
      <w:proofErr w:type="spellStart"/>
      <w:r w:rsidRPr="00C41CDD">
        <w:rPr>
          <w:rFonts w:ascii="Calibri" w:hAnsi="Calibri" w:cs="Calibri"/>
        </w:rPr>
        <w:t>Wierink</w:t>
      </w:r>
      <w:proofErr w:type="spellEnd"/>
      <w:r w:rsidRPr="00C41CDD">
        <w:rPr>
          <w:rFonts w:ascii="Calibri" w:hAnsi="Calibri" w:cs="Calibri"/>
        </w:rPr>
        <w:t xml:space="preserve">, M.; Paavola, I.L.; Heiskanen, K.; Dahl, O.; </w:t>
      </w:r>
      <w:proofErr w:type="spellStart"/>
      <w:r w:rsidRPr="00C41CDD">
        <w:rPr>
          <w:rFonts w:ascii="Calibri" w:hAnsi="Calibri" w:cs="Calibri"/>
        </w:rPr>
        <w:t>Ekroos</w:t>
      </w:r>
      <w:proofErr w:type="spellEnd"/>
      <w:r w:rsidRPr="00C41CDD">
        <w:rPr>
          <w:rFonts w:ascii="Calibri" w:hAnsi="Calibri" w:cs="Calibri"/>
        </w:rPr>
        <w:t>, A. Metrics for Sustainable Production in Process Industry. In Proceedings of the 26th International Mineral Processing Congress IMPC 2012 New Delhi, India. 24.-28.9. 2012: Innovative Processing for Sustainable Growth-Conference Proceedings; 2012; pp. 4033–4046.</w:t>
      </w:r>
    </w:p>
    <w:p w14:paraId="03D0AB2A" w14:textId="77777777" w:rsidR="00C41CDD" w:rsidRPr="00C41CDD" w:rsidRDefault="00C41CDD" w:rsidP="00C41CDD">
      <w:pPr>
        <w:pStyle w:val="ad"/>
        <w:rPr>
          <w:rFonts w:ascii="Calibri" w:hAnsi="Calibri" w:cs="Calibri"/>
        </w:rPr>
      </w:pPr>
      <w:r w:rsidRPr="00C41CDD">
        <w:rPr>
          <w:rFonts w:ascii="Calibri" w:hAnsi="Calibri" w:cs="Calibri"/>
        </w:rPr>
        <w:t xml:space="preserve">88. </w:t>
      </w:r>
      <w:r w:rsidRPr="00C41CDD">
        <w:rPr>
          <w:rFonts w:ascii="Calibri" w:hAnsi="Calibri" w:cs="Calibri"/>
        </w:rPr>
        <w:tab/>
      </w:r>
      <w:proofErr w:type="spellStart"/>
      <w:r w:rsidRPr="00C41CDD">
        <w:rPr>
          <w:rFonts w:ascii="Calibri" w:hAnsi="Calibri" w:cs="Calibri"/>
        </w:rPr>
        <w:t>Jilcha</w:t>
      </w:r>
      <w:proofErr w:type="spellEnd"/>
      <w:r w:rsidRPr="00C41CDD">
        <w:rPr>
          <w:rFonts w:ascii="Calibri" w:hAnsi="Calibri" w:cs="Calibri"/>
        </w:rPr>
        <w:t xml:space="preserve">, K.; </w:t>
      </w:r>
      <w:proofErr w:type="spellStart"/>
      <w:r w:rsidRPr="00C41CDD">
        <w:rPr>
          <w:rFonts w:ascii="Calibri" w:hAnsi="Calibri" w:cs="Calibri"/>
        </w:rPr>
        <w:t>Kitaw</w:t>
      </w:r>
      <w:proofErr w:type="spellEnd"/>
      <w:r w:rsidRPr="00C41CDD">
        <w:rPr>
          <w:rFonts w:ascii="Calibri" w:hAnsi="Calibri" w:cs="Calibri"/>
        </w:rPr>
        <w:t xml:space="preserve">, D. Lean Influence on Occupational Safety and Health in Manufacturing Industries. </w:t>
      </w:r>
      <w:r w:rsidRPr="00C41CDD">
        <w:rPr>
          <w:rFonts w:ascii="Calibri" w:hAnsi="Calibri" w:cs="Calibri"/>
          <w:i/>
          <w:iCs/>
        </w:rPr>
        <w:t>Global Journal of Research in Engineering</w:t>
      </w:r>
      <w:r w:rsidRPr="00C41CDD">
        <w:rPr>
          <w:rFonts w:ascii="Calibri" w:hAnsi="Calibri" w:cs="Calibri"/>
        </w:rPr>
        <w:t xml:space="preserve"> </w:t>
      </w:r>
      <w:r w:rsidRPr="00C41CDD">
        <w:rPr>
          <w:rFonts w:ascii="Calibri" w:hAnsi="Calibri" w:cs="Calibri"/>
          <w:b/>
          <w:bCs/>
        </w:rPr>
        <w:t>2016</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w:t>
      </w:r>
    </w:p>
    <w:p w14:paraId="77432B98" w14:textId="77777777" w:rsidR="00C41CDD" w:rsidRPr="00C41CDD" w:rsidRDefault="00C41CDD" w:rsidP="00C41CDD">
      <w:pPr>
        <w:pStyle w:val="ad"/>
        <w:rPr>
          <w:rFonts w:ascii="Calibri" w:hAnsi="Calibri" w:cs="Calibri"/>
        </w:rPr>
      </w:pPr>
      <w:r w:rsidRPr="00C41CDD">
        <w:rPr>
          <w:rFonts w:ascii="Calibri" w:hAnsi="Calibri" w:cs="Calibri"/>
        </w:rPr>
        <w:t xml:space="preserve">89. </w:t>
      </w:r>
      <w:r w:rsidRPr="00C41CDD">
        <w:rPr>
          <w:rFonts w:ascii="Calibri" w:hAnsi="Calibri" w:cs="Calibri"/>
        </w:rPr>
        <w:tab/>
        <w:t xml:space="preserve">Abikenova, S.; </w:t>
      </w:r>
      <w:proofErr w:type="spellStart"/>
      <w:r w:rsidRPr="00C41CDD">
        <w:rPr>
          <w:rFonts w:ascii="Calibri" w:hAnsi="Calibri" w:cs="Calibri"/>
        </w:rPr>
        <w:t>Daumova</w:t>
      </w:r>
      <w:proofErr w:type="spellEnd"/>
      <w:r w:rsidRPr="00C41CDD">
        <w:rPr>
          <w:rFonts w:ascii="Calibri" w:hAnsi="Calibri" w:cs="Calibri"/>
        </w:rPr>
        <w:t xml:space="preserve">, G.; </w:t>
      </w:r>
      <w:proofErr w:type="spellStart"/>
      <w:r w:rsidRPr="00C41CDD">
        <w:rPr>
          <w:rFonts w:ascii="Calibri" w:hAnsi="Calibri" w:cs="Calibri"/>
        </w:rPr>
        <w:t>Kurmanbayeva</w:t>
      </w:r>
      <w:proofErr w:type="spellEnd"/>
      <w:r w:rsidRPr="00C41CDD">
        <w:rPr>
          <w:rFonts w:ascii="Calibri" w:hAnsi="Calibri" w:cs="Calibri"/>
        </w:rPr>
        <w:t xml:space="preserve">, A.; </w:t>
      </w:r>
      <w:proofErr w:type="spellStart"/>
      <w:r w:rsidRPr="00C41CDD">
        <w:rPr>
          <w:rFonts w:ascii="Calibri" w:hAnsi="Calibri" w:cs="Calibri"/>
        </w:rPr>
        <w:t>Yesbenbetova</w:t>
      </w:r>
      <w:proofErr w:type="spellEnd"/>
      <w:r w:rsidRPr="00C41CDD">
        <w:rPr>
          <w:rFonts w:ascii="Calibri" w:hAnsi="Calibri" w:cs="Calibri"/>
        </w:rPr>
        <w:t xml:space="preserve">, Z.; </w:t>
      </w:r>
      <w:proofErr w:type="spellStart"/>
      <w:r w:rsidRPr="00C41CDD">
        <w:rPr>
          <w:rFonts w:ascii="Calibri" w:hAnsi="Calibri" w:cs="Calibri"/>
        </w:rPr>
        <w:t>Kazbekova</w:t>
      </w:r>
      <w:proofErr w:type="spellEnd"/>
      <w:r w:rsidRPr="00C41CDD">
        <w:rPr>
          <w:rFonts w:ascii="Calibri" w:hAnsi="Calibri" w:cs="Calibri"/>
        </w:rPr>
        <w:t xml:space="preserve">, D. Relationship Between Occupational Risk and Personal Protective Equipment on the Example of Ferroalloy Production. </w:t>
      </w:r>
      <w:r w:rsidRPr="00C41CDD">
        <w:rPr>
          <w:rFonts w:ascii="Calibri" w:hAnsi="Calibri" w:cs="Calibri"/>
          <w:i/>
          <w:iCs/>
        </w:rPr>
        <w:t>International Journal of Safety &amp; Security Engineering</w:t>
      </w:r>
      <w:r w:rsidRPr="00C41CDD">
        <w:rPr>
          <w:rFonts w:ascii="Calibri" w:hAnsi="Calibri" w:cs="Calibri"/>
        </w:rPr>
        <w:t xml:space="preserve"> </w:t>
      </w:r>
      <w:r w:rsidRPr="00C41CDD">
        <w:rPr>
          <w:rFonts w:ascii="Calibri" w:hAnsi="Calibri" w:cs="Calibri"/>
          <w:b/>
          <w:bCs/>
        </w:rPr>
        <w:t>2022</w:t>
      </w:r>
      <w:r w:rsidRPr="00C41CDD">
        <w:rPr>
          <w:rFonts w:ascii="Calibri" w:hAnsi="Calibri" w:cs="Calibri"/>
        </w:rPr>
        <w:t xml:space="preserve">, </w:t>
      </w:r>
      <w:r w:rsidRPr="00C41CDD">
        <w:rPr>
          <w:rFonts w:ascii="Calibri" w:hAnsi="Calibri" w:cs="Calibri"/>
          <w:i/>
          <w:iCs/>
        </w:rPr>
        <w:t>12</w:t>
      </w:r>
      <w:r w:rsidRPr="00C41CDD">
        <w:rPr>
          <w:rFonts w:ascii="Calibri" w:hAnsi="Calibri" w:cs="Calibri"/>
        </w:rPr>
        <w:t>.</w:t>
      </w:r>
    </w:p>
    <w:p w14:paraId="66EC4F0B" w14:textId="77777777" w:rsidR="00C41CDD" w:rsidRPr="00C41CDD" w:rsidRDefault="00C41CDD" w:rsidP="00C41CDD">
      <w:pPr>
        <w:pStyle w:val="ad"/>
        <w:rPr>
          <w:rFonts w:ascii="Calibri" w:hAnsi="Calibri" w:cs="Calibri"/>
        </w:rPr>
      </w:pPr>
      <w:r w:rsidRPr="00C41CDD">
        <w:rPr>
          <w:rFonts w:ascii="Calibri" w:hAnsi="Calibri" w:cs="Calibri"/>
        </w:rPr>
        <w:t xml:space="preserve">90. </w:t>
      </w:r>
      <w:r w:rsidRPr="00C41CDD">
        <w:rPr>
          <w:rFonts w:ascii="Calibri" w:hAnsi="Calibri" w:cs="Calibri"/>
        </w:rPr>
        <w:tab/>
      </w:r>
      <w:proofErr w:type="spellStart"/>
      <w:r w:rsidRPr="00C41CDD">
        <w:rPr>
          <w:rFonts w:ascii="Calibri" w:hAnsi="Calibri" w:cs="Calibri"/>
        </w:rPr>
        <w:t>Odii</w:t>
      </w:r>
      <w:proofErr w:type="spellEnd"/>
      <w:r w:rsidRPr="00C41CDD">
        <w:rPr>
          <w:rFonts w:ascii="Calibri" w:hAnsi="Calibri" w:cs="Calibri"/>
        </w:rPr>
        <w:t xml:space="preserve">, E.C.; </w:t>
      </w:r>
      <w:proofErr w:type="spellStart"/>
      <w:r w:rsidRPr="00C41CDD">
        <w:rPr>
          <w:rFonts w:ascii="Calibri" w:hAnsi="Calibri" w:cs="Calibri"/>
        </w:rPr>
        <w:t>Ebido</w:t>
      </w:r>
      <w:proofErr w:type="spellEnd"/>
      <w:r w:rsidRPr="00C41CDD">
        <w:rPr>
          <w:rFonts w:ascii="Calibri" w:hAnsi="Calibri" w:cs="Calibri"/>
        </w:rPr>
        <w:t xml:space="preserve">, C.C.; Harder, M.K. A Values-Based Approach for Generating Localized Social Indicators for Use in Sustainability Assessment and Decision-Making: Test Case of Brownfield Soft Reuse in Nigeria. </w:t>
      </w:r>
      <w:r w:rsidRPr="00C41CDD">
        <w:rPr>
          <w:rFonts w:ascii="Calibri" w:hAnsi="Calibri" w:cs="Calibri"/>
          <w:i/>
          <w:iCs/>
        </w:rPr>
        <w:t>Science of The Total Environment</w:t>
      </w:r>
      <w:r w:rsidRPr="00C41CDD">
        <w:rPr>
          <w:rFonts w:ascii="Calibri" w:hAnsi="Calibri" w:cs="Calibri"/>
        </w:rPr>
        <w:t xml:space="preserve"> </w:t>
      </w:r>
      <w:r w:rsidRPr="00C41CDD">
        <w:rPr>
          <w:rFonts w:ascii="Calibri" w:hAnsi="Calibri" w:cs="Calibri"/>
          <w:b/>
          <w:bCs/>
        </w:rPr>
        <w:t>2020</w:t>
      </w:r>
      <w:r w:rsidRPr="00C41CDD">
        <w:rPr>
          <w:rFonts w:ascii="Calibri" w:hAnsi="Calibri" w:cs="Calibri"/>
        </w:rPr>
        <w:t xml:space="preserve">, </w:t>
      </w:r>
      <w:r w:rsidRPr="00C41CDD">
        <w:rPr>
          <w:rFonts w:ascii="Calibri" w:hAnsi="Calibri" w:cs="Calibri"/>
          <w:i/>
          <w:iCs/>
        </w:rPr>
        <w:t>711</w:t>
      </w:r>
      <w:r w:rsidRPr="00C41CDD">
        <w:rPr>
          <w:rFonts w:ascii="Calibri" w:hAnsi="Calibri" w:cs="Calibri"/>
        </w:rPr>
        <w:t xml:space="preserve">, 135045, </w:t>
      </w:r>
      <w:proofErr w:type="gramStart"/>
      <w:r w:rsidRPr="00C41CDD">
        <w:rPr>
          <w:rFonts w:ascii="Calibri" w:hAnsi="Calibri" w:cs="Calibri"/>
        </w:rPr>
        <w:t>doi:10.1016/j.scitotenv</w:t>
      </w:r>
      <w:proofErr w:type="gramEnd"/>
      <w:r w:rsidRPr="00C41CDD">
        <w:rPr>
          <w:rFonts w:ascii="Calibri" w:hAnsi="Calibri" w:cs="Calibri"/>
        </w:rPr>
        <w:t>.2019.135045.</w:t>
      </w:r>
    </w:p>
    <w:p w14:paraId="12A13755" w14:textId="77777777" w:rsidR="00C41CDD" w:rsidRPr="00C41CDD" w:rsidRDefault="00C41CDD" w:rsidP="00C41CDD">
      <w:pPr>
        <w:pStyle w:val="ad"/>
        <w:rPr>
          <w:rFonts w:ascii="Calibri" w:hAnsi="Calibri" w:cs="Calibri"/>
        </w:rPr>
      </w:pPr>
      <w:r w:rsidRPr="00C41CDD">
        <w:rPr>
          <w:rFonts w:ascii="Calibri" w:hAnsi="Calibri" w:cs="Calibri"/>
        </w:rPr>
        <w:t xml:space="preserve">91. </w:t>
      </w:r>
      <w:r w:rsidRPr="00C41CDD">
        <w:rPr>
          <w:rFonts w:ascii="Calibri" w:hAnsi="Calibri" w:cs="Calibri"/>
        </w:rPr>
        <w:tab/>
        <w:t xml:space="preserve">Hutchins, M.J.; Sutherland, J.W. An Exploration of Measures of Social Sustainability and Their Application to Supply Chain Decisions. </w:t>
      </w:r>
      <w:r w:rsidRPr="00C41CDD">
        <w:rPr>
          <w:rFonts w:ascii="Calibri" w:hAnsi="Calibri" w:cs="Calibri"/>
          <w:i/>
          <w:iCs/>
        </w:rPr>
        <w:t>Journal of Cleaner Production</w:t>
      </w:r>
      <w:r w:rsidRPr="00C41CDD">
        <w:rPr>
          <w:rFonts w:ascii="Calibri" w:hAnsi="Calibri" w:cs="Calibri"/>
        </w:rPr>
        <w:t xml:space="preserve"> </w:t>
      </w:r>
      <w:r w:rsidRPr="00C41CDD">
        <w:rPr>
          <w:rFonts w:ascii="Calibri" w:hAnsi="Calibri" w:cs="Calibri"/>
          <w:b/>
          <w:bCs/>
        </w:rPr>
        <w:t>2008</w:t>
      </w:r>
      <w:r w:rsidRPr="00C41CDD">
        <w:rPr>
          <w:rFonts w:ascii="Calibri" w:hAnsi="Calibri" w:cs="Calibri"/>
        </w:rPr>
        <w:t xml:space="preserve">, </w:t>
      </w:r>
      <w:r w:rsidRPr="00C41CDD">
        <w:rPr>
          <w:rFonts w:ascii="Calibri" w:hAnsi="Calibri" w:cs="Calibri"/>
          <w:i/>
          <w:iCs/>
        </w:rPr>
        <w:t>16</w:t>
      </w:r>
      <w:r w:rsidRPr="00C41CDD">
        <w:rPr>
          <w:rFonts w:ascii="Calibri" w:hAnsi="Calibri" w:cs="Calibri"/>
        </w:rPr>
        <w:t xml:space="preserve">, 1688–1698, </w:t>
      </w:r>
      <w:proofErr w:type="gramStart"/>
      <w:r w:rsidRPr="00C41CDD">
        <w:rPr>
          <w:rFonts w:ascii="Calibri" w:hAnsi="Calibri" w:cs="Calibri"/>
        </w:rPr>
        <w:t>doi:10.1016/j.jclepro</w:t>
      </w:r>
      <w:proofErr w:type="gramEnd"/>
      <w:r w:rsidRPr="00C41CDD">
        <w:rPr>
          <w:rFonts w:ascii="Calibri" w:hAnsi="Calibri" w:cs="Calibri"/>
        </w:rPr>
        <w:t>.2008.06.001.</w:t>
      </w:r>
    </w:p>
    <w:p w14:paraId="7C623BA1" w14:textId="574F35F2" w:rsidR="00C41CDD" w:rsidRDefault="00C41CDD">
      <w:r>
        <w:fldChar w:fldCharType="end"/>
      </w:r>
    </w:p>
    <w:sectPr w:rsidR="00C41CDD" w:rsidSect="001E1D5F">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ndara">
    <w:panose1 w:val="020E0502030303020204"/>
    <w:charset w:val="A1"/>
    <w:family w:val="swiss"/>
    <w:pitch w:val="variable"/>
    <w:sig w:usb0="A00002EF" w:usb1="4000A44B" w:usb2="00000000"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4.25pt;height:30pt;visibility:visible;mso-wrap-style:square" o:bullet="t">
        <v:imagedata r:id="rId1" o:title=""/>
      </v:shape>
    </w:pict>
  </w:numPicBullet>
  <w:abstractNum w:abstractNumId="0" w15:restartNumberingAfterBreak="0">
    <w:nsid w:val="FFFFFF89"/>
    <w:multiLevelType w:val="singleLevel"/>
    <w:tmpl w:val="537EA11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4B5958"/>
    <w:multiLevelType w:val="multilevel"/>
    <w:tmpl w:val="B59CA464"/>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07A652E"/>
    <w:multiLevelType w:val="multilevel"/>
    <w:tmpl w:val="A872D0AC"/>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992559"/>
    <w:multiLevelType w:val="multilevel"/>
    <w:tmpl w:val="0C08D5BC"/>
    <w:lvl w:ilvl="0">
      <w:start w:val="4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CA629A"/>
    <w:multiLevelType w:val="multilevel"/>
    <w:tmpl w:val="F10E2C80"/>
    <w:lvl w:ilvl="0">
      <w:start w:val="1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FD6C97"/>
    <w:multiLevelType w:val="multilevel"/>
    <w:tmpl w:val="79F087BC"/>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25C2D8A"/>
    <w:multiLevelType w:val="multilevel"/>
    <w:tmpl w:val="A76C479E"/>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2866E6D"/>
    <w:multiLevelType w:val="multilevel"/>
    <w:tmpl w:val="5A08453E"/>
    <w:lvl w:ilvl="0">
      <w:start w:val="1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DA1F01"/>
    <w:multiLevelType w:val="multilevel"/>
    <w:tmpl w:val="45228746"/>
    <w:lvl w:ilvl="0">
      <w:start w:val="1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3173EF6"/>
    <w:multiLevelType w:val="multilevel"/>
    <w:tmpl w:val="524A5A10"/>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183029"/>
    <w:multiLevelType w:val="multilevel"/>
    <w:tmpl w:val="B220E16C"/>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553D01"/>
    <w:multiLevelType w:val="hybridMultilevel"/>
    <w:tmpl w:val="0BE6D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05A40768"/>
    <w:multiLevelType w:val="multilevel"/>
    <w:tmpl w:val="8C0660C6"/>
    <w:lvl w:ilvl="0">
      <w:start w:val="1"/>
      <w:numFmt w:val="decimal"/>
      <w:lvlText w:val="[%1]"/>
      <w:lvlJc w:val="left"/>
      <w:pPr>
        <w:ind w:left="0" w:firstLine="0"/>
      </w:pPr>
      <w:rPr>
        <w:rFont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5D148AA"/>
    <w:multiLevelType w:val="multilevel"/>
    <w:tmpl w:val="E3F81C06"/>
    <w:lvl w:ilvl="0">
      <w:start w:val="4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EE29C7"/>
    <w:multiLevelType w:val="multilevel"/>
    <w:tmpl w:val="BF5491C8"/>
    <w:lvl w:ilvl="0">
      <w:start w:val="4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6367444"/>
    <w:multiLevelType w:val="multilevel"/>
    <w:tmpl w:val="560C709E"/>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6E52CEC"/>
    <w:multiLevelType w:val="multilevel"/>
    <w:tmpl w:val="23D635E2"/>
    <w:lvl w:ilvl="0">
      <w:start w:val="1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2C24FB"/>
    <w:multiLevelType w:val="multilevel"/>
    <w:tmpl w:val="D768685E"/>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8566D16"/>
    <w:multiLevelType w:val="multilevel"/>
    <w:tmpl w:val="82D0FEB6"/>
    <w:lvl w:ilvl="0">
      <w:start w:val="1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87F1F05"/>
    <w:multiLevelType w:val="multilevel"/>
    <w:tmpl w:val="6EA8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A6501AB"/>
    <w:multiLevelType w:val="multilevel"/>
    <w:tmpl w:val="41942D6C"/>
    <w:lvl w:ilvl="0">
      <w:start w:val="4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B85245B"/>
    <w:multiLevelType w:val="multilevel"/>
    <w:tmpl w:val="FA3ED2D4"/>
    <w:lvl w:ilvl="0">
      <w:start w:val="4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BE578AA"/>
    <w:multiLevelType w:val="multilevel"/>
    <w:tmpl w:val="D1184464"/>
    <w:lvl w:ilvl="0">
      <w:start w:val="1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E5349FB"/>
    <w:multiLevelType w:val="multilevel"/>
    <w:tmpl w:val="C3869904"/>
    <w:lvl w:ilvl="0">
      <w:start w:val="4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BC7B26"/>
    <w:multiLevelType w:val="multilevel"/>
    <w:tmpl w:val="4BC08F8C"/>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526D70"/>
    <w:multiLevelType w:val="multilevel"/>
    <w:tmpl w:val="4836BDB6"/>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13849BE"/>
    <w:multiLevelType w:val="multilevel"/>
    <w:tmpl w:val="1414B656"/>
    <w:lvl w:ilvl="0">
      <w:start w:val="1"/>
      <w:numFmt w:val="bullet"/>
      <w:pStyle w:val="CERTableBullet"/>
      <w:lvlText w:val=""/>
      <w:lvlJc w:val="left"/>
      <w:pPr>
        <w:ind w:left="216" w:hanging="144"/>
      </w:pPr>
      <w:rPr>
        <w:rFonts w:ascii="Wingdings" w:hAnsi="Wingdings" w:hint="default"/>
        <w:color w:val="9AB323"/>
        <w:sz w:val="28"/>
        <w:u w:color="993366"/>
      </w:rPr>
    </w:lvl>
    <w:lvl w:ilvl="1">
      <w:start w:val="1"/>
      <w:numFmt w:val="bullet"/>
      <w:lvlText w:val="─"/>
      <w:lvlJc w:val="left"/>
      <w:pPr>
        <w:ind w:left="504" w:hanging="216"/>
      </w:pPr>
      <w:rPr>
        <w:rFonts w:ascii="Courier New" w:hAnsi="Courier New" w:hint="default"/>
        <w:color w:val="4472C4" w:themeColor="accent1"/>
      </w:rPr>
    </w:lvl>
    <w:lvl w:ilvl="2">
      <w:start w:val="1"/>
      <w:numFmt w:val="bullet"/>
      <w:lvlText w:val="·"/>
      <w:lvlJc w:val="left"/>
      <w:pPr>
        <w:ind w:left="792" w:hanging="144"/>
      </w:pPr>
      <w:rPr>
        <w:rFonts w:ascii="Vrinda" w:hAnsi="Vrinda" w:hint="default"/>
        <w:color w:val="4472C4" w:themeColor="accent1"/>
        <w:u w:color="4472C4" w:themeColor="accent1"/>
        <w:vertAlign w:val="baseline"/>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1495270"/>
    <w:multiLevelType w:val="multilevel"/>
    <w:tmpl w:val="94F4C1B2"/>
    <w:lvl w:ilvl="0">
      <w:start w:val="4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3892EC9"/>
    <w:multiLevelType w:val="multilevel"/>
    <w:tmpl w:val="1144A064"/>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38F160A"/>
    <w:multiLevelType w:val="multilevel"/>
    <w:tmpl w:val="6BF05D0E"/>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DB6F79"/>
    <w:multiLevelType w:val="multilevel"/>
    <w:tmpl w:val="52A88EE2"/>
    <w:lvl w:ilvl="0">
      <w:start w:val="1"/>
      <w:numFmt w:val="bullet"/>
      <w:lvlText w:val=""/>
      <w:lvlPicBulletId w:val="0"/>
      <w:lvlJc w:val="left"/>
      <w:pPr>
        <w:ind w:left="576" w:hanging="216"/>
      </w:pPr>
      <w:rPr>
        <w:rFonts w:ascii="Symbol" w:hAnsi="Symbol" w:hint="default"/>
        <w:color w:val="auto"/>
        <w:sz w:val="28"/>
        <w:u w:color="993366"/>
      </w:rPr>
    </w:lvl>
    <w:lvl w:ilvl="1">
      <w:start w:val="1"/>
      <w:numFmt w:val="bullet"/>
      <w:lvlText w:val="▬"/>
      <w:lvlJc w:val="left"/>
      <w:pPr>
        <w:ind w:left="936" w:hanging="216"/>
      </w:pPr>
      <w:rPr>
        <w:rFonts w:ascii="Courier New" w:hAnsi="Courier New" w:hint="default"/>
        <w:b w:val="0"/>
        <w:i w:val="0"/>
        <w:color w:val="4472C4" w:themeColor="accent1"/>
      </w:rPr>
    </w:lvl>
    <w:lvl w:ilvl="2">
      <w:start w:val="1"/>
      <w:numFmt w:val="bullet"/>
      <w:lvlText w:val="·"/>
      <w:lvlJc w:val="left"/>
      <w:pPr>
        <w:ind w:left="1224" w:hanging="173"/>
      </w:pPr>
      <w:rPr>
        <w:rFonts w:ascii="Vrinda" w:hAnsi="Vrinda" w:hint="default"/>
        <w:color w:val="4472C4" w:themeColor="accent1"/>
        <w:u w:color="4472C4" w:themeColor="accent1"/>
        <w:vertAlign w:val="baseline"/>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142F0836"/>
    <w:multiLevelType w:val="multilevel"/>
    <w:tmpl w:val="78F23688"/>
    <w:lvl w:ilvl="0">
      <w:start w:val="4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51A39A5"/>
    <w:multiLevelType w:val="multilevel"/>
    <w:tmpl w:val="866C7F1E"/>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55E691D"/>
    <w:multiLevelType w:val="multilevel"/>
    <w:tmpl w:val="A83A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A21E63"/>
    <w:multiLevelType w:val="multilevel"/>
    <w:tmpl w:val="F282F2B8"/>
    <w:lvl w:ilvl="0">
      <w:start w:val="1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5AA55D2"/>
    <w:multiLevelType w:val="multilevel"/>
    <w:tmpl w:val="42122192"/>
    <w:lvl w:ilvl="0">
      <w:start w:val="4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70D1524"/>
    <w:multiLevelType w:val="multilevel"/>
    <w:tmpl w:val="91BAF056"/>
    <w:lvl w:ilvl="0">
      <w:start w:val="1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71943BB"/>
    <w:multiLevelType w:val="multilevel"/>
    <w:tmpl w:val="5578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7B708F2"/>
    <w:multiLevelType w:val="multilevel"/>
    <w:tmpl w:val="BB36A898"/>
    <w:lvl w:ilvl="0">
      <w:start w:val="4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1166E0"/>
    <w:multiLevelType w:val="multilevel"/>
    <w:tmpl w:val="E5047A96"/>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A112F9E"/>
    <w:multiLevelType w:val="multilevel"/>
    <w:tmpl w:val="0400CE66"/>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BF95635"/>
    <w:multiLevelType w:val="multilevel"/>
    <w:tmpl w:val="EE2C9F64"/>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CC6027E"/>
    <w:multiLevelType w:val="multilevel"/>
    <w:tmpl w:val="A8B49BF0"/>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1D2B2B3B"/>
    <w:multiLevelType w:val="multilevel"/>
    <w:tmpl w:val="75801E3A"/>
    <w:lvl w:ilvl="0">
      <w:start w:val="5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E6121B3"/>
    <w:multiLevelType w:val="multilevel"/>
    <w:tmpl w:val="08564218"/>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ECC35C5"/>
    <w:multiLevelType w:val="multilevel"/>
    <w:tmpl w:val="123A85AE"/>
    <w:lvl w:ilvl="0">
      <w:start w:val="4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F0D6E68"/>
    <w:multiLevelType w:val="multilevel"/>
    <w:tmpl w:val="AD5AF9DC"/>
    <w:lvl w:ilvl="0">
      <w:start w:val="4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F2459B8"/>
    <w:multiLevelType w:val="multilevel"/>
    <w:tmpl w:val="402067AC"/>
    <w:lvl w:ilvl="0">
      <w:start w:val="1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58211C"/>
    <w:multiLevelType w:val="multilevel"/>
    <w:tmpl w:val="D16006B6"/>
    <w:lvl w:ilvl="0">
      <w:start w:val="1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FAB084E"/>
    <w:multiLevelType w:val="multilevel"/>
    <w:tmpl w:val="738E7236"/>
    <w:lvl w:ilvl="0">
      <w:start w:val="1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FD56475"/>
    <w:multiLevelType w:val="multilevel"/>
    <w:tmpl w:val="7160CDEE"/>
    <w:lvl w:ilvl="0">
      <w:start w:val="1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0E767B4"/>
    <w:multiLevelType w:val="multilevel"/>
    <w:tmpl w:val="76EE2E68"/>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0FB02E7"/>
    <w:multiLevelType w:val="multilevel"/>
    <w:tmpl w:val="F92CC060"/>
    <w:lvl w:ilvl="0">
      <w:start w:val="4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13117D4"/>
    <w:multiLevelType w:val="multilevel"/>
    <w:tmpl w:val="9EB2B16C"/>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1947569"/>
    <w:multiLevelType w:val="hybridMultilevel"/>
    <w:tmpl w:val="A17EFFA4"/>
    <w:lvl w:ilvl="0" w:tplc="C2D8868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28332D4"/>
    <w:multiLevelType w:val="multilevel"/>
    <w:tmpl w:val="3DE4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EE2C08"/>
    <w:multiLevelType w:val="multilevel"/>
    <w:tmpl w:val="F58E0CB6"/>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3966952"/>
    <w:multiLevelType w:val="hybridMultilevel"/>
    <w:tmpl w:val="BA946B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23970F3B"/>
    <w:multiLevelType w:val="multilevel"/>
    <w:tmpl w:val="3D6A7B9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i/>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23B93274"/>
    <w:multiLevelType w:val="multilevel"/>
    <w:tmpl w:val="B2A284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23EA0FF1"/>
    <w:multiLevelType w:val="multilevel"/>
    <w:tmpl w:val="7C506C90"/>
    <w:lvl w:ilvl="0">
      <w:start w:val="5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41B6B0C"/>
    <w:multiLevelType w:val="multilevel"/>
    <w:tmpl w:val="CE063DAA"/>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5416841"/>
    <w:multiLevelType w:val="multilevel"/>
    <w:tmpl w:val="BDFC058E"/>
    <w:lvl w:ilvl="0">
      <w:start w:val="4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556081B"/>
    <w:multiLevelType w:val="multilevel"/>
    <w:tmpl w:val="3E70C658"/>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7840F3"/>
    <w:multiLevelType w:val="multilevel"/>
    <w:tmpl w:val="E848906E"/>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997417F"/>
    <w:multiLevelType w:val="multilevel"/>
    <w:tmpl w:val="CAC22F02"/>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9A85A92"/>
    <w:multiLevelType w:val="multilevel"/>
    <w:tmpl w:val="CCAC6E42"/>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9C22C41"/>
    <w:multiLevelType w:val="multilevel"/>
    <w:tmpl w:val="D5C2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9CE0E4B"/>
    <w:multiLevelType w:val="multilevel"/>
    <w:tmpl w:val="2924B6C6"/>
    <w:lvl w:ilvl="0">
      <w:start w:val="1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9DD35D2"/>
    <w:multiLevelType w:val="multilevel"/>
    <w:tmpl w:val="110A2284"/>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9ED26AD"/>
    <w:multiLevelType w:val="multilevel"/>
    <w:tmpl w:val="D488DE8A"/>
    <w:lvl w:ilvl="0">
      <w:start w:val="5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A1F31E5"/>
    <w:multiLevelType w:val="multilevel"/>
    <w:tmpl w:val="BB74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F9492A"/>
    <w:multiLevelType w:val="multilevel"/>
    <w:tmpl w:val="D4E28F58"/>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2E8846F6"/>
    <w:multiLevelType w:val="multilevel"/>
    <w:tmpl w:val="0EC63568"/>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F7725F1"/>
    <w:multiLevelType w:val="hybridMultilevel"/>
    <w:tmpl w:val="889E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F982467"/>
    <w:multiLevelType w:val="hybridMultilevel"/>
    <w:tmpl w:val="61AA50C0"/>
    <w:lvl w:ilvl="0" w:tplc="72187D1E">
      <w:start w:val="1"/>
      <w:numFmt w:val="bullet"/>
      <w:lvlText w:val=""/>
      <w:lvlJc w:val="left"/>
      <w:pPr>
        <w:tabs>
          <w:tab w:val="num" w:pos="720"/>
        </w:tabs>
        <w:ind w:left="720" w:hanging="360"/>
      </w:pPr>
      <w:rPr>
        <w:rFonts w:ascii="Wingdings" w:hAnsi="Wingdings" w:hint="default"/>
        <w:color w:val="9AB323"/>
      </w:rPr>
    </w:lvl>
    <w:lvl w:ilvl="1" w:tplc="72187D1E">
      <w:start w:val="1"/>
      <w:numFmt w:val="bullet"/>
      <w:lvlText w:val=""/>
      <w:lvlJc w:val="left"/>
      <w:pPr>
        <w:tabs>
          <w:tab w:val="num" w:pos="1440"/>
        </w:tabs>
        <w:ind w:left="1440" w:hanging="360"/>
      </w:pPr>
      <w:rPr>
        <w:rFonts w:ascii="Wingdings" w:hAnsi="Wingdings" w:hint="default"/>
        <w:color w:val="9AB323"/>
      </w:rPr>
    </w:lvl>
    <w:lvl w:ilvl="2" w:tplc="336E705E" w:tentative="1">
      <w:start w:val="1"/>
      <w:numFmt w:val="bullet"/>
      <w:lvlText w:val="•"/>
      <w:lvlJc w:val="left"/>
      <w:pPr>
        <w:tabs>
          <w:tab w:val="num" w:pos="2160"/>
        </w:tabs>
        <w:ind w:left="2160" w:hanging="360"/>
      </w:pPr>
      <w:rPr>
        <w:rFonts w:ascii="Arial" w:hAnsi="Arial" w:hint="default"/>
      </w:rPr>
    </w:lvl>
    <w:lvl w:ilvl="3" w:tplc="3B2A2A06" w:tentative="1">
      <w:start w:val="1"/>
      <w:numFmt w:val="bullet"/>
      <w:lvlText w:val="•"/>
      <w:lvlJc w:val="left"/>
      <w:pPr>
        <w:tabs>
          <w:tab w:val="num" w:pos="2880"/>
        </w:tabs>
        <w:ind w:left="2880" w:hanging="360"/>
      </w:pPr>
      <w:rPr>
        <w:rFonts w:ascii="Arial" w:hAnsi="Arial" w:hint="default"/>
      </w:rPr>
    </w:lvl>
    <w:lvl w:ilvl="4" w:tplc="A16E87BA" w:tentative="1">
      <w:start w:val="1"/>
      <w:numFmt w:val="bullet"/>
      <w:lvlText w:val="•"/>
      <w:lvlJc w:val="left"/>
      <w:pPr>
        <w:tabs>
          <w:tab w:val="num" w:pos="3600"/>
        </w:tabs>
        <w:ind w:left="3600" w:hanging="360"/>
      </w:pPr>
      <w:rPr>
        <w:rFonts w:ascii="Arial" w:hAnsi="Arial" w:hint="default"/>
      </w:rPr>
    </w:lvl>
    <w:lvl w:ilvl="5" w:tplc="8F066A26" w:tentative="1">
      <w:start w:val="1"/>
      <w:numFmt w:val="bullet"/>
      <w:lvlText w:val="•"/>
      <w:lvlJc w:val="left"/>
      <w:pPr>
        <w:tabs>
          <w:tab w:val="num" w:pos="4320"/>
        </w:tabs>
        <w:ind w:left="4320" w:hanging="360"/>
      </w:pPr>
      <w:rPr>
        <w:rFonts w:ascii="Arial" w:hAnsi="Arial" w:hint="default"/>
      </w:rPr>
    </w:lvl>
    <w:lvl w:ilvl="6" w:tplc="D42402A4" w:tentative="1">
      <w:start w:val="1"/>
      <w:numFmt w:val="bullet"/>
      <w:lvlText w:val="•"/>
      <w:lvlJc w:val="left"/>
      <w:pPr>
        <w:tabs>
          <w:tab w:val="num" w:pos="5040"/>
        </w:tabs>
        <w:ind w:left="5040" w:hanging="360"/>
      </w:pPr>
      <w:rPr>
        <w:rFonts w:ascii="Arial" w:hAnsi="Arial" w:hint="default"/>
      </w:rPr>
    </w:lvl>
    <w:lvl w:ilvl="7" w:tplc="AD30862C" w:tentative="1">
      <w:start w:val="1"/>
      <w:numFmt w:val="bullet"/>
      <w:lvlText w:val="•"/>
      <w:lvlJc w:val="left"/>
      <w:pPr>
        <w:tabs>
          <w:tab w:val="num" w:pos="5760"/>
        </w:tabs>
        <w:ind w:left="5760" w:hanging="360"/>
      </w:pPr>
      <w:rPr>
        <w:rFonts w:ascii="Arial" w:hAnsi="Arial" w:hint="default"/>
      </w:rPr>
    </w:lvl>
    <w:lvl w:ilvl="8" w:tplc="BC021F42"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2FDD7AF1"/>
    <w:multiLevelType w:val="multilevel"/>
    <w:tmpl w:val="92D2ED14"/>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0684CEF"/>
    <w:multiLevelType w:val="multilevel"/>
    <w:tmpl w:val="8962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F604F6"/>
    <w:multiLevelType w:val="multilevel"/>
    <w:tmpl w:val="F69432B6"/>
    <w:lvl w:ilvl="0">
      <w:start w:val="1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12B78D4"/>
    <w:multiLevelType w:val="multilevel"/>
    <w:tmpl w:val="56009CF6"/>
    <w:lvl w:ilvl="0">
      <w:start w:val="4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1EB44E1"/>
    <w:multiLevelType w:val="multilevel"/>
    <w:tmpl w:val="E76EF5F0"/>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32A5104B"/>
    <w:multiLevelType w:val="multilevel"/>
    <w:tmpl w:val="818AED9C"/>
    <w:lvl w:ilvl="0">
      <w:start w:val="1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5861DA5"/>
    <w:multiLevelType w:val="multilevel"/>
    <w:tmpl w:val="0980C65C"/>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66046C9"/>
    <w:multiLevelType w:val="hybridMultilevel"/>
    <w:tmpl w:val="A66CF2F4"/>
    <w:lvl w:ilvl="0" w:tplc="0408000B">
      <w:start w:val="1"/>
      <w:numFmt w:val="bullet"/>
      <w:lvlText w:val=""/>
      <w:lvlJc w:val="left"/>
      <w:pPr>
        <w:ind w:left="720" w:hanging="360"/>
      </w:pPr>
      <w:rPr>
        <w:rFonts w:ascii="Wingdings" w:hAnsi="Wingdings" w:hint="default"/>
        <w:color w:val="9AB3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37EF13F3"/>
    <w:multiLevelType w:val="multilevel"/>
    <w:tmpl w:val="5D72554E"/>
    <w:lvl w:ilvl="0">
      <w:start w:val="1"/>
      <w:numFmt w:val="bullet"/>
      <w:lvlText w:val=""/>
      <w:lvlPicBulletId w:val="0"/>
      <w:lvlJc w:val="left"/>
      <w:pPr>
        <w:ind w:left="576" w:hanging="216"/>
      </w:pPr>
      <w:rPr>
        <w:rFonts w:ascii="Symbol" w:hAnsi="Symbol" w:hint="default"/>
        <w:b/>
        <w:i w:val="0"/>
        <w:color w:val="9AB323"/>
        <w:sz w:val="28"/>
        <w:u w:color="993366"/>
      </w:rPr>
    </w:lvl>
    <w:lvl w:ilvl="1">
      <w:start w:val="1"/>
      <w:numFmt w:val="bullet"/>
      <w:lvlText w:val="▬"/>
      <w:lvlJc w:val="left"/>
      <w:pPr>
        <w:ind w:left="936" w:hanging="216"/>
      </w:pPr>
      <w:rPr>
        <w:rFonts w:ascii="Courier New" w:hAnsi="Courier New" w:hint="default"/>
        <w:color w:val="4472C4"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38014B60"/>
    <w:multiLevelType w:val="multilevel"/>
    <w:tmpl w:val="D2C6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8B24B02"/>
    <w:multiLevelType w:val="multilevel"/>
    <w:tmpl w:val="AD4E02C8"/>
    <w:lvl w:ilvl="0">
      <w:start w:val="4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96F080F"/>
    <w:multiLevelType w:val="multilevel"/>
    <w:tmpl w:val="D0DADD3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A64550A"/>
    <w:multiLevelType w:val="multilevel"/>
    <w:tmpl w:val="2CE489BE"/>
    <w:lvl w:ilvl="0">
      <w:start w:val="1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A99503C"/>
    <w:multiLevelType w:val="multilevel"/>
    <w:tmpl w:val="8D4E6590"/>
    <w:lvl w:ilvl="0">
      <w:start w:val="4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AA74618"/>
    <w:multiLevelType w:val="multilevel"/>
    <w:tmpl w:val="8B5231FE"/>
    <w:lvl w:ilvl="0">
      <w:start w:val="5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AC85994"/>
    <w:multiLevelType w:val="multilevel"/>
    <w:tmpl w:val="7ABE5D48"/>
    <w:lvl w:ilvl="0">
      <w:start w:val="4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AE22DEA"/>
    <w:multiLevelType w:val="multilevel"/>
    <w:tmpl w:val="336A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BC10855"/>
    <w:multiLevelType w:val="multilevel"/>
    <w:tmpl w:val="CE52DBA4"/>
    <w:lvl w:ilvl="0">
      <w:start w:val="4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BD76628"/>
    <w:multiLevelType w:val="multilevel"/>
    <w:tmpl w:val="B3CE6E7C"/>
    <w:lvl w:ilvl="0">
      <w:start w:val="4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BE62BCA"/>
    <w:multiLevelType w:val="multilevel"/>
    <w:tmpl w:val="1A8E0252"/>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3D5223A5"/>
    <w:multiLevelType w:val="hybridMultilevel"/>
    <w:tmpl w:val="697C3EAC"/>
    <w:lvl w:ilvl="0" w:tplc="040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3E03418C"/>
    <w:multiLevelType w:val="multilevel"/>
    <w:tmpl w:val="CD8CF1AC"/>
    <w:lvl w:ilvl="0">
      <w:start w:val="1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E160C89"/>
    <w:multiLevelType w:val="multilevel"/>
    <w:tmpl w:val="3CBC48CE"/>
    <w:lvl w:ilvl="0">
      <w:start w:val="4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E186092"/>
    <w:multiLevelType w:val="multilevel"/>
    <w:tmpl w:val="16E2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E5C117E"/>
    <w:multiLevelType w:val="multilevel"/>
    <w:tmpl w:val="9CFACBB0"/>
    <w:lvl w:ilvl="0">
      <w:start w:val="10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E975750"/>
    <w:multiLevelType w:val="multilevel"/>
    <w:tmpl w:val="DB3C1238"/>
    <w:lvl w:ilvl="0">
      <w:start w:val="1"/>
      <w:numFmt w:val="bullet"/>
      <w:lvlText w:val=""/>
      <w:lvlJc w:val="left"/>
      <w:pPr>
        <w:ind w:left="432" w:hanging="360"/>
      </w:pPr>
      <w:rPr>
        <w:rFonts w:ascii="Wingdings" w:hAnsi="Wingdings" w:hint="default"/>
        <w:color w:val="auto"/>
        <w:sz w:val="28"/>
        <w:u w:color="993366"/>
      </w:rPr>
    </w:lvl>
    <w:lvl w:ilvl="1">
      <w:start w:val="1"/>
      <w:numFmt w:val="bullet"/>
      <w:lvlText w:val="─"/>
      <w:lvlJc w:val="left"/>
      <w:pPr>
        <w:ind w:left="504" w:hanging="216"/>
      </w:pPr>
      <w:rPr>
        <w:rFonts w:ascii="Courier New" w:hAnsi="Courier New" w:hint="default"/>
        <w:color w:val="4472C4" w:themeColor="accent1"/>
      </w:rPr>
    </w:lvl>
    <w:lvl w:ilvl="2">
      <w:start w:val="1"/>
      <w:numFmt w:val="bullet"/>
      <w:lvlText w:val="·"/>
      <w:lvlJc w:val="left"/>
      <w:pPr>
        <w:ind w:left="792" w:hanging="144"/>
      </w:pPr>
      <w:rPr>
        <w:rFonts w:ascii="Vrinda" w:hAnsi="Vrinda" w:hint="default"/>
        <w:color w:val="4472C4" w:themeColor="accent1"/>
        <w:u w:color="4472C4" w:themeColor="accent1"/>
        <w:vertAlign w:val="baseline"/>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3EAD2A52"/>
    <w:multiLevelType w:val="multilevel"/>
    <w:tmpl w:val="91E8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E47891"/>
    <w:multiLevelType w:val="multilevel"/>
    <w:tmpl w:val="3094EBC2"/>
    <w:lvl w:ilvl="0">
      <w:start w:val="4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F491213"/>
    <w:multiLevelType w:val="multilevel"/>
    <w:tmpl w:val="C5E8FAF8"/>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3F81096B"/>
    <w:multiLevelType w:val="multilevel"/>
    <w:tmpl w:val="DCA2EA04"/>
    <w:lvl w:ilvl="0">
      <w:start w:val="1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0BE01C4"/>
    <w:multiLevelType w:val="multilevel"/>
    <w:tmpl w:val="2794BA4A"/>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40F40833"/>
    <w:multiLevelType w:val="multilevel"/>
    <w:tmpl w:val="73C27730"/>
    <w:lvl w:ilvl="0">
      <w:start w:val="4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2771B97"/>
    <w:multiLevelType w:val="multilevel"/>
    <w:tmpl w:val="6AC6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2EA5127"/>
    <w:multiLevelType w:val="multilevel"/>
    <w:tmpl w:val="8BCEF5A2"/>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43CB7A9E"/>
    <w:multiLevelType w:val="multilevel"/>
    <w:tmpl w:val="BA8A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429279F"/>
    <w:multiLevelType w:val="multilevel"/>
    <w:tmpl w:val="428A34FE"/>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445959CF"/>
    <w:multiLevelType w:val="multilevel"/>
    <w:tmpl w:val="67688ADE"/>
    <w:lvl w:ilvl="0">
      <w:start w:val="4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4955092"/>
    <w:multiLevelType w:val="multilevel"/>
    <w:tmpl w:val="529E0C10"/>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44AB1B2B"/>
    <w:multiLevelType w:val="multilevel"/>
    <w:tmpl w:val="D1008E88"/>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57D07E3"/>
    <w:multiLevelType w:val="multilevel"/>
    <w:tmpl w:val="8B0E43FA"/>
    <w:lvl w:ilvl="0">
      <w:start w:val="4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6556460"/>
    <w:multiLevelType w:val="hybridMultilevel"/>
    <w:tmpl w:val="02ACEC12"/>
    <w:lvl w:ilvl="0" w:tplc="C2D88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7356FE1"/>
    <w:multiLevelType w:val="hybridMultilevel"/>
    <w:tmpl w:val="C3D2FC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8" w15:restartNumberingAfterBreak="0">
    <w:nsid w:val="47710B38"/>
    <w:multiLevelType w:val="hybridMultilevel"/>
    <w:tmpl w:val="D95E91B4"/>
    <w:lvl w:ilvl="0" w:tplc="29343570">
      <w:start w:val="1"/>
      <w:numFmt w:val="bullet"/>
      <w:lvlText w:val=""/>
      <w:lvlPicBulletId w:val="0"/>
      <w:lvlJc w:val="left"/>
      <w:pPr>
        <w:ind w:left="576" w:hanging="245"/>
      </w:pPr>
      <w:rPr>
        <w:rFonts w:ascii="Symbol" w:hAnsi="Symbol" w:hint="default"/>
        <w:b/>
        <w:i w:val="0"/>
        <w:color w:val="auto"/>
        <w:sz w:val="28"/>
        <w:u w:color="993366"/>
      </w:rPr>
    </w:lvl>
    <w:lvl w:ilvl="1" w:tplc="08090019">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19" w15:restartNumberingAfterBreak="0">
    <w:nsid w:val="481E5E28"/>
    <w:multiLevelType w:val="multilevel"/>
    <w:tmpl w:val="D144D86A"/>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84F4C50"/>
    <w:multiLevelType w:val="multilevel"/>
    <w:tmpl w:val="BD0298EE"/>
    <w:lvl w:ilvl="0">
      <w:start w:val="4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85E7100"/>
    <w:multiLevelType w:val="multilevel"/>
    <w:tmpl w:val="D8F6EEC8"/>
    <w:lvl w:ilvl="0">
      <w:start w:val="4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9B56FC4"/>
    <w:multiLevelType w:val="multilevel"/>
    <w:tmpl w:val="F77AB9A0"/>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49D24ECB"/>
    <w:multiLevelType w:val="hybridMultilevel"/>
    <w:tmpl w:val="346C9422"/>
    <w:lvl w:ilvl="0" w:tplc="C2D88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A0021B3"/>
    <w:multiLevelType w:val="multilevel"/>
    <w:tmpl w:val="4F1E80C8"/>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4ABA1199"/>
    <w:multiLevelType w:val="multilevel"/>
    <w:tmpl w:val="A17C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08256F"/>
    <w:multiLevelType w:val="multilevel"/>
    <w:tmpl w:val="8A7C39A8"/>
    <w:lvl w:ilvl="0">
      <w:start w:val="1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D336738"/>
    <w:multiLevelType w:val="hybridMultilevel"/>
    <w:tmpl w:val="398A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D8F33F4"/>
    <w:multiLevelType w:val="multilevel"/>
    <w:tmpl w:val="C352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F9831CB"/>
    <w:multiLevelType w:val="multilevel"/>
    <w:tmpl w:val="C784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0201F18"/>
    <w:multiLevelType w:val="multilevel"/>
    <w:tmpl w:val="36A6FECA"/>
    <w:lvl w:ilvl="0">
      <w:start w:val="1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51B7216D"/>
    <w:multiLevelType w:val="multilevel"/>
    <w:tmpl w:val="F1AC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1CE0AC3"/>
    <w:multiLevelType w:val="multilevel"/>
    <w:tmpl w:val="2836F930"/>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53954642"/>
    <w:multiLevelType w:val="multilevel"/>
    <w:tmpl w:val="14AE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3E126B3"/>
    <w:multiLevelType w:val="multilevel"/>
    <w:tmpl w:val="B988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4115043"/>
    <w:multiLevelType w:val="multilevel"/>
    <w:tmpl w:val="D8F01FE4"/>
    <w:lvl w:ilvl="0">
      <w:start w:val="4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5F43DC9"/>
    <w:multiLevelType w:val="multilevel"/>
    <w:tmpl w:val="2FA6672E"/>
    <w:lvl w:ilvl="0">
      <w:start w:val="4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7981D5D"/>
    <w:multiLevelType w:val="multilevel"/>
    <w:tmpl w:val="5034616E"/>
    <w:lvl w:ilvl="0">
      <w:start w:val="4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88F25A3"/>
    <w:multiLevelType w:val="multilevel"/>
    <w:tmpl w:val="4662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89E7189"/>
    <w:multiLevelType w:val="multilevel"/>
    <w:tmpl w:val="ED5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95B3461"/>
    <w:multiLevelType w:val="multilevel"/>
    <w:tmpl w:val="BBEA6FBA"/>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1" w15:restartNumberingAfterBreak="0">
    <w:nsid w:val="598A3A0D"/>
    <w:multiLevelType w:val="multilevel"/>
    <w:tmpl w:val="7706B658"/>
    <w:lvl w:ilvl="0">
      <w:start w:val="1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A3152FD"/>
    <w:multiLevelType w:val="multilevel"/>
    <w:tmpl w:val="F710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A8B4C8F"/>
    <w:multiLevelType w:val="multilevel"/>
    <w:tmpl w:val="C264ED42"/>
    <w:lvl w:ilvl="0">
      <w:start w:val="4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ABA5DE7"/>
    <w:multiLevelType w:val="hybridMultilevel"/>
    <w:tmpl w:val="F2985CB6"/>
    <w:lvl w:ilvl="0" w:tplc="F9F84A3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5AD31957"/>
    <w:multiLevelType w:val="multilevel"/>
    <w:tmpl w:val="B1DE0362"/>
    <w:lvl w:ilvl="0">
      <w:start w:val="4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BE2262C"/>
    <w:multiLevelType w:val="multilevel"/>
    <w:tmpl w:val="24FC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CCE252B"/>
    <w:multiLevelType w:val="multilevel"/>
    <w:tmpl w:val="433E373C"/>
    <w:lvl w:ilvl="0">
      <w:start w:val="4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CE45C96"/>
    <w:multiLevelType w:val="multilevel"/>
    <w:tmpl w:val="704A3E26"/>
    <w:lvl w:ilvl="0">
      <w:start w:val="1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D0B3B3F"/>
    <w:multiLevelType w:val="multilevel"/>
    <w:tmpl w:val="422A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0404B5"/>
    <w:multiLevelType w:val="multilevel"/>
    <w:tmpl w:val="9D7A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076FCF"/>
    <w:multiLevelType w:val="multilevel"/>
    <w:tmpl w:val="2A52EF78"/>
    <w:lvl w:ilvl="0">
      <w:start w:val="1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E164B66"/>
    <w:multiLevelType w:val="multilevel"/>
    <w:tmpl w:val="95BAAA92"/>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FB155D2"/>
    <w:multiLevelType w:val="multilevel"/>
    <w:tmpl w:val="487E928E"/>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FB318F6"/>
    <w:multiLevelType w:val="hybridMultilevel"/>
    <w:tmpl w:val="EB1C55B2"/>
    <w:lvl w:ilvl="0" w:tplc="05864150">
      <w:start w:val="1"/>
      <w:numFmt w:val="upperLetter"/>
      <w:lvlText w:val="%1."/>
      <w:lvlJc w:val="left"/>
      <w:pPr>
        <w:ind w:left="720" w:hanging="360"/>
      </w:pPr>
      <w:rPr>
        <w:rFonts w:hint="default"/>
        <w:b/>
        <w:color w:val="4472C4" w:themeColor="accent1"/>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60641880"/>
    <w:multiLevelType w:val="multilevel"/>
    <w:tmpl w:val="56E4CFEC"/>
    <w:lvl w:ilvl="0">
      <w:start w:val="1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0F67A22"/>
    <w:multiLevelType w:val="multilevel"/>
    <w:tmpl w:val="61265350"/>
    <w:lvl w:ilvl="0">
      <w:start w:val="4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22C10C1"/>
    <w:multiLevelType w:val="hybridMultilevel"/>
    <w:tmpl w:val="0A943D7C"/>
    <w:lvl w:ilvl="0" w:tplc="56102B3C">
      <w:start w:val="1"/>
      <w:numFmt w:val="decimal"/>
      <w:pStyle w:val="CERAnnex"/>
      <w:lvlText w:val="ANNEX %1:  "/>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8" w15:restartNumberingAfterBreak="0">
    <w:nsid w:val="63046D9A"/>
    <w:multiLevelType w:val="multilevel"/>
    <w:tmpl w:val="F71C815A"/>
    <w:lvl w:ilvl="0">
      <w:start w:val="4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3451ED5"/>
    <w:multiLevelType w:val="multilevel"/>
    <w:tmpl w:val="97FC1A26"/>
    <w:lvl w:ilvl="0">
      <w:start w:val="1"/>
      <w:numFmt w:val="bullet"/>
      <w:lvlText w:val=""/>
      <w:lvlJc w:val="left"/>
      <w:pPr>
        <w:ind w:left="0" w:firstLine="0"/>
      </w:pPr>
      <w:rPr>
        <w:rFonts w:ascii="Wingdings" w:hAnsi="Wingdings" w:hint="default"/>
      </w:rPr>
    </w:lvl>
    <w:lvl w:ilvl="1">
      <w:start w:val="1"/>
      <w:numFmt w:val="decimal"/>
      <w:lvlText w:val="%2."/>
      <w:lvlJc w:val="left"/>
      <w:pPr>
        <w:ind w:left="648"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35452A7"/>
    <w:multiLevelType w:val="multilevel"/>
    <w:tmpl w:val="4F7A645A"/>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3EB69F0"/>
    <w:multiLevelType w:val="multilevel"/>
    <w:tmpl w:val="D0A85A40"/>
    <w:lvl w:ilvl="0">
      <w:start w:val="1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4236B44"/>
    <w:multiLevelType w:val="multilevel"/>
    <w:tmpl w:val="D56E7F9A"/>
    <w:lvl w:ilvl="0">
      <w:start w:val="1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4A961E4"/>
    <w:multiLevelType w:val="hybridMultilevel"/>
    <w:tmpl w:val="8650344C"/>
    <w:lvl w:ilvl="0" w:tplc="0A7C82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64B256D2"/>
    <w:multiLevelType w:val="multilevel"/>
    <w:tmpl w:val="0A7ECC76"/>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4CC3802"/>
    <w:multiLevelType w:val="multilevel"/>
    <w:tmpl w:val="D5A0027C"/>
    <w:lvl w:ilvl="0">
      <w:start w:val="4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5972AD8"/>
    <w:multiLevelType w:val="multilevel"/>
    <w:tmpl w:val="9B605E04"/>
    <w:lvl w:ilvl="0">
      <w:start w:val="1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5CC159A"/>
    <w:multiLevelType w:val="multilevel"/>
    <w:tmpl w:val="C3CC1C52"/>
    <w:lvl w:ilvl="0">
      <w:start w:val="1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5D26F55"/>
    <w:multiLevelType w:val="multilevel"/>
    <w:tmpl w:val="C8D06770"/>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61034E1"/>
    <w:multiLevelType w:val="multilevel"/>
    <w:tmpl w:val="AEBE32A6"/>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906669F"/>
    <w:multiLevelType w:val="multilevel"/>
    <w:tmpl w:val="8306EA24"/>
    <w:lvl w:ilvl="0">
      <w:start w:val="1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9966119"/>
    <w:multiLevelType w:val="multilevel"/>
    <w:tmpl w:val="AA563B16"/>
    <w:lvl w:ilvl="0">
      <w:start w:val="4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9CF6721"/>
    <w:multiLevelType w:val="multilevel"/>
    <w:tmpl w:val="3B523AAC"/>
    <w:lvl w:ilvl="0">
      <w:start w:val="1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B584D70"/>
    <w:multiLevelType w:val="multilevel"/>
    <w:tmpl w:val="32E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D121D98"/>
    <w:multiLevelType w:val="multilevel"/>
    <w:tmpl w:val="F1920E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5" w15:restartNumberingAfterBreak="0">
    <w:nsid w:val="6D150F6B"/>
    <w:multiLevelType w:val="multilevel"/>
    <w:tmpl w:val="51442442"/>
    <w:lvl w:ilvl="0">
      <w:start w:val="4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D703EA1"/>
    <w:multiLevelType w:val="multilevel"/>
    <w:tmpl w:val="B920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D9F3C51"/>
    <w:multiLevelType w:val="multilevel"/>
    <w:tmpl w:val="75B2D3B2"/>
    <w:lvl w:ilvl="0">
      <w:start w:val="1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6DF0607F"/>
    <w:multiLevelType w:val="multilevel"/>
    <w:tmpl w:val="87A429DC"/>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E3F3672"/>
    <w:multiLevelType w:val="multilevel"/>
    <w:tmpl w:val="E2B6FCFA"/>
    <w:lvl w:ilvl="0">
      <w:start w:val="4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6EBD21BF"/>
    <w:multiLevelType w:val="multilevel"/>
    <w:tmpl w:val="BA222E3A"/>
    <w:lvl w:ilvl="0">
      <w:start w:val="1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6EF44AE6"/>
    <w:multiLevelType w:val="multilevel"/>
    <w:tmpl w:val="1AE04A74"/>
    <w:lvl w:ilvl="0">
      <w:start w:val="1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F01502C"/>
    <w:multiLevelType w:val="multilevel"/>
    <w:tmpl w:val="F43AD6A8"/>
    <w:lvl w:ilvl="0">
      <w:start w:val="5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6F9900F2"/>
    <w:multiLevelType w:val="multilevel"/>
    <w:tmpl w:val="0B22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FEA2C80"/>
    <w:multiLevelType w:val="multilevel"/>
    <w:tmpl w:val="ED2E95DA"/>
    <w:lvl w:ilvl="0">
      <w:start w:val="1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70FA7071"/>
    <w:multiLevelType w:val="multilevel"/>
    <w:tmpl w:val="FAFC4970"/>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1906DB8"/>
    <w:multiLevelType w:val="multilevel"/>
    <w:tmpl w:val="F1968D92"/>
    <w:lvl w:ilvl="0">
      <w:start w:val="1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20B5B6E"/>
    <w:multiLevelType w:val="multilevel"/>
    <w:tmpl w:val="B9B60EA2"/>
    <w:lvl w:ilvl="0">
      <w:start w:val="4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721A2F84"/>
    <w:multiLevelType w:val="multilevel"/>
    <w:tmpl w:val="362EF8BC"/>
    <w:lvl w:ilvl="0">
      <w:start w:val="5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3303B16"/>
    <w:multiLevelType w:val="multilevel"/>
    <w:tmpl w:val="F61E6242"/>
    <w:lvl w:ilvl="0">
      <w:start w:val="1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35379F3"/>
    <w:multiLevelType w:val="multilevel"/>
    <w:tmpl w:val="52A8798E"/>
    <w:lvl w:ilvl="0">
      <w:start w:val="1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3E14E74"/>
    <w:multiLevelType w:val="multilevel"/>
    <w:tmpl w:val="03201B3C"/>
    <w:lvl w:ilvl="0">
      <w:start w:val="1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74233AF6"/>
    <w:multiLevelType w:val="multilevel"/>
    <w:tmpl w:val="4C56E8E4"/>
    <w:lvl w:ilvl="0">
      <w:start w:val="1"/>
      <w:numFmt w:val="bullet"/>
      <w:lvlText w:val=""/>
      <w:lvlJc w:val="left"/>
      <w:pPr>
        <w:ind w:left="216" w:hanging="144"/>
      </w:pPr>
      <w:rPr>
        <w:rFonts w:ascii="Wingdings" w:hAnsi="Wingdings" w:hint="default"/>
        <w:color w:val="auto"/>
        <w:sz w:val="28"/>
        <w:u w:color="993366"/>
      </w:rPr>
    </w:lvl>
    <w:lvl w:ilvl="1">
      <w:start w:val="1"/>
      <w:numFmt w:val="bullet"/>
      <w:lvlText w:val="─"/>
      <w:lvlJc w:val="left"/>
      <w:pPr>
        <w:ind w:left="504" w:hanging="216"/>
      </w:pPr>
      <w:rPr>
        <w:rFonts w:ascii="Courier New" w:hAnsi="Courier New" w:hint="default"/>
        <w:color w:val="4472C4" w:themeColor="accent1"/>
      </w:rPr>
    </w:lvl>
    <w:lvl w:ilvl="2">
      <w:start w:val="1"/>
      <w:numFmt w:val="bullet"/>
      <w:lvlText w:val="·"/>
      <w:lvlJc w:val="left"/>
      <w:pPr>
        <w:ind w:left="792" w:hanging="144"/>
      </w:pPr>
      <w:rPr>
        <w:rFonts w:ascii="Vrinda" w:hAnsi="Vrinda" w:hint="default"/>
        <w:color w:val="4472C4" w:themeColor="accent1"/>
        <w:u w:color="4472C4" w:themeColor="accent1"/>
        <w:vertAlign w:val="baseline"/>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74D143AA"/>
    <w:multiLevelType w:val="multilevel"/>
    <w:tmpl w:val="2A72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4D44246"/>
    <w:multiLevelType w:val="multilevel"/>
    <w:tmpl w:val="76A2A1F8"/>
    <w:lvl w:ilvl="0">
      <w:start w:val="1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52313DD"/>
    <w:multiLevelType w:val="multilevel"/>
    <w:tmpl w:val="8C60C47E"/>
    <w:lvl w:ilvl="0">
      <w:start w:val="4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75B5708A"/>
    <w:multiLevelType w:val="multilevel"/>
    <w:tmpl w:val="6396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82C7524"/>
    <w:multiLevelType w:val="hybridMultilevel"/>
    <w:tmpl w:val="76CE609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8" w15:restartNumberingAfterBreak="0">
    <w:nsid w:val="785D63EB"/>
    <w:multiLevelType w:val="multilevel"/>
    <w:tmpl w:val="05EA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8DE38FB"/>
    <w:multiLevelType w:val="multilevel"/>
    <w:tmpl w:val="71A2EFD8"/>
    <w:lvl w:ilvl="0">
      <w:start w:val="4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7A2362A4"/>
    <w:multiLevelType w:val="multilevel"/>
    <w:tmpl w:val="0E46D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1" w15:restartNumberingAfterBreak="0">
    <w:nsid w:val="7A682FF8"/>
    <w:multiLevelType w:val="multilevel"/>
    <w:tmpl w:val="E864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7AF56211"/>
    <w:multiLevelType w:val="multilevel"/>
    <w:tmpl w:val="DEDC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D157278"/>
    <w:multiLevelType w:val="multilevel"/>
    <w:tmpl w:val="89BA1BAA"/>
    <w:lvl w:ilvl="0">
      <w:start w:val="4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D585B57"/>
    <w:multiLevelType w:val="multilevel"/>
    <w:tmpl w:val="E25A48D6"/>
    <w:lvl w:ilvl="0">
      <w:start w:val="4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D7A0773"/>
    <w:multiLevelType w:val="multilevel"/>
    <w:tmpl w:val="12EC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D8B0E8F"/>
    <w:multiLevelType w:val="multilevel"/>
    <w:tmpl w:val="5F4C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3888138">
    <w:abstractNumId w:val="85"/>
  </w:num>
  <w:num w:numId="2" w16cid:durableId="1728870662">
    <w:abstractNumId w:val="149"/>
  </w:num>
  <w:num w:numId="3" w16cid:durableId="1146512055">
    <w:abstractNumId w:val="58"/>
  </w:num>
  <w:num w:numId="4" w16cid:durableId="296835444">
    <w:abstractNumId w:val="95"/>
  </w:num>
  <w:num w:numId="5" w16cid:durableId="504174997">
    <w:abstractNumId w:val="159"/>
  </w:num>
  <w:num w:numId="6" w16cid:durableId="2005158720">
    <w:abstractNumId w:val="72"/>
  </w:num>
  <w:num w:numId="7" w16cid:durableId="577833663">
    <w:abstractNumId w:val="32"/>
  </w:num>
  <w:num w:numId="8" w16cid:durableId="962155381">
    <w:abstractNumId w:val="124"/>
  </w:num>
  <w:num w:numId="9" w16cid:durableId="1824279078">
    <w:abstractNumId w:val="80"/>
  </w:num>
  <w:num w:numId="10" w16cid:durableId="1816948191">
    <w:abstractNumId w:val="111"/>
  </w:num>
  <w:num w:numId="11" w16cid:durableId="13656581">
    <w:abstractNumId w:val="109"/>
  </w:num>
  <w:num w:numId="12" w16cid:durableId="108671167">
    <w:abstractNumId w:val="106"/>
  </w:num>
  <w:num w:numId="13" w16cid:durableId="2078161978">
    <w:abstractNumId w:val="42"/>
  </w:num>
  <w:num w:numId="14" w16cid:durableId="327248719">
    <w:abstractNumId w:val="122"/>
  </w:num>
  <w:num w:numId="15" w16cid:durableId="1733886105">
    <w:abstractNumId w:val="140"/>
  </w:num>
  <w:num w:numId="16" w16cid:durableId="650670393">
    <w:abstractNumId w:val="1"/>
  </w:num>
  <w:num w:numId="17" w16cid:durableId="250819945">
    <w:abstractNumId w:val="102"/>
  </w:num>
  <w:num w:numId="18" w16cid:durableId="638538385">
    <w:abstractNumId w:val="127"/>
  </w:num>
  <w:num w:numId="19" w16cid:durableId="1876695108">
    <w:abstractNumId w:val="144"/>
  </w:num>
  <w:num w:numId="20" w16cid:durableId="70155754">
    <w:abstractNumId w:val="59"/>
  </w:num>
  <w:num w:numId="21" w16cid:durableId="701714185">
    <w:abstractNumId w:val="0"/>
  </w:num>
  <w:num w:numId="22" w16cid:durableId="960377953">
    <w:abstractNumId w:val="139"/>
  </w:num>
  <w:num w:numId="23" w16cid:durableId="283266985">
    <w:abstractNumId w:val="33"/>
  </w:num>
  <w:num w:numId="24" w16cid:durableId="479461461">
    <w:abstractNumId w:val="129"/>
  </w:num>
  <w:num w:numId="25" w16cid:durableId="1551502777">
    <w:abstractNumId w:val="173"/>
  </w:num>
  <w:num w:numId="26" w16cid:durableId="1552184046">
    <w:abstractNumId w:val="157"/>
  </w:num>
  <w:num w:numId="27" w16cid:durableId="177238614">
    <w:abstractNumId w:val="26"/>
  </w:num>
  <w:num w:numId="28" w16cid:durableId="1654795143">
    <w:abstractNumId w:val="150"/>
  </w:num>
  <w:num w:numId="29" w16cid:durableId="1283342640">
    <w:abstractNumId w:val="110"/>
  </w:num>
  <w:num w:numId="30" w16cid:durableId="2116975421">
    <w:abstractNumId w:val="196"/>
  </w:num>
  <w:num w:numId="31" w16cid:durableId="614604205">
    <w:abstractNumId w:val="19"/>
  </w:num>
  <w:num w:numId="32" w16cid:durableId="896549738">
    <w:abstractNumId w:val="67"/>
  </w:num>
  <w:num w:numId="33" w16cid:durableId="1337153245">
    <w:abstractNumId w:val="128"/>
  </w:num>
  <w:num w:numId="34" w16cid:durableId="1023899895">
    <w:abstractNumId w:val="133"/>
  </w:num>
  <w:num w:numId="35" w16cid:durableId="866722079">
    <w:abstractNumId w:val="12"/>
  </w:num>
  <w:num w:numId="36" w16cid:durableId="560211932">
    <w:abstractNumId w:val="163"/>
  </w:num>
  <w:num w:numId="37" w16cid:durableId="1796753064">
    <w:abstractNumId w:val="9"/>
  </w:num>
  <w:num w:numId="38" w16cid:durableId="285698057">
    <w:abstractNumId w:val="82"/>
  </w:num>
  <w:num w:numId="39" w16cid:durableId="762380396">
    <w:abstractNumId w:val="25"/>
  </w:num>
  <w:num w:numId="40" w16cid:durableId="1977684011">
    <w:abstractNumId w:val="168"/>
  </w:num>
  <w:num w:numId="41" w16cid:durableId="169872403">
    <w:abstractNumId w:val="64"/>
  </w:num>
  <w:num w:numId="42" w16cid:durableId="1399206236">
    <w:abstractNumId w:val="2"/>
  </w:num>
  <w:num w:numId="43" w16cid:durableId="357896207">
    <w:abstractNumId w:val="73"/>
  </w:num>
  <w:num w:numId="44" w16cid:durableId="679114860">
    <w:abstractNumId w:val="53"/>
  </w:num>
  <w:num w:numId="45" w16cid:durableId="1505585994">
    <w:abstractNumId w:val="160"/>
  </w:num>
  <w:num w:numId="46" w16cid:durableId="682585771">
    <w:abstractNumId w:val="87"/>
  </w:num>
  <w:num w:numId="47" w16cid:durableId="785269747">
    <w:abstractNumId w:val="5"/>
  </w:num>
  <w:num w:numId="48" w16cid:durableId="1352948393">
    <w:abstractNumId w:val="56"/>
  </w:num>
  <w:num w:numId="49" w16cid:durableId="938875653">
    <w:abstractNumId w:val="17"/>
  </w:num>
  <w:num w:numId="50" w16cid:durableId="650788816">
    <w:abstractNumId w:val="153"/>
  </w:num>
  <w:num w:numId="51" w16cid:durableId="1074818025">
    <w:abstractNumId w:val="185"/>
  </w:num>
  <w:num w:numId="52" w16cid:durableId="276445384">
    <w:abstractNumId w:val="66"/>
  </w:num>
  <w:num w:numId="53" w16cid:durableId="845286418">
    <w:abstractNumId w:val="113"/>
  </w:num>
  <w:num w:numId="54" w16cid:durableId="283968544">
    <w:abstractNumId w:val="132"/>
  </w:num>
  <w:num w:numId="55" w16cid:durableId="746078951">
    <w:abstractNumId w:val="6"/>
  </w:num>
  <w:num w:numId="56" w16cid:durableId="922371669">
    <w:abstractNumId w:val="119"/>
  </w:num>
  <w:num w:numId="57" w16cid:durableId="1396932045">
    <w:abstractNumId w:val="164"/>
  </w:num>
  <w:num w:numId="58" w16cid:durableId="1029643732">
    <w:abstractNumId w:val="114"/>
  </w:num>
  <w:num w:numId="59" w16cid:durableId="693269540">
    <w:abstractNumId w:val="15"/>
  </w:num>
  <w:num w:numId="60" w16cid:durableId="2070037396">
    <w:abstractNumId w:val="41"/>
  </w:num>
  <w:num w:numId="61" w16cid:durableId="1004405240">
    <w:abstractNumId w:val="10"/>
  </w:num>
  <w:num w:numId="62" w16cid:durableId="1527137079">
    <w:abstractNumId w:val="51"/>
  </w:num>
  <w:num w:numId="63" w16cid:durableId="1240823210">
    <w:abstractNumId w:val="76"/>
  </w:num>
  <w:num w:numId="64" w16cid:durableId="1453480911">
    <w:abstractNumId w:val="69"/>
  </w:num>
  <w:num w:numId="65" w16cid:durableId="1375889570">
    <w:abstractNumId w:val="28"/>
  </w:num>
  <w:num w:numId="66" w16cid:durableId="1353922454">
    <w:abstractNumId w:val="29"/>
  </w:num>
  <w:num w:numId="67" w16cid:durableId="1837912738">
    <w:abstractNumId w:val="40"/>
  </w:num>
  <w:num w:numId="68" w16cid:durableId="662003567">
    <w:abstractNumId w:val="22"/>
  </w:num>
  <w:num w:numId="69" w16cid:durableId="1129856662">
    <w:abstractNumId w:val="61"/>
  </w:num>
  <w:num w:numId="70" w16cid:durableId="1495609286">
    <w:abstractNumId w:val="100"/>
  </w:num>
  <w:num w:numId="71" w16cid:durableId="1309095704">
    <w:abstractNumId w:val="169"/>
  </w:num>
  <w:num w:numId="72" w16cid:durableId="2104914848">
    <w:abstractNumId w:val="24"/>
  </w:num>
  <w:num w:numId="73" w16cid:durableId="1605115409">
    <w:abstractNumId w:val="49"/>
  </w:num>
  <w:num w:numId="74" w16cid:durableId="27992094">
    <w:abstractNumId w:val="50"/>
  </w:num>
  <w:num w:numId="75" w16cid:durableId="859047271">
    <w:abstractNumId w:val="152"/>
  </w:num>
  <w:num w:numId="76" w16cid:durableId="1204708100">
    <w:abstractNumId w:val="4"/>
  </w:num>
  <w:num w:numId="77" w16cid:durableId="46994365">
    <w:abstractNumId w:val="162"/>
  </w:num>
  <w:num w:numId="78" w16cid:durableId="761878915">
    <w:abstractNumId w:val="189"/>
  </w:num>
  <w:num w:numId="79" w16cid:durableId="606692950">
    <w:abstractNumId w:val="166"/>
  </w:num>
  <w:num w:numId="80" w16cid:durableId="97919393">
    <w:abstractNumId w:val="34"/>
  </w:num>
  <w:num w:numId="81" w16cid:durableId="64573495">
    <w:abstractNumId w:val="131"/>
  </w:num>
  <w:num w:numId="82" w16cid:durableId="1764957479">
    <w:abstractNumId w:val="172"/>
  </w:num>
  <w:num w:numId="83" w16cid:durableId="1888565201">
    <w:abstractNumId w:val="134"/>
  </w:num>
  <w:num w:numId="84" w16cid:durableId="1923562320">
    <w:abstractNumId w:val="63"/>
  </w:num>
  <w:num w:numId="85" w16cid:durableId="1484079330">
    <w:abstractNumId w:val="81"/>
  </w:num>
  <w:num w:numId="86" w16cid:durableId="867990321">
    <w:abstractNumId w:val="206"/>
  </w:num>
  <w:num w:numId="87" w16cid:durableId="1587690337">
    <w:abstractNumId w:val="78"/>
  </w:num>
  <w:num w:numId="88" w16cid:durableId="1836453618">
    <w:abstractNumId w:val="47"/>
  </w:num>
  <w:num w:numId="89" w16cid:durableId="1981495296">
    <w:abstractNumId w:val="186"/>
  </w:num>
  <w:num w:numId="90" w16cid:durableId="1362170031">
    <w:abstractNumId w:val="155"/>
  </w:num>
  <w:num w:numId="91" w16cid:durableId="893467360">
    <w:abstractNumId w:val="194"/>
  </w:num>
  <w:num w:numId="92" w16cid:durableId="1701053150">
    <w:abstractNumId w:val="181"/>
  </w:num>
  <w:num w:numId="93" w16cid:durableId="768545961">
    <w:abstractNumId w:val="167"/>
  </w:num>
  <w:num w:numId="94" w16cid:durableId="1734309781">
    <w:abstractNumId w:val="130"/>
  </w:num>
  <w:num w:numId="95" w16cid:durableId="24215049">
    <w:abstractNumId w:val="184"/>
  </w:num>
  <w:num w:numId="96" w16cid:durableId="337006752">
    <w:abstractNumId w:val="105"/>
  </w:num>
  <w:num w:numId="97" w16cid:durableId="243229071">
    <w:abstractNumId w:val="7"/>
  </w:num>
  <w:num w:numId="98" w16cid:durableId="1515922794">
    <w:abstractNumId w:val="88"/>
  </w:num>
  <w:num w:numId="99" w16cid:durableId="1448157935">
    <w:abstractNumId w:val="180"/>
  </w:num>
  <w:num w:numId="100" w16cid:durableId="149449057">
    <w:abstractNumId w:val="161"/>
  </w:num>
  <w:num w:numId="101" w16cid:durableId="1291208528">
    <w:abstractNumId w:val="183"/>
  </w:num>
  <w:num w:numId="102" w16cid:durableId="1145899176">
    <w:abstractNumId w:val="191"/>
  </w:num>
  <w:num w:numId="103" w16cid:durableId="712853128">
    <w:abstractNumId w:val="126"/>
  </w:num>
  <w:num w:numId="104" w16cid:durableId="1575772622">
    <w:abstractNumId w:val="190"/>
  </w:num>
  <w:num w:numId="105" w16cid:durableId="1014067100">
    <w:abstractNumId w:val="177"/>
  </w:num>
  <w:num w:numId="106" w16cid:durableId="336201848">
    <w:abstractNumId w:val="16"/>
  </w:num>
  <w:num w:numId="107" w16cid:durableId="522405478">
    <w:abstractNumId w:val="37"/>
  </w:num>
  <w:num w:numId="108" w16cid:durableId="1781756241">
    <w:abstractNumId w:val="178"/>
  </w:num>
  <w:num w:numId="109" w16cid:durableId="733042092">
    <w:abstractNumId w:val="48"/>
  </w:num>
  <w:num w:numId="110" w16cid:durableId="806357666">
    <w:abstractNumId w:val="44"/>
  </w:num>
  <w:num w:numId="111" w16cid:durableId="1907257384">
    <w:abstractNumId w:val="36"/>
  </w:num>
  <w:num w:numId="112" w16cid:durableId="1123157412">
    <w:abstractNumId w:val="151"/>
  </w:num>
  <w:num w:numId="113" w16cid:durableId="1521969755">
    <w:abstractNumId w:val="170"/>
  </w:num>
  <w:num w:numId="114" w16cid:durableId="2052070383">
    <w:abstractNumId w:val="65"/>
  </w:num>
  <w:num w:numId="115" w16cid:durableId="779303291">
    <w:abstractNumId w:val="97"/>
  </w:num>
  <w:num w:numId="116" w16cid:durableId="1064642124">
    <w:abstractNumId w:val="68"/>
  </w:num>
  <w:num w:numId="117" w16cid:durableId="1659264958">
    <w:abstractNumId w:val="39"/>
  </w:num>
  <w:num w:numId="118" w16cid:durableId="996956845">
    <w:abstractNumId w:val="18"/>
  </w:num>
  <w:num w:numId="119" w16cid:durableId="1511145318">
    <w:abstractNumId w:val="148"/>
  </w:num>
  <w:num w:numId="120" w16cid:durableId="1724479204">
    <w:abstractNumId w:val="138"/>
  </w:num>
  <w:num w:numId="121" w16cid:durableId="93791935">
    <w:abstractNumId w:val="8"/>
  </w:num>
  <w:num w:numId="122" w16cid:durableId="1986080766">
    <w:abstractNumId w:val="108"/>
  </w:num>
  <w:num w:numId="123" w16cid:durableId="1670212067">
    <w:abstractNumId w:val="141"/>
  </w:num>
  <w:num w:numId="124" w16cid:durableId="1505508850">
    <w:abstractNumId w:val="201"/>
  </w:num>
  <w:num w:numId="125" w16cid:durableId="635449727">
    <w:abstractNumId w:val="120"/>
  </w:num>
  <w:num w:numId="126" w16cid:durableId="1395303">
    <w:abstractNumId w:val="31"/>
  </w:num>
  <w:num w:numId="127" w16cid:durableId="1431703628">
    <w:abstractNumId w:val="156"/>
  </w:num>
  <w:num w:numId="128" w16cid:durableId="21396357">
    <w:abstractNumId w:val="45"/>
  </w:num>
  <w:num w:numId="129" w16cid:durableId="1978144284">
    <w:abstractNumId w:val="98"/>
  </w:num>
  <w:num w:numId="130" w16cid:durableId="94522265">
    <w:abstractNumId w:val="179"/>
  </w:num>
  <w:num w:numId="131" w16cid:durableId="55007961">
    <w:abstractNumId w:val="93"/>
  </w:num>
  <w:num w:numId="132" w16cid:durableId="500899111">
    <w:abstractNumId w:val="46"/>
  </w:num>
  <w:num w:numId="133" w16cid:durableId="2011638114">
    <w:abstractNumId w:val="21"/>
  </w:num>
  <w:num w:numId="134" w16cid:durableId="1180698346">
    <w:abstractNumId w:val="175"/>
  </w:num>
  <w:num w:numId="135" w16cid:durableId="717122174">
    <w:abstractNumId w:val="52"/>
  </w:num>
  <w:num w:numId="136" w16cid:durableId="756905648">
    <w:abstractNumId w:val="145"/>
  </w:num>
  <w:num w:numId="137" w16cid:durableId="1169758740">
    <w:abstractNumId w:val="187"/>
  </w:num>
  <w:num w:numId="138" w16cid:durableId="597180668">
    <w:abstractNumId w:val="204"/>
  </w:num>
  <w:num w:numId="139" w16cid:durableId="296953040">
    <w:abstractNumId w:val="121"/>
  </w:num>
  <w:num w:numId="140" w16cid:durableId="461919670">
    <w:abstractNumId w:val="136"/>
  </w:num>
  <w:num w:numId="141" w16cid:durableId="2095086949">
    <w:abstractNumId w:val="38"/>
  </w:num>
  <w:num w:numId="142" w16cid:durableId="341857803">
    <w:abstractNumId w:val="94"/>
  </w:num>
  <w:num w:numId="143" w16cid:durableId="440760172">
    <w:abstractNumId w:val="86"/>
  </w:num>
  <w:num w:numId="144" w16cid:durableId="835153700">
    <w:abstractNumId w:val="195"/>
  </w:num>
  <w:num w:numId="145" w16cid:durableId="545527344">
    <w:abstractNumId w:val="3"/>
  </w:num>
  <w:num w:numId="146" w16cid:durableId="170263005">
    <w:abstractNumId w:val="62"/>
  </w:num>
  <w:num w:numId="147" w16cid:durableId="30501505">
    <w:abstractNumId w:val="165"/>
  </w:num>
  <w:num w:numId="148" w16cid:durableId="1864171893">
    <w:abstractNumId w:val="79"/>
  </w:num>
  <w:num w:numId="149" w16cid:durableId="1613434806">
    <w:abstractNumId w:val="107"/>
  </w:num>
  <w:num w:numId="150" w16cid:durableId="1584028331">
    <w:abstractNumId w:val="20"/>
  </w:num>
  <w:num w:numId="151" w16cid:durableId="1721974366">
    <w:abstractNumId w:val="112"/>
  </w:num>
  <w:num w:numId="152" w16cid:durableId="1533417021">
    <w:abstractNumId w:val="115"/>
  </w:num>
  <w:num w:numId="153" w16cid:durableId="1464077161">
    <w:abstractNumId w:val="199"/>
  </w:num>
  <w:num w:numId="154" w16cid:durableId="994335333">
    <w:abstractNumId w:val="158"/>
  </w:num>
  <w:num w:numId="155" w16cid:durableId="967854406">
    <w:abstractNumId w:val="147"/>
  </w:num>
  <w:num w:numId="156" w16cid:durableId="81875253">
    <w:abstractNumId w:val="27"/>
  </w:num>
  <w:num w:numId="157" w16cid:durableId="1219437840">
    <w:abstractNumId w:val="91"/>
  </w:num>
  <w:num w:numId="158" w16cid:durableId="1954748568">
    <w:abstractNumId w:val="13"/>
  </w:num>
  <w:num w:numId="159" w16cid:durableId="24989100">
    <w:abstractNumId w:val="143"/>
  </w:num>
  <w:num w:numId="160" w16cid:durableId="630327931">
    <w:abstractNumId w:val="14"/>
  </w:num>
  <w:num w:numId="161" w16cid:durableId="2109235932">
    <w:abstractNumId w:val="135"/>
  </w:num>
  <w:num w:numId="162" w16cid:durableId="1467700034">
    <w:abstractNumId w:val="103"/>
  </w:num>
  <w:num w:numId="163" w16cid:durableId="1268005444">
    <w:abstractNumId w:val="23"/>
  </w:num>
  <w:num w:numId="164" w16cid:durableId="2145924144">
    <w:abstractNumId w:val="171"/>
  </w:num>
  <w:num w:numId="165" w16cid:durableId="1312324180">
    <w:abstractNumId w:val="35"/>
  </w:num>
  <w:num w:numId="166" w16cid:durableId="1575551326">
    <w:abstractNumId w:val="203"/>
  </w:num>
  <w:num w:numId="167" w16cid:durableId="1023478671">
    <w:abstractNumId w:val="137"/>
  </w:num>
  <w:num w:numId="168" w16cid:durableId="627397429">
    <w:abstractNumId w:val="89"/>
  </w:num>
  <w:num w:numId="169" w16cid:durableId="222299283">
    <w:abstractNumId w:val="188"/>
  </w:num>
  <w:num w:numId="170" w16cid:durableId="1414936356">
    <w:abstractNumId w:val="43"/>
  </w:num>
  <w:num w:numId="171" w16cid:durableId="1719940249">
    <w:abstractNumId w:val="90"/>
  </w:num>
  <w:num w:numId="172" w16cid:durableId="836195182">
    <w:abstractNumId w:val="60"/>
  </w:num>
  <w:num w:numId="173" w16cid:durableId="1003701664">
    <w:abstractNumId w:val="70"/>
  </w:num>
  <w:num w:numId="174" w16cid:durableId="1926186096">
    <w:abstractNumId w:val="182"/>
  </w:num>
  <w:num w:numId="175" w16cid:durableId="414405466">
    <w:abstractNumId w:val="118"/>
  </w:num>
  <w:num w:numId="176" w16cid:durableId="1806699032">
    <w:abstractNumId w:val="197"/>
  </w:num>
  <w:num w:numId="177" w16cid:durableId="1468276652">
    <w:abstractNumId w:val="116"/>
  </w:num>
  <w:num w:numId="178" w16cid:durableId="1173454837">
    <w:abstractNumId w:val="54"/>
  </w:num>
  <w:num w:numId="179" w16cid:durableId="267742219">
    <w:abstractNumId w:val="123"/>
  </w:num>
  <w:num w:numId="180" w16cid:durableId="1457020292">
    <w:abstractNumId w:val="154"/>
  </w:num>
  <w:num w:numId="181" w16cid:durableId="1922063046">
    <w:abstractNumId w:val="174"/>
  </w:num>
  <w:num w:numId="182" w16cid:durableId="140124796">
    <w:abstractNumId w:val="30"/>
  </w:num>
  <w:num w:numId="183" w16cid:durableId="1995985828">
    <w:abstractNumId w:val="101"/>
  </w:num>
  <w:num w:numId="184" w16cid:durableId="265702029">
    <w:abstractNumId w:val="84"/>
  </w:num>
  <w:num w:numId="185" w16cid:durableId="2042127221">
    <w:abstractNumId w:val="200"/>
  </w:num>
  <w:num w:numId="186" w16cid:durableId="1972248430">
    <w:abstractNumId w:val="192"/>
  </w:num>
  <w:num w:numId="187" w16cid:durableId="1230268359">
    <w:abstractNumId w:val="75"/>
  </w:num>
  <w:num w:numId="188" w16cid:durableId="160971070">
    <w:abstractNumId w:val="176"/>
  </w:num>
  <w:num w:numId="189" w16cid:durableId="1157498308">
    <w:abstractNumId w:val="202"/>
  </w:num>
  <w:num w:numId="190" w16cid:durableId="65929741">
    <w:abstractNumId w:val="125"/>
  </w:num>
  <w:num w:numId="191" w16cid:durableId="1045254466">
    <w:abstractNumId w:val="71"/>
  </w:num>
  <w:num w:numId="192" w16cid:durableId="883449513">
    <w:abstractNumId w:val="193"/>
  </w:num>
  <w:num w:numId="193" w16cid:durableId="1872765356">
    <w:abstractNumId w:val="104"/>
  </w:num>
  <w:num w:numId="194" w16cid:durableId="241259334">
    <w:abstractNumId w:val="77"/>
  </w:num>
  <w:num w:numId="195" w16cid:durableId="1597598191">
    <w:abstractNumId w:val="146"/>
  </w:num>
  <w:num w:numId="196" w16cid:durableId="1952206835">
    <w:abstractNumId w:val="205"/>
  </w:num>
  <w:num w:numId="197" w16cid:durableId="618144302">
    <w:abstractNumId w:val="99"/>
  </w:num>
  <w:num w:numId="198" w16cid:durableId="1806583037">
    <w:abstractNumId w:val="142"/>
  </w:num>
  <w:num w:numId="199" w16cid:durableId="816991397">
    <w:abstractNumId w:val="198"/>
  </w:num>
  <w:num w:numId="200" w16cid:durableId="924265941">
    <w:abstractNumId w:val="57"/>
  </w:num>
  <w:num w:numId="201" w16cid:durableId="30421974">
    <w:abstractNumId w:val="96"/>
  </w:num>
  <w:num w:numId="202" w16cid:durableId="850291253">
    <w:abstractNumId w:val="83"/>
  </w:num>
  <w:num w:numId="203" w16cid:durableId="38554494">
    <w:abstractNumId w:val="55"/>
  </w:num>
  <w:num w:numId="204" w16cid:durableId="500511148">
    <w:abstractNumId w:val="92"/>
  </w:num>
  <w:num w:numId="205" w16cid:durableId="1927879576">
    <w:abstractNumId w:val="117"/>
  </w:num>
  <w:num w:numId="206" w16cid:durableId="993728026">
    <w:abstractNumId w:val="11"/>
  </w:num>
  <w:num w:numId="207" w16cid:durableId="1825196811">
    <w:abstractNumId w:val="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F43"/>
    <w:rsid w:val="001E1D5F"/>
    <w:rsid w:val="004A7E73"/>
    <w:rsid w:val="00523C65"/>
    <w:rsid w:val="005E65DD"/>
    <w:rsid w:val="00613E61"/>
    <w:rsid w:val="00A05A64"/>
    <w:rsid w:val="00A51FF2"/>
    <w:rsid w:val="00B325C6"/>
    <w:rsid w:val="00B60F43"/>
    <w:rsid w:val="00C050FA"/>
    <w:rsid w:val="00C41CDD"/>
    <w:rsid w:val="00D62CEF"/>
    <w:rsid w:val="00E51BD3"/>
    <w:rsid w:val="00E66B5F"/>
    <w:rsid w:val="00F6081C"/>
    <w:rsid w:val="00FC6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E1F7"/>
  <w15:chartTrackingRefBased/>
  <w15:docId w15:val="{2D296B04-AFDD-46E1-B4E5-4038D662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CER Heading 1"/>
    <w:basedOn w:val="a0"/>
    <w:next w:val="a0"/>
    <w:link w:val="1Char"/>
    <w:uiPriority w:val="9"/>
    <w:qFormat/>
    <w:rsid w:val="00B60F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CER Heading 2"/>
    <w:basedOn w:val="a0"/>
    <w:next w:val="a0"/>
    <w:link w:val="2Char"/>
    <w:uiPriority w:val="9"/>
    <w:unhideWhenUsed/>
    <w:qFormat/>
    <w:rsid w:val="00B60F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CER Heading 3"/>
    <w:basedOn w:val="a0"/>
    <w:next w:val="a0"/>
    <w:link w:val="3Char"/>
    <w:uiPriority w:val="9"/>
    <w:unhideWhenUsed/>
    <w:qFormat/>
    <w:rsid w:val="00B60F43"/>
    <w:pPr>
      <w:keepNext/>
      <w:keepLines/>
      <w:spacing w:before="160" w:after="80"/>
      <w:outlineLvl w:val="2"/>
    </w:pPr>
    <w:rPr>
      <w:rFonts w:eastAsiaTheme="majorEastAsia" w:cstheme="majorBidi"/>
      <w:color w:val="2F5496" w:themeColor="accent1" w:themeShade="BF"/>
      <w:sz w:val="28"/>
      <w:szCs w:val="28"/>
    </w:rPr>
  </w:style>
  <w:style w:type="paragraph" w:styleId="4">
    <w:name w:val="heading 4"/>
    <w:aliases w:val="CER Heading 4"/>
    <w:basedOn w:val="a0"/>
    <w:next w:val="a0"/>
    <w:link w:val="4Char"/>
    <w:uiPriority w:val="9"/>
    <w:unhideWhenUsed/>
    <w:qFormat/>
    <w:rsid w:val="00B60F43"/>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Char"/>
    <w:uiPriority w:val="9"/>
    <w:semiHidden/>
    <w:unhideWhenUsed/>
    <w:qFormat/>
    <w:rsid w:val="00B60F43"/>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Char"/>
    <w:uiPriority w:val="9"/>
    <w:semiHidden/>
    <w:unhideWhenUsed/>
    <w:qFormat/>
    <w:rsid w:val="00B60F43"/>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Char"/>
    <w:uiPriority w:val="9"/>
    <w:semiHidden/>
    <w:unhideWhenUsed/>
    <w:qFormat/>
    <w:rsid w:val="00B60F43"/>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Char"/>
    <w:uiPriority w:val="9"/>
    <w:semiHidden/>
    <w:unhideWhenUsed/>
    <w:qFormat/>
    <w:rsid w:val="00B60F43"/>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Char"/>
    <w:uiPriority w:val="9"/>
    <w:semiHidden/>
    <w:unhideWhenUsed/>
    <w:qFormat/>
    <w:rsid w:val="00B60F43"/>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CER Heading 1 Char"/>
    <w:basedOn w:val="a1"/>
    <w:link w:val="1"/>
    <w:uiPriority w:val="9"/>
    <w:rsid w:val="00B60F4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aliases w:val="CER Heading 2 Char"/>
    <w:basedOn w:val="a1"/>
    <w:link w:val="2"/>
    <w:uiPriority w:val="9"/>
    <w:rsid w:val="00B60F4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aliases w:val="CER Heading 3 Char"/>
    <w:basedOn w:val="a1"/>
    <w:link w:val="3"/>
    <w:uiPriority w:val="9"/>
    <w:rsid w:val="00B60F43"/>
    <w:rPr>
      <w:rFonts w:eastAsiaTheme="majorEastAsia" w:cstheme="majorBidi"/>
      <w:color w:val="2F5496" w:themeColor="accent1" w:themeShade="BF"/>
      <w:sz w:val="28"/>
      <w:szCs w:val="28"/>
    </w:rPr>
  </w:style>
  <w:style w:type="character" w:customStyle="1" w:styleId="4Char">
    <w:name w:val="Επικεφαλίδα 4 Char"/>
    <w:aliases w:val="CER Heading 4 Char"/>
    <w:basedOn w:val="a1"/>
    <w:link w:val="4"/>
    <w:uiPriority w:val="9"/>
    <w:rsid w:val="00B60F43"/>
    <w:rPr>
      <w:rFonts w:eastAsiaTheme="majorEastAsia" w:cstheme="majorBidi"/>
      <w:i/>
      <w:iCs/>
      <w:color w:val="2F5496" w:themeColor="accent1" w:themeShade="BF"/>
    </w:rPr>
  </w:style>
  <w:style w:type="character" w:customStyle="1" w:styleId="5Char">
    <w:name w:val="Επικεφαλίδα 5 Char"/>
    <w:basedOn w:val="a1"/>
    <w:link w:val="5"/>
    <w:uiPriority w:val="9"/>
    <w:semiHidden/>
    <w:rsid w:val="00B60F43"/>
    <w:rPr>
      <w:rFonts w:eastAsiaTheme="majorEastAsia" w:cstheme="majorBidi"/>
      <w:color w:val="2F5496" w:themeColor="accent1" w:themeShade="BF"/>
    </w:rPr>
  </w:style>
  <w:style w:type="character" w:customStyle="1" w:styleId="6Char">
    <w:name w:val="Επικεφαλίδα 6 Char"/>
    <w:basedOn w:val="a1"/>
    <w:link w:val="6"/>
    <w:uiPriority w:val="9"/>
    <w:semiHidden/>
    <w:rsid w:val="00B60F43"/>
    <w:rPr>
      <w:rFonts w:eastAsiaTheme="majorEastAsia" w:cstheme="majorBidi"/>
      <w:i/>
      <w:iCs/>
      <w:color w:val="595959" w:themeColor="text1" w:themeTint="A6"/>
    </w:rPr>
  </w:style>
  <w:style w:type="character" w:customStyle="1" w:styleId="7Char">
    <w:name w:val="Επικεφαλίδα 7 Char"/>
    <w:basedOn w:val="a1"/>
    <w:link w:val="7"/>
    <w:uiPriority w:val="9"/>
    <w:semiHidden/>
    <w:rsid w:val="00B60F43"/>
    <w:rPr>
      <w:rFonts w:eastAsiaTheme="majorEastAsia" w:cstheme="majorBidi"/>
      <w:color w:val="595959" w:themeColor="text1" w:themeTint="A6"/>
    </w:rPr>
  </w:style>
  <w:style w:type="character" w:customStyle="1" w:styleId="8Char">
    <w:name w:val="Επικεφαλίδα 8 Char"/>
    <w:basedOn w:val="a1"/>
    <w:link w:val="8"/>
    <w:uiPriority w:val="9"/>
    <w:semiHidden/>
    <w:rsid w:val="00B60F43"/>
    <w:rPr>
      <w:rFonts w:eastAsiaTheme="majorEastAsia" w:cstheme="majorBidi"/>
      <w:i/>
      <w:iCs/>
      <w:color w:val="272727" w:themeColor="text1" w:themeTint="D8"/>
    </w:rPr>
  </w:style>
  <w:style w:type="character" w:customStyle="1" w:styleId="9Char">
    <w:name w:val="Επικεφαλίδα 9 Char"/>
    <w:basedOn w:val="a1"/>
    <w:link w:val="9"/>
    <w:uiPriority w:val="9"/>
    <w:semiHidden/>
    <w:rsid w:val="00B60F43"/>
    <w:rPr>
      <w:rFonts w:eastAsiaTheme="majorEastAsia" w:cstheme="majorBidi"/>
      <w:color w:val="272727" w:themeColor="text1" w:themeTint="D8"/>
    </w:rPr>
  </w:style>
  <w:style w:type="paragraph" w:styleId="a4">
    <w:name w:val="Title"/>
    <w:aliases w:val="CER Title"/>
    <w:basedOn w:val="a0"/>
    <w:next w:val="a0"/>
    <w:link w:val="Char"/>
    <w:qFormat/>
    <w:rsid w:val="00B60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aliases w:val="CER Title Char"/>
    <w:basedOn w:val="a1"/>
    <w:link w:val="a4"/>
    <w:rsid w:val="00B60F43"/>
    <w:rPr>
      <w:rFonts w:asciiTheme="majorHAnsi" w:eastAsiaTheme="majorEastAsia" w:hAnsiTheme="majorHAnsi" w:cstheme="majorBidi"/>
      <w:spacing w:val="-10"/>
      <w:kern w:val="28"/>
      <w:sz w:val="56"/>
      <w:szCs w:val="56"/>
    </w:rPr>
  </w:style>
  <w:style w:type="paragraph" w:styleId="a5">
    <w:name w:val="Subtitle"/>
    <w:basedOn w:val="a0"/>
    <w:next w:val="a0"/>
    <w:link w:val="Char0"/>
    <w:uiPriority w:val="11"/>
    <w:qFormat/>
    <w:rsid w:val="00B60F4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1"/>
    <w:link w:val="a5"/>
    <w:uiPriority w:val="11"/>
    <w:rsid w:val="00B60F43"/>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B60F43"/>
    <w:pPr>
      <w:spacing w:before="160"/>
      <w:jc w:val="center"/>
    </w:pPr>
    <w:rPr>
      <w:i/>
      <w:iCs/>
      <w:color w:val="404040" w:themeColor="text1" w:themeTint="BF"/>
    </w:rPr>
  </w:style>
  <w:style w:type="character" w:customStyle="1" w:styleId="Char1">
    <w:name w:val="Απόσπασμα Char"/>
    <w:basedOn w:val="a1"/>
    <w:link w:val="a6"/>
    <w:uiPriority w:val="29"/>
    <w:rsid w:val="00B60F43"/>
    <w:rPr>
      <w:i/>
      <w:iCs/>
      <w:color w:val="404040" w:themeColor="text1" w:themeTint="BF"/>
    </w:rPr>
  </w:style>
  <w:style w:type="paragraph" w:styleId="a7">
    <w:name w:val="List Paragraph"/>
    <w:aliases w:val="CER Bullet"/>
    <w:basedOn w:val="a0"/>
    <w:link w:val="Char2"/>
    <w:uiPriority w:val="99"/>
    <w:qFormat/>
    <w:rsid w:val="00B60F43"/>
    <w:pPr>
      <w:ind w:left="720"/>
      <w:contextualSpacing/>
    </w:pPr>
  </w:style>
  <w:style w:type="character" w:styleId="a8">
    <w:name w:val="Intense Emphasis"/>
    <w:basedOn w:val="a1"/>
    <w:uiPriority w:val="21"/>
    <w:qFormat/>
    <w:rsid w:val="00B60F43"/>
    <w:rPr>
      <w:i/>
      <w:iCs/>
      <w:color w:val="2F5496" w:themeColor="accent1" w:themeShade="BF"/>
    </w:rPr>
  </w:style>
  <w:style w:type="paragraph" w:styleId="a9">
    <w:name w:val="Intense Quote"/>
    <w:basedOn w:val="a0"/>
    <w:next w:val="a0"/>
    <w:link w:val="Char3"/>
    <w:uiPriority w:val="30"/>
    <w:qFormat/>
    <w:rsid w:val="00B60F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1"/>
    <w:link w:val="a9"/>
    <w:uiPriority w:val="30"/>
    <w:rsid w:val="00B60F43"/>
    <w:rPr>
      <w:i/>
      <w:iCs/>
      <w:color w:val="2F5496" w:themeColor="accent1" w:themeShade="BF"/>
    </w:rPr>
  </w:style>
  <w:style w:type="character" w:styleId="aa">
    <w:name w:val="Intense Reference"/>
    <w:basedOn w:val="a1"/>
    <w:uiPriority w:val="32"/>
    <w:qFormat/>
    <w:rsid w:val="00B60F43"/>
    <w:rPr>
      <w:b/>
      <w:bCs/>
      <w:smallCaps/>
      <w:color w:val="2F5496" w:themeColor="accent1" w:themeShade="BF"/>
      <w:spacing w:val="5"/>
    </w:rPr>
  </w:style>
  <w:style w:type="character" w:styleId="-">
    <w:name w:val="Hyperlink"/>
    <w:aliases w:val="EX Hyperlink"/>
    <w:basedOn w:val="a1"/>
    <w:uiPriority w:val="99"/>
    <w:unhideWhenUsed/>
    <w:rsid w:val="001E1D5F"/>
    <w:rPr>
      <w:color w:val="0563C1" w:themeColor="hyperlink"/>
      <w:u w:val="single"/>
    </w:rPr>
  </w:style>
  <w:style w:type="character" w:styleId="ab">
    <w:name w:val="Unresolved Mention"/>
    <w:basedOn w:val="a1"/>
    <w:uiPriority w:val="99"/>
    <w:semiHidden/>
    <w:unhideWhenUsed/>
    <w:rsid w:val="001E1D5F"/>
    <w:rPr>
      <w:color w:val="605E5C"/>
      <w:shd w:val="clear" w:color="auto" w:fill="E1DFDD"/>
    </w:rPr>
  </w:style>
  <w:style w:type="character" w:styleId="ac">
    <w:name w:val="Strong"/>
    <w:basedOn w:val="a1"/>
    <w:uiPriority w:val="22"/>
    <w:qFormat/>
    <w:rsid w:val="001E1D5F"/>
    <w:rPr>
      <w:b/>
      <w:bCs/>
    </w:rPr>
  </w:style>
  <w:style w:type="paragraph" w:styleId="Web">
    <w:name w:val="Normal (Web)"/>
    <w:basedOn w:val="a0"/>
    <w:uiPriority w:val="99"/>
    <w:unhideWhenUsed/>
    <w:rsid w:val="001E1D5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d">
    <w:name w:val="Bibliography"/>
    <w:basedOn w:val="a0"/>
    <w:next w:val="a0"/>
    <w:uiPriority w:val="37"/>
    <w:unhideWhenUsed/>
    <w:rsid w:val="001E1D5F"/>
    <w:pPr>
      <w:tabs>
        <w:tab w:val="left" w:pos="504"/>
      </w:tabs>
      <w:spacing w:after="0" w:line="240" w:lineRule="auto"/>
      <w:ind w:left="504" w:hanging="504"/>
    </w:pPr>
  </w:style>
  <w:style w:type="table" w:styleId="ae">
    <w:name w:val="Table Grid"/>
    <w:basedOn w:val="a2"/>
    <w:uiPriority w:val="39"/>
    <w:rsid w:val="001E1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1E1D5F"/>
    <w:rPr>
      <w:sz w:val="16"/>
      <w:szCs w:val="16"/>
    </w:rPr>
  </w:style>
  <w:style w:type="paragraph" w:styleId="af0">
    <w:name w:val="annotation text"/>
    <w:basedOn w:val="a0"/>
    <w:link w:val="Char4"/>
    <w:uiPriority w:val="99"/>
    <w:unhideWhenUsed/>
    <w:rsid w:val="001E1D5F"/>
    <w:pPr>
      <w:spacing w:after="220" w:line="276" w:lineRule="auto"/>
      <w:jc w:val="both"/>
    </w:pPr>
    <w:rPr>
      <w:rFonts w:ascii="Candara" w:hAnsi="Candara" w:cs="Times New Roman"/>
      <w:szCs w:val="20"/>
    </w:rPr>
  </w:style>
  <w:style w:type="character" w:customStyle="1" w:styleId="Char4">
    <w:name w:val="Κείμενο σχολίου Char"/>
    <w:basedOn w:val="a1"/>
    <w:link w:val="af0"/>
    <w:uiPriority w:val="99"/>
    <w:rsid w:val="001E1D5F"/>
    <w:rPr>
      <w:rFonts w:ascii="Candara" w:hAnsi="Candara" w:cs="Times New Roman"/>
      <w:szCs w:val="20"/>
    </w:rPr>
  </w:style>
  <w:style w:type="paragraph" w:customStyle="1" w:styleId="CERNumberedlist">
    <w:name w:val="CER Numbered list"/>
    <w:basedOn w:val="a0"/>
    <w:link w:val="CERNumberedlistChar"/>
    <w:qFormat/>
    <w:rsid w:val="001E1D5F"/>
    <w:pPr>
      <w:spacing w:before="120" w:after="220" w:line="276" w:lineRule="auto"/>
      <w:ind w:left="648" w:hanging="288"/>
      <w:contextualSpacing/>
      <w:jc w:val="both"/>
    </w:pPr>
    <w:rPr>
      <w:rFonts w:ascii="Candara" w:hAnsi="Candara" w:cs="Times New Roman"/>
      <w:szCs w:val="20"/>
    </w:rPr>
  </w:style>
  <w:style w:type="character" w:customStyle="1" w:styleId="Char2">
    <w:name w:val="Παράγραφος λίστας Char"/>
    <w:aliases w:val="CER Bullet Char"/>
    <w:basedOn w:val="a1"/>
    <w:link w:val="a7"/>
    <w:uiPriority w:val="99"/>
    <w:rsid w:val="001E1D5F"/>
  </w:style>
  <w:style w:type="paragraph" w:styleId="af1">
    <w:name w:val="Revision"/>
    <w:hidden/>
    <w:uiPriority w:val="99"/>
    <w:semiHidden/>
    <w:rsid w:val="001E1D5F"/>
    <w:pPr>
      <w:spacing w:after="0" w:line="240" w:lineRule="auto"/>
    </w:pPr>
  </w:style>
  <w:style w:type="paragraph" w:styleId="af2">
    <w:name w:val="annotation subject"/>
    <w:basedOn w:val="af0"/>
    <w:next w:val="af0"/>
    <w:link w:val="Char5"/>
    <w:uiPriority w:val="99"/>
    <w:semiHidden/>
    <w:unhideWhenUsed/>
    <w:rsid w:val="001E1D5F"/>
    <w:pPr>
      <w:spacing w:after="160" w:line="240" w:lineRule="auto"/>
      <w:jc w:val="left"/>
    </w:pPr>
    <w:rPr>
      <w:rFonts w:asciiTheme="minorHAnsi" w:hAnsiTheme="minorHAnsi" w:cstheme="minorBidi"/>
      <w:b/>
      <w:bCs/>
      <w:sz w:val="20"/>
    </w:rPr>
  </w:style>
  <w:style w:type="character" w:customStyle="1" w:styleId="Char5">
    <w:name w:val="Θέμα σχολίου Char"/>
    <w:basedOn w:val="Char4"/>
    <w:link w:val="af2"/>
    <w:uiPriority w:val="99"/>
    <w:semiHidden/>
    <w:rsid w:val="001E1D5F"/>
    <w:rPr>
      <w:rFonts w:ascii="Candara" w:hAnsi="Candara" w:cs="Times New Roman"/>
      <w:b/>
      <w:bCs/>
      <w:sz w:val="20"/>
      <w:szCs w:val="20"/>
    </w:rPr>
  </w:style>
  <w:style w:type="paragraph" w:styleId="a">
    <w:name w:val="List Bullet"/>
    <w:basedOn w:val="a0"/>
    <w:uiPriority w:val="99"/>
    <w:unhideWhenUsed/>
    <w:rsid w:val="001E1D5F"/>
    <w:pPr>
      <w:numPr>
        <w:numId w:val="21"/>
      </w:numPr>
      <w:tabs>
        <w:tab w:val="clear" w:pos="360"/>
      </w:tabs>
      <w:ind w:left="0" w:firstLine="0"/>
      <w:contextualSpacing/>
    </w:pPr>
  </w:style>
  <w:style w:type="paragraph" w:customStyle="1" w:styleId="CERAnnex">
    <w:name w:val="CER Annex"/>
    <w:next w:val="a0"/>
    <w:qFormat/>
    <w:rsid w:val="001E1D5F"/>
    <w:pPr>
      <w:pageBreakBefore/>
      <w:numPr>
        <w:numId w:val="26"/>
      </w:numPr>
      <w:spacing w:before="2520" w:after="0" w:line="240" w:lineRule="auto"/>
      <w:ind w:left="0" w:firstLine="0"/>
    </w:pPr>
    <w:rPr>
      <w:rFonts w:ascii="Candara" w:eastAsiaTheme="majorEastAsia" w:hAnsi="Candara" w:cstheme="majorBidi"/>
      <w:bCs/>
      <w:caps/>
      <w:color w:val="009999"/>
      <w:sz w:val="36"/>
      <w:szCs w:val="28"/>
      <w:lang w:val="en-US"/>
    </w:rPr>
  </w:style>
  <w:style w:type="paragraph" w:styleId="af3">
    <w:name w:val="TOC Heading"/>
    <w:basedOn w:val="1"/>
    <w:next w:val="a0"/>
    <w:uiPriority w:val="39"/>
    <w:semiHidden/>
    <w:unhideWhenUsed/>
    <w:qFormat/>
    <w:rsid w:val="001E1D5F"/>
    <w:pPr>
      <w:pageBreakBefore/>
      <w:spacing w:before="1440" w:after="220" w:line="276" w:lineRule="auto"/>
      <w:outlineLvl w:val="9"/>
    </w:pPr>
    <w:rPr>
      <w:rFonts w:ascii="Candara" w:hAnsi="Candara"/>
      <w:bCs/>
      <w:sz w:val="28"/>
      <w:szCs w:val="28"/>
      <w:lang w:eastAsia="ja-JP"/>
    </w:rPr>
  </w:style>
  <w:style w:type="paragraph" w:styleId="10">
    <w:name w:val="toc 1"/>
    <w:aliases w:val="CER TOC 1"/>
    <w:basedOn w:val="a0"/>
    <w:next w:val="a0"/>
    <w:autoRedefine/>
    <w:uiPriority w:val="39"/>
    <w:unhideWhenUsed/>
    <w:rsid w:val="001E1D5F"/>
    <w:pPr>
      <w:tabs>
        <w:tab w:val="left" w:pos="400"/>
        <w:tab w:val="right" w:leader="dot" w:pos="8630"/>
      </w:tabs>
      <w:spacing w:after="100" w:line="276" w:lineRule="auto"/>
      <w:jc w:val="both"/>
    </w:pPr>
    <w:rPr>
      <w:rFonts w:ascii="Candara" w:hAnsi="Candara" w:cs="Times New Roman"/>
      <w:b/>
      <w:caps/>
      <w:color w:val="9AB323"/>
      <w:szCs w:val="20"/>
    </w:rPr>
  </w:style>
  <w:style w:type="paragraph" w:styleId="20">
    <w:name w:val="toc 2"/>
    <w:aliases w:val="CER TOC 2"/>
    <w:basedOn w:val="a0"/>
    <w:next w:val="a0"/>
    <w:autoRedefine/>
    <w:uiPriority w:val="39"/>
    <w:unhideWhenUsed/>
    <w:rsid w:val="001E1D5F"/>
    <w:pPr>
      <w:tabs>
        <w:tab w:val="left" w:pos="660"/>
        <w:tab w:val="right" w:leader="dot" w:pos="8630"/>
      </w:tabs>
      <w:spacing w:after="100" w:line="276" w:lineRule="auto"/>
      <w:ind w:left="284"/>
      <w:jc w:val="both"/>
    </w:pPr>
    <w:rPr>
      <w:rFonts w:ascii="Candara" w:hAnsi="Candara" w:cs="Times New Roman"/>
      <w:color w:val="A5A5A5" w:themeColor="accent3"/>
      <w:szCs w:val="20"/>
    </w:rPr>
  </w:style>
  <w:style w:type="paragraph" w:styleId="30">
    <w:name w:val="toc 3"/>
    <w:aliases w:val="CER TOC 3"/>
    <w:basedOn w:val="a0"/>
    <w:next w:val="a0"/>
    <w:autoRedefine/>
    <w:uiPriority w:val="39"/>
    <w:unhideWhenUsed/>
    <w:rsid w:val="001E1D5F"/>
    <w:pPr>
      <w:tabs>
        <w:tab w:val="left" w:pos="658"/>
        <w:tab w:val="right" w:leader="dot" w:pos="8630"/>
      </w:tabs>
      <w:spacing w:after="100" w:line="276" w:lineRule="auto"/>
      <w:ind w:left="567"/>
      <w:jc w:val="both"/>
    </w:pPr>
    <w:rPr>
      <w:rFonts w:ascii="Candara" w:hAnsi="Candara" w:cs="Times New Roman"/>
      <w:color w:val="A5A5A5" w:themeColor="accent3"/>
      <w:szCs w:val="20"/>
    </w:rPr>
  </w:style>
  <w:style w:type="paragraph" w:styleId="af4">
    <w:name w:val="Balloon Text"/>
    <w:basedOn w:val="a0"/>
    <w:link w:val="Char6"/>
    <w:uiPriority w:val="99"/>
    <w:semiHidden/>
    <w:unhideWhenUsed/>
    <w:rsid w:val="001E1D5F"/>
    <w:pPr>
      <w:spacing w:after="220" w:line="276" w:lineRule="auto"/>
      <w:jc w:val="both"/>
    </w:pPr>
    <w:rPr>
      <w:rFonts w:ascii="Tahoma" w:hAnsi="Tahoma" w:cs="Tahoma"/>
      <w:sz w:val="16"/>
      <w:szCs w:val="16"/>
    </w:rPr>
  </w:style>
  <w:style w:type="character" w:customStyle="1" w:styleId="Char6">
    <w:name w:val="Κείμενο πλαισίου Char"/>
    <w:basedOn w:val="a1"/>
    <w:link w:val="af4"/>
    <w:uiPriority w:val="99"/>
    <w:semiHidden/>
    <w:rsid w:val="001E1D5F"/>
    <w:rPr>
      <w:rFonts w:ascii="Tahoma" w:hAnsi="Tahoma" w:cs="Tahoma"/>
      <w:sz w:val="16"/>
      <w:szCs w:val="16"/>
    </w:rPr>
  </w:style>
  <w:style w:type="character" w:styleId="af5">
    <w:name w:val="Placeholder Text"/>
    <w:basedOn w:val="a1"/>
    <w:uiPriority w:val="99"/>
    <w:semiHidden/>
    <w:rsid w:val="001E1D5F"/>
    <w:rPr>
      <w:color w:val="808080"/>
    </w:rPr>
  </w:style>
  <w:style w:type="paragraph" w:styleId="60">
    <w:name w:val="index 6"/>
    <w:basedOn w:val="a0"/>
    <w:next w:val="a0"/>
    <w:autoRedefine/>
    <w:semiHidden/>
    <w:rsid w:val="001E1D5F"/>
    <w:pPr>
      <w:spacing w:before="120" w:after="220" w:line="276" w:lineRule="auto"/>
      <w:ind w:left="1440" w:hanging="240"/>
      <w:jc w:val="both"/>
    </w:pPr>
    <w:rPr>
      <w:rFonts w:ascii="Arial" w:eastAsia="Times New Roman" w:hAnsi="Arial" w:cs="Times New Roman"/>
      <w:szCs w:val="20"/>
    </w:rPr>
  </w:style>
  <w:style w:type="paragraph" w:styleId="af6">
    <w:name w:val="No Spacing"/>
    <w:link w:val="Char7"/>
    <w:uiPriority w:val="1"/>
    <w:qFormat/>
    <w:rsid w:val="001E1D5F"/>
    <w:pPr>
      <w:tabs>
        <w:tab w:val="left" w:pos="567"/>
      </w:tabs>
      <w:spacing w:after="0" w:line="240" w:lineRule="auto"/>
      <w:jc w:val="both"/>
    </w:pPr>
    <w:rPr>
      <w:rFonts w:ascii="Candara" w:eastAsia="Times New Roman" w:hAnsi="Candara" w:cs="Times New Roman"/>
      <w:szCs w:val="20"/>
    </w:rPr>
  </w:style>
  <w:style w:type="paragraph" w:customStyle="1" w:styleId="CERTabletext">
    <w:name w:val="CER Table text"/>
    <w:basedOn w:val="a0"/>
    <w:qFormat/>
    <w:rsid w:val="001E1D5F"/>
    <w:pPr>
      <w:tabs>
        <w:tab w:val="left" w:pos="567"/>
      </w:tabs>
      <w:spacing w:before="20" w:after="20" w:line="276" w:lineRule="auto"/>
    </w:pPr>
    <w:rPr>
      <w:rFonts w:ascii="Candara" w:eastAsia="Times New Roman" w:hAnsi="Candara" w:cs="Times New Roman"/>
      <w:sz w:val="20"/>
      <w:szCs w:val="18"/>
    </w:rPr>
  </w:style>
  <w:style w:type="paragraph" w:styleId="af7">
    <w:name w:val="caption"/>
    <w:aliases w:val="EX Caption"/>
    <w:basedOn w:val="a0"/>
    <w:next w:val="a0"/>
    <w:uiPriority w:val="35"/>
    <w:unhideWhenUsed/>
    <w:qFormat/>
    <w:rsid w:val="001E1D5F"/>
    <w:pPr>
      <w:keepNext/>
      <w:spacing w:after="200" w:line="276" w:lineRule="auto"/>
      <w:ind w:left="964" w:hanging="964"/>
      <w:jc w:val="both"/>
    </w:pPr>
    <w:rPr>
      <w:rFonts w:ascii="Candara" w:hAnsi="Candara" w:cs="Times New Roman"/>
      <w:b/>
      <w:bCs/>
      <w:color w:val="009999"/>
      <w:szCs w:val="18"/>
    </w:rPr>
  </w:style>
  <w:style w:type="paragraph" w:styleId="af8">
    <w:name w:val="header"/>
    <w:aliases w:val="CER Header"/>
    <w:basedOn w:val="a0"/>
    <w:link w:val="Char8"/>
    <w:uiPriority w:val="99"/>
    <w:unhideWhenUsed/>
    <w:rsid w:val="001E1D5F"/>
    <w:pPr>
      <w:tabs>
        <w:tab w:val="center" w:pos="4320"/>
        <w:tab w:val="right" w:pos="8640"/>
      </w:tabs>
      <w:spacing w:after="0" w:line="276" w:lineRule="auto"/>
      <w:jc w:val="both"/>
    </w:pPr>
    <w:rPr>
      <w:rFonts w:ascii="Candara" w:hAnsi="Candara" w:cs="Times New Roman"/>
      <w:szCs w:val="20"/>
    </w:rPr>
  </w:style>
  <w:style w:type="character" w:customStyle="1" w:styleId="Char8">
    <w:name w:val="Κεφαλίδα Char"/>
    <w:aliases w:val="CER Header Char"/>
    <w:basedOn w:val="a1"/>
    <w:link w:val="af8"/>
    <w:uiPriority w:val="99"/>
    <w:rsid w:val="001E1D5F"/>
    <w:rPr>
      <w:rFonts w:ascii="Candara" w:hAnsi="Candara" w:cs="Times New Roman"/>
      <w:szCs w:val="20"/>
    </w:rPr>
  </w:style>
  <w:style w:type="paragraph" w:styleId="af9">
    <w:name w:val="footer"/>
    <w:aliases w:val="CER Footer"/>
    <w:basedOn w:val="a0"/>
    <w:link w:val="Char9"/>
    <w:uiPriority w:val="99"/>
    <w:unhideWhenUsed/>
    <w:rsid w:val="001E1D5F"/>
    <w:pPr>
      <w:tabs>
        <w:tab w:val="center" w:pos="4320"/>
        <w:tab w:val="right" w:pos="8640"/>
      </w:tabs>
      <w:spacing w:after="0" w:line="276" w:lineRule="auto"/>
      <w:jc w:val="both"/>
    </w:pPr>
    <w:rPr>
      <w:rFonts w:ascii="Candara" w:hAnsi="Candara" w:cs="Times New Roman"/>
      <w:szCs w:val="20"/>
    </w:rPr>
  </w:style>
  <w:style w:type="character" w:customStyle="1" w:styleId="Char9">
    <w:name w:val="Υποσέλιδο Char"/>
    <w:aliases w:val="CER Footer Char"/>
    <w:basedOn w:val="a1"/>
    <w:link w:val="af9"/>
    <w:uiPriority w:val="99"/>
    <w:rsid w:val="001E1D5F"/>
    <w:rPr>
      <w:rFonts w:ascii="Candara" w:hAnsi="Candara" w:cs="Times New Roman"/>
      <w:szCs w:val="20"/>
    </w:rPr>
  </w:style>
  <w:style w:type="paragraph" w:customStyle="1" w:styleId="CERTableBullet">
    <w:name w:val="CER Table Bullet"/>
    <w:link w:val="CERTableBulletChar"/>
    <w:qFormat/>
    <w:rsid w:val="001E1D5F"/>
    <w:pPr>
      <w:numPr>
        <w:numId w:val="27"/>
      </w:numPr>
      <w:spacing w:after="0" w:line="240" w:lineRule="auto"/>
      <w:ind w:left="0" w:firstLine="0"/>
      <w:jc w:val="both"/>
    </w:pPr>
    <w:rPr>
      <w:rFonts w:ascii="Candara" w:eastAsia="Times New Roman" w:hAnsi="Candara" w:cs="Times New Roman"/>
      <w:sz w:val="20"/>
      <w:szCs w:val="20"/>
      <w:lang w:eastAsia="el-GR"/>
    </w:rPr>
  </w:style>
  <w:style w:type="character" w:customStyle="1" w:styleId="CERTableBulletChar">
    <w:name w:val="CER Table Bullet Char"/>
    <w:basedOn w:val="Char2"/>
    <w:link w:val="CERTableBullet"/>
    <w:rsid w:val="001E1D5F"/>
    <w:rPr>
      <w:rFonts w:ascii="Candara" w:eastAsia="Times New Roman" w:hAnsi="Candara" w:cs="Times New Roman"/>
      <w:sz w:val="20"/>
      <w:szCs w:val="20"/>
      <w:lang w:eastAsia="el-GR"/>
    </w:rPr>
  </w:style>
  <w:style w:type="paragraph" w:customStyle="1" w:styleId="CERboldtitles">
    <w:name w:val="CER bold titles"/>
    <w:basedOn w:val="a0"/>
    <w:link w:val="CERboldtitlesChar"/>
    <w:qFormat/>
    <w:rsid w:val="001E1D5F"/>
    <w:pPr>
      <w:spacing w:before="240" w:after="60" w:line="276" w:lineRule="auto"/>
      <w:jc w:val="both"/>
    </w:pPr>
    <w:rPr>
      <w:rFonts w:ascii="Candara" w:hAnsi="Candara" w:cs="Times New Roman"/>
      <w:b/>
      <w:szCs w:val="20"/>
    </w:rPr>
  </w:style>
  <w:style w:type="character" w:customStyle="1" w:styleId="CERboldtitlesChar">
    <w:name w:val="CER bold titles Char"/>
    <w:basedOn w:val="a1"/>
    <w:link w:val="CERboldtitles"/>
    <w:rsid w:val="001E1D5F"/>
    <w:rPr>
      <w:rFonts w:ascii="Candara" w:hAnsi="Candara" w:cs="Times New Roman"/>
      <w:b/>
      <w:szCs w:val="20"/>
    </w:rPr>
  </w:style>
  <w:style w:type="character" w:customStyle="1" w:styleId="Char7">
    <w:name w:val="Χωρίς διάστιχο Char"/>
    <w:basedOn w:val="a1"/>
    <w:link w:val="af6"/>
    <w:uiPriority w:val="1"/>
    <w:rsid w:val="001E1D5F"/>
    <w:rPr>
      <w:rFonts w:ascii="Candara" w:eastAsia="Times New Roman" w:hAnsi="Candara" w:cs="Times New Roman"/>
      <w:szCs w:val="20"/>
    </w:rPr>
  </w:style>
  <w:style w:type="character" w:customStyle="1" w:styleId="CERNumberedlistChar">
    <w:name w:val="CER Numbered list Char"/>
    <w:basedOn w:val="a1"/>
    <w:link w:val="CERNumberedlist"/>
    <w:rsid w:val="001E1D5F"/>
    <w:rPr>
      <w:rFonts w:ascii="Candara" w:hAnsi="Candara" w:cs="Times New Roman"/>
      <w:szCs w:val="20"/>
    </w:rPr>
  </w:style>
  <w:style w:type="paragraph" w:styleId="afa">
    <w:name w:val="footnote text"/>
    <w:basedOn w:val="a0"/>
    <w:link w:val="Chara"/>
    <w:uiPriority w:val="99"/>
    <w:semiHidden/>
    <w:unhideWhenUsed/>
    <w:rsid w:val="001E1D5F"/>
    <w:pPr>
      <w:spacing w:after="0" w:line="240" w:lineRule="auto"/>
      <w:jc w:val="both"/>
    </w:pPr>
    <w:rPr>
      <w:rFonts w:ascii="Candara" w:hAnsi="Candara" w:cs="Times New Roman"/>
      <w:sz w:val="20"/>
      <w:szCs w:val="20"/>
    </w:rPr>
  </w:style>
  <w:style w:type="character" w:customStyle="1" w:styleId="Chara">
    <w:name w:val="Κείμενο υποσημείωσης Char"/>
    <w:basedOn w:val="a1"/>
    <w:link w:val="afa"/>
    <w:uiPriority w:val="99"/>
    <w:semiHidden/>
    <w:rsid w:val="001E1D5F"/>
    <w:rPr>
      <w:rFonts w:ascii="Candara" w:hAnsi="Candara" w:cs="Times New Roman"/>
      <w:sz w:val="20"/>
      <w:szCs w:val="20"/>
    </w:rPr>
  </w:style>
  <w:style w:type="character" w:styleId="afb">
    <w:name w:val="footnote reference"/>
    <w:basedOn w:val="a1"/>
    <w:uiPriority w:val="99"/>
    <w:semiHidden/>
    <w:unhideWhenUsed/>
    <w:rsid w:val="001E1D5F"/>
    <w:rPr>
      <w:vertAlign w:val="superscript"/>
    </w:rPr>
  </w:style>
  <w:style w:type="character" w:customStyle="1" w:styleId="apple-converted-space">
    <w:name w:val="apple-converted-space"/>
    <w:basedOn w:val="a1"/>
    <w:rsid w:val="001E1D5F"/>
  </w:style>
  <w:style w:type="character" w:customStyle="1" w:styleId="BIKEparagraphCarattere">
    <w:name w:val="BIKE paragraph Carattere"/>
    <w:basedOn w:val="a1"/>
    <w:link w:val="BIKEparagraph"/>
    <w:locked/>
    <w:rsid w:val="001E1D5F"/>
  </w:style>
  <w:style w:type="paragraph" w:customStyle="1" w:styleId="BIKEparagraph">
    <w:name w:val="BIKE paragraph"/>
    <w:basedOn w:val="afc"/>
    <w:link w:val="BIKEparagraphCarattere"/>
    <w:qFormat/>
    <w:rsid w:val="001E1D5F"/>
    <w:pPr>
      <w:spacing w:line="256" w:lineRule="auto"/>
      <w:jc w:val="left"/>
    </w:pPr>
    <w:rPr>
      <w:rFonts w:asciiTheme="minorHAnsi" w:hAnsiTheme="minorHAnsi" w:cstheme="minorBidi"/>
      <w:szCs w:val="22"/>
    </w:rPr>
  </w:style>
  <w:style w:type="paragraph" w:styleId="afc">
    <w:name w:val="Body Text"/>
    <w:basedOn w:val="a0"/>
    <w:link w:val="Charb"/>
    <w:uiPriority w:val="99"/>
    <w:semiHidden/>
    <w:unhideWhenUsed/>
    <w:rsid w:val="001E1D5F"/>
    <w:pPr>
      <w:spacing w:after="120" w:line="276" w:lineRule="auto"/>
      <w:jc w:val="both"/>
    </w:pPr>
    <w:rPr>
      <w:rFonts w:ascii="Candara" w:hAnsi="Candara" w:cs="Times New Roman"/>
      <w:szCs w:val="20"/>
    </w:rPr>
  </w:style>
  <w:style w:type="character" w:customStyle="1" w:styleId="Charb">
    <w:name w:val="Σώμα κειμένου Char"/>
    <w:basedOn w:val="a1"/>
    <w:link w:val="afc"/>
    <w:uiPriority w:val="99"/>
    <w:semiHidden/>
    <w:rsid w:val="001E1D5F"/>
    <w:rPr>
      <w:rFonts w:ascii="Candara" w:hAnsi="Candara" w:cs="Times New Roman"/>
      <w:szCs w:val="20"/>
    </w:rPr>
  </w:style>
  <w:style w:type="character" w:customStyle="1" w:styleId="mord">
    <w:name w:val="mord"/>
    <w:basedOn w:val="a1"/>
    <w:rsid w:val="001E1D5F"/>
  </w:style>
  <w:style w:type="character" w:customStyle="1" w:styleId="mrel">
    <w:name w:val="mrel"/>
    <w:basedOn w:val="a1"/>
    <w:rsid w:val="001E1D5F"/>
  </w:style>
  <w:style w:type="character" w:customStyle="1" w:styleId="vlist-s">
    <w:name w:val="vlist-s"/>
    <w:basedOn w:val="a1"/>
    <w:rsid w:val="001E1D5F"/>
  </w:style>
  <w:style w:type="character" w:customStyle="1" w:styleId="katex-mathml">
    <w:name w:val="katex-mathml"/>
    <w:basedOn w:val="a1"/>
    <w:rsid w:val="001E1D5F"/>
  </w:style>
  <w:style w:type="character" w:customStyle="1" w:styleId="mbin">
    <w:name w:val="mbin"/>
    <w:basedOn w:val="a1"/>
    <w:rsid w:val="001E1D5F"/>
  </w:style>
  <w:style w:type="character" w:customStyle="1" w:styleId="mop">
    <w:name w:val="mop"/>
    <w:basedOn w:val="a1"/>
    <w:rsid w:val="001E1D5F"/>
  </w:style>
  <w:style w:type="character" w:styleId="-0">
    <w:name w:val="FollowedHyperlink"/>
    <w:basedOn w:val="a1"/>
    <w:uiPriority w:val="99"/>
    <w:semiHidden/>
    <w:unhideWhenUsed/>
    <w:rsid w:val="001E1D5F"/>
    <w:rPr>
      <w:rFonts w:cs="Times New Roman"/>
      <w:color w:val="954F72"/>
      <w:u w:val="single"/>
    </w:rPr>
  </w:style>
  <w:style w:type="paragraph" w:customStyle="1" w:styleId="msonormal0">
    <w:name w:val="msonormal"/>
    <w:basedOn w:val="a0"/>
    <w:rsid w:val="001E1D5F"/>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xl63">
    <w:name w:val="xl63"/>
    <w:basedOn w:val="a0"/>
    <w:rsid w:val="001E1D5F"/>
    <w:pPr>
      <w:spacing w:before="100" w:beforeAutospacing="1" w:after="100" w:afterAutospacing="1" w:line="240" w:lineRule="auto"/>
    </w:pPr>
    <w:rPr>
      <w:rFonts w:ascii="Georgia" w:eastAsiaTheme="minorEastAsia" w:hAnsi="Georgia" w:cs="Times New Roman"/>
      <w:color w:val="000000"/>
      <w:sz w:val="24"/>
      <w:szCs w:val="24"/>
      <w:lang w:eastAsia="en-GB"/>
    </w:rPr>
  </w:style>
  <w:style w:type="paragraph" w:customStyle="1" w:styleId="xl64">
    <w:name w:val="xl64"/>
    <w:basedOn w:val="a0"/>
    <w:rsid w:val="001E1D5F"/>
    <w:pPr>
      <w:spacing w:before="100" w:beforeAutospacing="1" w:after="100" w:afterAutospacing="1" w:line="240" w:lineRule="auto"/>
      <w:textAlignment w:val="center"/>
    </w:pPr>
    <w:rPr>
      <w:rFonts w:ascii="Georgia" w:eastAsiaTheme="minorEastAsia" w:hAnsi="Georgia" w:cs="Times New Roman"/>
      <w:color w:val="000000"/>
      <w:sz w:val="24"/>
      <w:szCs w:val="24"/>
      <w:lang w:eastAsia="en-GB"/>
    </w:rPr>
  </w:style>
  <w:style w:type="paragraph" w:customStyle="1" w:styleId="xl65">
    <w:name w:val="xl65"/>
    <w:basedOn w:val="a0"/>
    <w:rsid w:val="001E1D5F"/>
    <w:pPr>
      <w:spacing w:before="100" w:beforeAutospacing="1" w:after="100" w:afterAutospacing="1" w:line="240" w:lineRule="auto"/>
      <w:textAlignment w:val="center"/>
    </w:pPr>
    <w:rPr>
      <w:rFonts w:ascii="Georgia" w:eastAsiaTheme="minorEastAsia" w:hAnsi="Georgia" w:cs="Times New Roman"/>
      <w:sz w:val="24"/>
      <w:szCs w:val="24"/>
      <w:lang w:eastAsia="en-GB"/>
    </w:rPr>
  </w:style>
  <w:style w:type="paragraph" w:customStyle="1" w:styleId="xl66">
    <w:name w:val="xl66"/>
    <w:basedOn w:val="a0"/>
    <w:rsid w:val="001E1D5F"/>
    <w:pPr>
      <w:spacing w:before="100" w:beforeAutospacing="1" w:after="100" w:afterAutospacing="1" w:line="240" w:lineRule="auto"/>
    </w:pPr>
    <w:rPr>
      <w:rFonts w:ascii="Georgia" w:eastAsiaTheme="minorEastAsia" w:hAnsi="Georgia" w:cs="Times New Roman"/>
      <w:sz w:val="24"/>
      <w:szCs w:val="24"/>
      <w:lang w:eastAsia="en-GB"/>
    </w:rPr>
  </w:style>
  <w:style w:type="paragraph" w:customStyle="1" w:styleId="xl67">
    <w:name w:val="xl67"/>
    <w:basedOn w:val="a0"/>
    <w:rsid w:val="001E1D5F"/>
    <w:pPr>
      <w:shd w:val="clear" w:color="000000" w:fill="FFFF00"/>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xl68">
    <w:name w:val="xl68"/>
    <w:basedOn w:val="a0"/>
    <w:rsid w:val="001E1D5F"/>
    <w:pPr>
      <w:shd w:val="clear" w:color="000000" w:fill="FFFF00"/>
      <w:spacing w:before="100" w:beforeAutospacing="1" w:after="100" w:afterAutospacing="1" w:line="240" w:lineRule="auto"/>
    </w:pPr>
    <w:rPr>
      <w:rFonts w:ascii="Georgia" w:eastAsiaTheme="minorEastAsia" w:hAnsi="Georgia" w:cs="Times New Roman"/>
      <w:sz w:val="24"/>
      <w:szCs w:val="24"/>
      <w:lang w:eastAsia="en-GB"/>
    </w:rPr>
  </w:style>
  <w:style w:type="paragraph" w:customStyle="1" w:styleId="xl69">
    <w:name w:val="xl69"/>
    <w:basedOn w:val="a0"/>
    <w:rsid w:val="001E1D5F"/>
    <w:pPr>
      <w:shd w:val="clear" w:color="000000" w:fill="FFFF00"/>
      <w:spacing w:before="100" w:beforeAutospacing="1" w:after="100" w:afterAutospacing="1" w:line="240" w:lineRule="auto"/>
    </w:pPr>
    <w:rPr>
      <w:rFonts w:ascii="Georgia" w:eastAsiaTheme="minorEastAsia" w:hAnsi="Georgia" w:cs="Times New Roman"/>
      <w:color w:val="000000"/>
      <w:sz w:val="24"/>
      <w:szCs w:val="24"/>
      <w:lang w:eastAsia="en-GB"/>
    </w:rPr>
  </w:style>
  <w:style w:type="paragraph" w:customStyle="1" w:styleId="xl70">
    <w:name w:val="xl70"/>
    <w:basedOn w:val="a0"/>
    <w:rsid w:val="001E1D5F"/>
    <w:pPr>
      <w:shd w:val="clear" w:color="000000" w:fill="FFFF00"/>
      <w:spacing w:before="100" w:beforeAutospacing="1" w:after="100" w:afterAutospacing="1" w:line="240" w:lineRule="auto"/>
      <w:textAlignment w:val="center"/>
    </w:pPr>
    <w:rPr>
      <w:rFonts w:ascii="Georgia" w:eastAsiaTheme="minorEastAsia" w:hAnsi="Georgia" w:cs="Times New Roman"/>
      <w:color w:val="000000"/>
      <w:sz w:val="24"/>
      <w:szCs w:val="24"/>
      <w:lang w:eastAsia="en-GB"/>
    </w:rPr>
  </w:style>
  <w:style w:type="paragraph" w:customStyle="1" w:styleId="xl71">
    <w:name w:val="xl71"/>
    <w:basedOn w:val="a0"/>
    <w:rsid w:val="001E1D5F"/>
    <w:pPr>
      <w:shd w:val="clear" w:color="000000" w:fill="F8CBAD"/>
      <w:spacing w:before="100" w:beforeAutospacing="1" w:after="100" w:afterAutospacing="1" w:line="240" w:lineRule="auto"/>
      <w:textAlignment w:val="center"/>
    </w:pPr>
    <w:rPr>
      <w:rFonts w:ascii="Georgia" w:eastAsiaTheme="minorEastAsia" w:hAnsi="Georgia" w:cs="Times New Roman"/>
      <w:color w:val="000000"/>
      <w:sz w:val="24"/>
      <w:szCs w:val="24"/>
      <w:lang w:eastAsia="en-GB"/>
    </w:rPr>
  </w:style>
  <w:style w:type="paragraph" w:customStyle="1" w:styleId="xl72">
    <w:name w:val="xl72"/>
    <w:basedOn w:val="a0"/>
    <w:rsid w:val="001E1D5F"/>
    <w:pPr>
      <w:shd w:val="clear" w:color="000000" w:fill="F8CBAD"/>
      <w:spacing w:before="100" w:beforeAutospacing="1" w:after="100" w:afterAutospacing="1" w:line="240" w:lineRule="auto"/>
    </w:pPr>
    <w:rPr>
      <w:rFonts w:ascii="Georgia" w:eastAsiaTheme="minorEastAsia" w:hAnsi="Georgia" w:cs="Times New Roman"/>
      <w:color w:val="000000"/>
      <w:sz w:val="24"/>
      <w:szCs w:val="24"/>
      <w:lang w:eastAsia="en-GB"/>
    </w:rPr>
  </w:style>
  <w:style w:type="character" w:customStyle="1" w:styleId="z3988">
    <w:name w:val="z3988"/>
    <w:basedOn w:val="a1"/>
    <w:rsid w:val="001E1D5F"/>
    <w:rPr>
      <w:rFonts w:cs="Times New Roman"/>
    </w:rPr>
  </w:style>
  <w:style w:type="paragraph" w:customStyle="1" w:styleId="xl73">
    <w:name w:val="xl73"/>
    <w:basedOn w:val="a0"/>
    <w:rsid w:val="001E1D5F"/>
    <w:pPr>
      <w:spacing w:before="100" w:beforeAutospacing="1" w:after="100" w:afterAutospacing="1" w:line="240" w:lineRule="auto"/>
    </w:pPr>
    <w:rPr>
      <w:rFonts w:ascii="Times New Roman" w:eastAsiaTheme="minorEastAsia" w:hAnsi="Times New Roman" w:cs="Times New Roman"/>
      <w:color w:val="000000"/>
      <w:sz w:val="24"/>
      <w:szCs w:val="24"/>
      <w:lang w:eastAsia="en-GB"/>
    </w:rPr>
  </w:style>
  <w:style w:type="paragraph" w:customStyle="1" w:styleId="Default">
    <w:name w:val="Default"/>
    <w:rsid w:val="001E1D5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afd">
    <w:name w:val="line number"/>
    <w:basedOn w:val="a1"/>
    <w:uiPriority w:val="99"/>
    <w:semiHidden/>
    <w:unhideWhenUsed/>
    <w:rsid w:val="001E1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32</Pages>
  <Words>75021</Words>
  <Characters>427623</Characters>
  <Application>Microsoft Office Word</Application>
  <DocSecurity>0</DocSecurity>
  <Lines>3563</Lines>
  <Paragraphs>1003</Paragraphs>
  <ScaleCrop>false</ScaleCrop>
  <Company>HP</Company>
  <LinksUpToDate>false</LinksUpToDate>
  <CharactersWithSpaces>501641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Aretoulaki</dc:creator>
  <cp:keywords/>
  <dc:description/>
  <cp:lastModifiedBy>Eleni Aretoulaki</cp:lastModifiedBy>
  <cp:revision>3</cp:revision>
  <dcterms:created xsi:type="dcterms:W3CDTF">2025-09-16T10:22:00Z</dcterms:created>
  <dcterms:modified xsi:type="dcterms:W3CDTF">2025-09-16T10:26:00Z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id="B6LJFMOx"/&gt;&lt;style id="http://www.zotero.org/styles/sustainability" hasBibliography="1" bibliographyStyleHasBeenSet="1"/&gt;&lt;prefs&gt;&lt;pref name="fieldType" value="Field"/&gt;&lt;/prefs&gt;&lt;/data&gt;</vt:lpwstr>
  </property>
</Properties>
</file>