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24067" w14:textId="77777777" w:rsidR="003D0F90" w:rsidRDefault="003D0F90" w:rsidP="0066686C">
      <w:pPr>
        <w:spacing w:after="0" w:line="480" w:lineRule="auto"/>
        <w:rPr>
          <w:rFonts w:ascii="Times New Roman" w:eastAsia="Times New Roman" w:hAnsi="Times New Roman" w:cs="Times New Roman"/>
          <w:sz w:val="24"/>
          <w:szCs w:val="26"/>
          <w:u w:val="single"/>
          <w:lang w:eastAsia="en-GB"/>
        </w:rPr>
      </w:pPr>
    </w:p>
    <w:p w14:paraId="5003B36A" w14:textId="7DCB8770" w:rsidR="00123293" w:rsidRDefault="00123293" w:rsidP="00123293">
      <w:pPr>
        <w:tabs>
          <w:tab w:val="left" w:pos="3612"/>
        </w:tabs>
        <w:rPr>
          <w:rFonts w:ascii="Times New Roman" w:eastAsia="Times New Roman" w:hAnsi="Times New Roman" w:cs="Times New Roman"/>
          <w:sz w:val="24"/>
          <w:szCs w:val="26"/>
          <w:u w:val="single"/>
          <w:lang w:eastAsia="en-GB"/>
        </w:rPr>
      </w:pPr>
      <w:r>
        <w:rPr>
          <w:rFonts w:ascii="Times New Roman" w:eastAsia="Times New Roman" w:hAnsi="Times New Roman" w:cs="Times New Roman"/>
          <w:sz w:val="24"/>
          <w:szCs w:val="26"/>
          <w:u w:val="single"/>
          <w:lang w:eastAsia="en-GB"/>
        </w:rPr>
        <w:tab/>
      </w:r>
      <w:r w:rsidR="00CB20CA" w:rsidRPr="00CB20CA">
        <w:rPr>
          <w:rFonts w:ascii="Times New Roman" w:eastAsia="Times New Roman" w:hAnsi="Times New Roman" w:cs="Times New Roman"/>
          <w:sz w:val="24"/>
          <w:szCs w:val="26"/>
          <w:u w:val="single"/>
          <w:lang w:eastAsia="en-GB"/>
        </w:rPr>
        <w:t>Online Resource 1</w:t>
      </w:r>
      <w:r w:rsidR="00E5798C">
        <w:rPr>
          <w:rFonts w:ascii="Times New Roman" w:eastAsia="Times New Roman" w:hAnsi="Times New Roman" w:cs="Times New Roman"/>
          <w:sz w:val="24"/>
          <w:szCs w:val="26"/>
          <w:u w:val="single"/>
          <w:lang w:eastAsia="en-GB"/>
        </w:rPr>
        <w:t xml:space="preserve"> “</w:t>
      </w:r>
      <w:r w:rsidR="004816C1">
        <w:rPr>
          <w:rFonts w:ascii="Times New Roman" w:eastAsia="Times New Roman" w:hAnsi="Times New Roman" w:cs="Times New Roman"/>
          <w:sz w:val="24"/>
          <w:szCs w:val="26"/>
          <w:u w:val="single"/>
          <w:lang w:eastAsia="en-GB"/>
        </w:rPr>
        <w:t>Conceptualizing</w:t>
      </w:r>
      <w:r w:rsidR="00E5798C">
        <w:rPr>
          <w:rFonts w:ascii="Times New Roman" w:eastAsia="Times New Roman" w:hAnsi="Times New Roman" w:cs="Times New Roman"/>
          <w:sz w:val="24"/>
          <w:szCs w:val="26"/>
          <w:u w:val="single"/>
          <w:lang w:eastAsia="en-GB"/>
        </w:rPr>
        <w:t xml:space="preserve"> </w:t>
      </w:r>
      <w:r w:rsidR="002A5BC2">
        <w:rPr>
          <w:rFonts w:ascii="Times New Roman" w:eastAsia="Times New Roman" w:hAnsi="Times New Roman" w:cs="Times New Roman"/>
          <w:sz w:val="24"/>
          <w:szCs w:val="26"/>
          <w:u w:val="single"/>
          <w:lang w:eastAsia="en-GB"/>
        </w:rPr>
        <w:t>S</w:t>
      </w:r>
      <w:r w:rsidR="00E5798C">
        <w:rPr>
          <w:rFonts w:ascii="Times New Roman" w:eastAsia="Times New Roman" w:hAnsi="Times New Roman" w:cs="Times New Roman"/>
          <w:sz w:val="24"/>
          <w:szCs w:val="26"/>
          <w:u w:val="single"/>
          <w:lang w:eastAsia="en-GB"/>
        </w:rPr>
        <w:t xml:space="preserve">ustainable </w:t>
      </w:r>
      <w:r w:rsidR="002A5BC2">
        <w:rPr>
          <w:rFonts w:ascii="Times New Roman" w:eastAsia="Times New Roman" w:hAnsi="Times New Roman" w:cs="Times New Roman"/>
          <w:sz w:val="24"/>
          <w:szCs w:val="26"/>
          <w:u w:val="single"/>
          <w:lang w:eastAsia="en-GB"/>
        </w:rPr>
        <w:t>F</w:t>
      </w:r>
      <w:r w:rsidR="00E5798C">
        <w:rPr>
          <w:rFonts w:ascii="Times New Roman" w:eastAsia="Times New Roman" w:hAnsi="Times New Roman" w:cs="Times New Roman"/>
          <w:sz w:val="24"/>
          <w:szCs w:val="26"/>
          <w:u w:val="single"/>
          <w:lang w:eastAsia="en-GB"/>
        </w:rPr>
        <w:t xml:space="preserve">ood </w:t>
      </w:r>
      <w:r w:rsidR="002A5BC2">
        <w:rPr>
          <w:rFonts w:ascii="Times New Roman" w:eastAsia="Times New Roman" w:hAnsi="Times New Roman" w:cs="Times New Roman"/>
          <w:sz w:val="24"/>
          <w:szCs w:val="26"/>
          <w:u w:val="single"/>
          <w:lang w:eastAsia="en-GB"/>
        </w:rPr>
        <w:t>C</w:t>
      </w:r>
      <w:r w:rsidR="00E5798C">
        <w:rPr>
          <w:rFonts w:ascii="Times New Roman" w:eastAsia="Times New Roman" w:hAnsi="Times New Roman" w:cs="Times New Roman"/>
          <w:sz w:val="24"/>
          <w:szCs w:val="26"/>
          <w:u w:val="single"/>
          <w:lang w:eastAsia="en-GB"/>
        </w:rPr>
        <w:t xml:space="preserve">onsumption: an analysis of </w:t>
      </w:r>
      <w:r w:rsidR="007008AC">
        <w:rPr>
          <w:rFonts w:ascii="Times New Roman" w:eastAsia="Times New Roman" w:hAnsi="Times New Roman" w:cs="Times New Roman"/>
          <w:sz w:val="24"/>
          <w:szCs w:val="26"/>
          <w:u w:val="single"/>
          <w:lang w:eastAsia="en-GB"/>
        </w:rPr>
        <w:t>84</w:t>
      </w:r>
      <w:r w:rsidR="00E5798C">
        <w:rPr>
          <w:rFonts w:ascii="Times New Roman" w:eastAsia="Times New Roman" w:hAnsi="Times New Roman" w:cs="Times New Roman"/>
          <w:sz w:val="24"/>
          <w:szCs w:val="26"/>
          <w:u w:val="single"/>
          <w:lang w:eastAsia="en-GB"/>
        </w:rPr>
        <w:t xml:space="preserve"> definitions”</w:t>
      </w:r>
      <w:r>
        <w:rPr>
          <w:rFonts w:ascii="Times New Roman" w:eastAsia="Times New Roman" w:hAnsi="Times New Roman" w:cs="Times New Roman"/>
          <w:sz w:val="24"/>
          <w:szCs w:val="26"/>
          <w:u w:val="single"/>
          <w:lang w:eastAsia="en-GB"/>
        </w:rPr>
        <w:t>.</w:t>
      </w:r>
    </w:p>
    <w:p w14:paraId="737AD0E5" w14:textId="1FFBDA6B" w:rsidR="00123293" w:rsidRPr="00123293" w:rsidRDefault="00123293" w:rsidP="00123293">
      <w:pPr>
        <w:tabs>
          <w:tab w:val="left" w:pos="3612"/>
        </w:tabs>
        <w:rPr>
          <w:rFonts w:ascii="Times New Roman" w:eastAsia="Times New Roman" w:hAnsi="Times New Roman" w:cs="Times New Roman"/>
          <w:sz w:val="24"/>
          <w:szCs w:val="26"/>
          <w:lang w:eastAsia="en-GB"/>
        </w:rPr>
        <w:sectPr w:rsidR="00123293" w:rsidRPr="00123293" w:rsidSect="00382F31">
          <w:headerReference w:type="default" r:id="rId11"/>
          <w:footerReference w:type="default" r:id="rId12"/>
          <w:pgSz w:w="16838" w:h="11906" w:orient="landscape"/>
          <w:pgMar w:top="1440" w:right="1440" w:bottom="1440" w:left="1440" w:header="709" w:footer="709" w:gutter="0"/>
          <w:cols w:space="708"/>
          <w:docGrid w:linePitch="360"/>
        </w:sectPr>
      </w:pPr>
      <w:r>
        <w:rPr>
          <w:rFonts w:ascii="Times New Roman" w:eastAsia="Times New Roman" w:hAnsi="Times New Roman" w:cs="Times New Roman"/>
          <w:sz w:val="24"/>
          <w:szCs w:val="26"/>
          <w:lang w:eastAsia="en-GB"/>
        </w:rPr>
        <w:tab/>
      </w:r>
    </w:p>
    <w:p w14:paraId="4726D359" w14:textId="5864DF0D" w:rsidR="00F050C2" w:rsidRPr="0066686C" w:rsidRDefault="00984A98" w:rsidP="00066D1C">
      <w:pPr>
        <w:spacing w:after="0" w:line="240" w:lineRule="auto"/>
        <w:rPr>
          <w:rFonts w:ascii="Times New Roman" w:eastAsia="Times New Roman" w:hAnsi="Times New Roman" w:cs="Times New Roman"/>
          <w:i/>
          <w:iCs/>
          <w:sz w:val="24"/>
          <w:szCs w:val="24"/>
          <w:lang w:val="en-GB" w:eastAsia="en-GB"/>
        </w:rPr>
      </w:pPr>
      <w:r w:rsidRPr="00F305DE">
        <w:rPr>
          <w:rFonts w:ascii="Times New Roman" w:eastAsia="Times New Roman" w:hAnsi="Times New Roman" w:cs="Times New Roman"/>
          <w:sz w:val="24"/>
          <w:szCs w:val="24"/>
          <w:lang w:val="en-GB" w:eastAsia="en-GB"/>
        </w:rPr>
        <w:lastRenderedPageBreak/>
        <w:t xml:space="preserve">Table </w:t>
      </w:r>
      <w:r w:rsidR="00382F31" w:rsidRPr="00F305DE">
        <w:rPr>
          <w:rFonts w:ascii="Times New Roman" w:eastAsia="Times New Roman" w:hAnsi="Times New Roman" w:cs="Times New Roman"/>
          <w:sz w:val="24"/>
          <w:szCs w:val="24"/>
          <w:lang w:val="en-GB" w:eastAsia="en-GB"/>
        </w:rPr>
        <w:t>1</w:t>
      </w:r>
      <w:r w:rsidR="0066686C" w:rsidRPr="00F305DE">
        <w:rPr>
          <w:rFonts w:ascii="Times New Roman" w:eastAsia="Times New Roman" w:hAnsi="Times New Roman" w:cs="Times New Roman"/>
          <w:sz w:val="24"/>
          <w:szCs w:val="24"/>
          <w:lang w:val="en-GB" w:eastAsia="en-GB"/>
        </w:rPr>
        <w:t>:</w:t>
      </w:r>
      <w:r w:rsidR="0066686C" w:rsidRPr="54F068BE">
        <w:rPr>
          <w:rFonts w:ascii="Times New Roman" w:eastAsia="Times New Roman" w:hAnsi="Times New Roman" w:cs="Times New Roman"/>
          <w:i/>
          <w:iCs/>
          <w:sz w:val="24"/>
          <w:szCs w:val="24"/>
          <w:lang w:val="en-GB" w:eastAsia="en-GB"/>
        </w:rPr>
        <w:t xml:space="preserve"> Definitions of </w:t>
      </w:r>
      <w:r w:rsidR="00382F31" w:rsidRPr="54F068BE">
        <w:rPr>
          <w:rFonts w:ascii="Times New Roman" w:eastAsia="Times New Roman" w:hAnsi="Times New Roman" w:cs="Times New Roman"/>
          <w:i/>
          <w:iCs/>
          <w:sz w:val="24"/>
          <w:szCs w:val="24"/>
          <w:lang w:val="en-GB" w:eastAsia="en-GB"/>
        </w:rPr>
        <w:t>Sustainable Food Consumption</w:t>
      </w:r>
      <w:r w:rsidR="00D67590" w:rsidRPr="54F068BE">
        <w:rPr>
          <w:rFonts w:ascii="Times New Roman" w:eastAsia="Times New Roman" w:hAnsi="Times New Roman" w:cs="Times New Roman"/>
          <w:i/>
          <w:iCs/>
          <w:sz w:val="24"/>
          <w:szCs w:val="24"/>
          <w:lang w:val="en-GB" w:eastAsia="en-GB"/>
        </w:rPr>
        <w:t xml:space="preserve"> </w:t>
      </w:r>
      <w:r w:rsidR="004E5E18" w:rsidRPr="54F068BE">
        <w:rPr>
          <w:rFonts w:ascii="Times New Roman" w:eastAsia="Times New Roman" w:hAnsi="Times New Roman" w:cs="Times New Roman"/>
          <w:i/>
          <w:iCs/>
          <w:sz w:val="24"/>
          <w:szCs w:val="24"/>
          <w:lang w:val="en-GB" w:eastAsia="en-GB"/>
        </w:rPr>
        <w:t xml:space="preserve">(SFC) </w:t>
      </w:r>
      <w:r w:rsidR="00D67590" w:rsidRPr="54F068BE">
        <w:rPr>
          <w:rFonts w:ascii="Times New Roman" w:eastAsia="Times New Roman" w:hAnsi="Times New Roman" w:cs="Times New Roman"/>
          <w:i/>
          <w:iCs/>
          <w:sz w:val="24"/>
          <w:szCs w:val="24"/>
          <w:lang w:val="en-GB" w:eastAsia="en-GB"/>
        </w:rPr>
        <w:t>and neighbouring constructs.</w:t>
      </w:r>
      <w:r w:rsidR="00AE6274" w:rsidRPr="54F068BE">
        <w:rPr>
          <w:rFonts w:ascii="Times New Roman" w:eastAsia="Times New Roman" w:hAnsi="Times New Roman" w:cs="Times New Roman"/>
          <w:i/>
          <w:iCs/>
          <w:sz w:val="24"/>
          <w:szCs w:val="24"/>
          <w:lang w:val="en-GB" w:eastAsia="en-GB"/>
        </w:rPr>
        <w:t xml:space="preserve"> </w:t>
      </w:r>
    </w:p>
    <w:p w14:paraId="49ACC37F" w14:textId="32914DDA" w:rsidR="00F050C2" w:rsidRPr="006C6FD4" w:rsidRDefault="00F050C2" w:rsidP="00066D1C">
      <w:pPr>
        <w:spacing w:after="0" w:line="240" w:lineRule="auto"/>
        <w:rPr>
          <w:rFonts w:ascii="Times New Roman" w:eastAsia="Times New Roman" w:hAnsi="Times New Roman" w:cs="Times New Roman"/>
          <w:sz w:val="24"/>
          <w:szCs w:val="24"/>
          <w:lang w:val="en-GB" w:eastAsia="en-GB"/>
        </w:rPr>
      </w:pPr>
    </w:p>
    <w:tbl>
      <w:tblPr>
        <w:tblStyle w:val="PlainTable2"/>
        <w:tblW w:w="0" w:type="auto"/>
        <w:tblLook w:val="04A0" w:firstRow="1" w:lastRow="0" w:firstColumn="1" w:lastColumn="0" w:noHBand="0" w:noVBand="1"/>
      </w:tblPr>
      <w:tblGrid>
        <w:gridCol w:w="456"/>
        <w:gridCol w:w="2158"/>
        <w:gridCol w:w="11344"/>
      </w:tblGrid>
      <w:tr w:rsidR="00B55CDE" w:rsidRPr="0066686C" w14:paraId="579848ED" w14:textId="77777777" w:rsidTr="54F068BE">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0" w:type="auto"/>
            <w:noWrap/>
          </w:tcPr>
          <w:p w14:paraId="03D4C4F8" w14:textId="77777777" w:rsidR="00023D9C" w:rsidRPr="0066686C" w:rsidRDefault="00023D9C" w:rsidP="00606B72">
            <w:pPr>
              <w:spacing w:before="60" w:after="60" w:line="264" w:lineRule="auto"/>
              <w:rPr>
                <w:rFonts w:ascii="Times New Roman" w:eastAsia="Times New Roman" w:hAnsi="Times New Roman" w:cs="Times New Roman"/>
                <w:color w:val="000000"/>
                <w:sz w:val="24"/>
                <w:szCs w:val="24"/>
                <w:lang w:val="nl-NL" w:eastAsia="nl-NL"/>
              </w:rPr>
            </w:pPr>
            <w:r w:rsidRPr="0066686C">
              <w:rPr>
                <w:rFonts w:ascii="Times New Roman" w:eastAsia="Times New Roman" w:hAnsi="Times New Roman" w:cs="Times New Roman"/>
                <w:color w:val="000000"/>
                <w:sz w:val="24"/>
                <w:szCs w:val="24"/>
                <w:lang w:val="nl-NL" w:eastAsia="nl-NL"/>
              </w:rPr>
              <w:t>#</w:t>
            </w:r>
          </w:p>
        </w:tc>
        <w:tc>
          <w:tcPr>
            <w:tcW w:w="0" w:type="auto"/>
          </w:tcPr>
          <w:p w14:paraId="14950BCE" w14:textId="77777777" w:rsidR="00023D9C" w:rsidRPr="0066686C" w:rsidRDefault="00023D9C" w:rsidP="00606B72">
            <w:pPr>
              <w:spacing w:before="60" w:after="60" w:line="264"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r w:rsidRPr="0066686C">
              <w:rPr>
                <w:rFonts w:ascii="Times New Roman" w:eastAsia="Times New Roman" w:hAnsi="Times New Roman" w:cs="Times New Roman"/>
                <w:color w:val="000000"/>
                <w:sz w:val="24"/>
                <w:szCs w:val="24"/>
                <w:lang w:val="nl-NL" w:eastAsia="nl-NL"/>
              </w:rPr>
              <w:t>Source</w:t>
            </w:r>
          </w:p>
        </w:tc>
        <w:tc>
          <w:tcPr>
            <w:tcW w:w="0" w:type="auto"/>
          </w:tcPr>
          <w:p w14:paraId="34F289AC" w14:textId="77777777" w:rsidR="00023D9C" w:rsidRPr="0066686C" w:rsidRDefault="00023D9C" w:rsidP="00606B72">
            <w:pPr>
              <w:spacing w:before="60" w:after="60" w:line="264"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66686C">
              <w:rPr>
                <w:rFonts w:ascii="Times New Roman" w:eastAsia="Times New Roman" w:hAnsi="Times New Roman" w:cs="Times New Roman"/>
                <w:color w:val="000000"/>
                <w:sz w:val="24"/>
                <w:szCs w:val="24"/>
                <w:lang w:eastAsia="nl-NL"/>
              </w:rPr>
              <w:t>Definition</w:t>
            </w:r>
          </w:p>
        </w:tc>
      </w:tr>
      <w:tr w:rsidR="00B55CDE" w:rsidRPr="0066686C" w14:paraId="4044939C" w14:textId="77777777" w:rsidTr="54F068BE">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83283D8" w14:textId="77777777" w:rsidR="00155A8B" w:rsidRPr="005205D3" w:rsidRDefault="00026566" w:rsidP="00A93AB2">
            <w:pPr>
              <w:spacing w:before="60" w:after="60" w:line="264" w:lineRule="auto"/>
              <w:jc w:val="right"/>
              <w:rPr>
                <w:rFonts w:ascii="Times New Roman" w:eastAsia="Times New Roman" w:hAnsi="Times New Roman" w:cs="Times New Roman"/>
                <w:b w:val="0"/>
                <w:color w:val="000000"/>
                <w:sz w:val="24"/>
                <w:szCs w:val="24"/>
                <w:lang w:val="nl-NL" w:eastAsia="nl-NL"/>
              </w:rPr>
            </w:pPr>
            <w:r w:rsidRPr="005205D3">
              <w:rPr>
                <w:rFonts w:ascii="Times New Roman" w:eastAsia="Times New Roman" w:hAnsi="Times New Roman" w:cs="Times New Roman"/>
                <w:b w:val="0"/>
                <w:color w:val="000000"/>
                <w:sz w:val="24"/>
                <w:szCs w:val="24"/>
                <w:lang w:val="nl-NL" w:eastAsia="nl-NL"/>
              </w:rPr>
              <w:t>1</w:t>
            </w:r>
          </w:p>
        </w:tc>
        <w:tc>
          <w:tcPr>
            <w:tcW w:w="0" w:type="auto"/>
            <w:hideMark/>
          </w:tcPr>
          <w:p w14:paraId="14F89D7C" w14:textId="5B976504" w:rsidR="00155A8B" w:rsidRPr="00FE70C7" w:rsidRDefault="00155A8B" w:rsidP="00A93AB2">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r w:rsidRPr="005205D3">
              <w:rPr>
                <w:rFonts w:ascii="Times New Roman" w:eastAsia="Times New Roman" w:hAnsi="Times New Roman" w:cs="Times New Roman"/>
                <w:color w:val="000000"/>
                <w:sz w:val="24"/>
                <w:szCs w:val="24"/>
                <w:lang w:val="nl-NL" w:eastAsia="nl-NL"/>
              </w:rPr>
              <w:fldChar w:fldCharType="begin" w:fldLock="1"/>
            </w:r>
            <w:r w:rsidRPr="00FE70C7">
              <w:rPr>
                <w:rFonts w:ascii="Times New Roman" w:eastAsia="Times New Roman" w:hAnsi="Times New Roman" w:cs="Times New Roman"/>
                <w:color w:val="000000"/>
                <w:sz w:val="24"/>
                <w:szCs w:val="24"/>
                <w:lang w:val="nl-NL" w:eastAsia="nl-NL"/>
              </w:rPr>
              <w:instrText>ADDIN CSL_CITATION { "citationItems" : [ { "id" : "ITEM-1", "itemData" : { "URL" : "http://www.circular.academy/circular-economy-some-definitions/", "author" : [ { "dropping-particle" : "", "family" : "Aldersgate", "given" : "", "non-dropping-particle" : "", "parse-names" : false, "suffix" : "" } ], "id" : "ITEM-1", "issued" : { "date-parts" : [ [ "2012" ] ] }, "title" : "Circular economy: some definitions", "type" : "webpage" }, "uris" : [ "http://www.mendeley.com/documents/?uuid=8270c92f-14c3-43e2-af8d-cd9bb062b2f1" ] } ], "mendeley" : { "formattedCitation" : "(Aldersgate, 2012)", "manualFormatting" : "Aldersgate (2012)", "plainTextFormattedCitation" : "(Aldersgate, 2012)", "previouslyFormattedCitation" : "(Aldersgate, 2012)" }, "properties" : { "noteIndex" : 0 }, "schema" : "https://github.com/citation-style-language/schema/raw/master/csl-citation.json" }</w:instrText>
            </w:r>
            <w:r w:rsidRPr="005205D3">
              <w:rPr>
                <w:rFonts w:ascii="Times New Roman" w:eastAsia="Times New Roman" w:hAnsi="Times New Roman" w:cs="Times New Roman"/>
                <w:color w:val="000000"/>
                <w:sz w:val="24"/>
                <w:szCs w:val="24"/>
                <w:lang w:val="nl-NL" w:eastAsia="nl-NL"/>
              </w:rPr>
              <w:fldChar w:fldCharType="separate"/>
            </w:r>
            <w:r w:rsidR="00382F31" w:rsidRPr="00FE70C7">
              <w:rPr>
                <w:rFonts w:ascii="Times New Roman" w:eastAsia="Times New Roman" w:hAnsi="Times New Roman" w:cs="Times New Roman"/>
                <w:noProof/>
                <w:color w:val="000000"/>
                <w:sz w:val="24"/>
                <w:szCs w:val="24"/>
                <w:lang w:val="nl-NL" w:eastAsia="nl-NL"/>
              </w:rPr>
              <w:t xml:space="preserve">Agguire </w:t>
            </w:r>
            <w:r w:rsidR="00690268" w:rsidRPr="00FE70C7">
              <w:rPr>
                <w:rFonts w:ascii="Times New Roman" w:eastAsia="Times New Roman" w:hAnsi="Times New Roman" w:cs="Times New Roman"/>
                <w:noProof/>
                <w:color w:val="000000"/>
                <w:sz w:val="24"/>
                <w:szCs w:val="24"/>
                <w:lang w:val="nl-NL" w:eastAsia="nl-NL"/>
              </w:rPr>
              <w:t xml:space="preserve">Sánchez </w:t>
            </w:r>
            <w:r w:rsidR="00382F31" w:rsidRPr="00FE70C7">
              <w:rPr>
                <w:rFonts w:ascii="Times New Roman" w:eastAsia="Times New Roman" w:hAnsi="Times New Roman" w:cs="Times New Roman"/>
                <w:noProof/>
                <w:color w:val="000000"/>
                <w:sz w:val="24"/>
                <w:szCs w:val="24"/>
                <w:lang w:val="nl-NL" w:eastAsia="nl-NL"/>
              </w:rPr>
              <w:t>et al.</w:t>
            </w:r>
            <w:r w:rsidRPr="00FE70C7">
              <w:rPr>
                <w:rFonts w:ascii="Times New Roman" w:eastAsia="Times New Roman" w:hAnsi="Times New Roman" w:cs="Times New Roman"/>
                <w:noProof/>
                <w:color w:val="000000"/>
                <w:sz w:val="24"/>
                <w:szCs w:val="24"/>
                <w:lang w:val="nl-NL" w:eastAsia="nl-NL"/>
              </w:rPr>
              <w:t xml:space="preserve"> (20</w:t>
            </w:r>
            <w:r w:rsidR="00382F31" w:rsidRPr="00FE70C7">
              <w:rPr>
                <w:rFonts w:ascii="Times New Roman" w:eastAsia="Times New Roman" w:hAnsi="Times New Roman" w:cs="Times New Roman"/>
                <w:noProof/>
                <w:color w:val="000000"/>
                <w:sz w:val="24"/>
                <w:szCs w:val="24"/>
                <w:lang w:val="nl-NL" w:eastAsia="nl-NL"/>
              </w:rPr>
              <w:t>21</w:t>
            </w:r>
            <w:r w:rsidR="00D67590" w:rsidRPr="00FE70C7">
              <w:rPr>
                <w:rFonts w:ascii="Times New Roman" w:eastAsia="Times New Roman" w:hAnsi="Times New Roman" w:cs="Times New Roman"/>
                <w:noProof/>
                <w:color w:val="000000"/>
                <w:sz w:val="24"/>
                <w:szCs w:val="24"/>
                <w:lang w:val="nl-NL" w:eastAsia="nl-NL"/>
              </w:rPr>
              <w:t>, p. 2</w:t>
            </w:r>
            <w:r w:rsidRPr="00FE70C7">
              <w:rPr>
                <w:rFonts w:ascii="Times New Roman" w:eastAsia="Times New Roman" w:hAnsi="Times New Roman" w:cs="Times New Roman"/>
                <w:noProof/>
                <w:color w:val="000000"/>
                <w:sz w:val="24"/>
                <w:szCs w:val="24"/>
                <w:lang w:val="nl-NL" w:eastAsia="nl-NL"/>
              </w:rPr>
              <w:t>)</w:t>
            </w:r>
            <w:r w:rsidRPr="005205D3">
              <w:rPr>
                <w:rFonts w:ascii="Times New Roman" w:eastAsia="Times New Roman" w:hAnsi="Times New Roman" w:cs="Times New Roman"/>
                <w:color w:val="000000"/>
                <w:sz w:val="24"/>
                <w:szCs w:val="24"/>
                <w:lang w:val="nl-NL" w:eastAsia="nl-NL"/>
              </w:rPr>
              <w:fldChar w:fldCharType="end"/>
            </w:r>
          </w:p>
        </w:tc>
        <w:tc>
          <w:tcPr>
            <w:tcW w:w="0" w:type="auto"/>
          </w:tcPr>
          <w:p w14:paraId="20BE5160" w14:textId="6D7BC345" w:rsidR="00155A8B" w:rsidRPr="005205D3" w:rsidRDefault="00382F31" w:rsidP="00382F31">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171717"/>
                <w:sz w:val="24"/>
                <w:szCs w:val="24"/>
                <w:lang w:eastAsia="nl-NL"/>
              </w:rPr>
            </w:pPr>
            <w:r w:rsidRPr="005205D3">
              <w:rPr>
                <w:rFonts w:ascii="Times New Roman" w:eastAsia="Times New Roman" w:hAnsi="Times New Roman" w:cs="Times New Roman"/>
                <w:color w:val="171717"/>
                <w:sz w:val="24"/>
                <w:szCs w:val="24"/>
                <w:lang w:eastAsia="nl-NL"/>
              </w:rPr>
              <w:t>FAO defines sustainable diets as those with “low environmental impacts which contribute to food and nutrition security and to healthy life for present and future generations [. . .]” [5], in line with earlier definitions of sustainable consumption [6]. The EAT-Lancet Commission proposes a healthy diet from sustainable food systems [3], identifying three main spheres for food system transformation: improvements in production, widespread change in dietary patterns, and waste reduction. However, to date, there is no operational and widely accepted definition of sustainable food consumption behaviours, and the factors associated remain unclear.</w:t>
            </w:r>
          </w:p>
        </w:tc>
      </w:tr>
      <w:tr w:rsidR="00B55CDE" w:rsidRPr="002A5BC2" w14:paraId="4FB3503F" w14:textId="77777777" w:rsidTr="54F068BE">
        <w:trPr>
          <w:trHeight w:val="431"/>
        </w:trPr>
        <w:tc>
          <w:tcPr>
            <w:cnfStyle w:val="001000000000" w:firstRow="0" w:lastRow="0" w:firstColumn="1" w:lastColumn="0" w:oddVBand="0" w:evenVBand="0" w:oddHBand="0" w:evenHBand="0" w:firstRowFirstColumn="0" w:firstRowLastColumn="0" w:lastRowFirstColumn="0" w:lastRowLastColumn="0"/>
            <w:tcW w:w="0" w:type="auto"/>
            <w:noWrap/>
          </w:tcPr>
          <w:p w14:paraId="21DFA94E" w14:textId="77777777" w:rsidR="00023D9C" w:rsidRPr="005205D3" w:rsidRDefault="00026566" w:rsidP="00023D9C">
            <w:pPr>
              <w:spacing w:before="60" w:after="60" w:line="264" w:lineRule="auto"/>
              <w:jc w:val="right"/>
              <w:rPr>
                <w:rFonts w:ascii="Times New Roman" w:eastAsia="Times New Roman" w:hAnsi="Times New Roman" w:cs="Times New Roman"/>
                <w:b w:val="0"/>
                <w:color w:val="000000"/>
                <w:sz w:val="24"/>
                <w:szCs w:val="24"/>
                <w:lang w:val="nl-NL" w:eastAsia="nl-NL"/>
              </w:rPr>
            </w:pPr>
            <w:r w:rsidRPr="005205D3">
              <w:rPr>
                <w:rFonts w:ascii="Times New Roman" w:eastAsia="Times New Roman" w:hAnsi="Times New Roman" w:cs="Times New Roman"/>
                <w:b w:val="0"/>
                <w:color w:val="000000"/>
                <w:sz w:val="24"/>
                <w:szCs w:val="24"/>
                <w:lang w:val="nl-NL" w:eastAsia="nl-NL"/>
              </w:rPr>
              <w:t>2</w:t>
            </w:r>
          </w:p>
        </w:tc>
        <w:tc>
          <w:tcPr>
            <w:tcW w:w="0" w:type="auto"/>
          </w:tcPr>
          <w:p w14:paraId="1C6EE2D0" w14:textId="5E29C185" w:rsidR="00023D9C" w:rsidRPr="00E9486F" w:rsidRDefault="00023D9C" w:rsidP="00023D9C">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val="nl-NL" w:eastAsia="nl-NL"/>
              </w:rPr>
              <w:fldChar w:fldCharType="begin" w:fldLock="1"/>
            </w:r>
            <w:r w:rsidRPr="005205D3">
              <w:rPr>
                <w:rFonts w:ascii="Times New Roman" w:eastAsia="Times New Roman" w:hAnsi="Times New Roman" w:cs="Times New Roman"/>
                <w:color w:val="000000"/>
                <w:sz w:val="24"/>
                <w:szCs w:val="24"/>
                <w:lang w:val="nl-NL" w:eastAsia="nl-NL"/>
              </w:rPr>
              <w:instrText>ADDIN CSL_CITATION { "citationItems" : [ { "id" : "ITEM-1", "itemData" : { "DOI" : "10.1016/j.resconrec.2010.11.002", "ISSN" : "09213449", "abstract" : "For most materials used to provide buildings, infrastructure, equipment and products, global stocks are still sufficient to meet anticipated demand, but the environmental impacts of materials production and processing, particularly those related to energy, are rapidly becoming critical. These impacts can be ameliorated to some extent by the ongoing pursuit of efficiencies within existing processes, but demand is anticipated to double in the next 40 years, and this will lead to an unacceptable increase in overall impacts unless the total requirement for material production and processing is reduced. This is the goal of material efficiency, and this paper aims to stimulate interest in the area. Four major strategies for reducing material demand through material efficiency are discussed: longer-lasting products; modularisation and remanufacturing; component re-use; designing products with less material. In industrialised nations, these strategies have had little attention, because of economic, regulatory and social barriers, which are each examined. However, evidence from waste management and the pursuit of energy efficiency suggests that these barriers might be overcome, and an outline of potential mechanisms for change is given. In bringing together insights into material efficiency from a wide range of disc</w:instrText>
            </w:r>
            <w:r w:rsidRPr="00E9486F">
              <w:rPr>
                <w:rFonts w:ascii="Times New Roman" w:eastAsia="Times New Roman" w:hAnsi="Times New Roman" w:cs="Times New Roman"/>
                <w:color w:val="000000"/>
                <w:sz w:val="24"/>
                <w:szCs w:val="24"/>
                <w:lang w:eastAsia="nl-NL"/>
              </w:rPr>
              <w:instrText>iplines, the paper presents a set of 20 open questions for future work.", "author" : [ { "dropping-particle" : "", "family" : "Allwood", "given" : "Julian M.", "non-dropping-particle" : "", "parse-names" : false, "suffix" : "" }, { "dropping-particle" : "", "family" : "Ashby", "given" : "Michael F.", "non-dropping-particle" : "", "parse-names" : false, "suffix" : "" }, { "dropping-particle" : "", "family" : "Gutowski", "given" : "Timothy G.", "non-dropping-particle" : "", "parse-names" : false, "suffix" : "" }, { "dropping-particle" : "", "family" : "Worrell", "given" : "Ernst", "non-dropping-particle" : "", "parse-names" : false, "suffix" : "" } ], "container-title" : "Resources, Conservation and Recycling", "id" : "ITEM-1", "issue" : "3", "issued" : { "date-parts" : [ [ "2011" ] ] }, "page" : "362-381", "title" : "Material efficiency: A white paper", "type" : "article-journal", "volume" : "55" }, "locator" : "368", "uris" : [ "http://www.mendeley.com/documents/?uuid=34e72344-5f8f-3a34-b311-287ef4a8d6bb" ] } ], "mendeley" : { "formattedCitation" : "(Allwood, Ashby, Gutowski, &amp; Worrell, 2011, p. 368)", "manualFormatting" : "Allwood, Ashby, Gutowski, &amp; Worrell (2011, p. 368)", "plainTextFormattedCitation" : "(Allwood, Ashby, Gutowski, &amp; Worrell, 2011, p. 368)", "previouslyFormattedCitation" : "(Allwood, Ashby, Gutowski, &amp; Worrell, 2011, p. 368)" }, "properties" : { "noteIndex" : 0 }, "schema" : "https://github.com/citation-style-language/schema/raw/master/csl-citation.json" }</w:instrText>
            </w:r>
            <w:r w:rsidRPr="005205D3">
              <w:rPr>
                <w:rFonts w:ascii="Times New Roman" w:eastAsia="Times New Roman" w:hAnsi="Times New Roman" w:cs="Times New Roman"/>
                <w:color w:val="000000"/>
                <w:sz w:val="24"/>
                <w:szCs w:val="24"/>
                <w:lang w:val="nl-NL" w:eastAsia="nl-NL"/>
              </w:rPr>
              <w:fldChar w:fldCharType="separate"/>
            </w:r>
            <w:r w:rsidRPr="00E9486F">
              <w:rPr>
                <w:rFonts w:ascii="Times New Roman" w:eastAsia="Times New Roman" w:hAnsi="Times New Roman" w:cs="Times New Roman"/>
                <w:noProof/>
                <w:color w:val="000000"/>
                <w:sz w:val="24"/>
                <w:szCs w:val="24"/>
                <w:lang w:eastAsia="nl-NL"/>
              </w:rPr>
              <w:t>Al</w:t>
            </w:r>
            <w:r w:rsidR="00D67590" w:rsidRPr="00E9486F">
              <w:rPr>
                <w:rFonts w:ascii="Times New Roman" w:eastAsia="Times New Roman" w:hAnsi="Times New Roman" w:cs="Times New Roman"/>
                <w:noProof/>
                <w:color w:val="000000"/>
                <w:sz w:val="24"/>
                <w:szCs w:val="24"/>
                <w:lang w:eastAsia="nl-NL"/>
              </w:rPr>
              <w:t>am et al., 2020</w:t>
            </w:r>
            <w:r w:rsidRPr="00E9486F">
              <w:rPr>
                <w:rFonts w:ascii="Times New Roman" w:eastAsia="Times New Roman" w:hAnsi="Times New Roman" w:cs="Times New Roman"/>
                <w:noProof/>
                <w:color w:val="000000"/>
                <w:sz w:val="24"/>
                <w:szCs w:val="24"/>
                <w:lang w:eastAsia="nl-NL"/>
              </w:rPr>
              <w:t xml:space="preserve"> (20</w:t>
            </w:r>
            <w:r w:rsidR="00D67590" w:rsidRPr="00E9486F">
              <w:rPr>
                <w:rFonts w:ascii="Times New Roman" w:eastAsia="Times New Roman" w:hAnsi="Times New Roman" w:cs="Times New Roman"/>
                <w:noProof/>
                <w:color w:val="000000"/>
                <w:sz w:val="24"/>
                <w:szCs w:val="24"/>
                <w:lang w:eastAsia="nl-NL"/>
              </w:rPr>
              <w:t>20</w:t>
            </w:r>
            <w:r w:rsidRPr="00E9486F">
              <w:rPr>
                <w:rFonts w:ascii="Times New Roman" w:eastAsia="Times New Roman" w:hAnsi="Times New Roman" w:cs="Times New Roman"/>
                <w:noProof/>
                <w:color w:val="000000"/>
                <w:sz w:val="24"/>
                <w:szCs w:val="24"/>
                <w:lang w:eastAsia="nl-NL"/>
              </w:rPr>
              <w:t>, p.</w:t>
            </w:r>
            <w:r w:rsidR="00D67590" w:rsidRPr="00E9486F">
              <w:rPr>
                <w:rFonts w:ascii="Times New Roman" w:eastAsia="Times New Roman" w:hAnsi="Times New Roman" w:cs="Times New Roman"/>
                <w:noProof/>
                <w:color w:val="000000"/>
                <w:sz w:val="24"/>
                <w:szCs w:val="24"/>
                <w:lang w:eastAsia="nl-NL"/>
              </w:rPr>
              <w:t>1</w:t>
            </w:r>
            <w:r w:rsidRPr="00E9486F">
              <w:rPr>
                <w:rFonts w:ascii="Times New Roman" w:eastAsia="Times New Roman" w:hAnsi="Times New Roman" w:cs="Times New Roman"/>
                <w:noProof/>
                <w:color w:val="000000"/>
                <w:sz w:val="24"/>
                <w:szCs w:val="24"/>
                <w:lang w:eastAsia="nl-NL"/>
              </w:rPr>
              <w:t>)</w:t>
            </w:r>
            <w:r w:rsidRPr="005205D3">
              <w:rPr>
                <w:rFonts w:ascii="Times New Roman" w:eastAsia="Times New Roman" w:hAnsi="Times New Roman" w:cs="Times New Roman"/>
                <w:color w:val="000000"/>
                <w:sz w:val="24"/>
                <w:szCs w:val="24"/>
                <w:lang w:val="nl-NL" w:eastAsia="nl-NL"/>
              </w:rPr>
              <w:fldChar w:fldCharType="end"/>
            </w:r>
          </w:p>
        </w:tc>
        <w:tc>
          <w:tcPr>
            <w:tcW w:w="0" w:type="auto"/>
          </w:tcPr>
          <w:p w14:paraId="6500185B" w14:textId="4E338EE1" w:rsidR="00023D9C" w:rsidRPr="00E9486F" w:rsidRDefault="00382F31" w:rsidP="00382F31">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E9486F">
              <w:rPr>
                <w:rFonts w:ascii="Times New Roman" w:eastAsia="Times New Roman" w:hAnsi="Times New Roman" w:cs="Times New Roman"/>
                <w:color w:val="000000"/>
                <w:sz w:val="24"/>
                <w:szCs w:val="24"/>
                <w:lang w:eastAsia="nl-NL"/>
              </w:rPr>
              <w:t xml:space="preserve">Sustainable food is an emerging concept and has provided a quite varied arrangement of policy suggestions and definitions [4–6]. This is according to </w:t>
            </w:r>
            <w:proofErr w:type="spellStart"/>
            <w:r w:rsidRPr="00E9486F">
              <w:rPr>
                <w:rFonts w:ascii="Times New Roman" w:eastAsia="Times New Roman" w:hAnsi="Times New Roman" w:cs="Times New Roman"/>
                <w:color w:val="000000"/>
                <w:sz w:val="24"/>
                <w:szCs w:val="24"/>
                <w:lang w:eastAsia="nl-NL"/>
              </w:rPr>
              <w:t>Gorgitano</w:t>
            </w:r>
            <w:proofErr w:type="spellEnd"/>
            <w:r w:rsidRPr="00E9486F">
              <w:rPr>
                <w:rFonts w:ascii="Times New Roman" w:eastAsia="Times New Roman" w:hAnsi="Times New Roman" w:cs="Times New Roman"/>
                <w:color w:val="000000"/>
                <w:sz w:val="24"/>
                <w:szCs w:val="24"/>
                <w:lang w:eastAsia="nl-NL"/>
              </w:rPr>
              <w:t xml:space="preserve"> and Sodano’s [4] definition, that sustainable food should “meet safety, political and environmental requirements, such as safe, healthy, and nutritious diets for everyone; viable livelihood for farmers, processors, and retailers; animal welfare; environment protection; biodiversity safeguard; energy saving; minimum waste”.</w:t>
            </w:r>
          </w:p>
        </w:tc>
      </w:tr>
      <w:tr w:rsidR="00B55CDE" w:rsidRPr="0066686C" w14:paraId="5EFE1A27" w14:textId="77777777" w:rsidTr="54F068BE">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0" w:type="auto"/>
            <w:noWrap/>
          </w:tcPr>
          <w:p w14:paraId="2D1A5E06" w14:textId="77777777" w:rsidR="00155A8B" w:rsidRPr="00E9486F" w:rsidRDefault="00026566" w:rsidP="00155A8B">
            <w:pPr>
              <w:spacing w:before="60" w:after="60" w:line="264" w:lineRule="auto"/>
              <w:jc w:val="right"/>
              <w:rPr>
                <w:rFonts w:ascii="Times New Roman" w:eastAsia="Times New Roman" w:hAnsi="Times New Roman" w:cs="Times New Roman"/>
                <w:b w:val="0"/>
                <w:color w:val="000000"/>
                <w:sz w:val="24"/>
                <w:szCs w:val="24"/>
                <w:lang w:eastAsia="nl-NL"/>
              </w:rPr>
            </w:pPr>
            <w:r w:rsidRPr="00E9486F">
              <w:rPr>
                <w:rFonts w:ascii="Times New Roman" w:eastAsia="Times New Roman" w:hAnsi="Times New Roman" w:cs="Times New Roman"/>
                <w:b w:val="0"/>
                <w:color w:val="000000"/>
                <w:sz w:val="24"/>
                <w:szCs w:val="24"/>
                <w:lang w:eastAsia="nl-NL"/>
              </w:rPr>
              <w:t>3</w:t>
            </w:r>
          </w:p>
        </w:tc>
        <w:tc>
          <w:tcPr>
            <w:tcW w:w="0" w:type="auto"/>
          </w:tcPr>
          <w:p w14:paraId="6795DD8D" w14:textId="3EFB85B8" w:rsidR="00155A8B" w:rsidRPr="005205D3" w:rsidRDefault="00155A8B" w:rsidP="00155A8B">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r w:rsidRPr="005205D3">
              <w:rPr>
                <w:rFonts w:ascii="Times New Roman" w:eastAsia="Times New Roman" w:hAnsi="Times New Roman" w:cs="Times New Roman"/>
                <w:color w:val="000000"/>
                <w:sz w:val="24"/>
                <w:szCs w:val="24"/>
                <w:lang w:val="nl-NL" w:eastAsia="nl-NL"/>
              </w:rPr>
              <w:fldChar w:fldCharType="begin" w:fldLock="1"/>
            </w:r>
            <w:r w:rsidRPr="00E9486F">
              <w:rPr>
                <w:rFonts w:ascii="Times New Roman" w:eastAsia="Times New Roman" w:hAnsi="Times New Roman" w:cs="Times New Roman"/>
                <w:color w:val="000000"/>
                <w:sz w:val="24"/>
                <w:szCs w:val="24"/>
                <w:lang w:eastAsia="nl-NL"/>
              </w:rPr>
              <w:instrText>ADDIN CSL_CITATION { "citationItems" : [ { "id" : "ITEM-1", "itemData" : { "DOI" : "10.1007/s11625-006-0013-6", "ISSN" : "1862-4065", "author" : [ { "dropping-particle" : "", "family" : "Andersen", "given" : "Mikael Skou", "non-dropping-particle" : "", "parse-names" : false, "suffix" : "" } ], "container-title" : "Sustainability Science", "id" : "ITEM-1", "issue" : "1", "issued" : { "date-parts" : [ [ "2007", "3", "28" ] ] }, "page" : "133-140", "publisher" : "Springer-Verlag", "title" : "An introductory note on the environmental economics of the circular economy", "type" : "article-journal", "volume" : "2" }, "locator" : "133", "uris" : [ "http://www.mendeley.com/documents/?uuid=f00c2858-d6d5-3489-a9e2-92d469f7e26d" ] } ], "mendeley" : { "formattedCitation" : "(Andersen, 2007, p. 133)", "manualFormatting" : "Andersen (2007, p. 133)", "plainTextFormattedCitation" : "(Andersen, 2007, p. 133)", "previouslyFormattedCitation" : "</w:instrText>
            </w:r>
            <w:r w:rsidRPr="005205D3">
              <w:rPr>
                <w:rFonts w:ascii="Times New Roman" w:eastAsia="Times New Roman" w:hAnsi="Times New Roman" w:cs="Times New Roman"/>
                <w:color w:val="000000"/>
                <w:sz w:val="24"/>
                <w:szCs w:val="24"/>
                <w:lang w:eastAsia="nl-NL"/>
              </w:rPr>
              <w:instrText>(Andersen, 2007, p. 133)" }, "properties" : { "noteIndex" : 0 }, "schema" : "https://github.com/citation-style-language/schema/raw/master/csl-citation.json" }</w:instrText>
            </w:r>
            <w:r w:rsidRPr="005205D3">
              <w:rPr>
                <w:rFonts w:ascii="Times New Roman" w:eastAsia="Times New Roman" w:hAnsi="Times New Roman" w:cs="Times New Roman"/>
                <w:color w:val="000000"/>
                <w:sz w:val="24"/>
                <w:szCs w:val="24"/>
                <w:lang w:val="nl-NL" w:eastAsia="nl-NL"/>
              </w:rPr>
              <w:fldChar w:fldCharType="separate"/>
            </w:r>
            <w:r w:rsidRPr="005205D3">
              <w:rPr>
                <w:rFonts w:ascii="Times New Roman" w:eastAsia="Times New Roman" w:hAnsi="Times New Roman" w:cs="Times New Roman"/>
                <w:noProof/>
                <w:color w:val="000000"/>
                <w:sz w:val="24"/>
                <w:szCs w:val="24"/>
                <w:lang w:eastAsia="nl-NL"/>
              </w:rPr>
              <w:t>A</w:t>
            </w:r>
            <w:r w:rsidR="00D67590" w:rsidRPr="005205D3">
              <w:rPr>
                <w:rFonts w:ascii="Times New Roman" w:eastAsia="Times New Roman" w:hAnsi="Times New Roman" w:cs="Times New Roman"/>
                <w:noProof/>
                <w:color w:val="000000"/>
                <w:sz w:val="24"/>
                <w:szCs w:val="24"/>
                <w:lang w:eastAsia="nl-NL"/>
              </w:rPr>
              <w:t>mmann et al.</w:t>
            </w:r>
            <w:r w:rsidRPr="005205D3">
              <w:rPr>
                <w:rFonts w:ascii="Times New Roman" w:eastAsia="Times New Roman" w:hAnsi="Times New Roman" w:cs="Times New Roman"/>
                <w:noProof/>
                <w:color w:val="000000"/>
                <w:sz w:val="24"/>
                <w:szCs w:val="24"/>
                <w:lang w:eastAsia="nl-NL"/>
              </w:rPr>
              <w:t xml:space="preserve"> </w:t>
            </w:r>
            <w:r w:rsidRPr="005205D3">
              <w:rPr>
                <w:rFonts w:ascii="Times New Roman" w:eastAsia="Times New Roman" w:hAnsi="Times New Roman" w:cs="Times New Roman"/>
                <w:noProof/>
                <w:color w:val="000000"/>
                <w:sz w:val="24"/>
                <w:szCs w:val="24"/>
                <w:lang w:val="nl-NL" w:eastAsia="nl-NL"/>
              </w:rPr>
              <w:t>(20</w:t>
            </w:r>
            <w:r w:rsidR="00D67590" w:rsidRPr="005205D3">
              <w:rPr>
                <w:rFonts w:ascii="Times New Roman" w:eastAsia="Times New Roman" w:hAnsi="Times New Roman" w:cs="Times New Roman"/>
                <w:noProof/>
                <w:color w:val="000000"/>
                <w:sz w:val="24"/>
                <w:szCs w:val="24"/>
                <w:lang w:val="nl-NL" w:eastAsia="nl-NL"/>
              </w:rPr>
              <w:t>23</w:t>
            </w:r>
            <w:r w:rsidRPr="005205D3">
              <w:rPr>
                <w:rFonts w:ascii="Times New Roman" w:eastAsia="Times New Roman" w:hAnsi="Times New Roman" w:cs="Times New Roman"/>
                <w:noProof/>
                <w:color w:val="000000"/>
                <w:sz w:val="24"/>
                <w:szCs w:val="24"/>
                <w:lang w:val="nl-NL" w:eastAsia="nl-NL"/>
              </w:rPr>
              <w:t xml:space="preserve">, p. </w:t>
            </w:r>
            <w:r w:rsidR="00D67590" w:rsidRPr="005205D3">
              <w:rPr>
                <w:rFonts w:ascii="Times New Roman" w:eastAsia="Times New Roman" w:hAnsi="Times New Roman" w:cs="Times New Roman"/>
                <w:noProof/>
                <w:color w:val="000000"/>
                <w:sz w:val="24"/>
                <w:szCs w:val="24"/>
                <w:lang w:val="nl-NL" w:eastAsia="nl-NL"/>
              </w:rPr>
              <w:t>339</w:t>
            </w:r>
            <w:r w:rsidRPr="005205D3">
              <w:rPr>
                <w:rFonts w:ascii="Times New Roman" w:eastAsia="Times New Roman" w:hAnsi="Times New Roman" w:cs="Times New Roman"/>
                <w:noProof/>
                <w:color w:val="000000"/>
                <w:sz w:val="24"/>
                <w:szCs w:val="24"/>
                <w:lang w:val="nl-NL" w:eastAsia="nl-NL"/>
              </w:rPr>
              <w:t>)</w:t>
            </w:r>
            <w:r w:rsidRPr="005205D3">
              <w:rPr>
                <w:rFonts w:ascii="Times New Roman" w:eastAsia="Times New Roman" w:hAnsi="Times New Roman" w:cs="Times New Roman"/>
                <w:color w:val="000000"/>
                <w:sz w:val="24"/>
                <w:szCs w:val="24"/>
                <w:lang w:val="nl-NL" w:eastAsia="nl-NL"/>
              </w:rPr>
              <w:fldChar w:fldCharType="end"/>
            </w:r>
          </w:p>
        </w:tc>
        <w:tc>
          <w:tcPr>
            <w:tcW w:w="0" w:type="auto"/>
          </w:tcPr>
          <w:p w14:paraId="36693968" w14:textId="363735B5" w:rsidR="00D67590" w:rsidRPr="005205D3" w:rsidRDefault="00D67590" w:rsidP="00D67590">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A working group at the International Scientific Symposium “Biodiversity and Sustainable Diets:</w:t>
            </w:r>
          </w:p>
          <w:p w14:paraId="7B614E19" w14:textId="36C2324D" w:rsidR="00155A8B" w:rsidRPr="005205D3" w:rsidRDefault="00D67590" w:rsidP="00D67590">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 xml:space="preserve">United against Hunger”, </w:t>
            </w:r>
            <w:proofErr w:type="spellStart"/>
            <w:r w:rsidRPr="005205D3">
              <w:rPr>
                <w:rFonts w:ascii="Times New Roman" w:eastAsia="Times New Roman" w:hAnsi="Times New Roman" w:cs="Times New Roman"/>
                <w:color w:val="000000"/>
                <w:sz w:val="24"/>
                <w:szCs w:val="24"/>
                <w:lang w:eastAsia="nl-NL"/>
              </w:rPr>
              <w:t>organised</w:t>
            </w:r>
            <w:proofErr w:type="spellEnd"/>
            <w:r w:rsidRPr="005205D3">
              <w:rPr>
                <w:rFonts w:ascii="Times New Roman" w:eastAsia="Times New Roman" w:hAnsi="Times New Roman" w:cs="Times New Roman"/>
                <w:color w:val="000000"/>
                <w:sz w:val="24"/>
                <w:szCs w:val="24"/>
                <w:lang w:eastAsia="nl-NL"/>
              </w:rPr>
              <w:t xml:space="preserve"> jointly by the Food and Agriculture Organisation of the United Nations (FAO) and </w:t>
            </w:r>
            <w:proofErr w:type="spellStart"/>
            <w:r w:rsidRPr="005205D3">
              <w:rPr>
                <w:rFonts w:ascii="Times New Roman" w:eastAsia="Times New Roman" w:hAnsi="Times New Roman" w:cs="Times New Roman"/>
                <w:color w:val="000000"/>
                <w:sz w:val="24"/>
                <w:szCs w:val="24"/>
                <w:lang w:eastAsia="nl-NL"/>
              </w:rPr>
              <w:t>Bioversity</w:t>
            </w:r>
            <w:proofErr w:type="spellEnd"/>
            <w:r w:rsidRPr="005205D3">
              <w:rPr>
                <w:rFonts w:ascii="Times New Roman" w:eastAsia="Times New Roman" w:hAnsi="Times New Roman" w:cs="Times New Roman"/>
                <w:color w:val="000000"/>
                <w:sz w:val="24"/>
                <w:szCs w:val="24"/>
                <w:lang w:eastAsia="nl-NL"/>
              </w:rPr>
              <w:t xml:space="preserve"> International, held at FAO in 2010, came up with the following definition for sustainable diets: “Those diets with low environmental impacts which contribute to food and nutrition security and to healthy life for present and future generations. Sustainable diets are protective and respectful of biodiversity and ecosystems, culturally acceptable, accessible, economically fair and affordable; nutritionally adequate, safe and healthy; while optimizing natural and human resources”. [(FAO, 2012)]</w:t>
            </w:r>
          </w:p>
        </w:tc>
      </w:tr>
      <w:tr w:rsidR="00B55CDE" w:rsidRPr="0066686C" w14:paraId="3CCABD48" w14:textId="77777777" w:rsidTr="54F068BE">
        <w:trPr>
          <w:trHeight w:val="431"/>
        </w:trPr>
        <w:tc>
          <w:tcPr>
            <w:cnfStyle w:val="001000000000" w:firstRow="0" w:lastRow="0" w:firstColumn="1" w:lastColumn="0" w:oddVBand="0" w:evenVBand="0" w:oddHBand="0" w:evenHBand="0" w:firstRowFirstColumn="0" w:firstRowLastColumn="0" w:lastRowFirstColumn="0" w:lastRowLastColumn="0"/>
            <w:tcW w:w="0" w:type="auto"/>
            <w:noWrap/>
          </w:tcPr>
          <w:p w14:paraId="553E3AC9" w14:textId="77777777" w:rsidR="00C119E7" w:rsidRPr="005205D3" w:rsidRDefault="00EE7C37" w:rsidP="00155A8B">
            <w:pPr>
              <w:spacing w:before="60" w:after="60" w:line="264" w:lineRule="auto"/>
              <w:jc w:val="right"/>
              <w:rPr>
                <w:rFonts w:ascii="Times New Roman" w:eastAsia="Times New Roman" w:hAnsi="Times New Roman" w:cs="Times New Roman"/>
                <w:b w:val="0"/>
                <w:color w:val="000000"/>
                <w:sz w:val="24"/>
                <w:szCs w:val="24"/>
                <w:lang w:val="nl-NL" w:eastAsia="nl-NL"/>
              </w:rPr>
            </w:pPr>
            <w:r w:rsidRPr="005205D3">
              <w:rPr>
                <w:rFonts w:ascii="Times New Roman" w:eastAsia="Times New Roman" w:hAnsi="Times New Roman" w:cs="Times New Roman"/>
                <w:b w:val="0"/>
                <w:color w:val="000000"/>
                <w:sz w:val="24"/>
                <w:szCs w:val="24"/>
                <w:lang w:val="nl-NL" w:eastAsia="nl-NL"/>
              </w:rPr>
              <w:t>4</w:t>
            </w:r>
          </w:p>
        </w:tc>
        <w:tc>
          <w:tcPr>
            <w:tcW w:w="0" w:type="auto"/>
          </w:tcPr>
          <w:p w14:paraId="4F620B15" w14:textId="5909418E" w:rsidR="00C119E7" w:rsidRPr="005205D3" w:rsidRDefault="00C119E7" w:rsidP="00155A8B">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r w:rsidRPr="005205D3">
              <w:rPr>
                <w:rFonts w:ascii="Times New Roman" w:eastAsia="Times New Roman" w:hAnsi="Times New Roman" w:cs="Times New Roman"/>
                <w:color w:val="000000"/>
                <w:sz w:val="24"/>
                <w:szCs w:val="24"/>
                <w:lang w:val="nl-NL" w:eastAsia="nl-NL"/>
              </w:rPr>
              <w:fldChar w:fldCharType="begin" w:fldLock="1"/>
            </w:r>
            <w:r w:rsidRPr="005205D3">
              <w:rPr>
                <w:rFonts w:ascii="Times New Roman" w:eastAsia="Times New Roman" w:hAnsi="Times New Roman" w:cs="Times New Roman"/>
                <w:color w:val="000000"/>
                <w:sz w:val="24"/>
                <w:szCs w:val="24"/>
                <w:lang w:val="nl-NL" w:eastAsia="nl-NL"/>
              </w:rPr>
              <w:instrText>ADDIN CSL_CITATION { "citationItems" : [ { "id" : "ITEM-1", "itemData" : { "DOI" : "10.1111/jiec.12516", "ISSN" : "10881980", "author" : [ { "dropping-particle" : "", "family" : "Augustsson", "given" : "Anna", "non-dropping-particle" : "", "parse-names" : false, "suffix" : "" }, { "dropping-particle" : "", "family" : "S\u00f6rme", "given" : "Louise", "non-dropping-particle" : "", "parse-names" : false, "suffix" : "" }, { "dropping-particle" : "", "family" : "Karlsson", "given" : "Anna", "non-dropping-particle" : "", "parse-names" : false, "suffix" : "" }, { "dropping-particle" : "", "family" : "Amneklev", "given" : "Jennie", "non-dropping-particle" : "", "parse-names" : false, "suffix" : "" } ], "container-title" : "Journal of Industrial Ecology", "id" : "ITEM-1", "issue" : "3", "issued" : { "date-parts" : [ [ "2017", "6", "1" ] ] }, "page" : "689-699", "title" : "Persistent Hazardous Waste and the Quest Toward a Circular Economy: The Example of Arsenic in Chromated Copper Arsenate-Treated Wood", "type" : "article-journal", "volume" : "21" }, "locator" : "696", "uris" : [ "http://www.mendeley.com/documents/?uuid=a421c7af-c7db-3fa6-9bc9-69aa95c60049" ] } ], "mendeley" : { "formattedCitation" : "(Augustsson, S\u00f6rme, Karlsson, &amp; Amneklev, 2017, p. 696)", "manualFormatting" : "Augustsson, S\u00f6rme, Karlsson, &amp; Amneklev (2017, p. 696)", "plainTextFormattedCitation" : "(Augustsson, S\u00f6rme, Karlsson, &amp; Amneklev, 2017, p. 696)", "previouslyFormattedCitation" : "(Augustsson, S\u00f6rme, Karlsson, &amp; Amneklev, 2017, p. 696)" }, "properties" : { "noteIndex" : 0 }, "schema" : "https://github.com/citation-style-language/schema/raw/master/csl-citation.json" }</w:instrText>
            </w:r>
            <w:r w:rsidRPr="005205D3">
              <w:rPr>
                <w:rFonts w:ascii="Times New Roman" w:eastAsia="Times New Roman" w:hAnsi="Times New Roman" w:cs="Times New Roman"/>
                <w:color w:val="000000"/>
                <w:sz w:val="24"/>
                <w:szCs w:val="24"/>
                <w:lang w:val="nl-NL" w:eastAsia="nl-NL"/>
              </w:rPr>
              <w:fldChar w:fldCharType="separate"/>
            </w:r>
            <w:r w:rsidRPr="005205D3">
              <w:rPr>
                <w:rFonts w:ascii="Times New Roman" w:eastAsia="Times New Roman" w:hAnsi="Times New Roman" w:cs="Times New Roman"/>
                <w:noProof/>
                <w:color w:val="000000"/>
                <w:sz w:val="24"/>
                <w:szCs w:val="24"/>
                <w:lang w:val="nl-NL" w:eastAsia="nl-NL"/>
              </w:rPr>
              <w:t>A</w:t>
            </w:r>
            <w:r w:rsidR="00D67590" w:rsidRPr="005205D3">
              <w:rPr>
                <w:rFonts w:ascii="Times New Roman" w:eastAsia="Times New Roman" w:hAnsi="Times New Roman" w:cs="Times New Roman"/>
                <w:noProof/>
                <w:color w:val="000000"/>
                <w:sz w:val="24"/>
                <w:szCs w:val="24"/>
                <w:lang w:val="nl-NL" w:eastAsia="nl-NL"/>
              </w:rPr>
              <w:t>rya et al.</w:t>
            </w:r>
            <w:r w:rsidRPr="005205D3">
              <w:rPr>
                <w:rFonts w:ascii="Times New Roman" w:eastAsia="Times New Roman" w:hAnsi="Times New Roman" w:cs="Times New Roman"/>
                <w:noProof/>
                <w:color w:val="000000"/>
                <w:sz w:val="24"/>
                <w:szCs w:val="24"/>
                <w:lang w:val="nl-NL" w:eastAsia="nl-NL"/>
              </w:rPr>
              <w:t xml:space="preserve"> (20</w:t>
            </w:r>
            <w:r w:rsidR="00D67590" w:rsidRPr="005205D3">
              <w:rPr>
                <w:rFonts w:ascii="Times New Roman" w:eastAsia="Times New Roman" w:hAnsi="Times New Roman" w:cs="Times New Roman"/>
                <w:noProof/>
                <w:color w:val="000000"/>
                <w:sz w:val="24"/>
                <w:szCs w:val="24"/>
                <w:lang w:val="nl-NL" w:eastAsia="nl-NL"/>
              </w:rPr>
              <w:t>24</w:t>
            </w:r>
            <w:r w:rsidRPr="005205D3">
              <w:rPr>
                <w:rFonts w:ascii="Times New Roman" w:eastAsia="Times New Roman" w:hAnsi="Times New Roman" w:cs="Times New Roman"/>
                <w:noProof/>
                <w:color w:val="000000"/>
                <w:sz w:val="24"/>
                <w:szCs w:val="24"/>
                <w:lang w:val="nl-NL" w:eastAsia="nl-NL"/>
              </w:rPr>
              <w:t xml:space="preserve">, p. </w:t>
            </w:r>
            <w:r w:rsidR="00D67590" w:rsidRPr="005205D3">
              <w:rPr>
                <w:rFonts w:ascii="Times New Roman" w:eastAsia="Times New Roman" w:hAnsi="Times New Roman" w:cs="Times New Roman"/>
                <w:noProof/>
                <w:color w:val="000000"/>
                <w:sz w:val="24"/>
                <w:szCs w:val="24"/>
                <w:lang w:val="nl-NL" w:eastAsia="nl-NL"/>
              </w:rPr>
              <w:t>1</w:t>
            </w:r>
            <w:r w:rsidRPr="005205D3">
              <w:rPr>
                <w:rFonts w:ascii="Times New Roman" w:eastAsia="Times New Roman" w:hAnsi="Times New Roman" w:cs="Times New Roman"/>
                <w:noProof/>
                <w:color w:val="000000"/>
                <w:sz w:val="24"/>
                <w:szCs w:val="24"/>
                <w:lang w:val="nl-NL" w:eastAsia="nl-NL"/>
              </w:rPr>
              <w:t>)</w:t>
            </w:r>
            <w:r w:rsidRPr="005205D3">
              <w:rPr>
                <w:rFonts w:ascii="Times New Roman" w:eastAsia="Times New Roman" w:hAnsi="Times New Roman" w:cs="Times New Roman"/>
                <w:color w:val="000000"/>
                <w:sz w:val="24"/>
                <w:szCs w:val="24"/>
                <w:lang w:val="nl-NL" w:eastAsia="nl-NL"/>
              </w:rPr>
              <w:fldChar w:fldCharType="end"/>
            </w:r>
          </w:p>
        </w:tc>
        <w:tc>
          <w:tcPr>
            <w:tcW w:w="0" w:type="auto"/>
          </w:tcPr>
          <w:p w14:paraId="7F500B34" w14:textId="7926158E" w:rsidR="00C119E7" w:rsidRPr="005205D3" w:rsidRDefault="00D67590" w:rsidP="00D67590">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themeColor="text1"/>
                <w:sz w:val="24"/>
                <w:szCs w:val="24"/>
                <w:lang w:eastAsia="nl-NL"/>
              </w:rPr>
              <w:t>Promoting sustainable food consumption (SFC) involves prioritizing long-term health for individuals, communities, and the environment. This means considering social and economic impacts to create a healthier food system for future generations.</w:t>
            </w:r>
            <w:r w:rsidR="5F9CF954" w:rsidRPr="005205D3">
              <w:rPr>
                <w:rFonts w:ascii="Times New Roman" w:eastAsia="Times New Roman" w:hAnsi="Times New Roman" w:cs="Times New Roman"/>
                <w:color w:val="000000" w:themeColor="text1"/>
                <w:sz w:val="24"/>
                <w:szCs w:val="24"/>
                <w:lang w:eastAsia="nl-NL"/>
              </w:rPr>
              <w:t xml:space="preserve"> </w:t>
            </w:r>
          </w:p>
        </w:tc>
      </w:tr>
      <w:tr w:rsidR="00B55CDE" w:rsidRPr="002A5BC2" w14:paraId="7AC31831" w14:textId="77777777" w:rsidTr="54F068BE">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0" w:type="auto"/>
            <w:noWrap/>
          </w:tcPr>
          <w:p w14:paraId="48CC4281" w14:textId="77777777" w:rsidR="00155A8B" w:rsidRPr="005205D3" w:rsidRDefault="00EE7C37" w:rsidP="00155A8B">
            <w:pPr>
              <w:spacing w:before="60" w:after="60" w:line="264" w:lineRule="auto"/>
              <w:jc w:val="right"/>
              <w:rPr>
                <w:rFonts w:ascii="Times New Roman" w:eastAsia="Times New Roman" w:hAnsi="Times New Roman" w:cs="Times New Roman"/>
                <w:b w:val="0"/>
                <w:sz w:val="24"/>
                <w:szCs w:val="24"/>
                <w:lang w:val="nl-NL" w:eastAsia="nl-NL"/>
              </w:rPr>
            </w:pPr>
            <w:r w:rsidRPr="005205D3">
              <w:rPr>
                <w:rFonts w:ascii="Times New Roman" w:eastAsia="Times New Roman" w:hAnsi="Times New Roman" w:cs="Times New Roman"/>
                <w:b w:val="0"/>
                <w:sz w:val="24"/>
                <w:szCs w:val="24"/>
                <w:lang w:val="nl-NL" w:eastAsia="nl-NL"/>
              </w:rPr>
              <w:t>5</w:t>
            </w:r>
          </w:p>
        </w:tc>
        <w:tc>
          <w:tcPr>
            <w:tcW w:w="0" w:type="auto"/>
          </w:tcPr>
          <w:p w14:paraId="5F20366A" w14:textId="285F1C9E" w:rsidR="00155A8B" w:rsidRPr="00E9486F" w:rsidRDefault="00155A8B" w:rsidP="00155A8B">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val="nl-NL" w:eastAsia="nl-NL"/>
              </w:rPr>
              <w:fldChar w:fldCharType="begin" w:fldLock="1"/>
            </w:r>
            <w:r w:rsidRPr="005205D3">
              <w:rPr>
                <w:rFonts w:ascii="Times New Roman" w:eastAsia="Times New Roman" w:hAnsi="Times New Roman" w:cs="Times New Roman"/>
                <w:color w:val="000000"/>
                <w:sz w:val="24"/>
                <w:szCs w:val="24"/>
                <w:lang w:val="nl-NL" w:eastAsia="nl-NL"/>
              </w:rPr>
              <w:instrText xml:space="preserve">ADDIN CSL_CITATION { "citationItems" : [ { "id" : "ITEM-1", "itemData" : { "DOI" : "10.1016/j.jclepro.2014.01.084", "ISSN" : "09596526", "abstract" : "In recent years, concepts drawn from industrial ecology have been used to plan and develop eco-industrial parks (EIPs) in China. Attention for eco-industrial parks development projects has grown considerably among national and regional governments and also industries. Among of them, the National Demonstration Eco-industrial Parks program is the most significant program in China. The National Demonstration Eco-industrial Parks program in China has a clear set of indicators and performance targets, strong government support and direct involvement and strict structures and regulations to support it. This article provides an assessment of the progress of the National Demonstration Eco-industrial Parks Program in China by focusing on the key problems and dilemmas that arise in the course of developing EIPs in different economic regions. The paper draws upon both an extensive survey of EIPs and in-depth interviews conducted at 33 EIPs. It begins by introducing the experience of the National Demonstration Eco-industrial Parks Program, and then discusses the geographic distribution of EIPs and compares regional differences by analyzing data from 33 EIPs. The paper offers some brief suggestions for future development of EIPs in China and, finally, it explores factors that could affect the progress of EIPs drawing upon empirical work conducted in China.", "author" : [ </w:instrText>
            </w:r>
            <w:r w:rsidRPr="00E9486F">
              <w:rPr>
                <w:rFonts w:ascii="Times New Roman" w:eastAsia="Times New Roman" w:hAnsi="Times New Roman" w:cs="Times New Roman"/>
                <w:color w:val="000000"/>
                <w:sz w:val="24"/>
                <w:szCs w:val="24"/>
                <w:lang w:eastAsia="nl-NL"/>
              </w:rPr>
              <w:instrText>{ "dropping-particle" : "", "family" : "Bai", "given" : "Lu", "non-dropping-particle" : "", "parse-names" : false, "suffix" : "" }, { "dropping-particle" : "", "family" : "Qiao", "given" : "Qi", "non-dropping-particle" : "", "parse-names" : false, "suffix" : "" }, { "dropping-particle" : "", "family" : "Yao", "given" : "Yang", "non-dropping-particle" : "", "parse-names" : false, "suffix" : "" }, { "dropping-particle" : "", "family" : "Guo", "given" : "Jing", "non-dropping-particle" : "", "parse-names" : false, "suffix" : "" }, { "dropping-particle" : "", "family" : "Xie", "given" : "Minghui", "non-dropping-particle" : "", "parse-names" : false, "suffix" : "" } ], "container-title" : "Journal of Cleaner Production", "id" : "ITEM-1", "issued" : { "date-parts" : [ [ "2014" ] ] }, "page" : "4-14", "title" : "Insights on the development progress of National Demonstration eco-industrial parks in China", "type" : "article-journal", "volume" : "70" }, "locator" : "6", "uris" : [ "http://www.mendeley.com/documents/?uuid=fc5a5daf-dd45-3dd0-8e53-ee158b912e95" ] } ], "mendeley" : { "formattedCitation" : "(Bai, Qiao, Yao, Guo, &amp; Xie, 2014, p. 6)", "manualFormatting" : "Bai, Qiao, Yao, Guo, &amp; Xie (2014, p. 6)", "plainTextFormattedCitation" : "(Bai, Qiao, Yao, Guo, &amp; Xie, 2014, p. 6)", "previouslyFormattedCitation" : "(Bai, Qiao, Yao, Guo, &amp; Xie, 2014, p. 6)" }, "properties" : { "noteIndex" : 0 }, "schema" : "https://github.com/citation-style-language/schema/raw/master/csl-citation.json" }</w:instrText>
            </w:r>
            <w:r w:rsidRPr="005205D3">
              <w:rPr>
                <w:rFonts w:ascii="Times New Roman" w:eastAsia="Times New Roman" w:hAnsi="Times New Roman" w:cs="Times New Roman"/>
                <w:color w:val="000000"/>
                <w:sz w:val="24"/>
                <w:szCs w:val="24"/>
                <w:lang w:val="nl-NL" w:eastAsia="nl-NL"/>
              </w:rPr>
              <w:fldChar w:fldCharType="separate"/>
            </w:r>
            <w:r w:rsidR="00504858" w:rsidRPr="00E9486F">
              <w:rPr>
                <w:rFonts w:ascii="Times New Roman" w:eastAsia="Times New Roman" w:hAnsi="Times New Roman" w:cs="Times New Roman"/>
                <w:noProof/>
                <w:color w:val="000000"/>
                <w:sz w:val="24"/>
                <w:szCs w:val="24"/>
                <w:lang w:eastAsia="nl-NL"/>
              </w:rPr>
              <w:t xml:space="preserve">Azzurra, Agovino, &amp; Mariani </w:t>
            </w:r>
            <w:r w:rsidRPr="00E9486F">
              <w:rPr>
                <w:rFonts w:ascii="Times New Roman" w:eastAsia="Times New Roman" w:hAnsi="Times New Roman" w:cs="Times New Roman"/>
                <w:noProof/>
                <w:color w:val="000000"/>
                <w:sz w:val="24"/>
                <w:szCs w:val="24"/>
                <w:lang w:eastAsia="nl-NL"/>
              </w:rPr>
              <w:t xml:space="preserve"> (201</w:t>
            </w:r>
            <w:r w:rsidR="00504858" w:rsidRPr="00E9486F">
              <w:rPr>
                <w:rFonts w:ascii="Times New Roman" w:eastAsia="Times New Roman" w:hAnsi="Times New Roman" w:cs="Times New Roman"/>
                <w:noProof/>
                <w:color w:val="000000"/>
                <w:sz w:val="24"/>
                <w:szCs w:val="24"/>
                <w:lang w:eastAsia="nl-NL"/>
              </w:rPr>
              <w:t>9</w:t>
            </w:r>
            <w:r w:rsidRPr="00E9486F">
              <w:rPr>
                <w:rFonts w:ascii="Times New Roman" w:eastAsia="Times New Roman" w:hAnsi="Times New Roman" w:cs="Times New Roman"/>
                <w:noProof/>
                <w:color w:val="000000"/>
                <w:sz w:val="24"/>
                <w:szCs w:val="24"/>
                <w:lang w:eastAsia="nl-NL"/>
              </w:rPr>
              <w:t xml:space="preserve">, p. </w:t>
            </w:r>
            <w:r w:rsidR="00504858" w:rsidRPr="00E9486F">
              <w:rPr>
                <w:rFonts w:ascii="Times New Roman" w:eastAsia="Times New Roman" w:hAnsi="Times New Roman" w:cs="Times New Roman"/>
                <w:noProof/>
                <w:color w:val="000000"/>
                <w:sz w:val="24"/>
                <w:szCs w:val="24"/>
                <w:lang w:eastAsia="nl-NL"/>
              </w:rPr>
              <w:t>95</w:t>
            </w:r>
            <w:r w:rsidRPr="00E9486F">
              <w:rPr>
                <w:rFonts w:ascii="Times New Roman" w:eastAsia="Times New Roman" w:hAnsi="Times New Roman" w:cs="Times New Roman"/>
                <w:noProof/>
                <w:color w:val="000000"/>
                <w:sz w:val="24"/>
                <w:szCs w:val="24"/>
                <w:lang w:eastAsia="nl-NL"/>
              </w:rPr>
              <w:t>)</w:t>
            </w:r>
            <w:r w:rsidRPr="005205D3">
              <w:rPr>
                <w:rFonts w:ascii="Times New Roman" w:eastAsia="Times New Roman" w:hAnsi="Times New Roman" w:cs="Times New Roman"/>
                <w:color w:val="000000"/>
                <w:sz w:val="24"/>
                <w:szCs w:val="24"/>
                <w:lang w:val="nl-NL" w:eastAsia="nl-NL"/>
              </w:rPr>
              <w:fldChar w:fldCharType="end"/>
            </w:r>
          </w:p>
        </w:tc>
        <w:tc>
          <w:tcPr>
            <w:tcW w:w="0" w:type="auto"/>
          </w:tcPr>
          <w:p w14:paraId="71D45B65" w14:textId="2D7C371C" w:rsidR="00155A8B" w:rsidRPr="00E9486F" w:rsidRDefault="00504858" w:rsidP="00504858">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486F">
              <w:rPr>
                <w:rFonts w:ascii="Times New Roman" w:hAnsi="Times New Roman" w:cs="Times New Roman"/>
                <w:sz w:val="24"/>
                <w:szCs w:val="24"/>
              </w:rPr>
              <w:t xml:space="preserve">Consumers may be considered key agents for sustainable development and are held to play a central role in the transition towards sustainable food systems (Sargant, 2014; </w:t>
            </w:r>
            <w:proofErr w:type="spellStart"/>
            <w:r w:rsidRPr="00E9486F">
              <w:rPr>
                <w:rFonts w:ascii="Times New Roman" w:hAnsi="Times New Roman" w:cs="Times New Roman"/>
                <w:sz w:val="24"/>
                <w:szCs w:val="24"/>
              </w:rPr>
              <w:t>Vittersø</w:t>
            </w:r>
            <w:proofErr w:type="spellEnd"/>
            <w:r w:rsidRPr="00E9486F">
              <w:rPr>
                <w:rFonts w:ascii="Times New Roman" w:hAnsi="Times New Roman" w:cs="Times New Roman"/>
                <w:sz w:val="24"/>
                <w:szCs w:val="24"/>
              </w:rPr>
              <w:t xml:space="preserve"> and </w:t>
            </w:r>
            <w:proofErr w:type="spellStart"/>
            <w:r w:rsidRPr="00E9486F">
              <w:rPr>
                <w:rFonts w:ascii="Times New Roman" w:hAnsi="Times New Roman" w:cs="Times New Roman"/>
                <w:sz w:val="24"/>
                <w:szCs w:val="24"/>
              </w:rPr>
              <w:t>Tangeland</w:t>
            </w:r>
            <w:proofErr w:type="spellEnd"/>
            <w:r w:rsidRPr="00E9486F">
              <w:rPr>
                <w:rFonts w:ascii="Times New Roman" w:hAnsi="Times New Roman" w:cs="Times New Roman"/>
                <w:sz w:val="24"/>
                <w:szCs w:val="24"/>
              </w:rPr>
              <w:t xml:space="preserve">, 2015). Sustainable food consumption could be the consequence of deliberate or unconscious actions of consumers to purchase sustainable </w:t>
            </w:r>
            <w:r w:rsidRPr="00E9486F">
              <w:rPr>
                <w:rFonts w:ascii="Times New Roman" w:hAnsi="Times New Roman" w:cs="Times New Roman"/>
                <w:sz w:val="24"/>
                <w:szCs w:val="24"/>
              </w:rPr>
              <w:lastRenderedPageBreak/>
              <w:t xml:space="preserve">products so as to balance consumption and cut waste, thereby minimizing their effect on the environment and contributing to the local economy with their socially responsible choices (Sargant, 2014). </w:t>
            </w:r>
          </w:p>
        </w:tc>
      </w:tr>
      <w:tr w:rsidR="00B55CDE" w:rsidRPr="00504858" w14:paraId="16A907FC" w14:textId="77777777" w:rsidTr="54F068BE">
        <w:trPr>
          <w:trHeight w:val="431"/>
        </w:trPr>
        <w:tc>
          <w:tcPr>
            <w:cnfStyle w:val="001000000000" w:firstRow="0" w:lastRow="0" w:firstColumn="1" w:lastColumn="0" w:oddVBand="0" w:evenVBand="0" w:oddHBand="0" w:evenHBand="0" w:firstRowFirstColumn="0" w:firstRowLastColumn="0" w:lastRowFirstColumn="0" w:lastRowLastColumn="0"/>
            <w:tcW w:w="0" w:type="auto"/>
            <w:noWrap/>
          </w:tcPr>
          <w:p w14:paraId="2983FC39" w14:textId="77777777" w:rsidR="00EF53CC" w:rsidRPr="00E9486F" w:rsidRDefault="00EE7C37" w:rsidP="00EF53CC">
            <w:pPr>
              <w:spacing w:before="60" w:after="60" w:line="264" w:lineRule="auto"/>
              <w:jc w:val="right"/>
              <w:rPr>
                <w:rFonts w:ascii="Times New Roman" w:eastAsia="Times New Roman" w:hAnsi="Times New Roman" w:cs="Times New Roman"/>
                <w:b w:val="0"/>
                <w:color w:val="000000"/>
                <w:sz w:val="24"/>
                <w:szCs w:val="24"/>
                <w:lang w:eastAsia="nl-NL"/>
              </w:rPr>
            </w:pPr>
            <w:r w:rsidRPr="00E9486F">
              <w:rPr>
                <w:rFonts w:ascii="Times New Roman" w:eastAsia="Times New Roman" w:hAnsi="Times New Roman" w:cs="Times New Roman"/>
                <w:b w:val="0"/>
                <w:color w:val="000000"/>
                <w:sz w:val="24"/>
                <w:szCs w:val="24"/>
                <w:lang w:eastAsia="nl-NL"/>
              </w:rPr>
              <w:lastRenderedPageBreak/>
              <w:t>6</w:t>
            </w:r>
          </w:p>
        </w:tc>
        <w:tc>
          <w:tcPr>
            <w:tcW w:w="0" w:type="auto"/>
          </w:tcPr>
          <w:p w14:paraId="476FEA40" w14:textId="42C4EE3C" w:rsidR="00EF53CC" w:rsidRPr="005205D3" w:rsidRDefault="00EF53CC" w:rsidP="00EF53CC">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val="nl-NL" w:eastAsia="nl-NL"/>
              </w:rPr>
              <w:fldChar w:fldCharType="begin" w:fldLock="1"/>
            </w:r>
            <w:r w:rsidR="00CD6980" w:rsidRPr="002A5BC2">
              <w:rPr>
                <w:rFonts w:ascii="Times New Roman" w:eastAsia="Times New Roman" w:hAnsi="Times New Roman" w:cs="Times New Roman"/>
                <w:color w:val="000000"/>
                <w:sz w:val="24"/>
                <w:szCs w:val="24"/>
                <w:lang w:eastAsia="nl-NL"/>
              </w:rPr>
              <w:instrText>ADDIN CSL_CITATION { "citationItems" : [ { "id" : "ITEM-1", "itemData" : { "DOI" : "10.1016/j.jclepro.2014.01.028", "ISSN" : "09596526", "abstract" : "Product lifespans of electric and electronic products are in decline, with detrimental environmental consequences. This research maps the environmental impacts of refrigerators and laptops against their increasing energy efficiency over time, and finds that product life extension is the preferred strategy in both cases: refrigerators bought in 2011 should be used for 20 years instead of 14, and laptops for at least 7 years instead of 4. Designers however lack expertise to design for product life extension (through longer product life, refurbishment, remanufacturing) and product recycling. The paper explores a range of product life extension strategies and concludes that tailored approaches are needed. One of the main rese</w:instrText>
            </w:r>
            <w:r w:rsidR="00CD6980" w:rsidRPr="005205D3">
              <w:rPr>
                <w:rFonts w:ascii="Times New Roman" w:eastAsia="Times New Roman" w:hAnsi="Times New Roman" w:cs="Times New Roman"/>
                <w:color w:val="000000"/>
                <w:sz w:val="24"/>
                <w:szCs w:val="24"/>
                <w:lang w:eastAsia="nl-NL"/>
              </w:rPr>
              <w:instrText>arch challenges is to determine when to apply which product life extension strategy.", "author" : [ { "dropping-particle" : "", "family" : "Bakker", "given" : "Conny", "non-dropping-particle" : "", "parse-names" : false, "suffix" : "" }, { "dropping-particle" : "", "family" : "Wang", "given" : "Feng", "non-dropping-particle" : "", "parse-names" : false, "suffix" : "" }, { "dropping-particle" : "", "family" : "Huisman", "given" : "Jaco", "non-dropping-particle" : "", "parse-names" : false, "suffix" : "" }, { "dropping-particle" : "", "family" : "Hollander", "given" : "Marcel", "non-dropping-particle" : "den", "parse-names" : false, "suffix" : "" } ], "container-title" : "Journal of Cleaner Production", "id" : "ITEM-1", "issued" : { "date-parts" : [ [ "2014" ] ] }, "page" : "10-16", "title" : "Products that go round: exploring product life extension through design", "type" : "article-journal", "volume" : "69" }, "locator" : "11", "uris" : [ "http://www.mendeley.com/documents/?uuid=eaf7b6ca-c837-307e-96e0-d0f38fb64503" ] } ], "mendeley" : { "formattedCitation" : "(Bakker, Wang, Huisman, &amp; den Hollander, 2014, p. 11)", "manualFormatting" : "Bakker, Wang, Huisman, &amp; den Hollander (2014, p. 11)", "plainTextFormattedCitation" : "(Bakker, Wang, Huisman, &amp; den Hollander, 2014, p. 11)", "previouslyFormattedCitation" : "(Bakker, Wang, Huisman, &amp; den Hollander, 2014, p. 11)" }, "properties" : { "noteIndex" : 0 }, "schema" : "https://github.com/citation-style-language/schema/raw/master/csl-citation.json" }</w:instrText>
            </w:r>
            <w:r w:rsidRPr="005205D3">
              <w:rPr>
                <w:rFonts w:ascii="Times New Roman" w:eastAsia="Times New Roman" w:hAnsi="Times New Roman" w:cs="Times New Roman"/>
                <w:color w:val="000000"/>
                <w:sz w:val="24"/>
                <w:szCs w:val="24"/>
                <w:lang w:val="nl-NL" w:eastAsia="nl-NL"/>
              </w:rPr>
              <w:fldChar w:fldCharType="separate"/>
            </w:r>
            <w:r w:rsidR="00504858" w:rsidRPr="005205D3">
              <w:rPr>
                <w:rFonts w:ascii="Times New Roman" w:eastAsia="Times New Roman" w:hAnsi="Times New Roman" w:cs="Times New Roman"/>
                <w:noProof/>
                <w:color w:val="000000"/>
                <w:sz w:val="24"/>
                <w:szCs w:val="24"/>
                <w:lang w:eastAsia="nl-NL"/>
              </w:rPr>
              <w:t>Barrera-Ver</w:t>
            </w:r>
            <w:r w:rsidR="00C86276">
              <w:rPr>
                <w:rFonts w:ascii="Times New Roman" w:eastAsia="Times New Roman" w:hAnsi="Times New Roman" w:cs="Times New Roman"/>
                <w:noProof/>
                <w:color w:val="000000"/>
                <w:sz w:val="24"/>
                <w:szCs w:val="24"/>
                <w:lang w:eastAsia="nl-NL"/>
              </w:rPr>
              <w:t>d</w:t>
            </w:r>
            <w:r w:rsidR="00504858" w:rsidRPr="005205D3">
              <w:rPr>
                <w:rFonts w:ascii="Times New Roman" w:eastAsia="Times New Roman" w:hAnsi="Times New Roman" w:cs="Times New Roman"/>
                <w:noProof/>
                <w:color w:val="000000"/>
                <w:sz w:val="24"/>
                <w:szCs w:val="24"/>
                <w:lang w:eastAsia="nl-NL"/>
              </w:rPr>
              <w:t xml:space="preserve">ugo &amp; </w:t>
            </w:r>
            <w:r w:rsidR="00D03037" w:rsidRPr="00D03037">
              <w:rPr>
                <w:rFonts w:ascii="Times New Roman" w:eastAsia="Times New Roman" w:hAnsi="Times New Roman" w:cs="Times New Roman"/>
                <w:noProof/>
                <w:color w:val="000000"/>
                <w:sz w:val="24"/>
                <w:szCs w:val="24"/>
                <w:lang w:eastAsia="nl-NL"/>
              </w:rPr>
              <w:t>Durán</w:t>
            </w:r>
            <w:r w:rsidR="00504858" w:rsidRPr="005205D3">
              <w:rPr>
                <w:rFonts w:ascii="Times New Roman" w:eastAsia="Times New Roman" w:hAnsi="Times New Roman" w:cs="Times New Roman"/>
                <w:noProof/>
                <w:color w:val="000000"/>
                <w:sz w:val="24"/>
                <w:szCs w:val="24"/>
                <w:lang w:eastAsia="nl-NL"/>
              </w:rPr>
              <w:t xml:space="preserve">-Sandoval </w:t>
            </w:r>
            <w:r w:rsidR="00CD6980" w:rsidRPr="005205D3">
              <w:rPr>
                <w:rFonts w:ascii="Times New Roman" w:eastAsia="Times New Roman" w:hAnsi="Times New Roman" w:cs="Times New Roman"/>
                <w:noProof/>
                <w:color w:val="000000"/>
                <w:sz w:val="24"/>
                <w:szCs w:val="24"/>
                <w:lang w:eastAsia="nl-NL"/>
              </w:rPr>
              <w:t>(</w:t>
            </w:r>
            <w:r w:rsidRPr="005205D3">
              <w:rPr>
                <w:rFonts w:ascii="Times New Roman" w:eastAsia="Times New Roman" w:hAnsi="Times New Roman" w:cs="Times New Roman"/>
                <w:noProof/>
                <w:color w:val="000000"/>
                <w:sz w:val="24"/>
                <w:szCs w:val="24"/>
                <w:lang w:eastAsia="nl-NL"/>
              </w:rPr>
              <w:t>20</w:t>
            </w:r>
            <w:r w:rsidR="00504858" w:rsidRPr="005205D3">
              <w:rPr>
                <w:rFonts w:ascii="Times New Roman" w:eastAsia="Times New Roman" w:hAnsi="Times New Roman" w:cs="Times New Roman"/>
                <w:noProof/>
                <w:color w:val="000000"/>
                <w:sz w:val="24"/>
                <w:szCs w:val="24"/>
                <w:lang w:eastAsia="nl-NL"/>
              </w:rPr>
              <w:t>24</w:t>
            </w:r>
            <w:r w:rsidRPr="005205D3">
              <w:rPr>
                <w:rFonts w:ascii="Times New Roman" w:eastAsia="Times New Roman" w:hAnsi="Times New Roman" w:cs="Times New Roman"/>
                <w:noProof/>
                <w:color w:val="000000"/>
                <w:sz w:val="24"/>
                <w:szCs w:val="24"/>
                <w:lang w:eastAsia="nl-NL"/>
              </w:rPr>
              <w:t>, p. 1)</w:t>
            </w:r>
            <w:r w:rsidRPr="005205D3">
              <w:rPr>
                <w:rFonts w:ascii="Times New Roman" w:eastAsia="Times New Roman" w:hAnsi="Times New Roman" w:cs="Times New Roman"/>
                <w:color w:val="000000"/>
                <w:sz w:val="24"/>
                <w:szCs w:val="24"/>
                <w:lang w:val="nl-NL" w:eastAsia="nl-NL"/>
              </w:rPr>
              <w:fldChar w:fldCharType="end"/>
            </w:r>
          </w:p>
        </w:tc>
        <w:tc>
          <w:tcPr>
            <w:tcW w:w="0" w:type="auto"/>
          </w:tcPr>
          <w:p w14:paraId="2B7A8765" w14:textId="09F84337" w:rsidR="00EF53CC" w:rsidRPr="005205D3" w:rsidRDefault="00504858" w:rsidP="00504858">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From a narrower perspective, sustainable food consumption is understood as the conscious decision of consumers to consume food in a sustainable manner to reduce their carbon footprint and waste, thereby protecting the environment and the local economy (Reisch et al., 2013; Azzurra et al., 2019; Van Bussel et al., 2022).</w:t>
            </w:r>
          </w:p>
        </w:tc>
      </w:tr>
      <w:tr w:rsidR="00B55CDE" w:rsidRPr="0066686C" w14:paraId="3F2318D0" w14:textId="77777777" w:rsidTr="54F068BE">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0" w:type="auto"/>
            <w:noWrap/>
          </w:tcPr>
          <w:p w14:paraId="6DA3FD4D" w14:textId="77777777" w:rsidR="000F2AAF" w:rsidRPr="005205D3" w:rsidRDefault="00EE7C37" w:rsidP="00EF53CC">
            <w:pPr>
              <w:spacing w:before="60" w:after="60" w:line="264" w:lineRule="auto"/>
              <w:jc w:val="right"/>
              <w:rPr>
                <w:rFonts w:ascii="Times New Roman" w:eastAsia="Times New Roman" w:hAnsi="Times New Roman" w:cs="Times New Roman"/>
                <w:b w:val="0"/>
                <w:color w:val="000000"/>
                <w:sz w:val="24"/>
                <w:szCs w:val="24"/>
                <w:lang w:val="nl-NL" w:eastAsia="nl-NL"/>
              </w:rPr>
            </w:pPr>
            <w:r w:rsidRPr="005205D3">
              <w:rPr>
                <w:rFonts w:ascii="Times New Roman" w:eastAsia="Times New Roman" w:hAnsi="Times New Roman" w:cs="Times New Roman"/>
                <w:b w:val="0"/>
                <w:color w:val="000000"/>
                <w:sz w:val="24"/>
                <w:szCs w:val="24"/>
                <w:lang w:val="nl-NL" w:eastAsia="nl-NL"/>
              </w:rPr>
              <w:t>7</w:t>
            </w:r>
          </w:p>
        </w:tc>
        <w:tc>
          <w:tcPr>
            <w:tcW w:w="0" w:type="auto"/>
          </w:tcPr>
          <w:p w14:paraId="47395A00" w14:textId="0D5B90DE" w:rsidR="000F2AAF" w:rsidRPr="005205D3" w:rsidRDefault="000F2AAF" w:rsidP="00EF53CC">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r w:rsidRPr="005205D3">
              <w:rPr>
                <w:rFonts w:ascii="Times New Roman" w:eastAsia="Times New Roman" w:hAnsi="Times New Roman" w:cs="Times New Roman"/>
                <w:color w:val="000000"/>
                <w:sz w:val="24"/>
                <w:szCs w:val="24"/>
                <w:lang w:val="nl-NL" w:eastAsia="nl-NL"/>
              </w:rPr>
              <w:fldChar w:fldCharType="begin" w:fldLock="1"/>
            </w:r>
            <w:r w:rsidR="00EE7C37" w:rsidRPr="005205D3">
              <w:rPr>
                <w:rFonts w:ascii="Times New Roman" w:eastAsia="Times New Roman" w:hAnsi="Times New Roman" w:cs="Times New Roman"/>
                <w:color w:val="000000"/>
                <w:sz w:val="24"/>
                <w:szCs w:val="24"/>
                <w:lang w:val="nl-NL" w:eastAsia="nl-NL"/>
              </w:rPr>
              <w:instrText>ADDIN CSL_CITATION { "citationItems" : [ { "id" : "ITEM-1", "itemData" : { "DOI" : "10.1111/jiec.12612", "ISSN" : "10881980", "author" : [ { "dropping-particle" : "", "family" : "Baxter", "given" : "Weston", "non-dropping-particle" : "", "parse-names" : false, "suffix" : "" }, { "dropping-particle" : "", "family" : "Aurisicchio", "given" : "Marco", "non-dropping-particle" : "", "parse-names" : false, "suffix" : "" }, { "dropping-particle" : "", "family" : "Childs", "given" : "Peter", "non-dropping-particle" : "", "parse-names" : false, "suffix" : "" } ], "container-title" : "Journal of Industrial Ecology", "id" : "ITEM-1", "issue" : "3", "issued" : { "date-parts" : [ [ "2017", "6", "1" ] ] }, "page" : "507-516", "title" : "Contaminated Interaction: Another Barrier to Circular Material Flows", "type" : "article-journal", "volume" : "21" }, "uris" : [ "http://www.mendeley.com/documents/?uuid=669bc708-41f9-345a-94c7-622cccb10662" ] } ], "mendeley" : { "formattedCitation" : "(Baxter, Aurisicchio, &amp; Childs, 2017)", "manualFormatting" : "Baxter, Aurisicchio, &amp; Childs (2017, p. 507)", "plainTextFormattedCitation" : "(Baxter, Aurisicchio, &amp; Childs, 2017)", "previouslyFormattedCitation" : "(Baxter, Aurisicchio, &amp; Childs, 2017)" }, "properties" : { "noteIndex" : 0 }, "schema" : "https://github.com/citation-style-language/schema/raw/master/csl-citation.json" }</w:instrText>
            </w:r>
            <w:r w:rsidRPr="005205D3">
              <w:rPr>
                <w:rFonts w:ascii="Times New Roman" w:eastAsia="Times New Roman" w:hAnsi="Times New Roman" w:cs="Times New Roman"/>
                <w:color w:val="000000"/>
                <w:sz w:val="24"/>
                <w:szCs w:val="24"/>
                <w:lang w:val="nl-NL" w:eastAsia="nl-NL"/>
              </w:rPr>
              <w:fldChar w:fldCharType="separate"/>
            </w:r>
            <w:r w:rsidRPr="005205D3">
              <w:rPr>
                <w:rFonts w:ascii="Times New Roman" w:eastAsia="Times New Roman" w:hAnsi="Times New Roman" w:cs="Times New Roman"/>
                <w:noProof/>
                <w:color w:val="000000"/>
                <w:sz w:val="24"/>
                <w:szCs w:val="24"/>
                <w:lang w:val="nl-NL" w:eastAsia="nl-NL"/>
              </w:rPr>
              <w:t>B</w:t>
            </w:r>
            <w:r w:rsidR="00F63D39" w:rsidRPr="005205D3">
              <w:rPr>
                <w:rFonts w:ascii="Times New Roman" w:eastAsia="Times New Roman" w:hAnsi="Times New Roman" w:cs="Times New Roman"/>
                <w:noProof/>
                <w:color w:val="000000"/>
                <w:sz w:val="24"/>
                <w:szCs w:val="24"/>
                <w:lang w:val="nl-NL" w:eastAsia="nl-NL"/>
              </w:rPr>
              <w:t xml:space="preserve">iresselioglou et al. </w:t>
            </w:r>
            <w:r w:rsidRPr="005205D3">
              <w:rPr>
                <w:rFonts w:ascii="Times New Roman" w:eastAsia="Times New Roman" w:hAnsi="Times New Roman" w:cs="Times New Roman"/>
                <w:noProof/>
                <w:color w:val="000000"/>
                <w:sz w:val="24"/>
                <w:szCs w:val="24"/>
                <w:lang w:val="nl-NL" w:eastAsia="nl-NL"/>
              </w:rPr>
              <w:t>(20</w:t>
            </w:r>
            <w:r w:rsidR="00F63D39" w:rsidRPr="005205D3">
              <w:rPr>
                <w:rFonts w:ascii="Times New Roman" w:eastAsia="Times New Roman" w:hAnsi="Times New Roman" w:cs="Times New Roman"/>
                <w:noProof/>
                <w:color w:val="000000"/>
                <w:sz w:val="24"/>
                <w:szCs w:val="24"/>
                <w:lang w:val="nl-NL" w:eastAsia="nl-NL"/>
              </w:rPr>
              <w:t>23</w:t>
            </w:r>
            <w:r w:rsidR="00EE7C37" w:rsidRPr="005205D3">
              <w:rPr>
                <w:rFonts w:ascii="Times New Roman" w:eastAsia="Times New Roman" w:hAnsi="Times New Roman" w:cs="Times New Roman"/>
                <w:noProof/>
                <w:color w:val="000000"/>
                <w:sz w:val="24"/>
                <w:szCs w:val="24"/>
                <w:lang w:val="nl-NL" w:eastAsia="nl-NL"/>
              </w:rPr>
              <w:t xml:space="preserve">, p. </w:t>
            </w:r>
            <w:r w:rsidR="00F63D39" w:rsidRPr="005205D3">
              <w:rPr>
                <w:rFonts w:ascii="Times New Roman" w:eastAsia="Times New Roman" w:hAnsi="Times New Roman" w:cs="Times New Roman"/>
                <w:noProof/>
                <w:color w:val="000000"/>
                <w:sz w:val="24"/>
                <w:szCs w:val="24"/>
                <w:lang w:val="nl-NL" w:eastAsia="nl-NL"/>
              </w:rPr>
              <w:t>1</w:t>
            </w:r>
            <w:r w:rsidRPr="005205D3">
              <w:rPr>
                <w:rFonts w:ascii="Times New Roman" w:eastAsia="Times New Roman" w:hAnsi="Times New Roman" w:cs="Times New Roman"/>
                <w:noProof/>
                <w:color w:val="000000"/>
                <w:sz w:val="24"/>
                <w:szCs w:val="24"/>
                <w:lang w:val="nl-NL" w:eastAsia="nl-NL"/>
              </w:rPr>
              <w:t>)</w:t>
            </w:r>
            <w:r w:rsidRPr="005205D3">
              <w:rPr>
                <w:rFonts w:ascii="Times New Roman" w:eastAsia="Times New Roman" w:hAnsi="Times New Roman" w:cs="Times New Roman"/>
                <w:color w:val="000000"/>
                <w:sz w:val="24"/>
                <w:szCs w:val="24"/>
                <w:lang w:val="nl-NL" w:eastAsia="nl-NL"/>
              </w:rPr>
              <w:fldChar w:fldCharType="end"/>
            </w:r>
          </w:p>
        </w:tc>
        <w:tc>
          <w:tcPr>
            <w:tcW w:w="0" w:type="auto"/>
          </w:tcPr>
          <w:p w14:paraId="7E3E828B" w14:textId="126A367D" w:rsidR="000F2AAF" w:rsidRPr="005205D3" w:rsidRDefault="00F63D39" w:rsidP="00F63D39">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 xml:space="preserve">The Oslo Roundtable on Sustainable Production and Consumption [17] defines sustainable food consumption as consuming foods “that respond to basic needs and bring a better quality of life while </w:t>
            </w:r>
            <w:proofErr w:type="spellStart"/>
            <w:r w:rsidRPr="005205D3">
              <w:rPr>
                <w:rFonts w:ascii="Times New Roman" w:eastAsia="Times New Roman" w:hAnsi="Times New Roman" w:cs="Times New Roman"/>
                <w:color w:val="000000"/>
                <w:sz w:val="24"/>
                <w:szCs w:val="24"/>
                <w:lang w:eastAsia="nl-NL"/>
              </w:rPr>
              <w:t>minimising</w:t>
            </w:r>
            <w:proofErr w:type="spellEnd"/>
            <w:r w:rsidRPr="005205D3">
              <w:rPr>
                <w:rFonts w:ascii="Times New Roman" w:eastAsia="Times New Roman" w:hAnsi="Times New Roman" w:cs="Times New Roman"/>
                <w:color w:val="000000"/>
                <w:sz w:val="24"/>
                <w:szCs w:val="24"/>
                <w:lang w:eastAsia="nl-NL"/>
              </w:rPr>
              <w:t xml:space="preserve"> the use of natural resources, toxic materials and emissions of waste and pollutants over the life cycle, so as not to </w:t>
            </w:r>
            <w:proofErr w:type="spellStart"/>
            <w:r w:rsidRPr="005205D3">
              <w:rPr>
                <w:rFonts w:ascii="Times New Roman" w:eastAsia="Times New Roman" w:hAnsi="Times New Roman" w:cs="Times New Roman"/>
                <w:color w:val="000000"/>
                <w:sz w:val="24"/>
                <w:szCs w:val="24"/>
                <w:lang w:eastAsia="nl-NL"/>
              </w:rPr>
              <w:t>jeopardise</w:t>
            </w:r>
            <w:proofErr w:type="spellEnd"/>
            <w:r w:rsidRPr="005205D3">
              <w:rPr>
                <w:rFonts w:ascii="Times New Roman" w:eastAsia="Times New Roman" w:hAnsi="Times New Roman" w:cs="Times New Roman"/>
                <w:color w:val="000000"/>
                <w:sz w:val="24"/>
                <w:szCs w:val="24"/>
                <w:lang w:eastAsia="nl-NL"/>
              </w:rPr>
              <w:t xml:space="preserve"> the needs of future generations”. Similarly, sustainable food consumption is defined in the literature as consumers’ conscious decisions to consume sustainable food to reduce their carbon footprint and waste, hence protecting the environment and the local economy [1,4,18,19].</w:t>
            </w:r>
          </w:p>
        </w:tc>
      </w:tr>
      <w:tr w:rsidR="006F448C" w:rsidRPr="0066686C" w14:paraId="279DB2E8" w14:textId="77777777" w:rsidTr="54F068BE">
        <w:trPr>
          <w:trHeight w:val="431"/>
        </w:trPr>
        <w:tc>
          <w:tcPr>
            <w:cnfStyle w:val="001000000000" w:firstRow="0" w:lastRow="0" w:firstColumn="1" w:lastColumn="0" w:oddVBand="0" w:evenVBand="0" w:oddHBand="0" w:evenHBand="0" w:firstRowFirstColumn="0" w:firstRowLastColumn="0" w:lastRowFirstColumn="0" w:lastRowLastColumn="0"/>
            <w:tcW w:w="0" w:type="auto"/>
            <w:noWrap/>
          </w:tcPr>
          <w:p w14:paraId="01D0B4C9" w14:textId="1BE3D55D" w:rsidR="006F448C" w:rsidRPr="005205D3" w:rsidRDefault="547148D7" w:rsidP="00EF53CC">
            <w:pPr>
              <w:spacing w:before="60" w:after="60" w:line="264" w:lineRule="auto"/>
              <w:jc w:val="right"/>
              <w:rPr>
                <w:rFonts w:ascii="Times New Roman" w:eastAsia="Times New Roman" w:hAnsi="Times New Roman" w:cs="Times New Roman"/>
                <w:b w:val="0"/>
                <w:bCs w:val="0"/>
                <w:color w:val="000000"/>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t>8</w:t>
            </w:r>
          </w:p>
        </w:tc>
        <w:tc>
          <w:tcPr>
            <w:tcW w:w="0" w:type="auto"/>
          </w:tcPr>
          <w:p w14:paraId="3EB43A64" w14:textId="13CE6F8D" w:rsidR="006F448C" w:rsidRPr="005205D3" w:rsidRDefault="39759517" w:rsidP="54F068BE">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r w:rsidRPr="005205D3">
              <w:rPr>
                <w:rFonts w:ascii="Times New Roman" w:eastAsia="Times New Roman" w:hAnsi="Times New Roman" w:cs="Times New Roman"/>
                <w:color w:val="000000" w:themeColor="text1"/>
                <w:sz w:val="24"/>
                <w:szCs w:val="24"/>
                <w:lang w:val="nl-NL" w:eastAsia="nl-NL"/>
              </w:rPr>
              <w:t>Boston Consulting Group (2023)</w:t>
            </w:r>
          </w:p>
        </w:tc>
        <w:tc>
          <w:tcPr>
            <w:tcW w:w="0" w:type="auto"/>
          </w:tcPr>
          <w:p w14:paraId="42BABEDD" w14:textId="77777777" w:rsidR="006F448C" w:rsidRPr="005205D3" w:rsidRDefault="006F448C" w:rsidP="00F63D39">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We defined sustainable food as food that is produced, processed, distributed, and disposed of in ways that avoid harming plants, animals, natural resources, and the climate.</w:t>
            </w:r>
          </w:p>
          <w:p w14:paraId="2330F117" w14:textId="5224DF2A" w:rsidR="006F448C" w:rsidRPr="005205D3" w:rsidRDefault="006F448C" w:rsidP="00F63D39">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(https://www.bcg.com/publications/2023/whetting-consumers-appetite-for-sustainable-foods)</w:t>
            </w:r>
          </w:p>
        </w:tc>
      </w:tr>
      <w:tr w:rsidR="00B55CDE" w:rsidRPr="0066686C" w14:paraId="4427870E" w14:textId="77777777" w:rsidTr="54F068BE">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0" w:type="auto"/>
            <w:noWrap/>
          </w:tcPr>
          <w:p w14:paraId="407BC964" w14:textId="6F97734C" w:rsidR="00EF53CC" w:rsidRPr="005205D3" w:rsidRDefault="547148D7" w:rsidP="00EF53CC">
            <w:pPr>
              <w:spacing w:before="60" w:after="60" w:line="264" w:lineRule="auto"/>
              <w:jc w:val="right"/>
              <w:rPr>
                <w:rFonts w:ascii="Times New Roman" w:eastAsia="Times New Roman" w:hAnsi="Times New Roman" w:cs="Times New Roman"/>
                <w:b w:val="0"/>
                <w:bCs w:val="0"/>
                <w:color w:val="000000"/>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t>9</w:t>
            </w:r>
          </w:p>
        </w:tc>
        <w:tc>
          <w:tcPr>
            <w:tcW w:w="0" w:type="auto"/>
          </w:tcPr>
          <w:p w14:paraId="67E9D565" w14:textId="4337CF6A" w:rsidR="00EF53CC" w:rsidRPr="005205D3" w:rsidRDefault="00EF53CC" w:rsidP="00EF53CC">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r w:rsidRPr="005205D3">
              <w:rPr>
                <w:rFonts w:ascii="Times New Roman" w:eastAsia="Times New Roman" w:hAnsi="Times New Roman" w:cs="Times New Roman"/>
                <w:color w:val="000000" w:themeColor="text1"/>
                <w:sz w:val="24"/>
                <w:szCs w:val="24"/>
                <w:lang w:eastAsia="nl-NL"/>
              </w:rPr>
              <w:fldChar w:fldCharType="begin" w:fldLock="1"/>
            </w:r>
            <w:r w:rsidRPr="005205D3">
              <w:rPr>
                <w:rFonts w:ascii="Times New Roman" w:eastAsia="Times New Roman" w:hAnsi="Times New Roman" w:cs="Times New Roman"/>
                <w:color w:val="000000" w:themeColor="text1"/>
                <w:sz w:val="24"/>
                <w:szCs w:val="24"/>
                <w:lang w:val="nl-NL" w:eastAsia="nl-NL"/>
              </w:rPr>
              <w:instrText>ADDIN CSL_CITATION { "citationItems" : [ { "id" : "ITEM-1", "itemData" : { "author" : [ { "dropping-particle" : "van", "family" : "Beek", "given" : "Manon", "non-dropping-particle" : "", "parse-names" : false, "suffix" : "" }, { "dropping-particle" : "van der", "family" : "Heijden", "given" : "Maria", "non-dropping-particle" : "", "parse-names" : false, "suffix" : "" }, { "dropping-particle" : "", "family" : "Ridley", "given" : "Andy", "non-dropping-particle" : "", "parse-names" : false, "suffix" : "" }, { "dropping-particle" : "van", "family" : "Alteren", "given" : "Yoeri", "non-dropping-particle" : "", "parse-names" : false, "suffix" : "" } ], "id" : "ITEM-1", "issued" : { "date-parts" : [ [ "2016" ] ] }, "title" : "From rhetoric to reality: The Circular Economy Index of Dutch businesses", "type" : "report" }, "locator" : "8", "uris" : [ "http://www.mendeley.com/documents/?uuid=8fd93cd3-5555-46dd-88e6-4e7b581d5e27" ] } ], "mendeley" : { "formattedCitation" : "(Beek, Heijden, Ridley, &amp; Alteren, 2016, p. 8)", "manualFormatting" : "Beek, Heijden, Ridley, &amp; Alteren (2016, p. 8)", "plainTextFormattedCitation" : "(Beek, Heijden, Ridley, &amp; Alteren, 2016, p. 8)", "previouslyFormattedCitation" : "(Beek, Heijden, Ridley, &amp; Alteren, 2016, p. 8)" }, "properties" : { "noteIndex" : 0 }, "schema" : "https://github.com/citation-style-language/schema/raw/master/csl-citation.json" }</w:instrText>
            </w:r>
            <w:r w:rsidRPr="005205D3">
              <w:rPr>
                <w:rFonts w:ascii="Times New Roman" w:eastAsia="Times New Roman" w:hAnsi="Times New Roman" w:cs="Times New Roman"/>
                <w:color w:val="000000" w:themeColor="text1"/>
                <w:sz w:val="24"/>
                <w:szCs w:val="24"/>
                <w:lang w:eastAsia="nl-NL"/>
              </w:rPr>
              <w:fldChar w:fldCharType="separate"/>
            </w:r>
            <w:r w:rsidR="4EDBE4F2" w:rsidRPr="005205D3">
              <w:rPr>
                <w:rFonts w:ascii="Times New Roman" w:eastAsia="Times New Roman" w:hAnsi="Times New Roman" w:cs="Times New Roman"/>
                <w:noProof/>
                <w:color w:val="000000" w:themeColor="text1"/>
                <w:sz w:val="24"/>
                <w:szCs w:val="24"/>
                <w:lang w:val="nl-NL" w:eastAsia="nl-NL"/>
              </w:rPr>
              <w:t>B</w:t>
            </w:r>
            <w:r w:rsidR="53349201" w:rsidRPr="005205D3">
              <w:rPr>
                <w:rFonts w:ascii="Times New Roman" w:eastAsia="Times New Roman" w:hAnsi="Times New Roman" w:cs="Times New Roman"/>
                <w:noProof/>
                <w:color w:val="000000" w:themeColor="text1"/>
                <w:sz w:val="24"/>
                <w:szCs w:val="24"/>
                <w:lang w:val="nl-NL" w:eastAsia="nl-NL"/>
              </w:rPr>
              <w:t>roeks et al.</w:t>
            </w:r>
            <w:r w:rsidR="4EDBE4F2" w:rsidRPr="005205D3">
              <w:rPr>
                <w:rFonts w:ascii="Times New Roman" w:eastAsia="Times New Roman" w:hAnsi="Times New Roman" w:cs="Times New Roman"/>
                <w:noProof/>
                <w:color w:val="000000" w:themeColor="text1"/>
                <w:sz w:val="24"/>
                <w:szCs w:val="24"/>
                <w:lang w:val="nl-NL" w:eastAsia="nl-NL"/>
              </w:rPr>
              <w:t xml:space="preserve"> (20</w:t>
            </w:r>
            <w:r w:rsidR="53349201" w:rsidRPr="005205D3">
              <w:rPr>
                <w:rFonts w:ascii="Times New Roman" w:eastAsia="Times New Roman" w:hAnsi="Times New Roman" w:cs="Times New Roman"/>
                <w:noProof/>
                <w:color w:val="000000" w:themeColor="text1"/>
                <w:sz w:val="24"/>
                <w:szCs w:val="24"/>
                <w:lang w:val="nl-NL" w:eastAsia="nl-NL"/>
              </w:rPr>
              <w:t>20</w:t>
            </w:r>
            <w:r w:rsidR="4EDBE4F2" w:rsidRPr="005205D3">
              <w:rPr>
                <w:rFonts w:ascii="Times New Roman" w:eastAsia="Times New Roman" w:hAnsi="Times New Roman" w:cs="Times New Roman"/>
                <w:noProof/>
                <w:color w:val="000000" w:themeColor="text1"/>
                <w:sz w:val="24"/>
                <w:szCs w:val="24"/>
                <w:lang w:val="nl-NL" w:eastAsia="nl-NL"/>
              </w:rPr>
              <w:t xml:space="preserve">, p. </w:t>
            </w:r>
            <w:r w:rsidR="53349201" w:rsidRPr="005205D3">
              <w:rPr>
                <w:rFonts w:ascii="Times New Roman" w:eastAsia="Times New Roman" w:hAnsi="Times New Roman" w:cs="Times New Roman"/>
                <w:noProof/>
                <w:color w:val="000000" w:themeColor="text1"/>
                <w:sz w:val="24"/>
                <w:szCs w:val="24"/>
                <w:lang w:val="nl-NL" w:eastAsia="nl-NL"/>
              </w:rPr>
              <w:t>2</w:t>
            </w:r>
            <w:r w:rsidR="4EDBE4F2" w:rsidRPr="005205D3">
              <w:rPr>
                <w:rFonts w:ascii="Times New Roman" w:eastAsia="Times New Roman" w:hAnsi="Times New Roman" w:cs="Times New Roman"/>
                <w:noProof/>
                <w:color w:val="000000" w:themeColor="text1"/>
                <w:sz w:val="24"/>
                <w:szCs w:val="24"/>
                <w:lang w:val="nl-NL" w:eastAsia="nl-NL"/>
              </w:rPr>
              <w:t>)</w:t>
            </w:r>
            <w:r w:rsidRPr="005205D3">
              <w:rPr>
                <w:rFonts w:ascii="Times New Roman" w:eastAsia="Times New Roman" w:hAnsi="Times New Roman" w:cs="Times New Roman"/>
                <w:color w:val="000000" w:themeColor="text1"/>
                <w:sz w:val="24"/>
                <w:szCs w:val="24"/>
                <w:lang w:eastAsia="nl-NL"/>
              </w:rPr>
              <w:fldChar w:fldCharType="end"/>
            </w:r>
          </w:p>
        </w:tc>
        <w:tc>
          <w:tcPr>
            <w:tcW w:w="0" w:type="auto"/>
          </w:tcPr>
          <w:p w14:paraId="10AC7C41" w14:textId="0B56BA72" w:rsidR="00EF53CC" w:rsidRPr="005205D3" w:rsidRDefault="00F63D39" w:rsidP="00F63D39">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The current Western diet is neither sustainable nor healthy [12–15]. The link between individuals’ environmental concerns as citizens and their behaviour as consumers were found to be quite weak and did not appear to influence meat-buying habits [16]. Consumers are not clear about healthy eating and everybody interprets it differently [17, 18]. This might even more apply to what it means to eat sustainable and environmentally friendly.</w:t>
            </w:r>
          </w:p>
        </w:tc>
      </w:tr>
      <w:tr w:rsidR="560D230D" w14:paraId="043415DB" w14:textId="77777777" w:rsidTr="54F068BE">
        <w:trPr>
          <w:trHeight w:val="300"/>
        </w:trPr>
        <w:tc>
          <w:tcPr>
            <w:cnfStyle w:val="001000000000" w:firstRow="0" w:lastRow="0" w:firstColumn="1" w:lastColumn="0" w:oddVBand="0" w:evenVBand="0" w:oddHBand="0" w:evenHBand="0" w:firstRowFirstColumn="0" w:firstRowLastColumn="0" w:lastRowFirstColumn="0" w:lastRowLastColumn="0"/>
            <w:tcW w:w="456" w:type="dxa"/>
            <w:noWrap/>
          </w:tcPr>
          <w:p w14:paraId="022F9552" w14:textId="13642CA1" w:rsidR="672CEF75" w:rsidRPr="005205D3" w:rsidRDefault="672CEF75" w:rsidP="560D230D">
            <w:pPr>
              <w:spacing w:line="264" w:lineRule="auto"/>
              <w:jc w:val="right"/>
              <w:rPr>
                <w:rFonts w:ascii="Times New Roman" w:eastAsia="Times New Roman" w:hAnsi="Times New Roman" w:cs="Times New Roman"/>
                <w:b w:val="0"/>
                <w:bCs w:val="0"/>
                <w:color w:val="000000" w:themeColor="text1"/>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t>10</w:t>
            </w:r>
          </w:p>
        </w:tc>
        <w:tc>
          <w:tcPr>
            <w:tcW w:w="1899" w:type="dxa"/>
          </w:tcPr>
          <w:p w14:paraId="28DFFFA6" w14:textId="4E7D97BF" w:rsidR="672CEF75" w:rsidRPr="005205D3" w:rsidRDefault="69779F91" w:rsidP="54F068BE">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val="nl-NL" w:eastAsia="nl-NL"/>
              </w:rPr>
            </w:pPr>
            <w:r w:rsidRPr="005205D3">
              <w:rPr>
                <w:rFonts w:ascii="Times New Roman" w:eastAsia="Times New Roman" w:hAnsi="Times New Roman" w:cs="Times New Roman"/>
                <w:color w:val="000000" w:themeColor="text1"/>
                <w:sz w:val="24"/>
                <w:szCs w:val="24"/>
                <w:lang w:eastAsia="nl-NL"/>
              </w:rPr>
              <w:t xml:space="preserve">Burlingame &amp; </w:t>
            </w:r>
            <w:proofErr w:type="spellStart"/>
            <w:r w:rsidRPr="005205D3">
              <w:rPr>
                <w:rFonts w:ascii="Times New Roman" w:eastAsia="Times New Roman" w:hAnsi="Times New Roman" w:cs="Times New Roman"/>
                <w:color w:val="000000" w:themeColor="text1"/>
                <w:sz w:val="24"/>
                <w:szCs w:val="24"/>
                <w:lang w:eastAsia="nl-NL"/>
              </w:rPr>
              <w:t>Dernini</w:t>
            </w:r>
            <w:proofErr w:type="spellEnd"/>
            <w:r w:rsidRPr="005205D3">
              <w:rPr>
                <w:rFonts w:ascii="Times New Roman" w:eastAsia="Times New Roman" w:hAnsi="Times New Roman" w:cs="Times New Roman"/>
                <w:color w:val="000000" w:themeColor="text1"/>
                <w:sz w:val="24"/>
                <w:szCs w:val="24"/>
                <w:lang w:eastAsia="nl-NL"/>
              </w:rPr>
              <w:t>.</w:t>
            </w:r>
            <w:r w:rsidRPr="005205D3">
              <w:rPr>
                <w:rFonts w:ascii="Times New Roman" w:eastAsia="Times New Roman" w:hAnsi="Times New Roman" w:cs="Times New Roman"/>
                <w:color w:val="000000" w:themeColor="text1"/>
                <w:sz w:val="24"/>
                <w:szCs w:val="24"/>
                <w:lang w:val="nl-NL" w:eastAsia="nl-NL"/>
              </w:rPr>
              <w:t xml:space="preserve"> (2012, p. 83)</w:t>
            </w:r>
          </w:p>
          <w:p w14:paraId="0CECDC61" w14:textId="3F1F512A" w:rsidR="560D230D" w:rsidRPr="005205D3" w:rsidRDefault="560D230D" w:rsidP="560D230D">
            <w:pPr>
              <w:spacing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color w:val="000000" w:themeColor="text1"/>
                <w:sz w:val="24"/>
                <w:szCs w:val="24"/>
                <w:lang w:val="nl-NL" w:eastAsia="nl-NL"/>
              </w:rPr>
            </w:pPr>
          </w:p>
        </w:tc>
        <w:tc>
          <w:tcPr>
            <w:tcW w:w="11603" w:type="dxa"/>
          </w:tcPr>
          <w:p w14:paraId="11CA5EAD" w14:textId="77777777" w:rsidR="672CEF75" w:rsidRPr="005205D3" w:rsidRDefault="672CEF75" w:rsidP="560D230D">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nl-NL"/>
              </w:rPr>
            </w:pPr>
            <w:r w:rsidRPr="005205D3">
              <w:rPr>
                <w:rFonts w:ascii="Times New Roman" w:eastAsia="Times New Roman" w:hAnsi="Times New Roman" w:cs="Times New Roman"/>
                <w:color w:val="000000" w:themeColor="text1"/>
                <w:sz w:val="24"/>
                <w:szCs w:val="24"/>
                <w:lang w:eastAsia="nl-NL"/>
              </w:rPr>
              <w:t>Sustainable Diets are those diets with low environmental impacts which contribute to food and nutrition security and to healthy life for present and future generations. Sustainable diets are protective and respectful of biodiversity and ecosystems, culturally acceptable, accessible, economically fair and affordable; nutritionally adequate, safe and healthy; while optimizing natural and human resources citing FAO (2010)</w:t>
            </w:r>
          </w:p>
          <w:p w14:paraId="638F4F43" w14:textId="4FDDF19A" w:rsidR="672CEF75" w:rsidRPr="005205D3" w:rsidRDefault="672CEF75" w:rsidP="560D230D">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nl-NL"/>
              </w:rPr>
            </w:pPr>
            <w:r w:rsidRPr="005205D3">
              <w:rPr>
                <w:rFonts w:ascii="Times New Roman" w:eastAsia="Times New Roman" w:hAnsi="Times New Roman" w:cs="Times New Roman"/>
                <w:color w:val="000000" w:themeColor="text1"/>
                <w:sz w:val="24"/>
                <w:szCs w:val="24"/>
                <w:lang w:eastAsia="nl-NL"/>
              </w:rPr>
              <w:t>(https://cgspace.cgiar.org/server/api/core/bitstreams/5c0d9ff8-44e1-4db6-af10-ef9c61d5fa80/content)</w:t>
            </w:r>
          </w:p>
        </w:tc>
      </w:tr>
      <w:tr w:rsidR="00B55CDE" w:rsidRPr="0066686C" w14:paraId="6FD5938D" w14:textId="77777777" w:rsidTr="54F068BE">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0" w:type="auto"/>
            <w:noWrap/>
          </w:tcPr>
          <w:p w14:paraId="3B74FBD4" w14:textId="23D5E13D" w:rsidR="00EF53CC" w:rsidRPr="005205D3" w:rsidRDefault="001C59EC" w:rsidP="00EF53CC">
            <w:pPr>
              <w:spacing w:before="60" w:after="60" w:line="264" w:lineRule="auto"/>
              <w:jc w:val="right"/>
              <w:rPr>
                <w:rFonts w:ascii="Times New Roman" w:eastAsia="Times New Roman" w:hAnsi="Times New Roman" w:cs="Times New Roman"/>
                <w:b w:val="0"/>
                <w:bCs w:val="0"/>
                <w:color w:val="000000"/>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t>1</w:t>
            </w:r>
            <w:r w:rsidR="372ACEFC" w:rsidRPr="005205D3">
              <w:rPr>
                <w:rFonts w:ascii="Times New Roman" w:eastAsia="Times New Roman" w:hAnsi="Times New Roman" w:cs="Times New Roman"/>
                <w:b w:val="0"/>
                <w:bCs w:val="0"/>
                <w:color w:val="000000" w:themeColor="text1"/>
                <w:sz w:val="24"/>
                <w:szCs w:val="24"/>
                <w:lang w:val="nl-NL" w:eastAsia="nl-NL"/>
              </w:rPr>
              <w:t>1</w:t>
            </w:r>
          </w:p>
        </w:tc>
        <w:tc>
          <w:tcPr>
            <w:tcW w:w="0" w:type="auto"/>
          </w:tcPr>
          <w:p w14:paraId="11EDC265" w14:textId="74294A96" w:rsidR="00EF53CC" w:rsidRPr="005205D3" w:rsidRDefault="00EF53CC" w:rsidP="00EF53CC">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r w:rsidRPr="005205D3">
              <w:rPr>
                <w:rFonts w:ascii="Times New Roman" w:eastAsia="Times New Roman" w:hAnsi="Times New Roman" w:cs="Times New Roman"/>
                <w:color w:val="000000"/>
                <w:sz w:val="24"/>
                <w:szCs w:val="24"/>
                <w:lang w:val="nl-NL" w:eastAsia="nl-NL"/>
              </w:rPr>
              <w:fldChar w:fldCharType="begin" w:fldLock="1"/>
            </w:r>
            <w:r w:rsidRPr="005205D3">
              <w:rPr>
                <w:rFonts w:ascii="Times New Roman" w:eastAsia="Times New Roman" w:hAnsi="Times New Roman" w:cs="Times New Roman"/>
                <w:color w:val="000000"/>
                <w:sz w:val="24"/>
                <w:szCs w:val="24"/>
                <w:lang w:val="nl-NL" w:eastAsia="nl-NL"/>
              </w:rPr>
              <w:instrText>ADDIN CSL_CITATION { "citationItems" : [ { "id" : "ITEM-1", "itemData" : { "DOI" : "10.1016/j.wasman.2011.10.004", "ISSN" : "0956053X", "author" : [ { "dropping-particle" : "", "family" : "Bilitewski", "given" : "Bernd", "non-dropping-particle" : "", "parse-names" : false, "suffix" : "" } ], "container-title" : "Waste Management", "id" : "ITEM-1", "issue" : "1", "issued" : { "date-parts" : [ [ "2012" ] ] }, "page" : "1-2", "title" : "The Circular Economy and its Risks", "type" : "article", "volume" : "32" }, "locator" : "1", "uris" : [ "http://www.mendeley.com/documents/?uuid=6ab74b49-aa5b-3b97-8e82-d23ed42eeab6" ] } ], "mendeley" : { "formattedCitation" : "(Bilitewski, 2012, p. 1)", "manualFormatting" : "Bilitewski (2012, p. 1)", "plainTextFormattedCitation" : "(Bilitewski, 2012, p. 1)", "previouslyFormattedCitation" : "(Bilitewski, 2012, p. 1)" }, "properties" : { "noteIndex" : 0 }, "schema" : "https://github.com/citation-style-language/schema/raw/master/csl-citation.json" }</w:instrText>
            </w:r>
            <w:r w:rsidRPr="005205D3">
              <w:rPr>
                <w:rFonts w:ascii="Times New Roman" w:eastAsia="Times New Roman" w:hAnsi="Times New Roman" w:cs="Times New Roman"/>
                <w:color w:val="000000"/>
                <w:sz w:val="24"/>
                <w:szCs w:val="24"/>
                <w:lang w:val="nl-NL" w:eastAsia="nl-NL"/>
              </w:rPr>
              <w:fldChar w:fldCharType="separate"/>
            </w:r>
            <w:r w:rsidR="00E83584" w:rsidRPr="005205D3">
              <w:rPr>
                <w:rFonts w:ascii="Times New Roman" w:eastAsia="Times New Roman" w:hAnsi="Times New Roman" w:cs="Times New Roman"/>
                <w:noProof/>
                <w:color w:val="000000"/>
                <w:sz w:val="24"/>
                <w:szCs w:val="24"/>
                <w:lang w:val="nl-NL" w:eastAsia="nl-NL"/>
              </w:rPr>
              <w:t>Castellini et al.</w:t>
            </w:r>
            <w:r w:rsidRPr="005205D3">
              <w:rPr>
                <w:rFonts w:ascii="Times New Roman" w:eastAsia="Times New Roman" w:hAnsi="Times New Roman" w:cs="Times New Roman"/>
                <w:noProof/>
                <w:color w:val="000000"/>
                <w:sz w:val="24"/>
                <w:szCs w:val="24"/>
                <w:lang w:val="nl-NL" w:eastAsia="nl-NL"/>
              </w:rPr>
              <w:t xml:space="preserve"> (20</w:t>
            </w:r>
            <w:r w:rsidR="00E83584" w:rsidRPr="005205D3">
              <w:rPr>
                <w:rFonts w:ascii="Times New Roman" w:eastAsia="Times New Roman" w:hAnsi="Times New Roman" w:cs="Times New Roman"/>
                <w:noProof/>
                <w:color w:val="000000"/>
                <w:sz w:val="24"/>
                <w:szCs w:val="24"/>
                <w:lang w:val="nl-NL" w:eastAsia="nl-NL"/>
              </w:rPr>
              <w:t>21</w:t>
            </w:r>
            <w:r w:rsidRPr="005205D3">
              <w:rPr>
                <w:rFonts w:ascii="Times New Roman" w:eastAsia="Times New Roman" w:hAnsi="Times New Roman" w:cs="Times New Roman"/>
                <w:noProof/>
                <w:color w:val="000000"/>
                <w:sz w:val="24"/>
                <w:szCs w:val="24"/>
                <w:lang w:val="nl-NL" w:eastAsia="nl-NL"/>
              </w:rPr>
              <w:t xml:space="preserve">, p. </w:t>
            </w:r>
            <w:r w:rsidR="00E83584" w:rsidRPr="005205D3">
              <w:rPr>
                <w:rFonts w:ascii="Times New Roman" w:eastAsia="Times New Roman" w:hAnsi="Times New Roman" w:cs="Times New Roman"/>
                <w:noProof/>
                <w:color w:val="000000"/>
                <w:sz w:val="24"/>
                <w:szCs w:val="24"/>
                <w:lang w:val="nl-NL" w:eastAsia="nl-NL"/>
              </w:rPr>
              <w:t>2</w:t>
            </w:r>
            <w:r w:rsidRPr="005205D3">
              <w:rPr>
                <w:rFonts w:ascii="Times New Roman" w:eastAsia="Times New Roman" w:hAnsi="Times New Roman" w:cs="Times New Roman"/>
                <w:noProof/>
                <w:color w:val="000000"/>
                <w:sz w:val="24"/>
                <w:szCs w:val="24"/>
                <w:lang w:val="nl-NL" w:eastAsia="nl-NL"/>
              </w:rPr>
              <w:t>)</w:t>
            </w:r>
            <w:r w:rsidRPr="005205D3">
              <w:rPr>
                <w:rFonts w:ascii="Times New Roman" w:eastAsia="Times New Roman" w:hAnsi="Times New Roman" w:cs="Times New Roman"/>
                <w:color w:val="000000"/>
                <w:sz w:val="24"/>
                <w:szCs w:val="24"/>
                <w:lang w:val="nl-NL" w:eastAsia="nl-NL"/>
              </w:rPr>
              <w:fldChar w:fldCharType="end"/>
            </w:r>
          </w:p>
        </w:tc>
        <w:tc>
          <w:tcPr>
            <w:tcW w:w="0" w:type="auto"/>
          </w:tcPr>
          <w:p w14:paraId="69475004" w14:textId="141627DB" w:rsidR="00EF53CC" w:rsidRPr="005205D3" w:rsidRDefault="00E83584" w:rsidP="00E83584">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 xml:space="preserve">Indeed, many studies that dealt with the topic of sustainable food consumption in “One Health” perspective have shown that the importance given to environmental issues, animal welfare, human health and to the individual </w:t>
            </w:r>
            <w:r w:rsidRPr="005205D3">
              <w:rPr>
                <w:rFonts w:ascii="Times New Roman" w:eastAsia="Times New Roman" w:hAnsi="Times New Roman" w:cs="Times New Roman"/>
                <w:color w:val="000000"/>
                <w:sz w:val="24"/>
                <w:szCs w:val="24"/>
                <w:lang w:eastAsia="nl-NL"/>
              </w:rPr>
              <w:lastRenderedPageBreak/>
              <w:t>responsibility in society are the main aspects in influencing the sustainable food consumption and the implementation of sustainable diet (16, 17)</w:t>
            </w:r>
          </w:p>
        </w:tc>
      </w:tr>
      <w:tr w:rsidR="00B55CDE" w:rsidRPr="0066686C" w14:paraId="78F784C2" w14:textId="77777777" w:rsidTr="54F068BE">
        <w:trPr>
          <w:trHeight w:val="431"/>
        </w:trPr>
        <w:tc>
          <w:tcPr>
            <w:cnfStyle w:val="001000000000" w:firstRow="0" w:lastRow="0" w:firstColumn="1" w:lastColumn="0" w:oddVBand="0" w:evenVBand="0" w:oddHBand="0" w:evenHBand="0" w:firstRowFirstColumn="0" w:firstRowLastColumn="0" w:lastRowFirstColumn="0" w:lastRowLastColumn="0"/>
            <w:tcW w:w="0" w:type="auto"/>
            <w:noWrap/>
          </w:tcPr>
          <w:p w14:paraId="6F8A69DA" w14:textId="022515C0" w:rsidR="00EF53CC" w:rsidRPr="005205D3" w:rsidRDefault="00EE7C37" w:rsidP="00EF53CC">
            <w:pPr>
              <w:spacing w:before="60" w:after="60" w:line="264" w:lineRule="auto"/>
              <w:jc w:val="right"/>
              <w:rPr>
                <w:rFonts w:ascii="Times New Roman" w:eastAsia="Times New Roman" w:hAnsi="Times New Roman" w:cs="Times New Roman"/>
                <w:b w:val="0"/>
                <w:bCs w:val="0"/>
                <w:color w:val="000000"/>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lastRenderedPageBreak/>
              <w:t>1</w:t>
            </w:r>
            <w:r w:rsidR="1567CEF4" w:rsidRPr="005205D3">
              <w:rPr>
                <w:rFonts w:ascii="Times New Roman" w:eastAsia="Times New Roman" w:hAnsi="Times New Roman" w:cs="Times New Roman"/>
                <w:b w:val="0"/>
                <w:bCs w:val="0"/>
                <w:color w:val="000000" w:themeColor="text1"/>
                <w:sz w:val="24"/>
                <w:szCs w:val="24"/>
                <w:lang w:val="nl-NL" w:eastAsia="nl-NL"/>
              </w:rPr>
              <w:t>2</w:t>
            </w:r>
          </w:p>
        </w:tc>
        <w:tc>
          <w:tcPr>
            <w:tcW w:w="0" w:type="auto"/>
          </w:tcPr>
          <w:p w14:paraId="2C0BC41C" w14:textId="55D18D93" w:rsidR="00EF53CC" w:rsidRPr="005205D3" w:rsidRDefault="00EF53CC" w:rsidP="00EF53CC">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r w:rsidRPr="005205D3">
              <w:rPr>
                <w:rFonts w:ascii="Times New Roman" w:eastAsia="Times New Roman" w:hAnsi="Times New Roman" w:cs="Times New Roman"/>
                <w:color w:val="000000"/>
                <w:sz w:val="24"/>
                <w:szCs w:val="24"/>
                <w:lang w:val="nl-NL" w:eastAsia="nl-NL"/>
              </w:rPr>
              <w:fldChar w:fldCharType="begin" w:fldLock="1"/>
            </w:r>
            <w:r w:rsidRPr="005205D3">
              <w:rPr>
                <w:rFonts w:ascii="Times New Roman" w:eastAsia="Times New Roman" w:hAnsi="Times New Roman" w:cs="Times New Roman"/>
                <w:color w:val="000000"/>
                <w:sz w:val="24"/>
                <w:szCs w:val="24"/>
                <w:lang w:val="nl-NL" w:eastAsia="nl-NL"/>
              </w:rPr>
              <w:instrText>ADDIN CSL_CITATION { "citationItems" : [ { "id" : "ITEM-1", "itemData" : { "DOI" : "10.1051/metal/2015009", "ISSN" : "2271-3646", "author" : [ { "dropping-particle" : "", "family" : "Birat", "given" : "J.-P.", "non-dropping-particle" : "", "parse-names" : false, "suffix" : "" } ], "container-title" : "Metallurgical Research &amp; Technology", "id" : "ITEM-1", "issue" : "2", "issued" : { "date-parts" : [ [ "2015", "4", "15" ] ] }, "page" : "206", "publisher" : "EDP Sciences", "title" : "Life-cycle assessment, resource efficiency and recycling", "type" : "article-journal", "volume" : "112" }, "locator" : "1", "uris" : [ "http://www.mendeley.com/documents/?uuid=fa13a6eb-e1a0-3b61-8e74-05eaad28d89a" ] } ], "mendeley" : { "formattedCitation" : "(Birat, 2015, p. 1)", "manualFormatting" : "Birat (2015, p. 1)", "plainTextFormattedCitation" : "(Birat, 2015, p. 1)", "previouslyFormattedCitation" : "(Birat, 2015, p. 1)" }, "properties" : { "noteIndex" : 0 }, "schema" : "https://github.com/citation-style-language/schema/raw/master/csl-citation.json" }</w:instrText>
            </w:r>
            <w:r w:rsidRPr="005205D3">
              <w:rPr>
                <w:rFonts w:ascii="Times New Roman" w:eastAsia="Times New Roman" w:hAnsi="Times New Roman" w:cs="Times New Roman"/>
                <w:color w:val="000000"/>
                <w:sz w:val="24"/>
                <w:szCs w:val="24"/>
                <w:lang w:val="nl-NL" w:eastAsia="nl-NL"/>
              </w:rPr>
              <w:fldChar w:fldCharType="separate"/>
            </w:r>
            <w:r w:rsidR="00E83584" w:rsidRPr="005205D3">
              <w:rPr>
                <w:rFonts w:ascii="Times New Roman" w:eastAsia="Times New Roman" w:hAnsi="Times New Roman" w:cs="Times New Roman"/>
                <w:noProof/>
                <w:color w:val="000000"/>
                <w:sz w:val="24"/>
                <w:szCs w:val="24"/>
                <w:lang w:val="nl-NL" w:eastAsia="nl-NL"/>
              </w:rPr>
              <w:t>Choud</w:t>
            </w:r>
            <w:r w:rsidR="008E015E">
              <w:rPr>
                <w:rFonts w:ascii="Times New Roman" w:eastAsia="Times New Roman" w:hAnsi="Times New Roman" w:cs="Times New Roman"/>
                <w:noProof/>
                <w:color w:val="000000"/>
                <w:sz w:val="24"/>
                <w:szCs w:val="24"/>
                <w:lang w:val="nl-NL" w:eastAsia="nl-NL"/>
              </w:rPr>
              <w:t>h</w:t>
            </w:r>
            <w:r w:rsidR="00E83584" w:rsidRPr="005205D3">
              <w:rPr>
                <w:rFonts w:ascii="Times New Roman" w:eastAsia="Times New Roman" w:hAnsi="Times New Roman" w:cs="Times New Roman"/>
                <w:noProof/>
                <w:color w:val="000000"/>
                <w:sz w:val="24"/>
                <w:szCs w:val="24"/>
                <w:lang w:val="nl-NL" w:eastAsia="nl-NL"/>
              </w:rPr>
              <w:t>ary et al.</w:t>
            </w:r>
            <w:r w:rsidRPr="005205D3">
              <w:rPr>
                <w:rFonts w:ascii="Times New Roman" w:eastAsia="Times New Roman" w:hAnsi="Times New Roman" w:cs="Times New Roman"/>
                <w:noProof/>
                <w:color w:val="000000"/>
                <w:sz w:val="24"/>
                <w:szCs w:val="24"/>
                <w:lang w:val="nl-NL" w:eastAsia="nl-NL"/>
              </w:rPr>
              <w:t xml:space="preserve"> (201</w:t>
            </w:r>
            <w:r w:rsidR="00E83584" w:rsidRPr="005205D3">
              <w:rPr>
                <w:rFonts w:ascii="Times New Roman" w:eastAsia="Times New Roman" w:hAnsi="Times New Roman" w:cs="Times New Roman"/>
                <w:noProof/>
                <w:color w:val="000000"/>
                <w:sz w:val="24"/>
                <w:szCs w:val="24"/>
                <w:lang w:val="nl-NL" w:eastAsia="nl-NL"/>
              </w:rPr>
              <w:t>9</w:t>
            </w:r>
            <w:r w:rsidRPr="005205D3">
              <w:rPr>
                <w:rFonts w:ascii="Times New Roman" w:eastAsia="Times New Roman" w:hAnsi="Times New Roman" w:cs="Times New Roman"/>
                <w:noProof/>
                <w:color w:val="000000"/>
                <w:sz w:val="24"/>
                <w:szCs w:val="24"/>
                <w:lang w:val="nl-NL" w:eastAsia="nl-NL"/>
              </w:rPr>
              <w:t>, p</w:t>
            </w:r>
            <w:r w:rsidR="00C84CF0" w:rsidRPr="005205D3">
              <w:rPr>
                <w:rFonts w:ascii="Times New Roman" w:eastAsia="Times New Roman" w:hAnsi="Times New Roman" w:cs="Times New Roman"/>
                <w:noProof/>
                <w:color w:val="000000"/>
                <w:sz w:val="24"/>
                <w:szCs w:val="24"/>
                <w:lang w:val="nl-NL" w:eastAsia="nl-NL"/>
              </w:rPr>
              <w:t>p</w:t>
            </w:r>
            <w:r w:rsidRPr="005205D3">
              <w:rPr>
                <w:rFonts w:ascii="Times New Roman" w:eastAsia="Times New Roman" w:hAnsi="Times New Roman" w:cs="Times New Roman"/>
                <w:noProof/>
                <w:color w:val="000000"/>
                <w:sz w:val="24"/>
                <w:szCs w:val="24"/>
                <w:lang w:val="nl-NL" w:eastAsia="nl-NL"/>
              </w:rPr>
              <w:t xml:space="preserve">. </w:t>
            </w:r>
            <w:r w:rsidR="00E83584" w:rsidRPr="005205D3">
              <w:rPr>
                <w:rFonts w:ascii="Times New Roman" w:eastAsia="Times New Roman" w:hAnsi="Times New Roman" w:cs="Times New Roman"/>
                <w:noProof/>
                <w:color w:val="000000"/>
                <w:sz w:val="24"/>
                <w:szCs w:val="24"/>
                <w:lang w:val="nl-NL" w:eastAsia="nl-NL"/>
              </w:rPr>
              <w:t>483-484</w:t>
            </w:r>
            <w:r w:rsidRPr="005205D3">
              <w:rPr>
                <w:rFonts w:ascii="Times New Roman" w:eastAsia="Times New Roman" w:hAnsi="Times New Roman" w:cs="Times New Roman"/>
                <w:noProof/>
                <w:color w:val="000000"/>
                <w:sz w:val="24"/>
                <w:szCs w:val="24"/>
                <w:lang w:val="nl-NL" w:eastAsia="nl-NL"/>
              </w:rPr>
              <w:t>)</w:t>
            </w:r>
            <w:r w:rsidRPr="005205D3">
              <w:rPr>
                <w:rFonts w:ascii="Times New Roman" w:eastAsia="Times New Roman" w:hAnsi="Times New Roman" w:cs="Times New Roman"/>
                <w:color w:val="000000"/>
                <w:sz w:val="24"/>
                <w:szCs w:val="24"/>
                <w:lang w:val="nl-NL" w:eastAsia="nl-NL"/>
              </w:rPr>
              <w:fldChar w:fldCharType="end"/>
            </w:r>
          </w:p>
        </w:tc>
        <w:tc>
          <w:tcPr>
            <w:tcW w:w="0" w:type="auto"/>
          </w:tcPr>
          <w:p w14:paraId="5A6F4002" w14:textId="56D92DFF" w:rsidR="00EF53CC" w:rsidRPr="005205D3" w:rsidRDefault="00E83584" w:rsidP="00E83584">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 xml:space="preserve">The recent Sustainable Development Goals (SDG 12) also aims to safeguard sustainable consumption and production patterns in food systems. In the context of sustainable food consumption, consumption of organic food or local food can fall under this category as they use less resources during production phase, e.g. no artificial </w:t>
            </w:r>
            <w:proofErr w:type="spellStart"/>
            <w:r w:rsidRPr="005205D3">
              <w:rPr>
                <w:rFonts w:ascii="Times New Roman" w:eastAsia="Times New Roman" w:hAnsi="Times New Roman" w:cs="Times New Roman"/>
                <w:color w:val="000000"/>
                <w:sz w:val="24"/>
                <w:szCs w:val="24"/>
                <w:lang w:eastAsia="nl-NL"/>
              </w:rPr>
              <w:t>fertiliser</w:t>
            </w:r>
            <w:proofErr w:type="spellEnd"/>
            <w:r w:rsidRPr="005205D3">
              <w:rPr>
                <w:rFonts w:ascii="Times New Roman" w:eastAsia="Times New Roman" w:hAnsi="Times New Roman" w:cs="Times New Roman"/>
                <w:color w:val="000000"/>
                <w:sz w:val="24"/>
                <w:szCs w:val="24"/>
                <w:lang w:eastAsia="nl-NL"/>
              </w:rPr>
              <w:t xml:space="preserve"> or pesticide input in organic production system, less food miles in local food consumption and at the same time such food are more nutritious and healthy (Lucia et al., 2017). Focus of sustainable food consumption also extends beyond production types and covers reduction in food waste (Evans et al., 2017).</w:t>
            </w:r>
          </w:p>
        </w:tc>
      </w:tr>
      <w:tr w:rsidR="00B55CDE" w:rsidRPr="0066686C" w14:paraId="7CACD5AB" w14:textId="77777777" w:rsidTr="54F068BE">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0" w:type="auto"/>
            <w:noWrap/>
          </w:tcPr>
          <w:p w14:paraId="4AAD063B" w14:textId="767872E9" w:rsidR="00A858B6" w:rsidRPr="005205D3" w:rsidRDefault="00EE7C37" w:rsidP="00EF53CC">
            <w:pPr>
              <w:spacing w:before="60" w:after="60" w:line="264" w:lineRule="auto"/>
              <w:jc w:val="right"/>
              <w:rPr>
                <w:rFonts w:ascii="Times New Roman" w:eastAsia="Times New Roman" w:hAnsi="Times New Roman" w:cs="Times New Roman"/>
                <w:b w:val="0"/>
                <w:bCs w:val="0"/>
                <w:color w:val="000000"/>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t>1</w:t>
            </w:r>
            <w:r w:rsidR="6B16AD47" w:rsidRPr="005205D3">
              <w:rPr>
                <w:rFonts w:ascii="Times New Roman" w:eastAsia="Times New Roman" w:hAnsi="Times New Roman" w:cs="Times New Roman"/>
                <w:b w:val="0"/>
                <w:bCs w:val="0"/>
                <w:color w:val="000000" w:themeColor="text1"/>
                <w:sz w:val="24"/>
                <w:szCs w:val="24"/>
                <w:lang w:val="nl-NL" w:eastAsia="nl-NL"/>
              </w:rPr>
              <w:t>3</w:t>
            </w:r>
          </w:p>
        </w:tc>
        <w:tc>
          <w:tcPr>
            <w:tcW w:w="0" w:type="auto"/>
          </w:tcPr>
          <w:p w14:paraId="6AD4D3BB" w14:textId="7690DA62" w:rsidR="00A858B6" w:rsidRPr="005205D3" w:rsidRDefault="00A858B6" w:rsidP="00EF53CC">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r w:rsidRPr="005205D3">
              <w:rPr>
                <w:rFonts w:ascii="Times New Roman" w:eastAsia="Times New Roman" w:hAnsi="Times New Roman" w:cs="Times New Roman"/>
                <w:color w:val="000000"/>
                <w:sz w:val="24"/>
                <w:szCs w:val="24"/>
                <w:lang w:val="nl-NL" w:eastAsia="nl-NL"/>
              </w:rPr>
              <w:fldChar w:fldCharType="begin" w:fldLock="1"/>
            </w:r>
            <w:r w:rsidR="00EE7C37" w:rsidRPr="005205D3">
              <w:rPr>
                <w:rFonts w:ascii="Times New Roman" w:eastAsia="Times New Roman" w:hAnsi="Times New Roman" w:cs="Times New Roman"/>
                <w:color w:val="000000"/>
                <w:sz w:val="24"/>
                <w:szCs w:val="24"/>
                <w:lang w:val="nl-NL" w:eastAsia="nl-NL"/>
              </w:rPr>
              <w:instrText>ADDIN CSL_CITATION { "citationItems" : [ { "id" : "ITEM-1", "itemData" : { "DOI" : "10.1111/jiec.12603", "ISSN" : "10881980", "author" : [ { "dropping-particle" : "", "family" : "Blomsma", "given" : "Fenna", "non-dropping-particle" : "", "parse-names" : false, "suffix" : "" }, { "dropping-particle" : "", "family" : "Brennan", "given" : "Geraldine", "non-dropping-particle" : "", "parse-names" : false, "suffix" : "" } ], "container-title" : "Journal of Industrial Ecology", "id" : "ITEM-1", "issue" : "3", "issued" : { "date-parts" : [ [ "2017", "6", "1" ] ] }, "page" : "603-614", "title" : "The Emergence of Circular Economy: A New Framing Around Prolonging Resource Productivity", "type" : "article-journal", "volume" : "21" }, "uris" : [ "http://www.mendeley.com/documents/?uuid=396ead96-cef7-3c77-91ec-58292d53ae2a" ] } ], "mendeley" : { "formattedCitation" : "(Blomsma &amp; Brennan, 2017)", "manualFormatting" : "Blomsma &amp; Brennan (2017, p. 603)", "plainTextFormattedCitation" : "(Blomsma &amp; Brennan, 2017)", "previouslyFormattedCitation" : "(Blomsma &amp; Brennan, 2017)" }, "properties" : { "noteIndex" : 0 }, "schema" : "https://github.com/citation-style-language/schema/raw/master/csl-citation.json" }</w:instrText>
            </w:r>
            <w:r w:rsidRPr="005205D3">
              <w:rPr>
                <w:rFonts w:ascii="Times New Roman" w:eastAsia="Times New Roman" w:hAnsi="Times New Roman" w:cs="Times New Roman"/>
                <w:color w:val="000000"/>
                <w:sz w:val="24"/>
                <w:szCs w:val="24"/>
                <w:lang w:val="nl-NL" w:eastAsia="nl-NL"/>
              </w:rPr>
              <w:fldChar w:fldCharType="separate"/>
            </w:r>
            <w:r w:rsidR="00E83584" w:rsidRPr="005205D3">
              <w:rPr>
                <w:rFonts w:ascii="Times New Roman" w:eastAsia="Times New Roman" w:hAnsi="Times New Roman" w:cs="Times New Roman"/>
                <w:noProof/>
                <w:color w:val="000000"/>
                <w:sz w:val="24"/>
                <w:szCs w:val="24"/>
                <w:lang w:val="nl-NL" w:eastAsia="nl-NL"/>
              </w:rPr>
              <w:t>Chu et al.</w:t>
            </w:r>
            <w:r w:rsidRPr="005205D3">
              <w:rPr>
                <w:rFonts w:ascii="Times New Roman" w:eastAsia="Times New Roman" w:hAnsi="Times New Roman" w:cs="Times New Roman"/>
                <w:noProof/>
                <w:color w:val="000000"/>
                <w:sz w:val="24"/>
                <w:szCs w:val="24"/>
                <w:lang w:val="nl-NL" w:eastAsia="nl-NL"/>
              </w:rPr>
              <w:t xml:space="preserve"> (</w:t>
            </w:r>
            <w:r w:rsidR="00E83584" w:rsidRPr="005205D3">
              <w:rPr>
                <w:rFonts w:ascii="Times New Roman" w:eastAsia="Times New Roman" w:hAnsi="Times New Roman" w:cs="Times New Roman"/>
                <w:noProof/>
                <w:color w:val="000000"/>
                <w:sz w:val="24"/>
                <w:szCs w:val="24"/>
                <w:lang w:val="nl-NL" w:eastAsia="nl-NL"/>
              </w:rPr>
              <w:t>202</w:t>
            </w:r>
            <w:r w:rsidR="00AC6C78">
              <w:rPr>
                <w:rFonts w:ascii="Times New Roman" w:eastAsia="Times New Roman" w:hAnsi="Times New Roman" w:cs="Times New Roman"/>
                <w:noProof/>
                <w:color w:val="000000"/>
                <w:sz w:val="24"/>
                <w:szCs w:val="24"/>
                <w:lang w:val="nl-NL" w:eastAsia="nl-NL"/>
              </w:rPr>
              <w:t>3</w:t>
            </w:r>
            <w:r w:rsidR="00EE7C37" w:rsidRPr="005205D3">
              <w:rPr>
                <w:rFonts w:ascii="Times New Roman" w:eastAsia="Times New Roman" w:hAnsi="Times New Roman" w:cs="Times New Roman"/>
                <w:noProof/>
                <w:color w:val="000000"/>
                <w:sz w:val="24"/>
                <w:szCs w:val="24"/>
                <w:lang w:val="nl-NL" w:eastAsia="nl-NL"/>
              </w:rPr>
              <w:t xml:space="preserve">, p. </w:t>
            </w:r>
            <w:r w:rsidR="00E83584" w:rsidRPr="005205D3">
              <w:rPr>
                <w:rFonts w:ascii="Times New Roman" w:eastAsia="Times New Roman" w:hAnsi="Times New Roman" w:cs="Times New Roman"/>
                <w:noProof/>
                <w:color w:val="000000"/>
                <w:sz w:val="24"/>
                <w:szCs w:val="24"/>
                <w:lang w:val="nl-NL" w:eastAsia="nl-NL"/>
              </w:rPr>
              <w:t>2</w:t>
            </w:r>
            <w:r w:rsidRPr="005205D3">
              <w:rPr>
                <w:rFonts w:ascii="Times New Roman" w:eastAsia="Times New Roman" w:hAnsi="Times New Roman" w:cs="Times New Roman"/>
                <w:noProof/>
                <w:color w:val="000000"/>
                <w:sz w:val="24"/>
                <w:szCs w:val="24"/>
                <w:lang w:val="nl-NL" w:eastAsia="nl-NL"/>
              </w:rPr>
              <w:t>)</w:t>
            </w:r>
            <w:r w:rsidRPr="005205D3">
              <w:rPr>
                <w:rFonts w:ascii="Times New Roman" w:eastAsia="Times New Roman" w:hAnsi="Times New Roman" w:cs="Times New Roman"/>
                <w:color w:val="000000"/>
                <w:sz w:val="24"/>
                <w:szCs w:val="24"/>
                <w:lang w:val="nl-NL" w:eastAsia="nl-NL"/>
              </w:rPr>
              <w:fldChar w:fldCharType="end"/>
            </w:r>
          </w:p>
        </w:tc>
        <w:tc>
          <w:tcPr>
            <w:tcW w:w="0" w:type="auto"/>
          </w:tcPr>
          <w:p w14:paraId="01CBA606" w14:textId="418AE941" w:rsidR="00A858B6" w:rsidRPr="005205D3" w:rsidRDefault="00E83584" w:rsidP="00E83584">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To narrow the scope of the study, this study adopts a narrower definition of sustainable food as environmentally friendly food produced in a way that protects the environment and natural resources, such as air, water, and soil, and consumes less energy.</w:t>
            </w:r>
          </w:p>
        </w:tc>
      </w:tr>
      <w:tr w:rsidR="004F5046" w:rsidRPr="0066686C" w14:paraId="348DF7D0" w14:textId="77777777" w:rsidTr="54F068BE">
        <w:trPr>
          <w:trHeight w:val="431"/>
        </w:trPr>
        <w:tc>
          <w:tcPr>
            <w:cnfStyle w:val="001000000000" w:firstRow="0" w:lastRow="0" w:firstColumn="1" w:lastColumn="0" w:oddVBand="0" w:evenVBand="0" w:oddHBand="0" w:evenHBand="0" w:firstRowFirstColumn="0" w:firstRowLastColumn="0" w:lastRowFirstColumn="0" w:lastRowLastColumn="0"/>
            <w:tcW w:w="0" w:type="auto"/>
            <w:noWrap/>
          </w:tcPr>
          <w:p w14:paraId="440F03FB" w14:textId="40E0CB01" w:rsidR="004F5046" w:rsidRPr="005205D3" w:rsidRDefault="70914C6D" w:rsidP="00EF53CC">
            <w:pPr>
              <w:spacing w:before="60" w:after="60" w:line="264" w:lineRule="auto"/>
              <w:jc w:val="right"/>
              <w:rPr>
                <w:rFonts w:ascii="Times New Roman" w:eastAsia="Times New Roman" w:hAnsi="Times New Roman" w:cs="Times New Roman"/>
                <w:b w:val="0"/>
                <w:bCs w:val="0"/>
                <w:color w:val="000000"/>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t>14</w:t>
            </w:r>
          </w:p>
        </w:tc>
        <w:tc>
          <w:tcPr>
            <w:tcW w:w="0" w:type="auto"/>
          </w:tcPr>
          <w:p w14:paraId="0F18802A" w14:textId="46CE9829" w:rsidR="004F5046" w:rsidRPr="005205D3" w:rsidRDefault="004F5046" w:rsidP="00EF53CC">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proofErr w:type="spellStart"/>
            <w:r w:rsidRPr="005205D3">
              <w:rPr>
                <w:rFonts w:ascii="Times New Roman" w:eastAsia="Times New Roman" w:hAnsi="Times New Roman" w:cs="Times New Roman"/>
                <w:color w:val="000000"/>
                <w:sz w:val="24"/>
                <w:szCs w:val="24"/>
                <w:lang w:val="nl-NL" w:eastAsia="nl-NL"/>
              </w:rPr>
              <w:t>Cleland</w:t>
            </w:r>
            <w:proofErr w:type="spellEnd"/>
            <w:r w:rsidRPr="005205D3">
              <w:rPr>
                <w:rFonts w:ascii="Times New Roman" w:eastAsia="Times New Roman" w:hAnsi="Times New Roman" w:cs="Times New Roman"/>
                <w:color w:val="000000"/>
                <w:sz w:val="24"/>
                <w:szCs w:val="24"/>
                <w:lang w:val="nl-NL" w:eastAsia="nl-NL"/>
              </w:rPr>
              <w:t xml:space="preserve"> et al. (2025, p. 2)</w:t>
            </w:r>
          </w:p>
        </w:tc>
        <w:tc>
          <w:tcPr>
            <w:tcW w:w="0" w:type="auto"/>
          </w:tcPr>
          <w:p w14:paraId="39F985C7" w14:textId="0CE353FB" w:rsidR="004F5046" w:rsidRPr="005205D3" w:rsidRDefault="004F5046" w:rsidP="00E83584">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..those diets with low environmental impacts which contribute to food and nutrition security and to healthy life for present and future generations. Sustainable diets are protective and respectful of biodiversity and ecosystems, culturally acceptable, accessible, economically fair and affordable; nutritionally adequate, safe and healthy; while optimizing natural and human resources.</w:t>
            </w:r>
          </w:p>
        </w:tc>
      </w:tr>
      <w:tr w:rsidR="009B45D7" w:rsidRPr="0066686C" w14:paraId="1EF518D6" w14:textId="77777777" w:rsidTr="54F068BE">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0" w:type="auto"/>
            <w:noWrap/>
          </w:tcPr>
          <w:p w14:paraId="308FF6F9" w14:textId="02A7CF58" w:rsidR="009B45D7" w:rsidRPr="005205D3" w:rsidRDefault="001C59EC" w:rsidP="00EF53CC">
            <w:pPr>
              <w:spacing w:before="60" w:after="60" w:line="264" w:lineRule="auto"/>
              <w:jc w:val="right"/>
              <w:rPr>
                <w:rFonts w:ascii="Times New Roman" w:eastAsia="Times New Roman" w:hAnsi="Times New Roman" w:cs="Times New Roman"/>
                <w:b w:val="0"/>
                <w:bCs w:val="0"/>
                <w:color w:val="000000"/>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t>1</w:t>
            </w:r>
            <w:r w:rsidR="592B06B8" w:rsidRPr="005205D3">
              <w:rPr>
                <w:rFonts w:ascii="Times New Roman" w:eastAsia="Times New Roman" w:hAnsi="Times New Roman" w:cs="Times New Roman"/>
                <w:b w:val="0"/>
                <w:bCs w:val="0"/>
                <w:color w:val="000000" w:themeColor="text1"/>
                <w:sz w:val="24"/>
                <w:szCs w:val="24"/>
                <w:lang w:val="nl-NL" w:eastAsia="nl-NL"/>
              </w:rPr>
              <w:t>5</w:t>
            </w:r>
          </w:p>
        </w:tc>
        <w:tc>
          <w:tcPr>
            <w:tcW w:w="0" w:type="auto"/>
          </w:tcPr>
          <w:p w14:paraId="1E02738B" w14:textId="09FD8A3C" w:rsidR="009B45D7" w:rsidRPr="005205D3" w:rsidRDefault="76F5429F" w:rsidP="54F068BE">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r w:rsidRPr="005205D3">
              <w:rPr>
                <w:rFonts w:ascii="Times New Roman" w:eastAsia="Times New Roman" w:hAnsi="Times New Roman" w:cs="Times New Roman"/>
                <w:color w:val="000000" w:themeColor="text1"/>
                <w:sz w:val="24"/>
                <w:szCs w:val="24"/>
                <w:lang w:val="nl-NL" w:eastAsia="nl-NL"/>
              </w:rPr>
              <w:t>Danone (2023)</w:t>
            </w:r>
          </w:p>
        </w:tc>
        <w:tc>
          <w:tcPr>
            <w:tcW w:w="0" w:type="auto"/>
          </w:tcPr>
          <w:p w14:paraId="5F17611A" w14:textId="58A7865F" w:rsidR="009B45D7" w:rsidRPr="005205D3" w:rsidRDefault="009B45D7" w:rsidP="00E83584">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We are integrating carbon in our innovation and reformulation processes, developing more low carbon dairy, plant-based and hybrid product offers and supporting breakthrough innovations to encourage the adoption of sustainable diets, in line with our mission of bringing health through food to as many people as possible. Our low carbon by design and portfolio management program will be a major lever in our transition, and a key component of our scope 3 non-FLAG reduction commitment. (https://www.danone.com/content/dam/corp/global/danonecom/about-us-impact/policies-and-commitments/en/danone-climate-transition-plan-2023.pdf)</w:t>
            </w:r>
          </w:p>
        </w:tc>
      </w:tr>
      <w:tr w:rsidR="006F448C" w:rsidRPr="0066686C" w14:paraId="53348FD3" w14:textId="77777777" w:rsidTr="54F068BE">
        <w:trPr>
          <w:trHeight w:val="431"/>
        </w:trPr>
        <w:tc>
          <w:tcPr>
            <w:cnfStyle w:val="001000000000" w:firstRow="0" w:lastRow="0" w:firstColumn="1" w:lastColumn="0" w:oddVBand="0" w:evenVBand="0" w:oddHBand="0" w:evenHBand="0" w:firstRowFirstColumn="0" w:firstRowLastColumn="0" w:lastRowFirstColumn="0" w:lastRowLastColumn="0"/>
            <w:tcW w:w="0" w:type="auto"/>
            <w:noWrap/>
          </w:tcPr>
          <w:p w14:paraId="341357D0" w14:textId="2A2ECB7C" w:rsidR="006F448C" w:rsidRPr="005205D3" w:rsidRDefault="001C59EC" w:rsidP="00EF53CC">
            <w:pPr>
              <w:spacing w:before="60" w:after="60" w:line="264" w:lineRule="auto"/>
              <w:jc w:val="right"/>
              <w:rPr>
                <w:rFonts w:ascii="Times New Roman" w:eastAsia="Times New Roman" w:hAnsi="Times New Roman" w:cs="Times New Roman"/>
                <w:b w:val="0"/>
                <w:bCs w:val="0"/>
                <w:color w:val="000000"/>
                <w:sz w:val="24"/>
                <w:szCs w:val="24"/>
                <w:lang w:eastAsia="nl-NL"/>
              </w:rPr>
            </w:pPr>
            <w:r w:rsidRPr="005205D3">
              <w:rPr>
                <w:rFonts w:ascii="Times New Roman" w:eastAsia="Times New Roman" w:hAnsi="Times New Roman" w:cs="Times New Roman"/>
                <w:b w:val="0"/>
                <w:bCs w:val="0"/>
                <w:color w:val="000000" w:themeColor="text1"/>
                <w:sz w:val="24"/>
                <w:szCs w:val="24"/>
                <w:lang w:eastAsia="nl-NL"/>
              </w:rPr>
              <w:t>1</w:t>
            </w:r>
            <w:r w:rsidR="13DDF0F4" w:rsidRPr="005205D3">
              <w:rPr>
                <w:rFonts w:ascii="Times New Roman" w:eastAsia="Times New Roman" w:hAnsi="Times New Roman" w:cs="Times New Roman"/>
                <w:b w:val="0"/>
                <w:bCs w:val="0"/>
                <w:color w:val="000000" w:themeColor="text1"/>
                <w:sz w:val="24"/>
                <w:szCs w:val="24"/>
                <w:lang w:eastAsia="nl-NL"/>
              </w:rPr>
              <w:t>6</w:t>
            </w:r>
          </w:p>
        </w:tc>
        <w:tc>
          <w:tcPr>
            <w:tcW w:w="0" w:type="auto"/>
          </w:tcPr>
          <w:p w14:paraId="651C82E1" w14:textId="07729009" w:rsidR="006F448C" w:rsidRPr="005205D3" w:rsidRDefault="39759517" w:rsidP="00EF53CC">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r w:rsidRPr="005205D3">
              <w:rPr>
                <w:rFonts w:ascii="Times New Roman" w:eastAsia="Times New Roman" w:hAnsi="Times New Roman" w:cs="Times New Roman"/>
                <w:color w:val="000000" w:themeColor="text1"/>
                <w:sz w:val="24"/>
                <w:szCs w:val="24"/>
                <w:lang w:val="nl-NL" w:eastAsia="nl-NL"/>
              </w:rPr>
              <w:t>Deloitte (2024)</w:t>
            </w:r>
          </w:p>
        </w:tc>
        <w:tc>
          <w:tcPr>
            <w:tcW w:w="0" w:type="auto"/>
          </w:tcPr>
          <w:p w14:paraId="6082F1C0" w14:textId="77777777" w:rsidR="006F448C" w:rsidRPr="005205D3" w:rsidRDefault="006F448C" w:rsidP="00E83584">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Sustainable food system: A healthy and environmentally sustainable food system, including a more sustainable farming system with more organic farming</w:t>
            </w:r>
          </w:p>
          <w:p w14:paraId="11D5D40C" w14:textId="17A62E56" w:rsidR="006F448C" w:rsidRPr="005205D3" w:rsidRDefault="006F448C" w:rsidP="00E83584">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(https://www.deloitte.com/content/dam/assets-zone2/fi/fi/docs/industries/consumer/2024/fof-regulatory-outlook-final-external-version.pdf)</w:t>
            </w:r>
          </w:p>
        </w:tc>
      </w:tr>
      <w:tr w:rsidR="00B55CDE" w:rsidRPr="0066686C" w14:paraId="25452062" w14:textId="77777777" w:rsidTr="54F068BE">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D8E08BF" w14:textId="201583E9" w:rsidR="00EF53CC" w:rsidRPr="005205D3" w:rsidRDefault="00EE7C37" w:rsidP="00EF53CC">
            <w:pPr>
              <w:spacing w:before="60" w:after="60" w:line="264" w:lineRule="auto"/>
              <w:jc w:val="right"/>
              <w:rPr>
                <w:rFonts w:ascii="Times New Roman" w:eastAsia="Times New Roman" w:hAnsi="Times New Roman" w:cs="Times New Roman"/>
                <w:b w:val="0"/>
                <w:bCs w:val="0"/>
                <w:color w:val="000000"/>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lastRenderedPageBreak/>
              <w:t>1</w:t>
            </w:r>
            <w:r w:rsidR="2E832234" w:rsidRPr="005205D3">
              <w:rPr>
                <w:rFonts w:ascii="Times New Roman" w:eastAsia="Times New Roman" w:hAnsi="Times New Roman" w:cs="Times New Roman"/>
                <w:b w:val="0"/>
                <w:bCs w:val="0"/>
                <w:color w:val="000000" w:themeColor="text1"/>
                <w:sz w:val="24"/>
                <w:szCs w:val="24"/>
                <w:lang w:val="nl-NL" w:eastAsia="nl-NL"/>
              </w:rPr>
              <w:t>7</w:t>
            </w:r>
          </w:p>
        </w:tc>
        <w:tc>
          <w:tcPr>
            <w:tcW w:w="0" w:type="auto"/>
            <w:hideMark/>
          </w:tcPr>
          <w:p w14:paraId="1CF2491A" w14:textId="416D5D5C" w:rsidR="00EF53CC" w:rsidRPr="005205D3" w:rsidRDefault="00EF53CC" w:rsidP="00EF53CC">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r w:rsidRPr="005205D3">
              <w:rPr>
                <w:rFonts w:ascii="Times New Roman" w:eastAsia="Times New Roman" w:hAnsi="Times New Roman" w:cs="Times New Roman"/>
                <w:color w:val="000000"/>
                <w:sz w:val="24"/>
                <w:szCs w:val="24"/>
                <w:lang w:val="nl-NL" w:eastAsia="nl-NL"/>
              </w:rPr>
              <w:fldChar w:fldCharType="begin" w:fldLock="1"/>
            </w:r>
            <w:r w:rsidRPr="005205D3">
              <w:rPr>
                <w:rFonts w:ascii="Times New Roman" w:eastAsia="Times New Roman" w:hAnsi="Times New Roman" w:cs="Times New Roman"/>
                <w:color w:val="000000"/>
                <w:sz w:val="24"/>
                <w:szCs w:val="24"/>
                <w:lang w:val="nl-NL" w:eastAsia="nl-NL"/>
              </w:rPr>
              <w:instrText>ADDIN CSL_CITATION { "citationItems" : [ { "id" : "ITEM-1", "itemData" : { "DOI" : "10.1080/21681015.2016.1172124", "ISSN" : "2168-1015", "abstract" : "The transition within business from a linear to a circular economy brings with it a range of practical challenges for companies. The following question is addressed: What are the product design and business model strategies for companies that want to move to a circular economy model? This paper develops a framework of strategies to guide designers and business strategists in the move from a linear to a circular economy. Building on Stahel, the terminology of slowing, closing, and narrowing resource loops is introduced. A list of product design strategies, business model strategies, and examples for key decision-makers in businesses is introduced, to facilitate the move to a circular economy. This framework also opens up a future research agenda for the circular economy.", "author" : [ { "dropping-particle" : "", "family" : "Bocken", "given" : "Nancy M. P.", "non-dropping-particle" : "", "parse-names" : false, "suffix" : "" }, { "dropping-particle" : "", "family" : "Pauw", "given" : "Ingrid", "non-dropping-particle" : "de", "parse-names" : false, "suffix" : "" }, { "dropping-particle" : "", "family" : "Bakker", "given" : "Conny", "non-dropping-particle" : "", "parse-names" : false, "suffix" : "" }, { "dropping-particle" : "", "family" : "Grinten", "given" : "Bram", "non-dropping-particle" : "van der", "parse-names" : false, "suffix" : "" } ], "container-title" : "Journal of Industrial and Production Engineering", "id" : "ITEM-1", "issue" : "5", "issued" : { "date-parts" : [ [ "2016", "7", "3" ] ] }, "page" : "308-320", "publisher" : "Taylor &amp; Francis", "title" : "Product design and business model strategies for a circular economy", "type" : "article-journal", "volume" : "33" }, "locator" : "308", "uris" : [ "http://www.mendeley.com/documents/?uuid=856021d4-b799-30a9-a523-9e1ad7643efb" ] } ], "mendeley" : { "formattedCitation" : "(Bocken, de Pauw, Bakker, &amp; van der Grinten, 2016, p. 308)", "manualFormatting" : "Bocken, de Pauw, Bakker, &amp; van der Grinten (2016, p. 308)", "plainTextFormattedCitation" : "(Bocken, de Pauw, Bakker, &amp; van der Grinten, 2016, p. 308)", "previouslyFormattedCitation" : "(Bocken, de Pauw, Bakker, &amp; van der Grinten, 2016, p. 308)" }, "properties" : { "noteIndex" : 0 }, "schema" : "https://github.com/citation-style-language/schema/raw/master/csl-citation.json" }</w:instrText>
            </w:r>
            <w:r w:rsidRPr="005205D3">
              <w:rPr>
                <w:rFonts w:ascii="Times New Roman" w:eastAsia="Times New Roman" w:hAnsi="Times New Roman" w:cs="Times New Roman"/>
                <w:color w:val="000000"/>
                <w:sz w:val="24"/>
                <w:szCs w:val="24"/>
                <w:lang w:val="nl-NL" w:eastAsia="nl-NL"/>
              </w:rPr>
              <w:fldChar w:fldCharType="separate"/>
            </w:r>
            <w:r w:rsidR="005A6F2C" w:rsidRPr="005205D3">
              <w:rPr>
                <w:rFonts w:ascii="Times New Roman" w:eastAsia="Times New Roman" w:hAnsi="Times New Roman" w:cs="Times New Roman"/>
                <w:noProof/>
                <w:color w:val="000000"/>
                <w:sz w:val="24"/>
                <w:szCs w:val="24"/>
                <w:lang w:val="nl-NL" w:eastAsia="nl-NL"/>
              </w:rPr>
              <w:t>de Rocha Ramos, Zecca, &amp; Del Regno</w:t>
            </w:r>
            <w:r w:rsidRPr="005205D3">
              <w:rPr>
                <w:rFonts w:ascii="Times New Roman" w:eastAsia="Times New Roman" w:hAnsi="Times New Roman" w:cs="Times New Roman"/>
                <w:noProof/>
                <w:color w:val="000000"/>
                <w:sz w:val="24"/>
                <w:szCs w:val="24"/>
                <w:lang w:val="nl-NL" w:eastAsia="nl-NL"/>
              </w:rPr>
              <w:t xml:space="preserve"> (20</w:t>
            </w:r>
            <w:r w:rsidR="005A6F2C" w:rsidRPr="005205D3">
              <w:rPr>
                <w:rFonts w:ascii="Times New Roman" w:eastAsia="Times New Roman" w:hAnsi="Times New Roman" w:cs="Times New Roman"/>
                <w:noProof/>
                <w:color w:val="000000"/>
                <w:sz w:val="24"/>
                <w:szCs w:val="24"/>
                <w:lang w:val="nl-NL" w:eastAsia="nl-NL"/>
              </w:rPr>
              <w:t>22</w:t>
            </w:r>
            <w:r w:rsidRPr="005205D3">
              <w:rPr>
                <w:rFonts w:ascii="Times New Roman" w:eastAsia="Times New Roman" w:hAnsi="Times New Roman" w:cs="Times New Roman"/>
                <w:noProof/>
                <w:color w:val="000000"/>
                <w:sz w:val="24"/>
                <w:szCs w:val="24"/>
                <w:lang w:val="nl-NL" w:eastAsia="nl-NL"/>
              </w:rPr>
              <w:t xml:space="preserve">, p. </w:t>
            </w:r>
            <w:r w:rsidR="005A6F2C" w:rsidRPr="005205D3">
              <w:rPr>
                <w:rFonts w:ascii="Times New Roman" w:eastAsia="Times New Roman" w:hAnsi="Times New Roman" w:cs="Times New Roman"/>
                <w:noProof/>
                <w:color w:val="000000"/>
                <w:sz w:val="24"/>
                <w:szCs w:val="24"/>
                <w:lang w:val="nl-NL" w:eastAsia="nl-NL"/>
              </w:rPr>
              <w:t>2</w:t>
            </w:r>
            <w:r w:rsidRPr="005205D3">
              <w:rPr>
                <w:rFonts w:ascii="Times New Roman" w:eastAsia="Times New Roman" w:hAnsi="Times New Roman" w:cs="Times New Roman"/>
                <w:noProof/>
                <w:color w:val="000000"/>
                <w:sz w:val="24"/>
                <w:szCs w:val="24"/>
                <w:lang w:val="nl-NL" w:eastAsia="nl-NL"/>
              </w:rPr>
              <w:t>)</w:t>
            </w:r>
            <w:r w:rsidRPr="005205D3">
              <w:rPr>
                <w:rFonts w:ascii="Times New Roman" w:eastAsia="Times New Roman" w:hAnsi="Times New Roman" w:cs="Times New Roman"/>
                <w:color w:val="000000"/>
                <w:sz w:val="24"/>
                <w:szCs w:val="24"/>
                <w:lang w:val="nl-NL" w:eastAsia="nl-NL"/>
              </w:rPr>
              <w:fldChar w:fldCharType="end"/>
            </w:r>
          </w:p>
        </w:tc>
        <w:tc>
          <w:tcPr>
            <w:tcW w:w="0" w:type="auto"/>
          </w:tcPr>
          <w:p w14:paraId="77AF9070" w14:textId="331FBA11" w:rsidR="00A93AB2" w:rsidRPr="005205D3" w:rsidRDefault="005A6F2C" w:rsidP="005A6F2C">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To be sustainable, food consumption must be safe and healthy for consumers, generate decent income and livelihoods for the producers while not compromising the environment for future generations.</w:t>
            </w:r>
          </w:p>
        </w:tc>
      </w:tr>
      <w:tr w:rsidR="00B55CDE" w:rsidRPr="0066686C" w14:paraId="6361CDF0" w14:textId="77777777" w:rsidTr="54F068BE">
        <w:trPr>
          <w:trHeight w:val="600"/>
        </w:trPr>
        <w:tc>
          <w:tcPr>
            <w:cnfStyle w:val="001000000000" w:firstRow="0" w:lastRow="0" w:firstColumn="1" w:lastColumn="0" w:oddVBand="0" w:evenVBand="0" w:oddHBand="0" w:evenHBand="0" w:firstRowFirstColumn="0" w:firstRowLastColumn="0" w:lastRowFirstColumn="0" w:lastRowLastColumn="0"/>
            <w:tcW w:w="0" w:type="auto"/>
            <w:noWrap/>
          </w:tcPr>
          <w:p w14:paraId="67F827A4" w14:textId="7F2E93D0" w:rsidR="000F2AAF" w:rsidRPr="005205D3" w:rsidRDefault="00EE7C37" w:rsidP="00EF53CC">
            <w:pPr>
              <w:spacing w:before="60" w:after="60" w:line="264" w:lineRule="auto"/>
              <w:jc w:val="right"/>
              <w:rPr>
                <w:rFonts w:ascii="Times New Roman" w:eastAsia="Times New Roman" w:hAnsi="Times New Roman" w:cs="Times New Roman"/>
                <w:b w:val="0"/>
                <w:bCs w:val="0"/>
                <w:color w:val="000000"/>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t>1</w:t>
            </w:r>
            <w:r w:rsidR="1A9D3FB4" w:rsidRPr="005205D3">
              <w:rPr>
                <w:rFonts w:ascii="Times New Roman" w:eastAsia="Times New Roman" w:hAnsi="Times New Roman" w:cs="Times New Roman"/>
                <w:b w:val="0"/>
                <w:bCs w:val="0"/>
                <w:color w:val="000000" w:themeColor="text1"/>
                <w:sz w:val="24"/>
                <w:szCs w:val="24"/>
                <w:lang w:val="nl-NL" w:eastAsia="nl-NL"/>
              </w:rPr>
              <w:t>8</w:t>
            </w:r>
          </w:p>
        </w:tc>
        <w:tc>
          <w:tcPr>
            <w:tcW w:w="0" w:type="auto"/>
          </w:tcPr>
          <w:p w14:paraId="3615A8D4" w14:textId="2B65A7AF" w:rsidR="000F2AAF" w:rsidRPr="005205D3" w:rsidRDefault="000F2AAF" w:rsidP="00EF53CC">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r w:rsidRPr="005205D3">
              <w:rPr>
                <w:rFonts w:ascii="Times New Roman" w:eastAsia="Times New Roman" w:hAnsi="Times New Roman" w:cs="Times New Roman"/>
                <w:color w:val="000000"/>
                <w:sz w:val="24"/>
                <w:szCs w:val="24"/>
                <w:lang w:val="nl-NL" w:eastAsia="nl-NL"/>
              </w:rPr>
              <w:fldChar w:fldCharType="begin" w:fldLock="1"/>
            </w:r>
            <w:r w:rsidR="00EE7C37" w:rsidRPr="005205D3">
              <w:rPr>
                <w:rFonts w:ascii="Times New Roman" w:eastAsia="Times New Roman" w:hAnsi="Times New Roman" w:cs="Times New Roman"/>
                <w:color w:val="000000"/>
                <w:sz w:val="24"/>
                <w:szCs w:val="24"/>
                <w:lang w:val="nl-NL" w:eastAsia="nl-NL"/>
              </w:rPr>
              <w:instrText>ADDIN CSL_CITATION { "citationItems" : [ { "id" : "ITEM-1", "itemData" : { "DOI" : "10.1111/jiec.12606", "ISSN" : "10881980", "author" : [ { "dropping-particle" : "", "family" : "Bocken", "given" : "Nancy M. P.", "non-dropping-particle" : "", "parse-names" : false, "suffix" : "" }, { "dropping-particle" : "", "family" : "Olivetti", "given" : "Elsa A.", "non-dropping-particle" : "", "parse-names" : false, "suffix" : "" }, { "dropping-particle" : "", "family" : "Cullen", "given" : "Jonathan M.", "non-dropping-particle" : "", "parse-names" : false, "suffix" : "" }, { "dropping-particle" : "", "family" : "Potting", "given" : "Jos\u00e9", "non-dropping-particle" : "", "parse-names" : false, "suffix" : "" }, { "dropping-particle" : "", "family" : "Lifset", "given" : "Reid", "non-dropping-particle" : "", "parse-names" : false, "suffix" : "" } ], "container-title" : "Journal of Industrial Ecology", "id" : "ITEM-1", "issue" : "3", "issued" : { "date-parts" : [ [ "2017", "6", "1" ] ] }, "page" : "476-482", "title" : "Taking the Circularity to the Next Level: A Special Issue on the Circular Economy", "type" : "article-journal", "volume" : "21" }, "uris" : [ "http://www.mendeley.com/documents/?uuid=4b1fea6d-d5e8-3e50-b02d-e3893bbbed15" ] } ], "mendeley" : { "formattedCitation" : "(Bocken, Olivetti, Cullen, Potting, &amp; Lifset, 2017)", "manualFormatting" : "Bocken, Olivetti, Cullen, Potting, &amp; Lifset (2017, p. 476)", "plainTextFormattedCitation" : "(Bocken, Olivetti, Cullen, Potting, &amp; Lifset, 2017)", "previouslyFormattedCitation" : "(Bocken, Olivetti, Cullen, Potting, &amp; Lifset, 2017)" }, "properties" : { "noteIndex" : 0 }, "schema" : "https://github.com/citation-style-language/schema/raw/master/csl-citation.json" }</w:instrText>
            </w:r>
            <w:r w:rsidRPr="005205D3">
              <w:rPr>
                <w:rFonts w:ascii="Times New Roman" w:eastAsia="Times New Roman" w:hAnsi="Times New Roman" w:cs="Times New Roman"/>
                <w:color w:val="000000"/>
                <w:sz w:val="24"/>
                <w:szCs w:val="24"/>
                <w:lang w:val="nl-NL" w:eastAsia="nl-NL"/>
              </w:rPr>
              <w:fldChar w:fldCharType="separate"/>
            </w:r>
            <w:r w:rsidR="007B73DA" w:rsidRPr="005205D3">
              <w:rPr>
                <w:rFonts w:ascii="Times New Roman" w:eastAsia="Times New Roman" w:hAnsi="Times New Roman" w:cs="Times New Roman"/>
                <w:noProof/>
                <w:color w:val="000000"/>
                <w:sz w:val="24"/>
                <w:szCs w:val="24"/>
                <w:lang w:val="nl-NL" w:eastAsia="nl-NL"/>
              </w:rPr>
              <w:t>Duchin</w:t>
            </w:r>
            <w:r w:rsidRPr="005205D3">
              <w:rPr>
                <w:rFonts w:ascii="Times New Roman" w:eastAsia="Times New Roman" w:hAnsi="Times New Roman" w:cs="Times New Roman"/>
                <w:noProof/>
                <w:color w:val="000000"/>
                <w:sz w:val="24"/>
                <w:szCs w:val="24"/>
                <w:lang w:val="nl-NL" w:eastAsia="nl-NL"/>
              </w:rPr>
              <w:t xml:space="preserve"> (20</w:t>
            </w:r>
            <w:r w:rsidR="007B73DA" w:rsidRPr="005205D3">
              <w:rPr>
                <w:rFonts w:ascii="Times New Roman" w:eastAsia="Times New Roman" w:hAnsi="Times New Roman" w:cs="Times New Roman"/>
                <w:noProof/>
                <w:color w:val="000000"/>
                <w:sz w:val="24"/>
                <w:szCs w:val="24"/>
                <w:lang w:val="nl-NL" w:eastAsia="nl-NL"/>
              </w:rPr>
              <w:t>0</w:t>
            </w:r>
            <w:r w:rsidR="00D138CB">
              <w:rPr>
                <w:rFonts w:ascii="Times New Roman" w:eastAsia="Times New Roman" w:hAnsi="Times New Roman" w:cs="Times New Roman"/>
                <w:noProof/>
                <w:color w:val="000000"/>
                <w:sz w:val="24"/>
                <w:szCs w:val="24"/>
                <w:lang w:val="nl-NL" w:eastAsia="nl-NL"/>
              </w:rPr>
              <w:t>8</w:t>
            </w:r>
            <w:r w:rsidR="00EE7C37" w:rsidRPr="005205D3">
              <w:rPr>
                <w:rFonts w:ascii="Times New Roman" w:eastAsia="Times New Roman" w:hAnsi="Times New Roman" w:cs="Times New Roman"/>
                <w:noProof/>
                <w:color w:val="000000"/>
                <w:sz w:val="24"/>
                <w:szCs w:val="24"/>
                <w:lang w:val="nl-NL" w:eastAsia="nl-NL"/>
              </w:rPr>
              <w:t xml:space="preserve">, p. </w:t>
            </w:r>
            <w:r w:rsidR="007B73DA" w:rsidRPr="005205D3">
              <w:rPr>
                <w:rFonts w:ascii="Times New Roman" w:eastAsia="Times New Roman" w:hAnsi="Times New Roman" w:cs="Times New Roman"/>
                <w:noProof/>
                <w:color w:val="000000"/>
                <w:sz w:val="24"/>
                <w:szCs w:val="24"/>
                <w:lang w:val="nl-NL" w:eastAsia="nl-NL"/>
              </w:rPr>
              <w:t>100</w:t>
            </w:r>
            <w:r w:rsidRPr="005205D3">
              <w:rPr>
                <w:rFonts w:ascii="Times New Roman" w:eastAsia="Times New Roman" w:hAnsi="Times New Roman" w:cs="Times New Roman"/>
                <w:noProof/>
                <w:color w:val="000000"/>
                <w:sz w:val="24"/>
                <w:szCs w:val="24"/>
                <w:lang w:val="nl-NL" w:eastAsia="nl-NL"/>
              </w:rPr>
              <w:t>)</w:t>
            </w:r>
            <w:r w:rsidRPr="005205D3">
              <w:rPr>
                <w:rFonts w:ascii="Times New Roman" w:eastAsia="Times New Roman" w:hAnsi="Times New Roman" w:cs="Times New Roman"/>
                <w:color w:val="000000"/>
                <w:sz w:val="24"/>
                <w:szCs w:val="24"/>
                <w:lang w:val="nl-NL" w:eastAsia="nl-NL"/>
              </w:rPr>
              <w:fldChar w:fldCharType="end"/>
            </w:r>
          </w:p>
        </w:tc>
        <w:tc>
          <w:tcPr>
            <w:tcW w:w="0" w:type="auto"/>
          </w:tcPr>
          <w:p w14:paraId="77FA9638" w14:textId="2730549E" w:rsidR="000F2AAF" w:rsidRPr="005205D3" w:rsidRDefault="007B73DA" w:rsidP="007B73D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 xml:space="preserve">A substantial body of research shows that certain diets are protective of health and have relatively low environmental impact, and in this article I define a sustainable diet to have these two characteristics. </w:t>
            </w:r>
          </w:p>
        </w:tc>
      </w:tr>
      <w:tr w:rsidR="005E73B9" w:rsidRPr="0066686C" w14:paraId="2C25F8A0" w14:textId="77777777" w:rsidTr="54F068BE">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noWrap/>
          </w:tcPr>
          <w:p w14:paraId="4D3A4058" w14:textId="7C9E41B6" w:rsidR="005E73B9" w:rsidRPr="005205D3" w:rsidRDefault="001C59EC" w:rsidP="00EF53CC">
            <w:pPr>
              <w:spacing w:before="60" w:after="60" w:line="264" w:lineRule="auto"/>
              <w:jc w:val="right"/>
              <w:rPr>
                <w:rFonts w:ascii="Times New Roman" w:eastAsia="Times New Roman" w:hAnsi="Times New Roman" w:cs="Times New Roman"/>
                <w:b w:val="0"/>
                <w:bCs w:val="0"/>
                <w:color w:val="000000"/>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t>1</w:t>
            </w:r>
            <w:r w:rsidR="61DCED3C" w:rsidRPr="005205D3">
              <w:rPr>
                <w:rFonts w:ascii="Times New Roman" w:eastAsia="Times New Roman" w:hAnsi="Times New Roman" w:cs="Times New Roman"/>
                <w:b w:val="0"/>
                <w:bCs w:val="0"/>
                <w:color w:val="000000" w:themeColor="text1"/>
                <w:sz w:val="24"/>
                <w:szCs w:val="24"/>
                <w:lang w:val="nl-NL" w:eastAsia="nl-NL"/>
              </w:rPr>
              <w:t>9</w:t>
            </w:r>
          </w:p>
        </w:tc>
        <w:tc>
          <w:tcPr>
            <w:tcW w:w="0" w:type="auto"/>
          </w:tcPr>
          <w:p w14:paraId="4EC34E74" w14:textId="1C9C49B7" w:rsidR="005E73B9" w:rsidRPr="005205D3" w:rsidRDefault="2D7650BA" w:rsidP="54F068BE">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r w:rsidRPr="005205D3">
              <w:rPr>
                <w:rFonts w:ascii="Times New Roman" w:eastAsia="Times New Roman" w:hAnsi="Times New Roman" w:cs="Times New Roman"/>
                <w:color w:val="000000" w:themeColor="text1"/>
                <w:sz w:val="24"/>
                <w:szCs w:val="24"/>
                <w:lang w:val="nl-NL" w:eastAsia="nl-NL"/>
              </w:rPr>
              <w:t xml:space="preserve">European </w:t>
            </w:r>
            <w:proofErr w:type="spellStart"/>
            <w:r w:rsidRPr="005205D3">
              <w:rPr>
                <w:rFonts w:ascii="Times New Roman" w:eastAsia="Times New Roman" w:hAnsi="Times New Roman" w:cs="Times New Roman"/>
                <w:color w:val="000000" w:themeColor="text1"/>
                <w:sz w:val="24"/>
                <w:szCs w:val="24"/>
                <w:lang w:val="nl-NL" w:eastAsia="nl-NL"/>
              </w:rPr>
              <w:t>Environmental</w:t>
            </w:r>
            <w:proofErr w:type="spellEnd"/>
            <w:r w:rsidRPr="005205D3">
              <w:rPr>
                <w:rFonts w:ascii="Times New Roman" w:eastAsia="Times New Roman" w:hAnsi="Times New Roman" w:cs="Times New Roman"/>
                <w:color w:val="000000" w:themeColor="text1"/>
                <w:sz w:val="24"/>
                <w:szCs w:val="24"/>
                <w:lang w:val="nl-NL" w:eastAsia="nl-NL"/>
              </w:rPr>
              <w:t xml:space="preserve"> Bureau (2022) </w:t>
            </w:r>
          </w:p>
        </w:tc>
        <w:tc>
          <w:tcPr>
            <w:tcW w:w="0" w:type="auto"/>
          </w:tcPr>
          <w:p w14:paraId="16A82709" w14:textId="77777777" w:rsidR="005E73B9" w:rsidRPr="005205D3" w:rsidRDefault="005E73B9" w:rsidP="007B73D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 xml:space="preserve">A SUSTAINABLE FOOD SYSTEM A sustainable food system should be structured to remain safely within planetary boundaries while safeguarding its social foundation. It should sustainably integrate the environment, social relations and human health. </w:t>
            </w:r>
          </w:p>
          <w:p w14:paraId="20E9182B" w14:textId="77777777" w:rsidR="005E73B9" w:rsidRPr="005205D3" w:rsidRDefault="005E73B9" w:rsidP="007B73D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 xml:space="preserve">THE FOOD SYSTEM SHOULD... </w:t>
            </w:r>
          </w:p>
          <w:p w14:paraId="22B9C628" w14:textId="77777777" w:rsidR="005E73B9" w:rsidRPr="005205D3" w:rsidRDefault="005E73B9" w:rsidP="007B73D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 xml:space="preserve">• provide easily accessible sustainable, healthy and nutritious diets to everyone; • stay safely within planetary boundaries, contributing to the protection and restoration of natural resources and ecosystems, including water, soil health, air quality, biodiversity and landscapes; </w:t>
            </w:r>
          </w:p>
          <w:p w14:paraId="5D0915FE" w14:textId="77777777" w:rsidR="005E73B9" w:rsidRPr="005205D3" w:rsidRDefault="005E73B9" w:rsidP="007B73D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 xml:space="preserve">• be shaped and managed by representatives of all relevant stakeholders, at all levels of governance; • provide dignified working conditions and a fair income to all workers employed in it, everywhere (farmers, fishers, processors, retailers, etc.); </w:t>
            </w:r>
          </w:p>
          <w:p w14:paraId="3CA8A04C" w14:textId="4BF3A4E0" w:rsidR="005E73B9" w:rsidRPr="005205D3" w:rsidRDefault="005E73B9" w:rsidP="007B73D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 ensure the highest animal welfare standards are met throughout.</w:t>
            </w:r>
          </w:p>
          <w:p w14:paraId="35A593DB" w14:textId="60122FD8" w:rsidR="005E73B9" w:rsidRPr="005205D3" w:rsidRDefault="005E73B9" w:rsidP="007B73D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(https://acrobat.adobe.com/id/urn:aaid:sc:EU:11f400fe-c938-464f-b505-696c3314055c)</w:t>
            </w:r>
          </w:p>
        </w:tc>
      </w:tr>
      <w:tr w:rsidR="004F5046" w:rsidRPr="0066686C" w14:paraId="35E58959" w14:textId="77777777" w:rsidTr="54F068BE">
        <w:trPr>
          <w:trHeight w:val="600"/>
        </w:trPr>
        <w:tc>
          <w:tcPr>
            <w:cnfStyle w:val="001000000000" w:firstRow="0" w:lastRow="0" w:firstColumn="1" w:lastColumn="0" w:oddVBand="0" w:evenVBand="0" w:oddHBand="0" w:evenHBand="0" w:firstRowFirstColumn="0" w:firstRowLastColumn="0" w:lastRowFirstColumn="0" w:lastRowLastColumn="0"/>
            <w:tcW w:w="0" w:type="auto"/>
            <w:noWrap/>
          </w:tcPr>
          <w:p w14:paraId="13CE3F78" w14:textId="494E9C78" w:rsidR="004F5046" w:rsidRPr="005205D3" w:rsidRDefault="1CB23F16" w:rsidP="00EF53CC">
            <w:pPr>
              <w:spacing w:before="60" w:after="60" w:line="264" w:lineRule="auto"/>
              <w:jc w:val="right"/>
              <w:rPr>
                <w:rFonts w:ascii="Times New Roman" w:eastAsia="Times New Roman" w:hAnsi="Times New Roman" w:cs="Times New Roman"/>
                <w:b w:val="0"/>
                <w:bCs w:val="0"/>
                <w:color w:val="000000"/>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t>20</w:t>
            </w:r>
          </w:p>
        </w:tc>
        <w:tc>
          <w:tcPr>
            <w:tcW w:w="0" w:type="auto"/>
          </w:tcPr>
          <w:p w14:paraId="6A658DB9" w14:textId="293E11AE" w:rsidR="004F5046" w:rsidRPr="005205D3" w:rsidRDefault="11C066A6" w:rsidP="00EF53CC">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r w:rsidRPr="005205D3">
              <w:rPr>
                <w:rFonts w:ascii="Times New Roman" w:eastAsia="Times New Roman" w:hAnsi="Times New Roman" w:cs="Times New Roman"/>
                <w:color w:val="000000" w:themeColor="text1"/>
                <w:sz w:val="24"/>
                <w:szCs w:val="24"/>
                <w:lang w:val="nl-NL" w:eastAsia="nl-NL"/>
              </w:rPr>
              <w:t>FAO (2010)</w:t>
            </w:r>
          </w:p>
        </w:tc>
        <w:tc>
          <w:tcPr>
            <w:tcW w:w="0" w:type="auto"/>
          </w:tcPr>
          <w:p w14:paraId="54FAD5B6" w14:textId="74E06702" w:rsidR="004F5046" w:rsidRPr="005205D3" w:rsidRDefault="007C412A" w:rsidP="007B73D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themeColor="text1"/>
                <w:sz w:val="24"/>
                <w:szCs w:val="24"/>
                <w:lang w:eastAsia="nl-NL"/>
              </w:rPr>
              <w:t>Sustainable Diets are those diets with low environmental impacts which contribute to food and nutrition security and to healthy life for present and future generations. Sustainable diets are protective and respectful of biodiversity and ecosystems, culturally acceptable, accessible, economically fair and affordable; nutritionally adequate, safe and healthy; while optimizing natural and human resources. (</w:t>
            </w:r>
            <w:r w:rsidR="5B56EB57" w:rsidRPr="005205D3">
              <w:rPr>
                <w:rFonts w:ascii="Times New Roman" w:eastAsia="Times New Roman" w:hAnsi="Times New Roman" w:cs="Times New Roman"/>
                <w:color w:val="000000" w:themeColor="text1"/>
                <w:sz w:val="24"/>
                <w:szCs w:val="24"/>
                <w:lang w:eastAsia="nl-NL"/>
              </w:rPr>
              <w:t>https://www.fao.org/ag/humannutrition/23781-0e8d8dc364ee46865d5841c48976e9980.pdf</w:t>
            </w:r>
            <w:r w:rsidRPr="005205D3">
              <w:rPr>
                <w:rFonts w:ascii="Times New Roman" w:eastAsia="Times New Roman" w:hAnsi="Times New Roman" w:cs="Times New Roman"/>
                <w:color w:val="000000" w:themeColor="text1"/>
                <w:sz w:val="24"/>
                <w:szCs w:val="24"/>
                <w:lang w:eastAsia="nl-NL"/>
              </w:rPr>
              <w:t>)</w:t>
            </w:r>
          </w:p>
        </w:tc>
      </w:tr>
      <w:tr w:rsidR="009A4E0A" w:rsidRPr="0066686C" w14:paraId="70A492EC" w14:textId="77777777" w:rsidTr="54F068BE">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noWrap/>
          </w:tcPr>
          <w:p w14:paraId="707D2B41" w14:textId="42EEE42E" w:rsidR="009A4E0A" w:rsidRPr="005205D3" w:rsidRDefault="547148D7" w:rsidP="00077223">
            <w:pPr>
              <w:spacing w:before="60" w:after="60" w:line="264" w:lineRule="auto"/>
              <w:jc w:val="right"/>
              <w:rPr>
                <w:rFonts w:ascii="Times New Roman" w:eastAsia="Times New Roman" w:hAnsi="Times New Roman" w:cs="Times New Roman"/>
                <w:b w:val="0"/>
                <w:bCs w:val="0"/>
                <w:color w:val="000000"/>
                <w:sz w:val="24"/>
                <w:szCs w:val="24"/>
                <w:lang w:eastAsia="nl-NL"/>
              </w:rPr>
            </w:pPr>
            <w:r w:rsidRPr="005205D3">
              <w:rPr>
                <w:rFonts w:ascii="Times New Roman" w:eastAsia="Times New Roman" w:hAnsi="Times New Roman" w:cs="Times New Roman"/>
                <w:b w:val="0"/>
                <w:bCs w:val="0"/>
                <w:color w:val="000000" w:themeColor="text1"/>
                <w:sz w:val="24"/>
                <w:szCs w:val="24"/>
                <w:lang w:eastAsia="nl-NL"/>
              </w:rPr>
              <w:t>21</w:t>
            </w:r>
          </w:p>
        </w:tc>
        <w:tc>
          <w:tcPr>
            <w:tcW w:w="0" w:type="auto"/>
          </w:tcPr>
          <w:p w14:paraId="0CF148E3" w14:textId="0FB1CF7E" w:rsidR="009A4E0A" w:rsidRPr="005205D3" w:rsidRDefault="63670EF1" w:rsidP="54F068BE">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themeColor="text1"/>
                <w:sz w:val="24"/>
                <w:szCs w:val="24"/>
                <w:lang w:eastAsia="nl-NL"/>
              </w:rPr>
              <w:t>FAO (2018)</w:t>
            </w:r>
          </w:p>
        </w:tc>
        <w:tc>
          <w:tcPr>
            <w:tcW w:w="0" w:type="auto"/>
          </w:tcPr>
          <w:p w14:paraId="55114533" w14:textId="77777777" w:rsidR="009A4E0A" w:rsidRPr="005205D3" w:rsidRDefault="009A4E0A" w:rsidP="00077223">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 xml:space="preserve">A sustainable food system (SFS) is a food system that delivers food security and nutrition for all in such a way that the economic, social and environmental bases to generate food security and nutrition for future generations are not compromised. This means that: – It is profitable throughout (economic sustainability); – It has broad-based benefits </w:t>
            </w:r>
            <w:r w:rsidRPr="005205D3">
              <w:rPr>
                <w:rFonts w:ascii="Times New Roman" w:eastAsia="Times New Roman" w:hAnsi="Times New Roman" w:cs="Times New Roman"/>
                <w:color w:val="000000"/>
                <w:sz w:val="24"/>
                <w:szCs w:val="24"/>
                <w:lang w:eastAsia="nl-NL"/>
              </w:rPr>
              <w:lastRenderedPageBreak/>
              <w:t>for society (social sustainability); and – It has a positive or neutral impact on the natural environment (environmental sustainability).</w:t>
            </w:r>
          </w:p>
          <w:p w14:paraId="1F85F213" w14:textId="79BB37A7" w:rsidR="009A4E0A" w:rsidRPr="005205D3" w:rsidRDefault="009A4E0A" w:rsidP="00077223">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(https://openknowledge.fao.org/server/api/core/bitstreams/b620989c-407b-4caf-a152-f790f55fec71/content)</w:t>
            </w:r>
          </w:p>
        </w:tc>
      </w:tr>
      <w:tr w:rsidR="009A4E0A" w:rsidRPr="0066686C" w14:paraId="3E1D3C99" w14:textId="77777777" w:rsidTr="54F068BE">
        <w:trPr>
          <w:trHeight w:val="600"/>
        </w:trPr>
        <w:tc>
          <w:tcPr>
            <w:cnfStyle w:val="001000000000" w:firstRow="0" w:lastRow="0" w:firstColumn="1" w:lastColumn="0" w:oddVBand="0" w:evenVBand="0" w:oddHBand="0" w:evenHBand="0" w:firstRowFirstColumn="0" w:firstRowLastColumn="0" w:lastRowFirstColumn="0" w:lastRowLastColumn="0"/>
            <w:tcW w:w="0" w:type="auto"/>
            <w:noWrap/>
          </w:tcPr>
          <w:p w14:paraId="3A266A19" w14:textId="3AC5AD37" w:rsidR="009A4E0A" w:rsidRPr="005205D3" w:rsidRDefault="001C59EC" w:rsidP="009A4E0A">
            <w:pPr>
              <w:spacing w:before="60" w:after="60" w:line="264" w:lineRule="auto"/>
              <w:jc w:val="right"/>
              <w:rPr>
                <w:rFonts w:ascii="Times New Roman" w:eastAsia="Times New Roman" w:hAnsi="Times New Roman" w:cs="Times New Roman"/>
                <w:b w:val="0"/>
                <w:bCs w:val="0"/>
                <w:color w:val="000000"/>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lastRenderedPageBreak/>
              <w:t>2</w:t>
            </w:r>
            <w:r w:rsidR="58909F37" w:rsidRPr="005205D3">
              <w:rPr>
                <w:rFonts w:ascii="Times New Roman" w:eastAsia="Times New Roman" w:hAnsi="Times New Roman" w:cs="Times New Roman"/>
                <w:b w:val="0"/>
                <w:bCs w:val="0"/>
                <w:color w:val="000000" w:themeColor="text1"/>
                <w:sz w:val="24"/>
                <w:szCs w:val="24"/>
                <w:lang w:val="nl-NL" w:eastAsia="nl-NL"/>
              </w:rPr>
              <w:t>2</w:t>
            </w:r>
          </w:p>
        </w:tc>
        <w:tc>
          <w:tcPr>
            <w:tcW w:w="0" w:type="auto"/>
          </w:tcPr>
          <w:p w14:paraId="6EC108DC" w14:textId="45FC55E3"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r w:rsidRPr="005205D3">
              <w:rPr>
                <w:rFonts w:ascii="Times New Roman" w:eastAsia="Times New Roman" w:hAnsi="Times New Roman" w:cs="Times New Roman"/>
                <w:color w:val="000000"/>
                <w:sz w:val="24"/>
                <w:szCs w:val="24"/>
                <w:lang w:val="nl-NL" w:eastAsia="nl-NL"/>
              </w:rPr>
              <w:fldChar w:fldCharType="begin" w:fldLock="1"/>
            </w:r>
            <w:r w:rsidRPr="005205D3">
              <w:rPr>
                <w:rFonts w:ascii="Times New Roman" w:eastAsia="Times New Roman" w:hAnsi="Times New Roman" w:cs="Times New Roman"/>
                <w:color w:val="000000"/>
                <w:sz w:val="24"/>
                <w:szCs w:val="24"/>
                <w:lang w:val="nl-NL" w:eastAsia="nl-NL"/>
              </w:rPr>
              <w:instrText>ADDIN CSL_CITATION { "citationItems" : [ { "id" : "ITEM-1", "itemData" : { "DOI" : "10.1111/jiec.12605", "ISSN" : "10881980", "author" : [ { "dropping-particle" : "", "family" : "Bocken", "given" : "Nancy M. P.", "non-dropping-particle" : "", "parse-names" : false, "suffix" : "" }, { "dropping-particle" : "", "family" : "Ritala", "given" : "Paavo", "non-dropping-particle" : "", "parse-names" : false, "suffix" : "" }, { "dropping-particle" : "", "family" : "Huotari", "given" : "Pontus", "non-dropping-particle" : "", "parse-names" : false, "suffix" : "" } ], "container-title" : "Journal of Industrial Ecology", "id" : "ITEM-1", "issue" : "3", "issued" : { "date-parts" : [ [ "2017", "6", "1" ] ] }, "page" : "487-490", "title" : "The Circular Economy: Exploring the Introduction of the Concept Among S&amp;amp;P 500 Firms", "type" : "article-journal", "volume" : "21" }, "uris" : [ "http://www.mendeley.com/documents/?uuid=5fd53fa3-807f-3cdf-a064-5e0764c00e98" ] } ], "mendeley" : { "formattedCitation" : "(Bocken, Ritala, &amp; Huotari, 2017)", "manualFormatting" : "Bocken, Ritala, &amp; Huotari (2017, p. 487)", "plainTextFormattedCitation" : "(Bocken, Ritala, &amp; Huotari, 2017)", "previouslyFormattedCitation" : "(Bocken, Ritala, &amp; Huotari, 2017)" }, "properties" : { "noteIndex" : 0 }, "schema" : "https://github.com/citation-style-language/schema/raw/master/csl-citation.json" }</w:instrText>
            </w:r>
            <w:r w:rsidRPr="005205D3">
              <w:rPr>
                <w:rFonts w:ascii="Times New Roman" w:eastAsia="Times New Roman" w:hAnsi="Times New Roman" w:cs="Times New Roman"/>
                <w:color w:val="000000"/>
                <w:sz w:val="24"/>
                <w:szCs w:val="24"/>
                <w:lang w:val="nl-NL" w:eastAsia="nl-NL"/>
              </w:rPr>
              <w:fldChar w:fldCharType="separate"/>
            </w:r>
            <w:r w:rsidRPr="005205D3">
              <w:rPr>
                <w:rFonts w:ascii="Times New Roman" w:eastAsia="Times New Roman" w:hAnsi="Times New Roman" w:cs="Times New Roman"/>
                <w:color w:val="000000"/>
                <w:sz w:val="24"/>
                <w:szCs w:val="24"/>
                <w:lang w:val="nl-NL" w:eastAsia="nl-NL"/>
              </w:rPr>
              <w:t xml:space="preserve">Feil et al. </w:t>
            </w:r>
            <w:r w:rsidRPr="005205D3">
              <w:rPr>
                <w:rFonts w:ascii="Times New Roman" w:eastAsia="Times New Roman" w:hAnsi="Times New Roman" w:cs="Times New Roman"/>
                <w:noProof/>
                <w:color w:val="000000"/>
                <w:sz w:val="24"/>
                <w:szCs w:val="24"/>
                <w:lang w:val="nl-NL" w:eastAsia="nl-NL"/>
              </w:rPr>
              <w:t>(2020, pp. 1-2)</w:t>
            </w:r>
            <w:r w:rsidRPr="005205D3">
              <w:rPr>
                <w:rFonts w:ascii="Times New Roman" w:eastAsia="Times New Roman" w:hAnsi="Times New Roman" w:cs="Times New Roman"/>
                <w:color w:val="000000"/>
                <w:sz w:val="24"/>
                <w:szCs w:val="24"/>
                <w:lang w:val="nl-NL" w:eastAsia="nl-NL"/>
              </w:rPr>
              <w:fldChar w:fldCharType="end"/>
            </w:r>
          </w:p>
        </w:tc>
        <w:tc>
          <w:tcPr>
            <w:tcW w:w="0" w:type="auto"/>
          </w:tcPr>
          <w:p w14:paraId="7E7DE092" w14:textId="2A9D6393"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 xml:space="preserve">In these efforts, food consumption is the major sustainability issue, due to the impact on individual and public health, natural resources, social cohesion and the economy (Reisch et al., 2013). … Thus, over the last 15 years, the search for more sustainable food production and consumption has identified in organics one of the main research context. Per example, Perez et al. (2019) evokes the organic food production as a viable solution to diminish the negative environmental impact of conventional agriculture. </w:t>
            </w:r>
            <w:proofErr w:type="spellStart"/>
            <w:r w:rsidRPr="005205D3">
              <w:rPr>
                <w:rFonts w:ascii="Times New Roman" w:eastAsia="Times New Roman" w:hAnsi="Times New Roman" w:cs="Times New Roman"/>
                <w:color w:val="000000"/>
                <w:sz w:val="24"/>
                <w:szCs w:val="24"/>
                <w:lang w:eastAsia="nl-NL"/>
              </w:rPr>
              <w:t>Reganold</w:t>
            </w:r>
            <w:proofErr w:type="spellEnd"/>
            <w:r w:rsidRPr="005205D3">
              <w:rPr>
                <w:rFonts w:ascii="Times New Roman" w:eastAsia="Times New Roman" w:hAnsi="Times New Roman" w:cs="Times New Roman"/>
                <w:color w:val="000000"/>
                <w:sz w:val="24"/>
                <w:szCs w:val="24"/>
                <w:lang w:eastAsia="nl-NL"/>
              </w:rPr>
              <w:t xml:space="preserve"> and Wachter (2016) also recognize organic food as a more environmentally friendly mode of food production, compared to conventional agriculture. This affirmation is supported by the notion that organic food provides a sustainable balance in economic gains, food security, cleaner agricultural production and global ecosystem preservation (Schutter, 2011).</w:t>
            </w:r>
          </w:p>
        </w:tc>
      </w:tr>
      <w:tr w:rsidR="009A4E0A" w:rsidRPr="00407864" w14:paraId="1A8EC2A5" w14:textId="77777777" w:rsidTr="54F068BE">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2AA814B" w14:textId="1409C40A" w:rsidR="009A4E0A" w:rsidRPr="005205D3" w:rsidRDefault="001C59EC" w:rsidP="009A4E0A">
            <w:pPr>
              <w:spacing w:before="60" w:after="60" w:line="264" w:lineRule="auto"/>
              <w:jc w:val="right"/>
              <w:rPr>
                <w:rFonts w:ascii="Times New Roman" w:eastAsia="Times New Roman" w:hAnsi="Times New Roman" w:cs="Times New Roman"/>
                <w:b w:val="0"/>
                <w:bCs w:val="0"/>
                <w:sz w:val="24"/>
                <w:szCs w:val="24"/>
                <w:lang w:val="nl-NL" w:eastAsia="nl-NL"/>
              </w:rPr>
            </w:pPr>
            <w:r w:rsidRPr="005205D3">
              <w:rPr>
                <w:rFonts w:ascii="Times New Roman" w:eastAsia="Times New Roman" w:hAnsi="Times New Roman" w:cs="Times New Roman"/>
                <w:b w:val="0"/>
                <w:bCs w:val="0"/>
                <w:sz w:val="24"/>
                <w:szCs w:val="24"/>
                <w:lang w:val="nl-NL" w:eastAsia="nl-NL"/>
              </w:rPr>
              <w:t>2</w:t>
            </w:r>
            <w:r w:rsidR="47E3686E" w:rsidRPr="005205D3">
              <w:rPr>
                <w:rFonts w:ascii="Times New Roman" w:eastAsia="Times New Roman" w:hAnsi="Times New Roman" w:cs="Times New Roman"/>
                <w:b w:val="0"/>
                <w:bCs w:val="0"/>
                <w:sz w:val="24"/>
                <w:szCs w:val="24"/>
                <w:lang w:val="nl-NL" w:eastAsia="nl-NL"/>
              </w:rPr>
              <w:t>3</w:t>
            </w:r>
          </w:p>
        </w:tc>
        <w:tc>
          <w:tcPr>
            <w:tcW w:w="0" w:type="auto"/>
            <w:hideMark/>
          </w:tcPr>
          <w:p w14:paraId="622EC734" w14:textId="420BAEAA"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r w:rsidRPr="005205D3">
              <w:rPr>
                <w:rFonts w:ascii="Times New Roman" w:eastAsia="Times New Roman" w:hAnsi="Times New Roman" w:cs="Times New Roman"/>
                <w:color w:val="000000"/>
                <w:sz w:val="24"/>
                <w:szCs w:val="24"/>
                <w:lang w:val="nl-NL" w:eastAsia="nl-NL"/>
              </w:rPr>
              <w:fldChar w:fldCharType="begin" w:fldLock="1"/>
            </w:r>
            <w:r w:rsidRPr="005205D3">
              <w:rPr>
                <w:rFonts w:ascii="Times New Roman" w:eastAsia="Times New Roman" w:hAnsi="Times New Roman" w:cs="Times New Roman"/>
                <w:color w:val="000000"/>
                <w:sz w:val="24"/>
                <w:szCs w:val="24"/>
                <w:lang w:val="nl-NL" w:eastAsia="nl-NL"/>
              </w:rPr>
              <w:instrText>ADDIN CSL_CITATION { "citationItems" : [ { "id" : "ITEM-1", "itemData" : { "DOI" : "10.1016/j.ecolmodel.2011.05.019", "ISSN" : "03043800", "abstract" : "The recent economic meltdown worldwide has reinforced our understanding of the effects of decoupling economic growth, monetary policy, and resources. Concern for peak oil and suggestions that it may have contributed to the global economic woes as well as over concern for the banking fraud may be adding confusion over the underlying causes and sending a misleading message to the public and ultimately to policy makers. Viewing the economy as simply a circulation of money that can be manipulated to increase spending and therefore consume our way out of the current economic situation, is courting disaster by deluding the public that the solution lies in simple adjustments to the current monetary system. Similarly, emphasizing that energy is the problem and that the solution can be found with another energy source is probably counterproductive in the short run and may be disastrous in the long run. The recent nuclear accident in Japan seriously calls into question increased dependence on nuclear energy and renewable energy sources, in the majority, have low net yields and are unevenly distributed worldwide. In this paper we frame the economic system as a subsystem of the larger more encompassing geobiosphere and suggest that within this context, neoclassical economics is unlikely to provide sufficient explanation of the recent economic melt-down. From a biophysical perspective, increasing the amount or speed of money circulation as well as extracting more energy from whatever source is available will only compound the problems and relying on growth as the solution to what ails the global economy is not a desirable nor a tenable solution.", "author" : [ { "dropping-particle" : "", "family" : "Brown", "given" : "Mark T.", "non-dropping-particle" : "", "parse-names" : false, "suffix" : "" }, { "dropping-particle" : "", "family" : "Ulgiati", "given" : "Sergio", "non-dropping-particle" : "", "parse-names" : false, "suffix" : "" } ], "container-title" : "Ecological Modelling", "id" : "ITEM-1", "issue" : "1", "issued" : { "date-parts" : [ [ "2011" ] ] }, "page" : "4-13", "title" : "Understanding the global economic crisis: A biophysical perspective", "type" : "article-journal", "volume" : "223" }, "locator" : "6", "uris" : [ "http://www.mendeley.com/documents/?uuid=889789c6-ec42-397a-9d64-db82735f2d22" ] } ], "mendeley" : { "formattedCitation" : "(Brown &amp; Ulgiati, 2011, p. 6)", "manualFormatting" : "Brown &amp; Ulgiati (2011, p. 6)", "plainTextFormattedCitation" : "(Brown &amp; Ulgiati, 2011, p. 6)", "previouslyFormattedCitation" : "(Brown &amp; Ulgiati, 2011, p. 6)" }, "properties" : { "noteIndex" : 0 }, "schema" : "https://github.com/citation-style-language/schema/raw/master/csl-citation.json" }</w:instrText>
            </w:r>
            <w:r w:rsidRPr="005205D3">
              <w:rPr>
                <w:rFonts w:ascii="Times New Roman" w:eastAsia="Times New Roman" w:hAnsi="Times New Roman" w:cs="Times New Roman"/>
                <w:color w:val="000000"/>
                <w:sz w:val="24"/>
                <w:szCs w:val="24"/>
                <w:lang w:val="nl-NL" w:eastAsia="nl-NL"/>
              </w:rPr>
              <w:fldChar w:fldCharType="separate"/>
            </w:r>
            <w:r w:rsidRPr="005205D3">
              <w:rPr>
                <w:rFonts w:ascii="Times New Roman" w:eastAsia="Times New Roman" w:hAnsi="Times New Roman" w:cs="Times New Roman"/>
                <w:noProof/>
                <w:color w:val="000000"/>
                <w:sz w:val="24"/>
                <w:szCs w:val="24"/>
                <w:lang w:val="nl-NL" w:eastAsia="nl-NL"/>
              </w:rPr>
              <w:t>Friel, Barosh, &amp; Lawrence (201</w:t>
            </w:r>
            <w:r w:rsidR="00811AF0">
              <w:rPr>
                <w:rFonts w:ascii="Times New Roman" w:eastAsia="Times New Roman" w:hAnsi="Times New Roman" w:cs="Times New Roman"/>
                <w:noProof/>
                <w:color w:val="000000"/>
                <w:sz w:val="24"/>
                <w:szCs w:val="24"/>
                <w:lang w:val="nl-NL" w:eastAsia="nl-NL"/>
              </w:rPr>
              <w:t>4</w:t>
            </w:r>
            <w:r w:rsidRPr="005205D3">
              <w:rPr>
                <w:rFonts w:ascii="Times New Roman" w:eastAsia="Times New Roman" w:hAnsi="Times New Roman" w:cs="Times New Roman"/>
                <w:noProof/>
                <w:color w:val="000000"/>
                <w:sz w:val="24"/>
                <w:szCs w:val="24"/>
                <w:lang w:val="nl-NL" w:eastAsia="nl-NL"/>
              </w:rPr>
              <w:t>, p. 1156)</w:t>
            </w:r>
            <w:r w:rsidRPr="005205D3">
              <w:rPr>
                <w:rFonts w:ascii="Times New Roman" w:eastAsia="Times New Roman" w:hAnsi="Times New Roman" w:cs="Times New Roman"/>
                <w:color w:val="000000"/>
                <w:sz w:val="24"/>
                <w:szCs w:val="24"/>
                <w:lang w:val="nl-NL" w:eastAsia="nl-NL"/>
              </w:rPr>
              <w:fldChar w:fldCharType="end"/>
            </w:r>
          </w:p>
        </w:tc>
        <w:tc>
          <w:tcPr>
            <w:tcW w:w="0" w:type="auto"/>
          </w:tcPr>
          <w:p w14:paraId="59B1798E" w14:textId="2E7A7E23"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nl-NL"/>
              </w:rPr>
            </w:pPr>
            <w:r w:rsidRPr="005205D3">
              <w:rPr>
                <w:rFonts w:ascii="Times New Roman" w:eastAsia="Times New Roman" w:hAnsi="Times New Roman" w:cs="Times New Roman"/>
                <w:iCs/>
                <w:sz w:val="24"/>
                <w:szCs w:val="24"/>
                <w:lang w:eastAsia="nl-NL"/>
              </w:rPr>
              <w:t>Sustainable diets have been defined as: ‘those diets with low environmental impacts which contribute to food and nutrition security and to healthy life for present and future generations. Sustainable</w:t>
            </w:r>
          </w:p>
          <w:p w14:paraId="379CEF22" w14:textId="14C19508"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nl-NL"/>
              </w:rPr>
            </w:pPr>
            <w:r w:rsidRPr="005205D3">
              <w:rPr>
                <w:rFonts w:ascii="Times New Roman" w:eastAsia="Times New Roman" w:hAnsi="Times New Roman" w:cs="Times New Roman"/>
                <w:iCs/>
                <w:sz w:val="24"/>
                <w:szCs w:val="24"/>
                <w:lang w:eastAsia="nl-NL"/>
              </w:rPr>
              <w:t>diets are protective and respectful of biodiversity and ecosystems, culturally acceptable, accessible, economically fair and affordable; nutritionally adequate, safe and healthy; while optimizing natural and human resources’(11). As yet however there is no consensus in Australia, or elsewhere, as to what a healthy and sustainable (H&amp;S) diet might look like and therefore no policy advice to support the implementation of actions to enable people and institutions make H&amp;S food purchasing and consumption choices.</w:t>
            </w:r>
          </w:p>
        </w:tc>
      </w:tr>
      <w:tr w:rsidR="009A4E0A" w:rsidRPr="00407864" w14:paraId="387804DD" w14:textId="77777777" w:rsidTr="54F068BE">
        <w:trPr>
          <w:trHeight w:val="600"/>
        </w:trPr>
        <w:tc>
          <w:tcPr>
            <w:cnfStyle w:val="001000000000" w:firstRow="0" w:lastRow="0" w:firstColumn="1" w:lastColumn="0" w:oddVBand="0" w:evenVBand="0" w:oddHBand="0" w:evenHBand="0" w:firstRowFirstColumn="0" w:firstRowLastColumn="0" w:lastRowFirstColumn="0" w:lastRowLastColumn="0"/>
            <w:tcW w:w="0" w:type="auto"/>
            <w:noWrap/>
          </w:tcPr>
          <w:p w14:paraId="390BFFF7" w14:textId="3D52CD21" w:rsidR="009A4E0A" w:rsidRPr="005205D3" w:rsidRDefault="001C59EC" w:rsidP="009A4E0A">
            <w:pPr>
              <w:spacing w:before="60" w:after="60" w:line="264" w:lineRule="auto"/>
              <w:jc w:val="right"/>
              <w:rPr>
                <w:rFonts w:ascii="Times New Roman" w:eastAsia="Times New Roman" w:hAnsi="Times New Roman" w:cs="Times New Roman"/>
                <w:b w:val="0"/>
                <w:bCs w:val="0"/>
                <w:sz w:val="24"/>
                <w:szCs w:val="24"/>
                <w:lang w:val="nl-NL" w:eastAsia="nl-NL"/>
              </w:rPr>
            </w:pPr>
            <w:r w:rsidRPr="005205D3">
              <w:rPr>
                <w:rFonts w:ascii="Times New Roman" w:eastAsia="Times New Roman" w:hAnsi="Times New Roman" w:cs="Times New Roman"/>
                <w:b w:val="0"/>
                <w:bCs w:val="0"/>
                <w:sz w:val="24"/>
                <w:szCs w:val="24"/>
                <w:lang w:val="nl-NL" w:eastAsia="nl-NL"/>
              </w:rPr>
              <w:t>2</w:t>
            </w:r>
            <w:r w:rsidR="49E0871C" w:rsidRPr="005205D3">
              <w:rPr>
                <w:rFonts w:ascii="Times New Roman" w:eastAsia="Times New Roman" w:hAnsi="Times New Roman" w:cs="Times New Roman"/>
                <w:b w:val="0"/>
                <w:bCs w:val="0"/>
                <w:sz w:val="24"/>
                <w:szCs w:val="24"/>
                <w:lang w:val="nl-NL" w:eastAsia="nl-NL"/>
              </w:rPr>
              <w:t>4</w:t>
            </w:r>
          </w:p>
        </w:tc>
        <w:tc>
          <w:tcPr>
            <w:tcW w:w="0" w:type="auto"/>
          </w:tcPr>
          <w:p w14:paraId="1C677CE7" w14:textId="062381F2"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proofErr w:type="spellStart"/>
            <w:r w:rsidRPr="005205D3">
              <w:rPr>
                <w:rFonts w:ascii="Times New Roman" w:eastAsia="Times New Roman" w:hAnsi="Times New Roman" w:cs="Times New Roman"/>
                <w:color w:val="000000"/>
                <w:sz w:val="24"/>
                <w:szCs w:val="24"/>
                <w:lang w:val="nl-NL" w:eastAsia="nl-NL"/>
              </w:rPr>
              <w:t>Garnett</w:t>
            </w:r>
            <w:proofErr w:type="spellEnd"/>
            <w:r w:rsidRPr="005205D3">
              <w:rPr>
                <w:rFonts w:ascii="Times New Roman" w:eastAsia="Times New Roman" w:hAnsi="Times New Roman" w:cs="Times New Roman"/>
                <w:color w:val="000000"/>
                <w:sz w:val="24"/>
                <w:szCs w:val="24"/>
                <w:lang w:val="nl-NL" w:eastAsia="nl-NL"/>
              </w:rPr>
              <w:t xml:space="preserve"> et al. (2014)</w:t>
            </w:r>
          </w:p>
        </w:tc>
        <w:tc>
          <w:tcPr>
            <w:tcW w:w="0" w:type="auto"/>
          </w:tcPr>
          <w:p w14:paraId="492F590C" w14:textId="579D0ECD"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l-NL"/>
              </w:rPr>
            </w:pPr>
            <w:r w:rsidRPr="005205D3">
              <w:rPr>
                <w:rFonts w:ascii="Times New Roman" w:eastAsia="Times New Roman" w:hAnsi="Times New Roman" w:cs="Times New Roman"/>
                <w:sz w:val="24"/>
                <w:szCs w:val="24"/>
                <w:lang w:eastAsia="nl-NL"/>
              </w:rPr>
              <w:t xml:space="preserve">Both narrow and broad definitions come with attendant problems. Narrow definitions over simplify the issues and the multiple goals we have for the food system. On the other hand, very broad definitions tend to lack meaningful specificity. Take for example the FAO’s definition of sustainable diets as: ‘ „… diets with low environmental impacts which contribute to food and nutrition security and to healthy life for present and future generations. Sustainable diets are protective and respectful of biodiversity and ecosystems, culturally acceptable, accessible, economically fair and affordable; nutritionally adequate, safe and healthy; while optimizing natural and human resources’ (FAO 2010). While it is surely hard to disagree with this definition, it is very unclear what such a diet might look like on the plate. It also suggests that these multiple ‘goods’ are synergistic, when inevitably there will be </w:t>
            </w:r>
            <w:proofErr w:type="spellStart"/>
            <w:r w:rsidRPr="005205D3">
              <w:rPr>
                <w:rFonts w:ascii="Times New Roman" w:eastAsia="Times New Roman" w:hAnsi="Times New Roman" w:cs="Times New Roman"/>
                <w:sz w:val="24"/>
                <w:szCs w:val="24"/>
                <w:lang w:eastAsia="nl-NL"/>
              </w:rPr>
              <w:t>trade offs</w:t>
            </w:r>
            <w:proofErr w:type="spellEnd"/>
            <w:r w:rsidRPr="005205D3">
              <w:rPr>
                <w:rFonts w:ascii="Times New Roman" w:eastAsia="Times New Roman" w:hAnsi="Times New Roman" w:cs="Times New Roman"/>
                <w:sz w:val="24"/>
                <w:szCs w:val="24"/>
                <w:lang w:eastAsia="nl-NL"/>
              </w:rPr>
              <w:t xml:space="preserve">. The amorphousness of the word sits at the root of disagreements: stakeholders not only define and </w:t>
            </w:r>
            <w:r w:rsidRPr="005205D3">
              <w:rPr>
                <w:rFonts w:ascii="Times New Roman" w:eastAsia="Times New Roman" w:hAnsi="Times New Roman" w:cs="Times New Roman"/>
                <w:sz w:val="24"/>
                <w:szCs w:val="24"/>
                <w:lang w:eastAsia="nl-NL"/>
              </w:rPr>
              <w:lastRenderedPageBreak/>
              <w:t xml:space="preserve">use ‘ sustainability’ differently but, even when they agree about its components, may </w:t>
            </w:r>
            <w:proofErr w:type="spellStart"/>
            <w:r w:rsidRPr="005205D3">
              <w:rPr>
                <w:rFonts w:ascii="Times New Roman" w:eastAsia="Times New Roman" w:hAnsi="Times New Roman" w:cs="Times New Roman"/>
                <w:sz w:val="24"/>
                <w:szCs w:val="24"/>
                <w:lang w:eastAsia="nl-NL"/>
              </w:rPr>
              <w:t>prioritise</w:t>
            </w:r>
            <w:proofErr w:type="spellEnd"/>
            <w:r w:rsidRPr="005205D3">
              <w:rPr>
                <w:rFonts w:ascii="Times New Roman" w:eastAsia="Times New Roman" w:hAnsi="Times New Roman" w:cs="Times New Roman"/>
                <w:sz w:val="24"/>
                <w:szCs w:val="24"/>
                <w:lang w:eastAsia="nl-NL"/>
              </w:rPr>
              <w:t xml:space="preserve"> issues in different ways. </w:t>
            </w:r>
          </w:p>
        </w:tc>
      </w:tr>
      <w:tr w:rsidR="009A4E0A" w:rsidRPr="00407864" w14:paraId="35804807" w14:textId="77777777" w:rsidTr="54F068BE">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noWrap/>
          </w:tcPr>
          <w:p w14:paraId="71CDFEDE" w14:textId="711484F6" w:rsidR="009A4E0A" w:rsidRPr="005205D3" w:rsidRDefault="001C59EC" w:rsidP="009A4E0A">
            <w:pPr>
              <w:spacing w:before="60" w:after="60" w:line="264" w:lineRule="auto"/>
              <w:jc w:val="right"/>
              <w:rPr>
                <w:rFonts w:ascii="Times New Roman" w:eastAsia="Times New Roman" w:hAnsi="Times New Roman" w:cs="Times New Roman"/>
                <w:b w:val="0"/>
                <w:bCs w:val="0"/>
                <w:color w:val="000000"/>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lastRenderedPageBreak/>
              <w:t>2</w:t>
            </w:r>
            <w:r w:rsidR="737E01F0" w:rsidRPr="005205D3">
              <w:rPr>
                <w:rFonts w:ascii="Times New Roman" w:eastAsia="Times New Roman" w:hAnsi="Times New Roman" w:cs="Times New Roman"/>
                <w:b w:val="0"/>
                <w:bCs w:val="0"/>
                <w:color w:val="000000" w:themeColor="text1"/>
                <w:sz w:val="24"/>
                <w:szCs w:val="24"/>
                <w:lang w:val="nl-NL" w:eastAsia="nl-NL"/>
              </w:rPr>
              <w:t>5</w:t>
            </w:r>
          </w:p>
        </w:tc>
        <w:tc>
          <w:tcPr>
            <w:tcW w:w="0" w:type="auto"/>
          </w:tcPr>
          <w:p w14:paraId="06B77D11" w14:textId="124415F6"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r w:rsidRPr="005205D3">
              <w:rPr>
                <w:rFonts w:ascii="Times New Roman" w:eastAsia="Times New Roman" w:hAnsi="Times New Roman" w:cs="Times New Roman"/>
                <w:color w:val="000000"/>
                <w:sz w:val="24"/>
                <w:szCs w:val="24"/>
                <w:lang w:val="nl-NL" w:eastAsia="nl-NL"/>
              </w:rPr>
              <w:fldChar w:fldCharType="begin" w:fldLock="1"/>
            </w:r>
            <w:r w:rsidRPr="005205D3">
              <w:rPr>
                <w:rFonts w:ascii="Times New Roman" w:eastAsia="Times New Roman" w:hAnsi="Times New Roman" w:cs="Times New Roman"/>
                <w:color w:val="000000"/>
                <w:sz w:val="24"/>
                <w:szCs w:val="24"/>
                <w:lang w:val="nl-NL" w:eastAsia="nl-NL"/>
              </w:rPr>
              <w:instrText>ADDIN CSL_CITATION { "citationItems" : [ { "id" : "ITEM-1", "itemData" : { "DOI" : "10.1002/ieam.1614", "ISSN" : "15513777", "author" : [ { "dropping-particle" : "", "family" : "Castellani", "given" : "Valentina", "non-dropping-particle" : "", "parse-names" : false, "suffix" : "" }, { "dropping-particle" : "", "family" : "Sala", "given" : "Serenella", "non-dropping-particle" : "", "parse-names" : false, "suffix" : "" }, { "dropping-particle" : "", "family" : "Mirabella", "given" : "Nadia", "non-dropping-particle" : "", "parse-names" : false, "suffix" : "" } ], "container-title" : "Integrated Environmental Assessment and Management", "id" : "ITEM-1", "issue" : "3", "issued" : { "date-parts" : [ [ "2015", "7" ] ] }, "page" : "373-382", "title" : "Beyond the throwaway society: A life cycle-based assessment of the environmental benefit of reuse", "type" : "article-journal", "volume" : "11" }, "locator" : "374", "uris" : [ "http://www.mendeley.com/documents/?uuid=f0db66fc-41bb-3bf3-9c12-75336c2967b9" ] } ], "mendeley" : { "formattedCitation" : "(Castellani, Sala, &amp; Mirabella, 2015, p. 374)", "manualFormatting" : "Castellani, Sala, &amp; Mirabella (2015, p. 374)", "plainTextFormattedCitation" : "(Castellani, Sala, &amp; Mirabella, 2015, p. 374)", "previouslyFormattedCitation" : "(Castellani, Sala, &amp; Mirabella, 2015, p. 374)" }, "properties" : { "noteIndex" : 0 }, "schema" : "https://github.com/citation-style-language/schema/raw/master/csl-citation.json" }</w:instrText>
            </w:r>
            <w:r w:rsidRPr="005205D3">
              <w:rPr>
                <w:rFonts w:ascii="Times New Roman" w:eastAsia="Times New Roman" w:hAnsi="Times New Roman" w:cs="Times New Roman"/>
                <w:color w:val="000000"/>
                <w:sz w:val="24"/>
                <w:szCs w:val="24"/>
                <w:lang w:val="nl-NL" w:eastAsia="nl-NL"/>
              </w:rPr>
              <w:fldChar w:fldCharType="separate"/>
            </w:r>
            <w:r w:rsidRPr="005205D3">
              <w:rPr>
                <w:rFonts w:ascii="Times New Roman" w:eastAsia="Times New Roman" w:hAnsi="Times New Roman" w:cs="Times New Roman"/>
                <w:noProof/>
                <w:color w:val="000000"/>
                <w:sz w:val="24"/>
                <w:szCs w:val="24"/>
                <w:lang w:val="nl-NL" w:eastAsia="nl-NL"/>
              </w:rPr>
              <w:t>Genova &amp; Allegretti (2024, p. 2)</w:t>
            </w:r>
            <w:r w:rsidRPr="005205D3">
              <w:rPr>
                <w:rFonts w:ascii="Times New Roman" w:eastAsia="Times New Roman" w:hAnsi="Times New Roman" w:cs="Times New Roman"/>
                <w:color w:val="000000"/>
                <w:sz w:val="24"/>
                <w:szCs w:val="24"/>
                <w:lang w:val="nl-NL" w:eastAsia="nl-NL"/>
              </w:rPr>
              <w:fldChar w:fldCharType="end"/>
            </w:r>
          </w:p>
        </w:tc>
        <w:tc>
          <w:tcPr>
            <w:tcW w:w="0" w:type="auto"/>
          </w:tcPr>
          <w:p w14:paraId="4845B6BD" w14:textId="60502A6B" w:rsidR="009A4E0A" w:rsidRPr="005205D3" w:rsidRDefault="009A4E0A" w:rsidP="009A4E0A">
            <w:pPr>
              <w:shd w:val="clear" w:color="auto" w:fill="FFFFFF"/>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 xml:space="preserve">Despite this conceptual blurring, several of the previously cited works assert that, even in the food field, sustainability concerns all the so-called “three pillars” [16]: the </w:t>
            </w:r>
            <w:r w:rsidRPr="005205D3">
              <w:rPr>
                <w:rFonts w:ascii="Times New Roman" w:eastAsia="Times New Roman" w:hAnsi="Times New Roman" w:cs="Times New Roman"/>
                <w:b/>
                <w:bCs/>
                <w:color w:val="000000"/>
                <w:sz w:val="24"/>
                <w:szCs w:val="24"/>
                <w:lang w:eastAsia="nl-NL"/>
              </w:rPr>
              <w:t>environmental, the social, and the economic</w:t>
            </w:r>
            <w:r w:rsidRPr="005205D3">
              <w:rPr>
                <w:rFonts w:ascii="Times New Roman" w:eastAsia="Times New Roman" w:hAnsi="Times New Roman" w:cs="Times New Roman"/>
                <w:color w:val="000000"/>
                <w:sz w:val="24"/>
                <w:szCs w:val="24"/>
                <w:lang w:eastAsia="nl-NL"/>
              </w:rPr>
              <w:t xml:space="preserve"> (although most of the scientific literature in this field pays a lot of attention to the economic and environmental dimensions and little to the social one); in addition, even a </w:t>
            </w:r>
            <w:r w:rsidRPr="005205D3">
              <w:rPr>
                <w:rFonts w:ascii="Times New Roman" w:eastAsia="Times New Roman" w:hAnsi="Times New Roman" w:cs="Times New Roman"/>
                <w:b/>
                <w:bCs/>
                <w:color w:val="000000"/>
                <w:sz w:val="24"/>
                <w:szCs w:val="24"/>
                <w:lang w:eastAsia="nl-NL"/>
              </w:rPr>
              <w:t>nutritional and cultural dimension</w:t>
            </w:r>
            <w:r w:rsidRPr="005205D3">
              <w:rPr>
                <w:rFonts w:ascii="Times New Roman" w:eastAsia="Times New Roman" w:hAnsi="Times New Roman" w:cs="Times New Roman"/>
                <w:color w:val="000000"/>
                <w:sz w:val="24"/>
                <w:szCs w:val="24"/>
                <w:lang w:eastAsia="nl-NL"/>
              </w:rPr>
              <w:t xml:space="preserve"> of sustainability are mentioned (and studies on sustainable food consumption often address sustainability as a gauge of spatial and economic inequality, drawing from a substantial body of literature on disparities in accessing nutritious food [17–20]). The comprehensive discourse about this topic refers thus conjointly to the environmental, social, economic, nutritional, and cultural sustainability of food practices, and more generally of food systems [21–32]. It is therefore against this background that consumption of sustainable food must be considered, taking into consideration the ways in which food is produced, transported, distributed, selected, prepared, and consumed, and its impact from the environmental, social, and economic points of view [33].</w:t>
            </w:r>
          </w:p>
        </w:tc>
      </w:tr>
      <w:tr w:rsidR="009A4E0A" w:rsidRPr="0066686C" w14:paraId="214EDE19" w14:textId="77777777" w:rsidTr="54F068BE">
        <w:trPr>
          <w:trHeight w:val="431"/>
        </w:trPr>
        <w:tc>
          <w:tcPr>
            <w:cnfStyle w:val="001000000000" w:firstRow="0" w:lastRow="0" w:firstColumn="1" w:lastColumn="0" w:oddVBand="0" w:evenVBand="0" w:oddHBand="0" w:evenHBand="0" w:firstRowFirstColumn="0" w:firstRowLastColumn="0" w:lastRowFirstColumn="0" w:lastRowLastColumn="0"/>
            <w:tcW w:w="0" w:type="auto"/>
            <w:noWrap/>
          </w:tcPr>
          <w:p w14:paraId="15580671" w14:textId="4D91A1E8" w:rsidR="009A4E0A" w:rsidRPr="005205D3" w:rsidRDefault="64D69C6A" w:rsidP="009A4E0A">
            <w:pPr>
              <w:spacing w:before="60" w:after="60" w:line="264" w:lineRule="auto"/>
              <w:jc w:val="right"/>
              <w:rPr>
                <w:rFonts w:ascii="Times New Roman" w:eastAsia="Times New Roman" w:hAnsi="Times New Roman" w:cs="Times New Roman"/>
                <w:b w:val="0"/>
                <w:bCs w:val="0"/>
                <w:color w:val="000000"/>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t>26</w:t>
            </w:r>
          </w:p>
        </w:tc>
        <w:tc>
          <w:tcPr>
            <w:tcW w:w="0" w:type="auto"/>
          </w:tcPr>
          <w:p w14:paraId="6CFBE4FB" w14:textId="0E9668DA"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r w:rsidRPr="005205D3">
              <w:rPr>
                <w:rFonts w:ascii="Times New Roman" w:eastAsia="Times New Roman" w:hAnsi="Times New Roman" w:cs="Times New Roman"/>
                <w:color w:val="000000"/>
                <w:sz w:val="24"/>
                <w:szCs w:val="24"/>
                <w:lang w:val="nl-NL" w:eastAsia="nl-NL"/>
              </w:rPr>
              <w:fldChar w:fldCharType="begin" w:fldLock="1"/>
            </w:r>
            <w:r w:rsidRPr="005205D3">
              <w:rPr>
                <w:rFonts w:ascii="Times New Roman" w:eastAsia="Times New Roman" w:hAnsi="Times New Roman" w:cs="Times New Roman"/>
                <w:color w:val="000000"/>
                <w:sz w:val="24"/>
                <w:szCs w:val="24"/>
                <w:lang w:val="nl-NL" w:eastAsia="nl-NL"/>
              </w:rPr>
              <w:instrText>ADDIN CSL_CITATION { "citationItems" : [ { "id" : "ITEM-1", "itemData" : { "author" : [ { "dropping-particle" : "", "family" : "Charonis", "given" : "George-Konstantinos", "non-dropping-particle" : "", "parse-names" : false, "suffix" : "" } ], "container-title" : "World Economics Association (WEA) Conferences", "id" : "ITEM-1", "issued" : { "date-parts" : [ [ "2012" ] ] }, "title" : "Degrowth, steady state economics and the circular economy: three distinct yet increasingly converging alternative discourses to economic growth for achieving environmental sustainability and social equity", "type" : "paper-conference" }, "locator" : "2", "uris" : [ "http://www.mendeley.com/documents/?uuid=2ff7b738-6a0c-4d02-9a15-903762297bce" ] } ], "mendeley" : { "formattedCitation" : "(Charonis, 2012, p. 2)", "manualFormatting" : "Charonis (2012, p. 2)", "plainTextFormattedCitation" : "(Charonis, 2012, p. 2)", "previouslyFormattedCitation" : "(Charonis, 2012, p. 2)" }, "properties" : { "noteIndex" : 0 }, "schema" : "https://github.com/citation-style-language/schema/raw/master/csl-citation.json" }</w:instrText>
            </w:r>
            <w:r w:rsidRPr="005205D3">
              <w:rPr>
                <w:rFonts w:ascii="Times New Roman" w:eastAsia="Times New Roman" w:hAnsi="Times New Roman" w:cs="Times New Roman"/>
                <w:color w:val="000000"/>
                <w:sz w:val="24"/>
                <w:szCs w:val="24"/>
                <w:lang w:val="nl-NL" w:eastAsia="nl-NL"/>
              </w:rPr>
              <w:fldChar w:fldCharType="separate"/>
            </w:r>
            <w:r w:rsidRPr="005205D3">
              <w:rPr>
                <w:rFonts w:ascii="Times New Roman" w:eastAsia="Times New Roman" w:hAnsi="Times New Roman" w:cs="Times New Roman"/>
                <w:noProof/>
                <w:color w:val="000000"/>
                <w:sz w:val="24"/>
                <w:szCs w:val="24"/>
                <w:lang w:val="nl-NL" w:eastAsia="nl-NL"/>
              </w:rPr>
              <w:t>Gorgitano &amp; Sodano (2014, p. 210)</w:t>
            </w:r>
            <w:r w:rsidRPr="005205D3">
              <w:rPr>
                <w:rFonts w:ascii="Times New Roman" w:eastAsia="Times New Roman" w:hAnsi="Times New Roman" w:cs="Times New Roman"/>
                <w:color w:val="000000"/>
                <w:sz w:val="24"/>
                <w:szCs w:val="24"/>
                <w:lang w:val="nl-NL" w:eastAsia="nl-NL"/>
              </w:rPr>
              <w:fldChar w:fldCharType="end"/>
            </w:r>
          </w:p>
        </w:tc>
        <w:tc>
          <w:tcPr>
            <w:tcW w:w="0" w:type="auto"/>
          </w:tcPr>
          <w:p w14:paraId="168C5969" w14:textId="61075B34"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Literature on sustainable food consumption is recent and offers a quite diverse array of definitions and policy suggestions. A broad definition has been given by the UK Sustainable Development Commission (2005; 2009), which states that to be sustainable food consumption should meet safety, political and environmental requirements, such as safe, healthy, and nutritious diets for everyone; viable livelihood for farmers, processors, and retailers; animal welfare; environment protection; biodiversity safeguard; energy saving; minimum waste.</w:t>
            </w:r>
          </w:p>
        </w:tc>
      </w:tr>
      <w:tr w:rsidR="00D2302D" w:rsidRPr="0066686C" w14:paraId="7D7026F7" w14:textId="77777777" w:rsidTr="54F068BE">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0" w:type="auto"/>
            <w:noWrap/>
          </w:tcPr>
          <w:p w14:paraId="39123F0D" w14:textId="17020C1E" w:rsidR="00D2302D" w:rsidRPr="005205D3" w:rsidRDefault="001C59EC" w:rsidP="009A4E0A">
            <w:pPr>
              <w:spacing w:before="60" w:after="60" w:line="264" w:lineRule="auto"/>
              <w:jc w:val="right"/>
              <w:rPr>
                <w:rFonts w:ascii="Times New Roman" w:eastAsia="Times New Roman" w:hAnsi="Times New Roman" w:cs="Times New Roman"/>
                <w:b w:val="0"/>
                <w:bCs w:val="0"/>
                <w:color w:val="000000"/>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t>2</w:t>
            </w:r>
            <w:r w:rsidR="3454143F" w:rsidRPr="005205D3">
              <w:rPr>
                <w:rFonts w:ascii="Times New Roman" w:eastAsia="Times New Roman" w:hAnsi="Times New Roman" w:cs="Times New Roman"/>
                <w:b w:val="0"/>
                <w:bCs w:val="0"/>
                <w:color w:val="000000" w:themeColor="text1"/>
                <w:sz w:val="24"/>
                <w:szCs w:val="24"/>
                <w:lang w:val="nl-NL" w:eastAsia="nl-NL"/>
              </w:rPr>
              <w:t>7</w:t>
            </w:r>
          </w:p>
        </w:tc>
        <w:tc>
          <w:tcPr>
            <w:tcW w:w="0" w:type="auto"/>
          </w:tcPr>
          <w:p w14:paraId="0C09B0EA" w14:textId="2F30E10E" w:rsidR="00D2302D" w:rsidRPr="005205D3" w:rsidRDefault="7E4F0D08" w:rsidP="54F068BE">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proofErr w:type="spellStart"/>
            <w:r w:rsidRPr="005205D3">
              <w:rPr>
                <w:rFonts w:ascii="Times New Roman" w:eastAsia="Times New Roman" w:hAnsi="Times New Roman" w:cs="Times New Roman"/>
                <w:color w:val="000000" w:themeColor="text1"/>
                <w:sz w:val="24"/>
                <w:szCs w:val="24"/>
                <w:lang w:val="nl-NL" w:eastAsia="nl-NL"/>
              </w:rPr>
              <w:t>Greener</w:t>
            </w:r>
            <w:r w:rsidR="00CD26C0">
              <w:rPr>
                <w:rFonts w:ascii="Times New Roman" w:eastAsia="Times New Roman" w:hAnsi="Times New Roman" w:cs="Times New Roman"/>
                <w:color w:val="000000" w:themeColor="text1"/>
                <w:sz w:val="24"/>
                <w:szCs w:val="24"/>
                <w:lang w:val="nl-NL" w:eastAsia="nl-NL"/>
              </w:rPr>
              <w:t>A</w:t>
            </w:r>
            <w:r w:rsidRPr="005205D3">
              <w:rPr>
                <w:rFonts w:ascii="Times New Roman" w:eastAsia="Times New Roman" w:hAnsi="Times New Roman" w:cs="Times New Roman"/>
                <w:color w:val="000000" w:themeColor="text1"/>
                <w:sz w:val="24"/>
                <w:szCs w:val="24"/>
                <w:lang w:val="nl-NL" w:eastAsia="nl-NL"/>
              </w:rPr>
              <w:t>ge</w:t>
            </w:r>
            <w:proofErr w:type="spellEnd"/>
            <w:r w:rsidRPr="005205D3">
              <w:rPr>
                <w:rFonts w:ascii="Times New Roman" w:eastAsia="Times New Roman" w:hAnsi="Times New Roman" w:cs="Times New Roman"/>
                <w:color w:val="000000" w:themeColor="text1"/>
                <w:sz w:val="24"/>
                <w:szCs w:val="24"/>
                <w:lang w:val="nl-NL" w:eastAsia="nl-NL"/>
              </w:rPr>
              <w:t xml:space="preserve"> (</w:t>
            </w:r>
            <w:proofErr w:type="spellStart"/>
            <w:r w:rsidRPr="005205D3">
              <w:rPr>
                <w:rFonts w:ascii="Times New Roman" w:eastAsia="Times New Roman" w:hAnsi="Times New Roman" w:cs="Times New Roman"/>
                <w:color w:val="000000" w:themeColor="text1"/>
                <w:sz w:val="24"/>
                <w:szCs w:val="24"/>
                <w:lang w:val="nl-NL" w:eastAsia="nl-NL"/>
              </w:rPr>
              <w:t>n.d</w:t>
            </w:r>
            <w:proofErr w:type="spellEnd"/>
            <w:r w:rsidRPr="005205D3">
              <w:rPr>
                <w:rFonts w:ascii="Times New Roman" w:eastAsia="Times New Roman" w:hAnsi="Times New Roman" w:cs="Times New Roman"/>
                <w:color w:val="000000" w:themeColor="text1"/>
                <w:sz w:val="24"/>
                <w:szCs w:val="24"/>
                <w:lang w:val="nl-NL" w:eastAsia="nl-NL"/>
              </w:rPr>
              <w:t>.)</w:t>
            </w:r>
          </w:p>
        </w:tc>
        <w:tc>
          <w:tcPr>
            <w:tcW w:w="0" w:type="auto"/>
          </w:tcPr>
          <w:p w14:paraId="4708E120" w14:textId="4634B565" w:rsidR="00D2302D" w:rsidRPr="005205D3" w:rsidRDefault="00D2302D" w:rsidP="00D2302D">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What is Sustainable Food Consumption?</w:t>
            </w:r>
            <w:r w:rsidRPr="005205D3">
              <w:rPr>
                <w:rFonts w:ascii="Times New Roman" w:eastAsia="Times New Roman" w:hAnsi="Times New Roman" w:cs="Times New Roman"/>
                <w:b/>
                <w:bCs/>
                <w:color w:val="000000"/>
                <w:sz w:val="24"/>
                <w:szCs w:val="24"/>
                <w:lang w:eastAsia="nl-NL"/>
              </w:rPr>
              <w:t xml:space="preserve"> </w:t>
            </w:r>
            <w:r w:rsidRPr="005205D3">
              <w:rPr>
                <w:rFonts w:ascii="Times New Roman" w:eastAsia="Times New Roman" w:hAnsi="Times New Roman" w:cs="Times New Roman"/>
                <w:color w:val="000000"/>
                <w:sz w:val="24"/>
                <w:szCs w:val="24"/>
                <w:lang w:eastAsia="nl-NL"/>
              </w:rPr>
              <w:t xml:space="preserve">This is a complex concept. The consumption of food consists of the production, i.e., the cultivation of food, and the actual consumption by the end consumer. Sustainable means first and foremost that food security is also guaranteed for future generations. Dealing with sustainable food consumption is always about how we can produce and consume our food sustainably so that it does as little harm as possible to the environment. Also, allowing future generations to live carefree on this planet. Sustainable consumption also means that less quantity of the food we produce and buy is thrown away. </w:t>
            </w:r>
          </w:p>
          <w:p w14:paraId="04D7C37F" w14:textId="77777777" w:rsidR="00D2302D" w:rsidRPr="005205D3" w:rsidRDefault="00D2302D" w:rsidP="00D2302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 xml:space="preserve">In 2015, the member states of the United Nations adopted the 2030 Agenda, which sets out 17 goals for socially, economically and ecologically sustainable development. These also include sustainable nutrition: “Sustainable Healthy Diets are dietary patterns that promote all dimensions of individuals’ health and wellbeing; have low environmental pressure and impact; are accessible, affordable, safe and equitable; and are culturally acceptable. </w:t>
            </w:r>
            <w:r w:rsidRPr="005205D3">
              <w:rPr>
                <w:rFonts w:ascii="Times New Roman" w:eastAsia="Times New Roman" w:hAnsi="Times New Roman" w:cs="Times New Roman"/>
                <w:color w:val="000000"/>
                <w:sz w:val="24"/>
                <w:szCs w:val="24"/>
                <w:lang w:eastAsia="nl-NL"/>
              </w:rPr>
              <w:lastRenderedPageBreak/>
              <w:t>The aims of Sustainable Healthy Diets are to achieve optimal growth and development of all individuals and support functioning and physical, mental, and social well-being at all life stages for present and future generations; contribute to preventing all forms of malnutrition (i.e., undernutrition, micronutrient deficiency, overweight and obesity); reduce the risk of diet-related noncommunicable diseases (NCDs); and support the preservation of biodiversity and planetary health. Sustainable healthy diets must combine all the dimensions of sustainability to avoid unintended consequences”.</w:t>
            </w:r>
          </w:p>
          <w:p w14:paraId="6AD4B6A7" w14:textId="6960CB29" w:rsidR="00D2302D" w:rsidRPr="005205D3" w:rsidRDefault="00D2302D"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(https://greenerage.eu/courses/sustainable-food-consumption_/lesson/what-is-sustainable-food-consumption-2/)</w:t>
            </w:r>
          </w:p>
        </w:tc>
      </w:tr>
      <w:tr w:rsidR="009A4E0A" w:rsidRPr="009E625B" w14:paraId="1BBCD6F8" w14:textId="77777777" w:rsidTr="54F068BE">
        <w:trPr>
          <w:trHeight w:val="431"/>
        </w:trPr>
        <w:tc>
          <w:tcPr>
            <w:cnfStyle w:val="001000000000" w:firstRow="0" w:lastRow="0" w:firstColumn="1" w:lastColumn="0" w:oddVBand="0" w:evenVBand="0" w:oddHBand="0" w:evenHBand="0" w:firstRowFirstColumn="0" w:firstRowLastColumn="0" w:lastRowFirstColumn="0" w:lastRowLastColumn="0"/>
            <w:tcW w:w="0" w:type="auto"/>
            <w:noWrap/>
          </w:tcPr>
          <w:p w14:paraId="69AB2D76" w14:textId="38514533" w:rsidR="009A4E0A" w:rsidRPr="005205D3" w:rsidRDefault="001C59EC" w:rsidP="009A4E0A">
            <w:pPr>
              <w:spacing w:before="60" w:after="60" w:line="264" w:lineRule="auto"/>
              <w:jc w:val="right"/>
              <w:rPr>
                <w:rFonts w:ascii="Times New Roman" w:eastAsia="Times New Roman" w:hAnsi="Times New Roman" w:cs="Times New Roman"/>
                <w:b w:val="0"/>
                <w:bCs w:val="0"/>
                <w:color w:val="000000"/>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lastRenderedPageBreak/>
              <w:t>2</w:t>
            </w:r>
            <w:r w:rsidR="613D60BC" w:rsidRPr="005205D3">
              <w:rPr>
                <w:rFonts w:ascii="Times New Roman" w:eastAsia="Times New Roman" w:hAnsi="Times New Roman" w:cs="Times New Roman"/>
                <w:b w:val="0"/>
                <w:bCs w:val="0"/>
                <w:color w:val="000000" w:themeColor="text1"/>
                <w:sz w:val="24"/>
                <w:szCs w:val="24"/>
                <w:lang w:val="nl-NL" w:eastAsia="nl-NL"/>
              </w:rPr>
              <w:t>8</w:t>
            </w:r>
          </w:p>
        </w:tc>
        <w:tc>
          <w:tcPr>
            <w:tcW w:w="0" w:type="auto"/>
          </w:tcPr>
          <w:p w14:paraId="66FBF389" w14:textId="37D901F0"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r w:rsidRPr="005205D3">
              <w:rPr>
                <w:rFonts w:ascii="Times New Roman" w:eastAsia="Times New Roman" w:hAnsi="Times New Roman" w:cs="Times New Roman"/>
                <w:color w:val="000000"/>
                <w:sz w:val="24"/>
                <w:szCs w:val="24"/>
                <w:lang w:val="nl-NL" w:eastAsia="nl-NL"/>
              </w:rPr>
              <w:fldChar w:fldCharType="begin" w:fldLock="1"/>
            </w:r>
            <w:r w:rsidRPr="005205D3">
              <w:rPr>
                <w:rFonts w:ascii="Times New Roman" w:eastAsia="Times New Roman" w:hAnsi="Times New Roman" w:cs="Times New Roman"/>
                <w:color w:val="000000"/>
                <w:sz w:val="24"/>
                <w:szCs w:val="24"/>
                <w:lang w:val="nl-NL" w:eastAsia="nl-NL"/>
              </w:rPr>
              <w:instrText>ADDIN CSL_CITATION { "citationItems" : [ { "id" : "ITEM-1", "itemData" : { "URL" : "http://editors.eol.org/eoearth/wiki/Industrial_symbiosis", "author" : [ { "dropping-particle" : "", "family" : "Chertow", "given" : "Marian", "non-dropping-particle" : "", "parse-names" : false, "suffix" : "" } ], "id" : "ITEM-1", "issued" : { "date-parts" : [ [ "2012" ] ] }, "title" : "Industrial symbiosis", "type" : "webpage" }, "uris" : [ "http://www.mendeley.com/documents/?uuid=d145b6e7-9468-4b3f-890f-b7bc67ed3f7e" ] } ], "mendeley" : { "formattedCitation" : "(Chertow, 2012)", "manualFormatting" : "Chertow (2012)", "plainTextFormattedCitation" : "(Chertow, 2012)", "previouslyFormattedCitation" : "(Chertow, 2012)" }, "properties" : { "noteIndex" : 0 }, "schema" : "https://github.com/citation-style-language/schema/raw/master/csl-citation.json" }</w:instrText>
            </w:r>
            <w:r w:rsidRPr="005205D3">
              <w:rPr>
                <w:rFonts w:ascii="Times New Roman" w:eastAsia="Times New Roman" w:hAnsi="Times New Roman" w:cs="Times New Roman"/>
                <w:color w:val="000000"/>
                <w:sz w:val="24"/>
                <w:szCs w:val="24"/>
                <w:lang w:val="nl-NL" w:eastAsia="nl-NL"/>
              </w:rPr>
              <w:fldChar w:fldCharType="separate"/>
            </w:r>
            <w:r w:rsidRPr="005205D3">
              <w:rPr>
                <w:rFonts w:ascii="Times New Roman" w:eastAsia="Times New Roman" w:hAnsi="Times New Roman" w:cs="Times New Roman"/>
                <w:noProof/>
                <w:color w:val="000000"/>
                <w:sz w:val="24"/>
                <w:szCs w:val="24"/>
                <w:lang w:val="nl-NL" w:eastAsia="nl-NL"/>
              </w:rPr>
              <w:t>Hoek et al. (2017, pp. 94-95)</w:t>
            </w:r>
            <w:r w:rsidRPr="005205D3">
              <w:rPr>
                <w:rFonts w:ascii="Times New Roman" w:eastAsia="Times New Roman" w:hAnsi="Times New Roman" w:cs="Times New Roman"/>
                <w:color w:val="000000"/>
                <w:sz w:val="24"/>
                <w:szCs w:val="24"/>
                <w:lang w:val="nl-NL" w:eastAsia="nl-NL"/>
              </w:rPr>
              <w:fldChar w:fldCharType="end"/>
            </w:r>
          </w:p>
        </w:tc>
        <w:tc>
          <w:tcPr>
            <w:tcW w:w="0" w:type="auto"/>
          </w:tcPr>
          <w:p w14:paraId="6ABACFA5" w14:textId="5B371437"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The FAO definition for sustainable diets includes health aspects: ‘‘Sustainable Diets are those diets with low environmental impacts which contribute to food and nutrition security and to healthy life for present and future generations. Sustainable diets are protective and respectful of biodiversity and ecosystems, culturally acceptable, accessible, economically fair and affordable; nutritionally adequate, safe and healthy; while optimizing natural and human resources” (FAO, 2010). This incorporates food intake behaviours relating to an energy intake matching a person’s needs, minimizing consumption of less energy-dense, highly processed and packaged foods, and for most increasing consumption of more plant-based foods and decreasing consumption of animal-derived foods.</w:t>
            </w:r>
          </w:p>
        </w:tc>
      </w:tr>
      <w:tr w:rsidR="009A4E0A" w:rsidRPr="0066686C" w14:paraId="4E22C7AE" w14:textId="77777777" w:rsidTr="54F068BE">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0" w:type="auto"/>
            <w:noWrap/>
          </w:tcPr>
          <w:p w14:paraId="368F9C65" w14:textId="6493BFA2" w:rsidR="009A4E0A" w:rsidRPr="005205D3" w:rsidRDefault="1A988CA8" w:rsidP="009A4E0A">
            <w:pPr>
              <w:spacing w:before="60" w:after="60" w:line="264" w:lineRule="auto"/>
              <w:jc w:val="right"/>
              <w:rPr>
                <w:rFonts w:ascii="Times New Roman" w:eastAsia="Times New Roman" w:hAnsi="Times New Roman" w:cs="Times New Roman"/>
                <w:b w:val="0"/>
                <w:bCs w:val="0"/>
                <w:color w:val="000000"/>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t>29</w:t>
            </w:r>
          </w:p>
        </w:tc>
        <w:tc>
          <w:tcPr>
            <w:tcW w:w="0" w:type="auto"/>
          </w:tcPr>
          <w:p w14:paraId="3E6FA04A" w14:textId="788B5AAA"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r w:rsidRPr="005205D3">
              <w:rPr>
                <w:rFonts w:ascii="Times New Roman" w:eastAsia="Times New Roman" w:hAnsi="Times New Roman" w:cs="Times New Roman"/>
                <w:color w:val="000000"/>
                <w:sz w:val="24"/>
                <w:szCs w:val="24"/>
                <w:lang w:val="nl-NL" w:eastAsia="nl-NL"/>
              </w:rPr>
              <w:fldChar w:fldCharType="begin" w:fldLock="1"/>
            </w:r>
            <w:r w:rsidRPr="005205D3">
              <w:rPr>
                <w:rFonts w:ascii="Times New Roman" w:eastAsia="Times New Roman" w:hAnsi="Times New Roman" w:cs="Times New Roman"/>
                <w:color w:val="000000"/>
                <w:sz w:val="24"/>
                <w:szCs w:val="24"/>
                <w:lang w:val="nl-NL" w:eastAsia="nl-NL"/>
              </w:rPr>
              <w:instrText>ADDIN CSL_CITATION { "citationItems" : [ { "id" : "ITEM-1", "itemData" : { "URL" : "http://www.circular.academy/circular-economy-some-definitions/", "author" : [ { "dropping-particle" : "", "family" : "Circular Academy", "given" : "", "non-dropping-particle" : "", "parse-names" : false, "suffix" : "" } ], "id" : "ITEM-1", "issued" : { "date-parts" : [ [ "2017" ] ] }, "title" : "Circular economy: some definitions", "type" : "webpage" }, "uris" : [ "http://www.mendeley.com/documents/?uuid=f122d6c9-9bc7-404c-943b-b5fe07968e25" ] } ], "mendeley" : { "formattedCitation" : "(Circular Academy, 2017)", "manualFormatting" : "Circular Academy (2017)", "plainTextFormattedCitation" : "(Circular Academy, 2017)", "previouslyFormattedCitation" : "(Circular Academy, 2017)" }, "properties" : { "noteIndex" : 0 }, "schema" : "https://github.com/citation-style-language/schema/raw/master/csl-citation.json" }</w:instrText>
            </w:r>
            <w:r w:rsidRPr="005205D3">
              <w:rPr>
                <w:rFonts w:ascii="Times New Roman" w:eastAsia="Times New Roman" w:hAnsi="Times New Roman" w:cs="Times New Roman"/>
                <w:color w:val="000000"/>
                <w:sz w:val="24"/>
                <w:szCs w:val="24"/>
                <w:lang w:val="nl-NL" w:eastAsia="nl-NL"/>
              </w:rPr>
              <w:fldChar w:fldCharType="separate"/>
            </w:r>
            <w:r w:rsidRPr="005205D3">
              <w:rPr>
                <w:rFonts w:ascii="Times New Roman" w:eastAsia="Times New Roman" w:hAnsi="Times New Roman" w:cs="Times New Roman"/>
                <w:noProof/>
                <w:color w:val="000000"/>
                <w:sz w:val="24"/>
                <w:szCs w:val="24"/>
                <w:lang w:val="nl-NL" w:eastAsia="nl-NL"/>
              </w:rPr>
              <w:t>Holotova, Horska, &amp; Nagyova (2021, p. 1)</w:t>
            </w:r>
            <w:r w:rsidRPr="005205D3">
              <w:rPr>
                <w:rFonts w:ascii="Times New Roman" w:eastAsia="Times New Roman" w:hAnsi="Times New Roman" w:cs="Times New Roman"/>
                <w:color w:val="000000"/>
                <w:sz w:val="24"/>
                <w:szCs w:val="24"/>
                <w:lang w:val="nl-NL" w:eastAsia="nl-NL"/>
              </w:rPr>
              <w:fldChar w:fldCharType="end"/>
            </w:r>
          </w:p>
        </w:tc>
        <w:tc>
          <w:tcPr>
            <w:tcW w:w="0" w:type="auto"/>
          </w:tcPr>
          <w:p w14:paraId="5B65094D" w14:textId="2A558BA8"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171717"/>
                <w:sz w:val="24"/>
                <w:szCs w:val="24"/>
                <w:lang w:eastAsia="nl-NL"/>
              </w:rPr>
            </w:pPr>
            <w:r w:rsidRPr="005205D3">
              <w:rPr>
                <w:rFonts w:ascii="Times New Roman" w:eastAsia="Times New Roman" w:hAnsi="Times New Roman" w:cs="Times New Roman"/>
                <w:color w:val="171717"/>
                <w:sz w:val="24"/>
                <w:szCs w:val="24"/>
                <w:lang w:eastAsia="nl-NL"/>
              </w:rPr>
              <w:t>Sustainable consumption includes not only the minimization of consumption itself, but also its reorientation, in terms of a change in customer habits toward a more sustainable lifestyle and purchasing decisions (Vasilová, 2013). […] Food represents a major issue in sustainable production and consumption, with its great impact on the environment and the economy as well (Donati et al., 2016; Fanzo, 2019). The most serious environmental impacts from food occur at the beginning of the production chain, but households influence these impacts through their dietary choices and demand for food-related services.</w:t>
            </w:r>
            <w:r w:rsidRPr="005205D3">
              <w:rPr>
                <w:rFonts w:ascii="Times New Roman" w:hAnsi="Times New Roman" w:cs="Times New Roman"/>
                <w:color w:val="000000"/>
                <w:sz w:val="24"/>
                <w:szCs w:val="24"/>
              </w:rPr>
              <w:t xml:space="preserve"> </w:t>
            </w:r>
            <w:r w:rsidRPr="005205D3">
              <w:rPr>
                <w:rFonts w:ascii="Times New Roman" w:eastAsia="Times New Roman" w:hAnsi="Times New Roman" w:cs="Times New Roman"/>
                <w:color w:val="171717"/>
                <w:sz w:val="24"/>
                <w:szCs w:val="24"/>
                <w:lang w:eastAsia="nl-NL"/>
              </w:rPr>
              <w:t>Households also directly affect the environment through food related energy consumption and waste generation (Ivanova et al., 2015; Castellani et al., 2019).</w:t>
            </w:r>
          </w:p>
        </w:tc>
      </w:tr>
      <w:tr w:rsidR="009A4E0A" w:rsidRPr="00984A98" w14:paraId="395EAB05" w14:textId="77777777" w:rsidTr="54F068BE">
        <w:trPr>
          <w:trHeight w:val="431"/>
        </w:trPr>
        <w:tc>
          <w:tcPr>
            <w:cnfStyle w:val="001000000000" w:firstRow="0" w:lastRow="0" w:firstColumn="1" w:lastColumn="0" w:oddVBand="0" w:evenVBand="0" w:oddHBand="0" w:evenHBand="0" w:firstRowFirstColumn="0" w:firstRowLastColumn="0" w:lastRowFirstColumn="0" w:lastRowLastColumn="0"/>
            <w:tcW w:w="0" w:type="auto"/>
            <w:noWrap/>
          </w:tcPr>
          <w:p w14:paraId="27534FF4" w14:textId="5DBA8248" w:rsidR="009A4E0A" w:rsidRPr="005205D3" w:rsidRDefault="001C59EC" w:rsidP="009A4E0A">
            <w:pPr>
              <w:spacing w:before="60" w:after="60" w:line="264" w:lineRule="auto"/>
              <w:jc w:val="right"/>
              <w:rPr>
                <w:rFonts w:ascii="Times New Roman" w:eastAsia="Times New Roman" w:hAnsi="Times New Roman" w:cs="Times New Roman"/>
                <w:b w:val="0"/>
                <w:bCs w:val="0"/>
                <w:color w:val="000000"/>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t>3</w:t>
            </w:r>
            <w:r w:rsidR="0B749453" w:rsidRPr="005205D3">
              <w:rPr>
                <w:rFonts w:ascii="Times New Roman" w:eastAsia="Times New Roman" w:hAnsi="Times New Roman" w:cs="Times New Roman"/>
                <w:b w:val="0"/>
                <w:bCs w:val="0"/>
                <w:color w:val="000000" w:themeColor="text1"/>
                <w:sz w:val="24"/>
                <w:szCs w:val="24"/>
                <w:lang w:val="nl-NL" w:eastAsia="nl-NL"/>
              </w:rPr>
              <w:t>0</w:t>
            </w:r>
          </w:p>
        </w:tc>
        <w:tc>
          <w:tcPr>
            <w:tcW w:w="0" w:type="auto"/>
          </w:tcPr>
          <w:p w14:paraId="422F1324" w14:textId="3FEB8286"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val="nl-NL" w:eastAsia="nl-NL"/>
              </w:rPr>
              <w:fldChar w:fldCharType="begin" w:fldLock="1"/>
            </w:r>
            <w:r w:rsidRPr="005205D3">
              <w:rPr>
                <w:rFonts w:ascii="Times New Roman" w:eastAsia="Times New Roman" w:hAnsi="Times New Roman" w:cs="Times New Roman"/>
                <w:color w:val="000000"/>
                <w:sz w:val="24"/>
                <w:szCs w:val="24"/>
                <w:lang w:val="nl-NL" w:eastAsia="nl-NL"/>
              </w:rPr>
              <w:instrText>ADDIN CSL_CITATION { "citationItems" : [ { "id" : "ITEM-1", "itemData" : { "DOI" : "10.3390/admsci4030331", "ISSN" : "2076-3387", "abstract" : "The definition and the subsequent development of eco-industrial parks (EIPs) have been deeply based on the application of industrial ecology theory, which pays specific attention to metabolic exchanges within industrial processes to address a deep reduction of limited resource consumption and a minimization of waste production in the framework of a sustainable development approach. Despite the EIPs configurations being essentially based on the overall idea of sustainability, the problem of defining their proper location inside the territory and the consequent land use model, to minimize land consumption, have not always been central in the wide range of studies and practices concerning the EIPs. Nevertheless, the specific problem of a drastic reduction of land consumption at the EIP planning stage acquires a crucial role and, therefore, needs to be carefully assessed inside the perspective of sustainable urban development. In this framework, the paper firstly aims at facing the nontrivial relationship between the EIPs\u2019 theorizations and implementations and the reduction of land consumption by referencing specific studies and shared tools, where new developments have been favored despite the conversion and redevelopment of existing industrial parks; secondly, it focus on an Italian case study and its emblematic EI</w:instrText>
            </w:r>
            <w:r w:rsidRPr="005205D3">
              <w:rPr>
                <w:rFonts w:ascii="Times New Roman" w:eastAsia="Times New Roman" w:hAnsi="Times New Roman" w:cs="Times New Roman"/>
                <w:color w:val="000000"/>
                <w:sz w:val="24"/>
                <w:szCs w:val="24"/>
                <w:lang w:eastAsia="nl-NL"/>
              </w:rPr>
              <w:instrText>P planning processes, in order to deepen the contradictions between sustainable spatial planning and eco-industrial parks. Finally, some final conclusions will be presented, in order to integrate some main issues concerning the reduction of land consumption inside the more traditional EIP design processes.", "author" : [ { "dropping-particle" : "", "family" : "Conticelli", "given" : "Elisa", "non-dropping-particle" : "", "parse-names" : false, "suffix" : "" }, { "dropping-particle" : "", "family" : "Tondelli", "given" : "Simona", "non-dropping-particle" : "", "parse-names" : false, "suffix" : "" } ], "container-title" : "Administrative Sciences", "id" : "ITEM-1", "issue" : "4", "issued" : { "date-parts" : [ [ "2014", "8", "26" ] ] }, "page" : "331-349", "publisher" : "Multidisciplinary Digital Publishing Institute", "title" : "Eco-Industrial Parks and Sustainable Spatial Planning: A Possible Contradiction?", "type" : "article-journal", "volume" : "4" }, "locator" : "335", "uris" : [ "http://www.mendeley.com/documents/?uuid=8f2f9f18-476a-30da-abcc-2ef8893a29c9" ] } ], "mendeley" : { "formattedCitation" : "(Conticelli &amp; Tondelli, 2014, p. 335)", "manualFormatting" : "Conticelli &amp; Tondelli (2014, p. 335)", "plainTextFormattedCitation" : "(Conticelli &amp; Tondelli, 2014, p. 335)", "previouslyFormattedCitation" : "(Conticelli &amp; Tondelli, 2014, p. 335)" }, "properties" : { "noteIndex" : 0 }, "schema" : "https://github.com/citation-style-language/schema/raw/master/csl-citation.json" }</w:instrText>
            </w:r>
            <w:r w:rsidRPr="005205D3">
              <w:rPr>
                <w:rFonts w:ascii="Times New Roman" w:eastAsia="Times New Roman" w:hAnsi="Times New Roman" w:cs="Times New Roman"/>
                <w:color w:val="000000"/>
                <w:sz w:val="24"/>
                <w:szCs w:val="24"/>
                <w:lang w:val="nl-NL" w:eastAsia="nl-NL"/>
              </w:rPr>
              <w:fldChar w:fldCharType="separate"/>
            </w:r>
            <w:r w:rsidRPr="005205D3">
              <w:rPr>
                <w:rFonts w:ascii="Times New Roman" w:eastAsia="Times New Roman" w:hAnsi="Times New Roman" w:cs="Times New Roman"/>
                <w:noProof/>
                <w:color w:val="000000"/>
                <w:sz w:val="24"/>
                <w:szCs w:val="24"/>
                <w:lang w:eastAsia="nl-NL"/>
              </w:rPr>
              <w:t>House et al. (2024, p. 864)</w:t>
            </w:r>
            <w:r w:rsidRPr="005205D3">
              <w:rPr>
                <w:rFonts w:ascii="Times New Roman" w:eastAsia="Times New Roman" w:hAnsi="Times New Roman" w:cs="Times New Roman"/>
                <w:color w:val="000000"/>
                <w:sz w:val="24"/>
                <w:szCs w:val="24"/>
                <w:lang w:val="nl-NL" w:eastAsia="nl-NL"/>
              </w:rPr>
              <w:fldChar w:fldCharType="end"/>
            </w:r>
          </w:p>
          <w:p w14:paraId="22FE1B34" w14:textId="77777777"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l-NL"/>
              </w:rPr>
            </w:pPr>
          </w:p>
        </w:tc>
        <w:tc>
          <w:tcPr>
            <w:tcW w:w="0" w:type="auto"/>
          </w:tcPr>
          <w:p w14:paraId="14D6AB5A" w14:textId="421B6C85"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Sustainable Diets are those diets with low environmental impacts which contribute to food and nutrition</w:t>
            </w:r>
          </w:p>
          <w:p w14:paraId="09666C8A" w14:textId="25390EB1"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security and to healthy life for present and future generations. Sustainable diets are protective and respectful of biodiversity and ecosystems, culturally acceptable, accessible, economically fair and affordable; nutritionally adequate, safe and healthy; while optimizing natural and human resources.</w:t>
            </w:r>
          </w:p>
        </w:tc>
      </w:tr>
      <w:tr w:rsidR="009A4E0A" w:rsidRPr="00984A98" w14:paraId="4BF3562F" w14:textId="77777777" w:rsidTr="54F068BE">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0" w:type="auto"/>
            <w:noWrap/>
          </w:tcPr>
          <w:p w14:paraId="7FD3C431" w14:textId="7EFA8BAE" w:rsidR="009A4E0A" w:rsidRPr="005205D3" w:rsidRDefault="001C59EC" w:rsidP="009A4E0A">
            <w:pPr>
              <w:spacing w:before="60" w:after="60" w:line="264" w:lineRule="auto"/>
              <w:jc w:val="right"/>
              <w:rPr>
                <w:rFonts w:ascii="Times New Roman" w:eastAsia="Times New Roman" w:hAnsi="Times New Roman" w:cs="Times New Roman"/>
                <w:b w:val="0"/>
                <w:bCs w:val="0"/>
                <w:color w:val="000000"/>
                <w:sz w:val="24"/>
                <w:szCs w:val="24"/>
                <w:lang w:eastAsia="nl-NL"/>
              </w:rPr>
            </w:pPr>
            <w:r w:rsidRPr="005205D3">
              <w:rPr>
                <w:rFonts w:ascii="Times New Roman" w:eastAsia="Times New Roman" w:hAnsi="Times New Roman" w:cs="Times New Roman"/>
                <w:b w:val="0"/>
                <w:bCs w:val="0"/>
                <w:color w:val="000000" w:themeColor="text1"/>
                <w:sz w:val="24"/>
                <w:szCs w:val="24"/>
                <w:lang w:eastAsia="nl-NL"/>
              </w:rPr>
              <w:t>3</w:t>
            </w:r>
            <w:r w:rsidR="47A5010A" w:rsidRPr="005205D3">
              <w:rPr>
                <w:rFonts w:ascii="Times New Roman" w:eastAsia="Times New Roman" w:hAnsi="Times New Roman" w:cs="Times New Roman"/>
                <w:b w:val="0"/>
                <w:bCs w:val="0"/>
                <w:color w:val="000000" w:themeColor="text1"/>
                <w:sz w:val="24"/>
                <w:szCs w:val="24"/>
                <w:lang w:eastAsia="nl-NL"/>
              </w:rPr>
              <w:t>1</w:t>
            </w:r>
          </w:p>
        </w:tc>
        <w:tc>
          <w:tcPr>
            <w:tcW w:w="0" w:type="auto"/>
          </w:tcPr>
          <w:p w14:paraId="7A1A82C9" w14:textId="09FEB574"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r w:rsidRPr="005205D3">
              <w:rPr>
                <w:rFonts w:ascii="Times New Roman" w:eastAsia="Times New Roman" w:hAnsi="Times New Roman" w:cs="Times New Roman"/>
                <w:color w:val="000000"/>
                <w:sz w:val="24"/>
                <w:szCs w:val="24"/>
                <w:lang w:val="nl-NL" w:eastAsia="nl-NL"/>
              </w:rPr>
              <w:fldChar w:fldCharType="begin" w:fldLock="1"/>
            </w:r>
            <w:r w:rsidRPr="005205D3">
              <w:rPr>
                <w:rFonts w:ascii="Times New Roman" w:eastAsia="Times New Roman" w:hAnsi="Times New Roman" w:cs="Times New Roman"/>
                <w:color w:val="000000"/>
                <w:sz w:val="24"/>
                <w:szCs w:val="24"/>
                <w:lang w:eastAsia="nl-NL"/>
              </w:rPr>
              <w:instrText>ADDIN CSL_CITATION { "citationItems" : [ { "id" : "ITEM-1", "itemData" : { "DOI" : "10.1111/jiec.12599", "ISSN" : "10881980", "author" : [ { "dropping-particle" : "", "family" : "Cullen", "given" : "Jonathan M.", "non-dropping-particle" : "", "parse-names" : false, "suffix" : "" } ], "container-title" : "Journal of Industrial Ecology", "id" : "ITEM-1", "issue" : "3", "issued" : { "date-parts" : [ [ "2017", "6", "1" ] ] }, "page" : "483-486", "title" : "Circular Economy: Theoretical Benchmark or Perpetual Motion Machine?", "type" : "article-journal", "volume" : "21" }, "uris" : [ "http://www.mendeley.com/documents/?uuid=4a6843f4-60eb-3692-b645-eee50a9df8c4" ] } ], "mendeley" : { "formattedCitation" : "(Cullen, 2017)", "manualFormatting" : "Cullen (2017, p. 483)", "</w:instrText>
            </w:r>
            <w:r w:rsidRPr="005205D3">
              <w:rPr>
                <w:rFonts w:ascii="Times New Roman" w:eastAsia="Times New Roman" w:hAnsi="Times New Roman" w:cs="Times New Roman"/>
                <w:color w:val="000000"/>
                <w:sz w:val="24"/>
                <w:szCs w:val="24"/>
                <w:lang w:val="nl-NL" w:eastAsia="nl-NL"/>
              </w:rPr>
              <w:instrText>plainTextFormattedCitation" : "(Cullen, 2017)", "previouslyFormattedCitation" : "(Cullen, 2017)" }, "properties" : { "noteIndex" : 0 }, "schema" : "https://github.com/citation-style-language/schema/raw/master/csl-citation.json" }</w:instrText>
            </w:r>
            <w:r w:rsidRPr="005205D3">
              <w:rPr>
                <w:rFonts w:ascii="Times New Roman" w:eastAsia="Times New Roman" w:hAnsi="Times New Roman" w:cs="Times New Roman"/>
                <w:color w:val="000000"/>
                <w:sz w:val="24"/>
                <w:szCs w:val="24"/>
                <w:lang w:val="nl-NL" w:eastAsia="nl-NL"/>
              </w:rPr>
              <w:fldChar w:fldCharType="separate"/>
            </w:r>
            <w:r w:rsidRPr="005205D3">
              <w:rPr>
                <w:rFonts w:ascii="Times New Roman" w:eastAsia="Times New Roman" w:hAnsi="Times New Roman" w:cs="Times New Roman"/>
                <w:noProof/>
                <w:color w:val="000000"/>
                <w:sz w:val="24"/>
                <w:szCs w:val="24"/>
                <w:lang w:val="nl-NL" w:eastAsia="nl-NL"/>
              </w:rPr>
              <w:t>Kamenidou et al. (2019, p. 1)</w:t>
            </w:r>
            <w:r w:rsidRPr="005205D3">
              <w:rPr>
                <w:rFonts w:ascii="Times New Roman" w:eastAsia="Times New Roman" w:hAnsi="Times New Roman" w:cs="Times New Roman"/>
                <w:color w:val="000000"/>
                <w:sz w:val="24"/>
                <w:szCs w:val="24"/>
                <w:lang w:val="nl-NL" w:eastAsia="nl-NL"/>
              </w:rPr>
              <w:fldChar w:fldCharType="end"/>
            </w:r>
          </w:p>
        </w:tc>
        <w:tc>
          <w:tcPr>
            <w:tcW w:w="0" w:type="auto"/>
          </w:tcPr>
          <w:p w14:paraId="661843F1" w14:textId="1A96119C"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 xml:space="preserve">Sustainable food consumption (SFC) has been linked to different consumption dimensions, such as consuming local products, decrease in meat consumption and processed products [6], increase in fruit and vegetable consumption [7], and generally consuming products that have small ecological, carbon and water footprints. While </w:t>
            </w:r>
            <w:r w:rsidRPr="005205D3">
              <w:rPr>
                <w:rFonts w:ascii="Times New Roman" w:eastAsia="Times New Roman" w:hAnsi="Times New Roman" w:cs="Times New Roman"/>
                <w:color w:val="000000"/>
                <w:sz w:val="24"/>
                <w:szCs w:val="24"/>
                <w:lang w:eastAsia="nl-NL"/>
              </w:rPr>
              <w:lastRenderedPageBreak/>
              <w:t>a great number of published research papers focus on SFC [4,8–12], there is no unanimously-accepted definition [4,13], although one of the most commonly-used definitions is provided by FAO [14]. SFC is an umbrella term which encompasses environmentally-sound food choices (e.g., organic foods), animal welfare and fair trade [15].</w:t>
            </w:r>
          </w:p>
        </w:tc>
      </w:tr>
      <w:tr w:rsidR="009A4E0A" w:rsidRPr="0066686C" w14:paraId="165908B8" w14:textId="77777777" w:rsidTr="54F068BE">
        <w:trPr>
          <w:trHeight w:val="431"/>
        </w:trPr>
        <w:tc>
          <w:tcPr>
            <w:cnfStyle w:val="001000000000" w:firstRow="0" w:lastRow="0" w:firstColumn="1" w:lastColumn="0" w:oddVBand="0" w:evenVBand="0" w:oddHBand="0" w:evenHBand="0" w:firstRowFirstColumn="0" w:firstRowLastColumn="0" w:lastRowFirstColumn="0" w:lastRowLastColumn="0"/>
            <w:tcW w:w="0" w:type="auto"/>
            <w:noWrap/>
          </w:tcPr>
          <w:p w14:paraId="513E168D" w14:textId="0923200D" w:rsidR="009A4E0A" w:rsidRPr="005205D3" w:rsidRDefault="001C59EC" w:rsidP="009A4E0A">
            <w:pPr>
              <w:spacing w:before="60" w:after="60" w:line="264" w:lineRule="auto"/>
              <w:jc w:val="right"/>
              <w:rPr>
                <w:rFonts w:ascii="Times New Roman" w:eastAsia="Times New Roman" w:hAnsi="Times New Roman" w:cs="Times New Roman"/>
                <w:b w:val="0"/>
                <w:bCs w:val="0"/>
                <w:color w:val="000000"/>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lastRenderedPageBreak/>
              <w:t>3</w:t>
            </w:r>
            <w:r w:rsidR="4FDF7EFC" w:rsidRPr="005205D3">
              <w:rPr>
                <w:rFonts w:ascii="Times New Roman" w:eastAsia="Times New Roman" w:hAnsi="Times New Roman" w:cs="Times New Roman"/>
                <w:b w:val="0"/>
                <w:bCs w:val="0"/>
                <w:color w:val="000000" w:themeColor="text1"/>
                <w:sz w:val="24"/>
                <w:szCs w:val="24"/>
                <w:lang w:val="nl-NL" w:eastAsia="nl-NL"/>
              </w:rPr>
              <w:t>2</w:t>
            </w:r>
          </w:p>
        </w:tc>
        <w:tc>
          <w:tcPr>
            <w:tcW w:w="0" w:type="auto"/>
          </w:tcPr>
          <w:p w14:paraId="55F3F204" w14:textId="61735906"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r w:rsidRPr="005205D3">
              <w:rPr>
                <w:rFonts w:ascii="Times New Roman" w:eastAsia="Times New Roman" w:hAnsi="Times New Roman" w:cs="Times New Roman"/>
                <w:color w:val="000000"/>
                <w:sz w:val="24"/>
                <w:szCs w:val="24"/>
                <w:lang w:val="nl-NL" w:eastAsia="nl-NL"/>
              </w:rPr>
              <w:fldChar w:fldCharType="begin" w:fldLock="1"/>
            </w:r>
            <w:r w:rsidRPr="005205D3">
              <w:rPr>
                <w:rFonts w:ascii="Times New Roman" w:eastAsia="Times New Roman" w:hAnsi="Times New Roman" w:cs="Times New Roman"/>
                <w:color w:val="000000"/>
                <w:sz w:val="24"/>
                <w:szCs w:val="24"/>
                <w:lang w:val="nl-NL" w:eastAsia="nl-NL"/>
              </w:rPr>
              <w:instrText>ADDIN CSL_CITATION { "citationItems" : [ { "id" : "ITEM-1", "itemData" : { "DOI" : "10.1080/10042857.2008.10684889", "ISSN" : "1004-2857", "abstract" : "Abstract Circular economy has become one of China\u2019s important strategies to realize scientific development and build ecological civilization at present. As in China circular economy was put forward as a new economic pattern, the international community generally holds that this is an innovative move for China\u2019s economy to realize leap-forward development and hopes to learn more about the theory, policy and practice relating to China\u2019s circular economy. This article introduces and comments on the necessity to develop circular economy in China, implications and characteristics of China\u2019s circular economy, and China\u2019s main practices and policies to promote it at present.", "author" : [ { "dropping-particle" : "", "family" : "Dajian", "given" : "Zhu", "non-dropping-particle" : "", "parse-names" : false, "suffix" : "" } ], "container-title" : "Chinese Journal of Population Resources and Environment", "id" : "ITEM-1", "issue" : "4", "issued" : { "date-parts" : [ [ "2008", "1" ] ] }, "page" : "3-8", "publisher" : " Taylor &amp; Francis Group ", "title" : "Background, Pattern and Policy of China for Developing Circular Economy", "type" : "article-journal", "volume" : "6" }, "locator" : "4", "uris" : [ "http://www.mendeley.com/documents/?uuid=d230bbe1-c8a4-3834-8ac7-2740c977e37a" ] } ], "mendeley" : { "formattedCitation" : "(Dajian, 2008, p. 4)", "manualFormatting" : "Dajian (2008, p. 4)", "plainTextFormattedCitation" : "(Dajian, 2008, p. 4)", "previouslyFormattedCitation" : "(Dajian, 2008, p. 4)" }, "properties" : { "noteIndex" : 0 }, "schema" : "https://github.com/citation-style-language/schema/raw/master/csl-citation.json" }</w:instrText>
            </w:r>
            <w:r w:rsidRPr="005205D3">
              <w:rPr>
                <w:rFonts w:ascii="Times New Roman" w:eastAsia="Times New Roman" w:hAnsi="Times New Roman" w:cs="Times New Roman"/>
                <w:color w:val="000000"/>
                <w:sz w:val="24"/>
                <w:szCs w:val="24"/>
                <w:lang w:val="nl-NL" w:eastAsia="nl-NL"/>
              </w:rPr>
              <w:fldChar w:fldCharType="separate"/>
            </w:r>
            <w:r w:rsidRPr="005205D3">
              <w:rPr>
                <w:rFonts w:ascii="Times New Roman" w:eastAsia="Times New Roman" w:hAnsi="Times New Roman" w:cs="Times New Roman"/>
                <w:noProof/>
                <w:color w:val="000000"/>
                <w:sz w:val="24"/>
                <w:szCs w:val="24"/>
                <w:lang w:val="nl-NL" w:eastAsia="nl-NL"/>
              </w:rPr>
              <w:t>Khan, Alotaibi, &amp; Raza (202</w:t>
            </w:r>
            <w:r w:rsidR="00811AF0">
              <w:rPr>
                <w:rFonts w:ascii="Times New Roman" w:eastAsia="Times New Roman" w:hAnsi="Times New Roman" w:cs="Times New Roman"/>
                <w:noProof/>
                <w:color w:val="000000"/>
                <w:sz w:val="24"/>
                <w:szCs w:val="24"/>
                <w:lang w:val="nl-NL" w:eastAsia="nl-NL"/>
              </w:rPr>
              <w:t>5</w:t>
            </w:r>
            <w:r w:rsidRPr="005205D3">
              <w:rPr>
                <w:rFonts w:ascii="Times New Roman" w:eastAsia="Times New Roman" w:hAnsi="Times New Roman" w:cs="Times New Roman"/>
                <w:noProof/>
                <w:color w:val="000000"/>
                <w:sz w:val="24"/>
                <w:szCs w:val="24"/>
                <w:lang w:val="nl-NL" w:eastAsia="nl-NL"/>
              </w:rPr>
              <w:t>, p. 2)</w:t>
            </w:r>
            <w:r w:rsidRPr="005205D3">
              <w:rPr>
                <w:rFonts w:ascii="Times New Roman" w:eastAsia="Times New Roman" w:hAnsi="Times New Roman" w:cs="Times New Roman"/>
                <w:color w:val="000000"/>
                <w:sz w:val="24"/>
                <w:szCs w:val="24"/>
                <w:lang w:val="nl-NL" w:eastAsia="nl-NL"/>
              </w:rPr>
              <w:fldChar w:fldCharType="end"/>
            </w:r>
          </w:p>
        </w:tc>
        <w:tc>
          <w:tcPr>
            <w:tcW w:w="0" w:type="auto"/>
          </w:tcPr>
          <w:p w14:paraId="0A9878A5" w14:textId="70ECCFE8"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 xml:space="preserve">SFC is defined as the practice of selecting and consuming food in such a way that it meets the requirements of the present without jeopardizing future generations’ ability to meet their own needs (Aguirre </w:t>
            </w:r>
            <w:r w:rsidR="00690268" w:rsidRPr="00690268">
              <w:rPr>
                <w:rFonts w:ascii="Times New Roman" w:eastAsia="Times New Roman" w:hAnsi="Times New Roman" w:cs="Times New Roman"/>
                <w:color w:val="000000"/>
                <w:sz w:val="24"/>
                <w:szCs w:val="24"/>
                <w:lang w:eastAsia="nl-NL"/>
              </w:rPr>
              <w:t xml:space="preserve">Sánchez </w:t>
            </w:r>
            <w:r w:rsidRPr="005205D3">
              <w:rPr>
                <w:rFonts w:ascii="Times New Roman" w:eastAsia="Times New Roman" w:hAnsi="Times New Roman" w:cs="Times New Roman"/>
                <w:color w:val="000000"/>
                <w:sz w:val="24"/>
                <w:szCs w:val="24"/>
                <w:lang w:eastAsia="nl-NL"/>
              </w:rPr>
              <w:t>et al., 2021). This involves examining the environmental, social and economic impacts of food production and consumption.</w:t>
            </w:r>
          </w:p>
        </w:tc>
      </w:tr>
      <w:tr w:rsidR="009A4E0A" w:rsidRPr="0066686C" w14:paraId="3EB7AC29" w14:textId="77777777" w:rsidTr="54F068BE">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0" w:type="auto"/>
            <w:noWrap/>
          </w:tcPr>
          <w:p w14:paraId="70B025DA" w14:textId="6F269EE9" w:rsidR="009A4E0A" w:rsidRPr="005205D3" w:rsidRDefault="001C59EC" w:rsidP="009A4E0A">
            <w:pPr>
              <w:spacing w:before="60" w:after="60" w:line="264" w:lineRule="auto"/>
              <w:jc w:val="right"/>
              <w:rPr>
                <w:rFonts w:ascii="Times New Roman" w:eastAsia="Times New Roman" w:hAnsi="Times New Roman" w:cs="Times New Roman"/>
                <w:b w:val="0"/>
                <w:bCs w:val="0"/>
                <w:color w:val="000000"/>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t>3</w:t>
            </w:r>
            <w:r w:rsidR="55BD14F3" w:rsidRPr="005205D3">
              <w:rPr>
                <w:rFonts w:ascii="Times New Roman" w:eastAsia="Times New Roman" w:hAnsi="Times New Roman" w:cs="Times New Roman"/>
                <w:b w:val="0"/>
                <w:bCs w:val="0"/>
                <w:color w:val="000000" w:themeColor="text1"/>
                <w:sz w:val="24"/>
                <w:szCs w:val="24"/>
                <w:lang w:val="nl-NL" w:eastAsia="nl-NL"/>
              </w:rPr>
              <w:t>3</w:t>
            </w:r>
          </w:p>
        </w:tc>
        <w:tc>
          <w:tcPr>
            <w:tcW w:w="0" w:type="auto"/>
          </w:tcPr>
          <w:p w14:paraId="30A90013" w14:textId="6E6E0C77"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r w:rsidRPr="005205D3">
              <w:rPr>
                <w:rFonts w:ascii="Times New Roman" w:eastAsia="Times New Roman" w:hAnsi="Times New Roman" w:cs="Times New Roman"/>
                <w:color w:val="000000" w:themeColor="text1"/>
                <w:sz w:val="24"/>
                <w:szCs w:val="24"/>
                <w:lang w:val="nl-NL" w:eastAsia="nl-NL"/>
              </w:rPr>
              <w:fldChar w:fldCharType="begin" w:fldLock="1"/>
            </w:r>
            <w:r w:rsidRPr="005205D3">
              <w:rPr>
                <w:rFonts w:ascii="Times New Roman" w:eastAsia="Times New Roman" w:hAnsi="Times New Roman" w:cs="Times New Roman"/>
                <w:color w:val="000000" w:themeColor="text1"/>
                <w:sz w:val="24"/>
                <w:szCs w:val="24"/>
                <w:lang w:val="nl-NL" w:eastAsia="nl-NL"/>
              </w:rPr>
              <w:instrText>ADDIN CSL_CITATION { "citationItems" : [ { "id" : "ITEM-1", "itemData" : { "author" : [ { "dropping-particle" : "", "family" : "Davis", "given" : "G. Gordon", "non-dropping-particle" : "", "parse-names" : false, "suffix" : "" }, { "dropping-particle" : "", "family" : "Hall", "given" : "Jessica Anne", "non-dropping-particle" : "", "parse-names" : false, "suffix" : "" } ], "id" : "ITEM-1", "issued" : { "date-parts" : [ [ "2006" ] ] }, "title" : "Circular Economy Legislation - The International Experience", "type" : "report" }, "uris" : [ "http://www.mendeley.com/documents/?uuid=ae1a266d-090d-4426-8638-76bf50f8c8d2" ] } ], "mendeley" : { "formattedCitation" : "(Davis &amp; Hall, 2006)", "manualFormatting" : "Davis &amp; Hall (2006)", "plainTextFormattedCitation" : "(Davis &amp; Hall, 2006)", "previouslyFormattedCitation" : "(Davis &amp; Hall, 2006)" }, "properties" : { "noteIndex" : 0 }, "schema" : "https://github.com/citation-style-language/schema/raw/master/csl-citation.json" }</w:instrText>
            </w:r>
            <w:r w:rsidRPr="005205D3">
              <w:rPr>
                <w:rFonts w:ascii="Times New Roman" w:eastAsia="Times New Roman" w:hAnsi="Times New Roman" w:cs="Times New Roman"/>
                <w:color w:val="000000" w:themeColor="text1"/>
                <w:sz w:val="24"/>
                <w:szCs w:val="24"/>
                <w:lang w:val="nl-NL" w:eastAsia="nl-NL"/>
              </w:rPr>
              <w:fldChar w:fldCharType="separate"/>
            </w:r>
            <w:r w:rsidRPr="005205D3">
              <w:rPr>
                <w:rFonts w:ascii="Times New Roman" w:eastAsia="Times New Roman" w:hAnsi="Times New Roman" w:cs="Times New Roman"/>
                <w:color w:val="000000" w:themeColor="text1"/>
                <w:sz w:val="24"/>
                <w:szCs w:val="24"/>
                <w:lang w:val="nl-NL" w:eastAsia="nl-NL"/>
              </w:rPr>
              <w:t xml:space="preserve">Kristia et al. </w:t>
            </w:r>
            <w:r w:rsidRPr="005205D3">
              <w:rPr>
                <w:rFonts w:ascii="Times New Roman" w:eastAsia="Times New Roman" w:hAnsi="Times New Roman" w:cs="Times New Roman"/>
                <w:noProof/>
                <w:color w:val="000000" w:themeColor="text1"/>
                <w:sz w:val="24"/>
                <w:szCs w:val="24"/>
                <w:lang w:val="nl-NL" w:eastAsia="nl-NL"/>
              </w:rPr>
              <w:t>(2023, p</w:t>
            </w:r>
            <w:r w:rsidR="0C72108F" w:rsidRPr="005205D3">
              <w:rPr>
                <w:rFonts w:ascii="Times New Roman" w:eastAsia="Times New Roman" w:hAnsi="Times New Roman" w:cs="Times New Roman"/>
                <w:noProof/>
                <w:color w:val="000000" w:themeColor="text1"/>
                <w:sz w:val="24"/>
                <w:szCs w:val="24"/>
                <w:lang w:val="nl-NL" w:eastAsia="nl-NL"/>
              </w:rPr>
              <w:t xml:space="preserve">. </w:t>
            </w:r>
            <w:r w:rsidRPr="005205D3">
              <w:rPr>
                <w:rFonts w:ascii="Times New Roman" w:eastAsia="Times New Roman" w:hAnsi="Times New Roman" w:cs="Times New Roman"/>
                <w:noProof/>
                <w:color w:val="000000" w:themeColor="text1"/>
                <w:sz w:val="24"/>
                <w:szCs w:val="24"/>
                <w:lang w:val="nl-NL" w:eastAsia="nl-NL"/>
              </w:rPr>
              <w:t>2)</w:t>
            </w:r>
            <w:r w:rsidRPr="005205D3">
              <w:rPr>
                <w:rFonts w:ascii="Times New Roman" w:eastAsia="Times New Roman" w:hAnsi="Times New Roman" w:cs="Times New Roman"/>
                <w:color w:val="000000" w:themeColor="text1"/>
                <w:sz w:val="24"/>
                <w:szCs w:val="24"/>
                <w:lang w:val="nl-NL" w:eastAsia="nl-NL"/>
              </w:rPr>
              <w:fldChar w:fldCharType="end"/>
            </w:r>
          </w:p>
        </w:tc>
        <w:tc>
          <w:tcPr>
            <w:tcW w:w="0" w:type="auto"/>
          </w:tcPr>
          <w:p w14:paraId="5E74B7AF" w14:textId="241F145C"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Sustainable food consumption is the process of meeting consumer needs related to food, starting from acquiring, using and disposing of products while minimizing the negative environmental impacts that can arise from the consumption process [27,28].</w:t>
            </w:r>
          </w:p>
        </w:tc>
      </w:tr>
      <w:tr w:rsidR="560D230D" w14:paraId="07F20B89" w14:textId="77777777" w:rsidTr="54F068BE">
        <w:trPr>
          <w:trHeight w:val="300"/>
        </w:trPr>
        <w:tc>
          <w:tcPr>
            <w:cnfStyle w:val="001000000000" w:firstRow="0" w:lastRow="0" w:firstColumn="1" w:lastColumn="0" w:oddVBand="0" w:evenVBand="0" w:oddHBand="0" w:evenHBand="0" w:firstRowFirstColumn="0" w:firstRowLastColumn="0" w:lastRowFirstColumn="0" w:lastRowLastColumn="0"/>
            <w:tcW w:w="456" w:type="dxa"/>
            <w:noWrap/>
          </w:tcPr>
          <w:p w14:paraId="084FB8B2" w14:textId="09386ECB" w:rsidR="1836EA85" w:rsidRPr="005205D3" w:rsidRDefault="1836EA85" w:rsidP="560D230D">
            <w:pPr>
              <w:spacing w:line="264" w:lineRule="auto"/>
              <w:jc w:val="right"/>
              <w:rPr>
                <w:rFonts w:ascii="Times New Roman" w:eastAsia="Times New Roman" w:hAnsi="Times New Roman" w:cs="Times New Roman"/>
                <w:b w:val="0"/>
                <w:bCs w:val="0"/>
                <w:color w:val="000000" w:themeColor="text1"/>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t>34</w:t>
            </w:r>
          </w:p>
        </w:tc>
        <w:tc>
          <w:tcPr>
            <w:tcW w:w="1899" w:type="dxa"/>
          </w:tcPr>
          <w:p w14:paraId="38A03E54" w14:textId="511F2046" w:rsidR="1836EA85" w:rsidRPr="005205D3" w:rsidRDefault="57BBE9D1" w:rsidP="54F068BE">
            <w:pPr>
              <w:spacing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val="nl-NL" w:eastAsia="nl-NL"/>
              </w:rPr>
            </w:pPr>
            <w:r w:rsidRPr="005205D3">
              <w:rPr>
                <w:rFonts w:ascii="Times New Roman" w:eastAsia="Times New Roman" w:hAnsi="Times New Roman" w:cs="Times New Roman"/>
                <w:color w:val="000000" w:themeColor="text1"/>
                <w:sz w:val="24"/>
                <w:szCs w:val="24"/>
                <w:lang w:val="nl-NL" w:eastAsia="nl-NL"/>
              </w:rPr>
              <w:t>Lang (2017)</w:t>
            </w:r>
          </w:p>
        </w:tc>
        <w:tc>
          <w:tcPr>
            <w:tcW w:w="11603" w:type="dxa"/>
          </w:tcPr>
          <w:p w14:paraId="34C2EC7E" w14:textId="77777777" w:rsidR="1836EA85" w:rsidRPr="005205D3" w:rsidRDefault="1836EA85" w:rsidP="560D230D">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nl-NL"/>
              </w:rPr>
            </w:pPr>
            <w:r w:rsidRPr="005205D3">
              <w:rPr>
                <w:rFonts w:ascii="Times New Roman" w:eastAsia="Times New Roman" w:hAnsi="Times New Roman" w:cs="Times New Roman"/>
                <w:color w:val="000000" w:themeColor="text1"/>
                <w:sz w:val="24"/>
                <w:szCs w:val="24"/>
                <w:lang w:eastAsia="nl-NL"/>
              </w:rPr>
              <w:t>“Sustainable Diets are those diets with low environmental impacts which contribute to food and nutrition security and to healthy life for present and future generations. Sustainable diets are protective and respectful of biodiversity and ecosystems, culturally acceptable, accessible, economically fair and affordable; nutritionally adequate, safe and healthy; while optimizing natural and human resources.” From FAO (2010)</w:t>
            </w:r>
          </w:p>
          <w:p w14:paraId="2B1F3322" w14:textId="4479EEBA" w:rsidR="1836EA85" w:rsidRPr="005205D3" w:rsidRDefault="1836EA85" w:rsidP="560D230D">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nl-NL"/>
              </w:rPr>
            </w:pPr>
            <w:r w:rsidRPr="005205D3">
              <w:rPr>
                <w:rFonts w:ascii="Times New Roman" w:eastAsia="Times New Roman" w:hAnsi="Times New Roman" w:cs="Times New Roman"/>
                <w:color w:val="000000" w:themeColor="text1"/>
                <w:sz w:val="24"/>
                <w:szCs w:val="24"/>
                <w:lang w:eastAsia="nl-NL"/>
              </w:rPr>
              <w:t>(https://friendsoftheearth.uk/sites/default/files/downloads/Sustainable_diets_January_2016_final.pdf)</w:t>
            </w:r>
          </w:p>
        </w:tc>
      </w:tr>
      <w:tr w:rsidR="0FBACB51" w14:paraId="698C3996" w14:textId="77777777" w:rsidTr="54F068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6" w:type="dxa"/>
            <w:noWrap/>
          </w:tcPr>
          <w:p w14:paraId="76C81CF9" w14:textId="4194668C" w:rsidR="776BF365" w:rsidRPr="005205D3" w:rsidRDefault="776BF365" w:rsidP="0FBACB51">
            <w:pPr>
              <w:spacing w:line="264" w:lineRule="auto"/>
              <w:jc w:val="right"/>
              <w:rPr>
                <w:rFonts w:ascii="Times New Roman" w:eastAsia="Times New Roman" w:hAnsi="Times New Roman" w:cs="Times New Roman"/>
                <w:b w:val="0"/>
                <w:bCs w:val="0"/>
                <w:color w:val="000000" w:themeColor="text1"/>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t>35</w:t>
            </w:r>
          </w:p>
        </w:tc>
        <w:tc>
          <w:tcPr>
            <w:tcW w:w="1899" w:type="dxa"/>
          </w:tcPr>
          <w:p w14:paraId="199DF693" w14:textId="03C1B26A" w:rsidR="776BF365" w:rsidRPr="005205D3" w:rsidRDefault="776BF365" w:rsidP="0FBACB51">
            <w:pPr>
              <w:spacing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val="nl-NL" w:eastAsia="nl-NL"/>
              </w:rPr>
            </w:pPr>
            <w:r w:rsidRPr="005205D3">
              <w:rPr>
                <w:rFonts w:ascii="Times New Roman" w:eastAsia="Times New Roman" w:hAnsi="Times New Roman" w:cs="Times New Roman"/>
                <w:color w:val="000000" w:themeColor="text1"/>
                <w:sz w:val="24"/>
                <w:szCs w:val="24"/>
                <w:lang w:val="nl-NL" w:eastAsia="nl-NL"/>
              </w:rPr>
              <w:t>Li et al. (2023</w:t>
            </w:r>
            <w:r w:rsidR="78006558" w:rsidRPr="005205D3">
              <w:rPr>
                <w:rFonts w:ascii="Times New Roman" w:eastAsia="Times New Roman" w:hAnsi="Times New Roman" w:cs="Times New Roman"/>
                <w:color w:val="000000" w:themeColor="text1"/>
                <w:sz w:val="24"/>
                <w:szCs w:val="24"/>
                <w:lang w:val="nl-NL" w:eastAsia="nl-NL"/>
              </w:rPr>
              <w:t xml:space="preserve">, p. </w:t>
            </w:r>
            <w:r w:rsidR="30010435" w:rsidRPr="005205D3">
              <w:rPr>
                <w:rFonts w:ascii="Times New Roman" w:eastAsia="Times New Roman" w:hAnsi="Times New Roman" w:cs="Times New Roman"/>
                <w:color w:val="000000" w:themeColor="text1"/>
                <w:sz w:val="24"/>
                <w:szCs w:val="24"/>
                <w:lang w:val="nl-NL" w:eastAsia="nl-NL"/>
              </w:rPr>
              <w:t xml:space="preserve"> </w:t>
            </w:r>
            <w:r w:rsidR="78006558" w:rsidRPr="005205D3">
              <w:rPr>
                <w:rFonts w:ascii="Times New Roman" w:eastAsia="Times New Roman" w:hAnsi="Times New Roman" w:cs="Times New Roman"/>
                <w:color w:val="000000" w:themeColor="text1"/>
                <w:sz w:val="24"/>
                <w:szCs w:val="24"/>
                <w:lang w:val="nl-NL" w:eastAsia="nl-NL"/>
              </w:rPr>
              <w:t>3</w:t>
            </w:r>
            <w:r w:rsidRPr="005205D3">
              <w:rPr>
                <w:rFonts w:ascii="Times New Roman" w:eastAsia="Times New Roman" w:hAnsi="Times New Roman" w:cs="Times New Roman"/>
                <w:color w:val="000000" w:themeColor="text1"/>
                <w:sz w:val="24"/>
                <w:szCs w:val="24"/>
                <w:lang w:val="nl-NL" w:eastAsia="nl-NL"/>
              </w:rPr>
              <w:t>)</w:t>
            </w:r>
          </w:p>
        </w:tc>
        <w:tc>
          <w:tcPr>
            <w:tcW w:w="11603" w:type="dxa"/>
          </w:tcPr>
          <w:p w14:paraId="4469903B" w14:textId="7935923C" w:rsidR="776BF365" w:rsidRPr="005205D3" w:rsidRDefault="776BF365" w:rsidP="0FBACB51">
            <w:pPr>
              <w:spacing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05D3">
              <w:rPr>
                <w:rFonts w:ascii="Times New Roman" w:eastAsia="Times New Roman" w:hAnsi="Times New Roman" w:cs="Times New Roman"/>
                <w:sz w:val="24"/>
                <w:szCs w:val="24"/>
              </w:rPr>
              <w:t xml:space="preserve">Academic research on SFC is rapidly evolving, especially from the viewpoint of designing a systematic framework for SA of the multiple dimensions of food consumption (Annunziata et al., 2019). </w:t>
            </w:r>
            <w:proofErr w:type="spellStart"/>
            <w:r w:rsidRPr="005205D3">
              <w:rPr>
                <w:rFonts w:ascii="Times New Roman" w:eastAsia="Times New Roman" w:hAnsi="Times New Roman" w:cs="Times New Roman"/>
                <w:sz w:val="24"/>
                <w:szCs w:val="24"/>
              </w:rPr>
              <w:t>Lairon</w:t>
            </w:r>
            <w:proofErr w:type="spellEnd"/>
            <w:r w:rsidRPr="005205D3">
              <w:rPr>
                <w:rFonts w:ascii="Times New Roman" w:eastAsia="Times New Roman" w:hAnsi="Times New Roman" w:cs="Times New Roman"/>
                <w:sz w:val="24"/>
                <w:szCs w:val="24"/>
              </w:rPr>
              <w:t xml:space="preserve"> (2012) posits that FCS includes such dimensions as nutrition, culture, entertainment, fairness, well-being and health, the environment and biodiversity protection, among others. Johnston et al. (2014) consider such dimensions of FCS as agriculture, health, social culture, the environment and social economy. Claasen et al. (2015) suggest that the use of interdisciplinary methods and approaches is required to better understand the complexity of FCS and sustainable diets. These interdisciplinary methods and approaches should examine such six aspects of food consumption as food security and nutrition, local food structure and flow, environmental sustainability, social culture, economic efficiency, policy framework and local implementation from the macro, </w:t>
            </w:r>
            <w:proofErr w:type="spellStart"/>
            <w:r w:rsidRPr="005205D3">
              <w:rPr>
                <w:rFonts w:ascii="Times New Roman" w:eastAsia="Times New Roman" w:hAnsi="Times New Roman" w:cs="Times New Roman"/>
                <w:sz w:val="24"/>
                <w:szCs w:val="24"/>
              </w:rPr>
              <w:t>meso</w:t>
            </w:r>
            <w:proofErr w:type="spellEnd"/>
            <w:r w:rsidRPr="005205D3">
              <w:rPr>
                <w:rFonts w:ascii="Times New Roman" w:eastAsia="Times New Roman" w:hAnsi="Times New Roman" w:cs="Times New Roman"/>
                <w:sz w:val="24"/>
                <w:szCs w:val="24"/>
              </w:rPr>
              <w:t xml:space="preserve">, and micro perspectives. Based on the above, Jones et al. (2016) propose a conceptual framework of sustainable diets which relies on </w:t>
            </w:r>
            <w:proofErr w:type="spellStart"/>
            <w:r w:rsidRPr="005205D3">
              <w:rPr>
                <w:rFonts w:ascii="Times New Roman" w:eastAsia="Times New Roman" w:hAnsi="Times New Roman" w:cs="Times New Roman"/>
                <w:sz w:val="24"/>
                <w:szCs w:val="24"/>
              </w:rPr>
              <w:t>Lairon</w:t>
            </w:r>
            <w:proofErr w:type="spellEnd"/>
            <w:r w:rsidRPr="005205D3">
              <w:rPr>
                <w:rFonts w:ascii="Times New Roman" w:eastAsia="Times New Roman" w:hAnsi="Times New Roman" w:cs="Times New Roman"/>
                <w:sz w:val="24"/>
                <w:szCs w:val="24"/>
              </w:rPr>
              <w:t xml:space="preserve"> (2012)’s research. This framework views a sustainable diet as a diet model that satisfies the three-tier requirements of health, ecology and society under the “macropolitical and economic background” and “global ecological environment” (Jones et al., 2016, p.643). Similarly, Farmery et al. (2017) posit that a sustainable diet includes three dimensions: </w:t>
            </w:r>
            <w:r w:rsidRPr="005205D3">
              <w:rPr>
                <w:rFonts w:ascii="Times New Roman" w:eastAsia="Times New Roman" w:hAnsi="Times New Roman" w:cs="Times New Roman"/>
                <w:sz w:val="24"/>
                <w:szCs w:val="24"/>
              </w:rPr>
              <w:lastRenderedPageBreak/>
              <w:t>nutrition and health, the environment (land, water and energy use, biodiversity and impacts on ecosystem services), and culture (accessible, available, acceptable), which emphasizes the key elements of sustainability. To understand the extent of sustainability attributed to one diet or another, SA are necessitated.</w:t>
            </w:r>
          </w:p>
        </w:tc>
      </w:tr>
      <w:tr w:rsidR="009A4E0A" w:rsidRPr="0066686C" w14:paraId="682A36CD" w14:textId="77777777" w:rsidTr="54F068BE">
        <w:trPr>
          <w:trHeight w:val="431"/>
        </w:trPr>
        <w:tc>
          <w:tcPr>
            <w:cnfStyle w:val="001000000000" w:firstRow="0" w:lastRow="0" w:firstColumn="1" w:lastColumn="0" w:oddVBand="0" w:evenVBand="0" w:oddHBand="0" w:evenHBand="0" w:firstRowFirstColumn="0" w:firstRowLastColumn="0" w:lastRowFirstColumn="0" w:lastRowLastColumn="0"/>
            <w:tcW w:w="0" w:type="auto"/>
            <w:noWrap/>
          </w:tcPr>
          <w:p w14:paraId="275476D7" w14:textId="36952D40" w:rsidR="009A4E0A" w:rsidRPr="005205D3" w:rsidRDefault="001C59EC" w:rsidP="009A4E0A">
            <w:pPr>
              <w:spacing w:before="60" w:after="60" w:line="264" w:lineRule="auto"/>
              <w:jc w:val="right"/>
              <w:rPr>
                <w:rFonts w:ascii="Times New Roman" w:eastAsia="Times New Roman" w:hAnsi="Times New Roman" w:cs="Times New Roman"/>
                <w:b w:val="0"/>
                <w:bCs w:val="0"/>
                <w:color w:val="000000"/>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lastRenderedPageBreak/>
              <w:t>3</w:t>
            </w:r>
            <w:r w:rsidR="32A379D1" w:rsidRPr="005205D3">
              <w:rPr>
                <w:rFonts w:ascii="Times New Roman" w:eastAsia="Times New Roman" w:hAnsi="Times New Roman" w:cs="Times New Roman"/>
                <w:b w:val="0"/>
                <w:bCs w:val="0"/>
                <w:color w:val="000000" w:themeColor="text1"/>
                <w:sz w:val="24"/>
                <w:szCs w:val="24"/>
                <w:lang w:val="nl-NL" w:eastAsia="nl-NL"/>
              </w:rPr>
              <w:t>6</w:t>
            </w:r>
          </w:p>
        </w:tc>
        <w:tc>
          <w:tcPr>
            <w:tcW w:w="0" w:type="auto"/>
          </w:tcPr>
          <w:p w14:paraId="6E5FD6B1" w14:textId="1496511A"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color w:val="000000"/>
                <w:sz w:val="24"/>
                <w:szCs w:val="24"/>
                <w:lang w:val="nl-NL" w:eastAsia="nl-NL"/>
              </w:rPr>
            </w:pPr>
            <w:r w:rsidRPr="005205D3">
              <w:rPr>
                <w:rFonts w:ascii="Times New Roman" w:eastAsia="Times New Roman" w:hAnsi="Times New Roman" w:cs="Times New Roman"/>
                <w:color w:val="000000"/>
                <w:sz w:val="24"/>
                <w:szCs w:val="24"/>
                <w:lang w:val="nl-NL" w:eastAsia="nl-NL"/>
              </w:rPr>
              <w:fldChar w:fldCharType="begin" w:fldLock="1"/>
            </w:r>
            <w:r w:rsidRPr="005205D3">
              <w:rPr>
                <w:rFonts w:ascii="Times New Roman" w:eastAsia="Times New Roman" w:hAnsi="Times New Roman" w:cs="Times New Roman"/>
                <w:color w:val="000000"/>
                <w:sz w:val="24"/>
                <w:szCs w:val="24"/>
                <w:lang w:val="nl-NL" w:eastAsia="nl-NL"/>
              </w:rPr>
              <w:instrText>ADDIN CSL_CITATION { "citationItems" : [ { "id" : "ITEM-1", "itemData" : { "DOI" : "10.1111/jiec.12610", "ISSN" : "10881980", "author" : [ { "dropping-particle" : "", "family" : "Hollander", "given" : "Marcel C.", "non-dropping-particle" : "den", "parse-names" : false, "suffix" : "" }, { "dropping-particle" : "", "family" : "Bakker", "given" : "Conny A.", "non-dropping-particle" : "", "parse-names" : false, "suffix" : "" }, { "dropping-particle" : "", "family" : "Hultink", "given" : "Erik Jan", "non-dropping-particle" : "", "parse-names" : false, "suffix" : "" } ], "container-title" : "Journal of Industrial Ecology", "id" : "ITEM-1", "issue" : "3", "issued" : { "date-parts" : [ [ "2017", "6", "1" ] ] }, "page" : "517-525", "title" : "Product Design in a Circular Economy: Development of a Typology of Key Concepts and Terms", "type" : "article-journal", "volume" : "21" }, "uris" : [ "http://www.mendeley.com/documents/?uuid=63090a3e-77b6-3045-9284-075a254709e5" ] } ], "mendeley" : { "formattedCitation" : "(den Hollander, Bakker, &amp; Hultink, 2017)", "manualFormatting" : "den Hollander, Bakker, &amp; Hultink (2017, p. 517)", "plainTextFormattedCitation" : "(den Hollander, Bakker, &amp; Hultink, 2017)", "previouslyFormattedCitation" : "(den Hollander, Bakker, &amp; Hultink, 2017)" }, "properties" : { "noteIndex" : 0 }, "schema" : "https://github.com/citation-style-language/schema/raw/master/csl-citation.json" }</w:instrText>
            </w:r>
            <w:r w:rsidRPr="005205D3">
              <w:rPr>
                <w:rFonts w:ascii="Times New Roman" w:eastAsia="Times New Roman" w:hAnsi="Times New Roman" w:cs="Times New Roman"/>
                <w:color w:val="000000"/>
                <w:sz w:val="24"/>
                <w:szCs w:val="24"/>
                <w:lang w:val="nl-NL" w:eastAsia="nl-NL"/>
              </w:rPr>
              <w:fldChar w:fldCharType="separate"/>
            </w:r>
            <w:r w:rsidRPr="005205D3">
              <w:rPr>
                <w:rFonts w:ascii="Times New Roman" w:eastAsia="Times New Roman" w:hAnsi="Times New Roman" w:cs="Times New Roman"/>
                <w:noProof/>
                <w:color w:val="000000"/>
                <w:sz w:val="24"/>
                <w:szCs w:val="24"/>
                <w:lang w:val="nl-NL" w:eastAsia="nl-NL"/>
              </w:rPr>
              <w:t xml:space="preserve">Liu et al. (2021, p. </w:t>
            </w:r>
            <w:r w:rsidRPr="005205D3">
              <w:rPr>
                <w:rFonts w:ascii="Times New Roman" w:eastAsia="Times New Roman" w:hAnsi="Times New Roman" w:cs="Times New Roman"/>
                <w:color w:val="000000"/>
                <w:sz w:val="24"/>
                <w:szCs w:val="24"/>
                <w:lang w:val="nl-NL" w:eastAsia="nl-NL"/>
              </w:rPr>
              <w:t>1114</w:t>
            </w:r>
            <w:r w:rsidRPr="005205D3">
              <w:rPr>
                <w:rFonts w:ascii="Times New Roman" w:eastAsia="Times New Roman" w:hAnsi="Times New Roman" w:cs="Times New Roman"/>
                <w:noProof/>
                <w:color w:val="000000"/>
                <w:sz w:val="24"/>
                <w:szCs w:val="24"/>
                <w:lang w:val="nl-NL" w:eastAsia="nl-NL"/>
              </w:rPr>
              <w:t>)</w:t>
            </w:r>
            <w:r w:rsidRPr="005205D3">
              <w:rPr>
                <w:rFonts w:ascii="Times New Roman" w:eastAsia="Times New Roman" w:hAnsi="Times New Roman" w:cs="Times New Roman"/>
                <w:color w:val="000000"/>
                <w:sz w:val="24"/>
                <w:szCs w:val="24"/>
                <w:lang w:val="nl-NL" w:eastAsia="nl-NL"/>
              </w:rPr>
              <w:fldChar w:fldCharType="end"/>
            </w:r>
          </w:p>
        </w:tc>
        <w:tc>
          <w:tcPr>
            <w:tcW w:w="0" w:type="auto"/>
          </w:tcPr>
          <w:p w14:paraId="6DBC342B" w14:textId="39C7DFF4"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Sustainable consumption and production is about doing more and better with less. It is also about decoupling economic growth from environmental degradation, increasing resource efficiency and promoting sustainable lifestyles” (United Nations, 2020). The food sector has been one of the focus areas for making the transition to SCP patterns because the sector is responsible for about 30% energy consumption and 22% greenhouse gas emissions of the world (United Nations, 2020).</w:t>
            </w:r>
          </w:p>
        </w:tc>
      </w:tr>
      <w:tr w:rsidR="009A4E0A" w:rsidRPr="0066686C" w14:paraId="6A7C4A65" w14:textId="77777777" w:rsidTr="54F068BE">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0" w:type="auto"/>
            <w:noWrap/>
          </w:tcPr>
          <w:p w14:paraId="368546F1" w14:textId="2D2AAFD6" w:rsidR="009A4E0A" w:rsidRPr="005205D3" w:rsidRDefault="001C59EC" w:rsidP="009A4E0A">
            <w:pPr>
              <w:spacing w:before="60" w:after="60" w:line="264" w:lineRule="auto"/>
              <w:jc w:val="right"/>
              <w:rPr>
                <w:rFonts w:ascii="Times New Roman" w:eastAsia="Times New Roman" w:hAnsi="Times New Roman" w:cs="Times New Roman"/>
                <w:b w:val="0"/>
                <w:bCs w:val="0"/>
                <w:color w:val="000000"/>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t>3</w:t>
            </w:r>
            <w:r w:rsidR="0C632F98" w:rsidRPr="005205D3">
              <w:rPr>
                <w:rFonts w:ascii="Times New Roman" w:eastAsia="Times New Roman" w:hAnsi="Times New Roman" w:cs="Times New Roman"/>
                <w:b w:val="0"/>
                <w:bCs w:val="0"/>
                <w:color w:val="000000" w:themeColor="text1"/>
                <w:sz w:val="24"/>
                <w:szCs w:val="24"/>
                <w:lang w:val="nl-NL" w:eastAsia="nl-NL"/>
              </w:rPr>
              <w:t>7</w:t>
            </w:r>
          </w:p>
        </w:tc>
        <w:tc>
          <w:tcPr>
            <w:tcW w:w="0" w:type="auto"/>
          </w:tcPr>
          <w:p w14:paraId="31FF57AE" w14:textId="258F0E29"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r w:rsidRPr="005205D3">
              <w:rPr>
                <w:rFonts w:ascii="Times New Roman" w:eastAsia="Times New Roman" w:hAnsi="Times New Roman" w:cs="Times New Roman"/>
                <w:color w:val="000000" w:themeColor="text1"/>
                <w:sz w:val="24"/>
                <w:szCs w:val="24"/>
                <w:lang w:val="nl-NL" w:eastAsia="nl-NL"/>
              </w:rPr>
              <w:fldChar w:fldCharType="begin" w:fldLock="1"/>
            </w:r>
            <w:r w:rsidRPr="005205D3">
              <w:rPr>
                <w:rFonts w:ascii="Times New Roman" w:eastAsia="Times New Roman" w:hAnsi="Times New Roman" w:cs="Times New Roman"/>
                <w:color w:val="000000" w:themeColor="text1"/>
                <w:sz w:val="24"/>
                <w:szCs w:val="24"/>
                <w:lang w:val="nl-NL" w:eastAsia="nl-NL"/>
              </w:rPr>
              <w:instrText>ADDIN CSL_CITATION { "citationItems" : [ { "id" : "ITEM-1", "itemData" : { "URL" : "http://suschem.blogspot.nl/2015/04/circular-economy-all-eyes-on-juncker.html", "author" : [ { "dropping-particle" : "", "family" : "Dupont-Inglis", "given" : "Joanna", "non-dropping-particle" : "", "parse-names" : false, "suffix" : "" } ], "container-title" : "SUSCHEM", "id" : "ITEM-1", "issued" : { "date-parts" : [ [ "2015" ] ] }, "title" : "Circular Economy: All Eyes On The Juncker Commission's Next Move", "type" : "webpage" }, "uris" : [ "http://www.mendeley.com/documents/?uuid=f1f5ea6f-614c-4b62-bfa7-1490b431bb96" ] } ], "mendeley" : { "formattedCitation" : "(Dupont-Inglis, 2015)", "manualFormatting" : "Dupont-Inglis (2015)", "plainTextFormattedCitation" : "(Dupont-Inglis, 2015)", "previouslyFormattedCitation" : "(Dupont-Inglis, 2015)" }, "properties" : { "noteIndex" : 0 }, "schema" : "https://github.com/citation-style-language/schema/raw/master/csl-citation.json" }</w:instrText>
            </w:r>
            <w:r w:rsidRPr="005205D3">
              <w:rPr>
                <w:rFonts w:ascii="Times New Roman" w:eastAsia="Times New Roman" w:hAnsi="Times New Roman" w:cs="Times New Roman"/>
                <w:color w:val="000000" w:themeColor="text1"/>
                <w:sz w:val="24"/>
                <w:szCs w:val="24"/>
                <w:lang w:val="nl-NL" w:eastAsia="nl-NL"/>
              </w:rPr>
              <w:fldChar w:fldCharType="separate"/>
            </w:r>
            <w:r w:rsidRPr="005205D3">
              <w:rPr>
                <w:rFonts w:ascii="Times New Roman" w:eastAsia="Times New Roman" w:hAnsi="Times New Roman" w:cs="Times New Roman"/>
                <w:noProof/>
                <w:color w:val="000000" w:themeColor="text1"/>
                <w:sz w:val="24"/>
                <w:szCs w:val="24"/>
                <w:lang w:val="nl-NL" w:eastAsia="nl-NL"/>
              </w:rPr>
              <w:t>Lorenz &amp; Langen (201</w:t>
            </w:r>
            <w:r w:rsidR="00444E21">
              <w:rPr>
                <w:rFonts w:ascii="Times New Roman" w:eastAsia="Times New Roman" w:hAnsi="Times New Roman" w:cs="Times New Roman"/>
                <w:noProof/>
                <w:color w:val="000000" w:themeColor="text1"/>
                <w:sz w:val="24"/>
                <w:szCs w:val="24"/>
                <w:lang w:val="nl-NL" w:eastAsia="nl-NL"/>
              </w:rPr>
              <w:t>8</w:t>
            </w:r>
            <w:r w:rsidRPr="005205D3">
              <w:rPr>
                <w:rFonts w:ascii="Times New Roman" w:eastAsia="Times New Roman" w:hAnsi="Times New Roman" w:cs="Times New Roman"/>
                <w:noProof/>
                <w:color w:val="000000" w:themeColor="text1"/>
                <w:sz w:val="24"/>
                <w:szCs w:val="24"/>
                <w:lang w:val="nl-NL" w:eastAsia="nl-NL"/>
              </w:rPr>
              <w:t>, pp. 35-36)</w:t>
            </w:r>
            <w:r w:rsidRPr="005205D3">
              <w:rPr>
                <w:rFonts w:ascii="Times New Roman" w:eastAsia="Times New Roman" w:hAnsi="Times New Roman" w:cs="Times New Roman"/>
                <w:color w:val="000000" w:themeColor="text1"/>
                <w:sz w:val="24"/>
                <w:szCs w:val="24"/>
                <w:lang w:val="nl-NL" w:eastAsia="nl-NL"/>
              </w:rPr>
              <w:fldChar w:fldCharType="end"/>
            </w:r>
          </w:p>
        </w:tc>
        <w:tc>
          <w:tcPr>
            <w:tcW w:w="0" w:type="auto"/>
          </w:tcPr>
          <w:p w14:paraId="03A261E4" w14:textId="516CC2BC"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FAO (2016a) names lifestyles (e.g., symbolized by eating out-of-home) and diets (following trends) as two important aspects that have to be considered for improving sustainability at a global level. […]</w:t>
            </w:r>
          </w:p>
          <w:p w14:paraId="2BD376AB" w14:textId="5F44F184"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 xml:space="preserve">A major criticism with respect to European policies in the broad field of sustainable food consumption currently is the presumed lack of a general framework (Reisch, Eberle, &amp; Lorek, 2013). More precisely, what has been stated being relevant to enhance the sustainability of food consumption is a more integrated application of available instruments to change consumption behaviours toward higher levels of sustainability (Reisch et al., 2013; Richard, 2002; </w:t>
            </w:r>
            <w:proofErr w:type="spellStart"/>
            <w:r w:rsidRPr="005205D3">
              <w:rPr>
                <w:rFonts w:ascii="Times New Roman" w:eastAsia="Times New Roman" w:hAnsi="Times New Roman" w:cs="Times New Roman"/>
                <w:color w:val="000000"/>
                <w:sz w:val="24"/>
                <w:szCs w:val="24"/>
                <w:lang w:eastAsia="nl-NL"/>
              </w:rPr>
              <w:t>Spaargaren</w:t>
            </w:r>
            <w:proofErr w:type="spellEnd"/>
            <w:r w:rsidRPr="005205D3">
              <w:rPr>
                <w:rFonts w:ascii="Times New Roman" w:eastAsia="Times New Roman" w:hAnsi="Times New Roman" w:cs="Times New Roman"/>
                <w:color w:val="000000"/>
                <w:sz w:val="24"/>
                <w:szCs w:val="24"/>
                <w:lang w:eastAsia="nl-NL"/>
              </w:rPr>
              <w:t xml:space="preserve"> &amp; Mol, 2008). The currently observable variety of unrelated instruments, focusing only on specific aspects of food settings and food-related behaviours of consumers, may result from inadequate understandings of complex individual food systems and dietary patterns that ‘are not only a reflection of what people eat (. . .)[but which] reflect complex social </w:t>
            </w:r>
            <w:proofErr w:type="spellStart"/>
            <w:r w:rsidRPr="005205D3">
              <w:rPr>
                <w:rFonts w:ascii="Times New Roman" w:eastAsia="Times New Roman" w:hAnsi="Times New Roman" w:cs="Times New Roman"/>
                <w:color w:val="000000"/>
                <w:sz w:val="24"/>
                <w:szCs w:val="24"/>
                <w:lang w:eastAsia="nl-NL"/>
              </w:rPr>
              <w:t>behaviours’</w:t>
            </w:r>
            <w:proofErr w:type="spellEnd"/>
            <w:r w:rsidRPr="005205D3">
              <w:rPr>
                <w:rFonts w:ascii="Times New Roman" w:eastAsia="Times New Roman" w:hAnsi="Times New Roman" w:cs="Times New Roman"/>
                <w:color w:val="000000"/>
                <w:sz w:val="24"/>
                <w:szCs w:val="24"/>
                <w:lang w:eastAsia="nl-NL"/>
              </w:rPr>
              <w:t xml:space="preserve"> (FAO, 2016b, p. 81) . These complex systems demand an integrated view on the interactions between the provision and the consumption of food as well as between social, economic and environmental aspects of food in consumers’ everyday life (Peattie &amp; Collins, 2009). In addition to those classical dimensions of sustainability (Brundtland et al., 1987) health has become discussed as an additional relevant aspect and potential fourth dimension, especially in the area of food systems (FAO, 2016b; Kjærgård, Land, &amp; Pedersen, 2014; Lukas et al., 2016).</w:t>
            </w:r>
          </w:p>
        </w:tc>
      </w:tr>
      <w:tr w:rsidR="009A4E0A" w:rsidRPr="0066686C" w14:paraId="7143D2BE" w14:textId="77777777" w:rsidTr="54F068BE">
        <w:trPr>
          <w:trHeight w:val="431"/>
        </w:trPr>
        <w:tc>
          <w:tcPr>
            <w:cnfStyle w:val="001000000000" w:firstRow="0" w:lastRow="0" w:firstColumn="1" w:lastColumn="0" w:oddVBand="0" w:evenVBand="0" w:oddHBand="0" w:evenHBand="0" w:firstRowFirstColumn="0" w:firstRowLastColumn="0" w:lastRowFirstColumn="0" w:lastRowLastColumn="0"/>
            <w:tcW w:w="0" w:type="auto"/>
            <w:noWrap/>
          </w:tcPr>
          <w:p w14:paraId="3D3F0173" w14:textId="77E2B78D" w:rsidR="009A4E0A" w:rsidRPr="005205D3" w:rsidRDefault="001C59EC" w:rsidP="009A4E0A">
            <w:pPr>
              <w:spacing w:before="60" w:after="60" w:line="264" w:lineRule="auto"/>
              <w:jc w:val="right"/>
              <w:rPr>
                <w:rFonts w:ascii="Times New Roman" w:eastAsia="Times New Roman" w:hAnsi="Times New Roman" w:cs="Times New Roman"/>
                <w:b w:val="0"/>
                <w:bCs w:val="0"/>
                <w:color w:val="000000"/>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t>3</w:t>
            </w:r>
            <w:r w:rsidR="505ED2ED" w:rsidRPr="005205D3">
              <w:rPr>
                <w:rFonts w:ascii="Times New Roman" w:eastAsia="Times New Roman" w:hAnsi="Times New Roman" w:cs="Times New Roman"/>
                <w:b w:val="0"/>
                <w:bCs w:val="0"/>
                <w:color w:val="000000" w:themeColor="text1"/>
                <w:sz w:val="24"/>
                <w:szCs w:val="24"/>
                <w:lang w:val="nl-NL" w:eastAsia="nl-NL"/>
              </w:rPr>
              <w:t>8</w:t>
            </w:r>
          </w:p>
        </w:tc>
        <w:tc>
          <w:tcPr>
            <w:tcW w:w="0" w:type="auto"/>
          </w:tcPr>
          <w:p w14:paraId="35275CD0" w14:textId="029B6653"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r w:rsidRPr="005205D3">
              <w:rPr>
                <w:rFonts w:ascii="Times New Roman" w:eastAsia="Times New Roman" w:hAnsi="Times New Roman" w:cs="Times New Roman"/>
                <w:color w:val="000000"/>
                <w:sz w:val="24"/>
                <w:szCs w:val="24"/>
                <w:lang w:eastAsia="nl-NL"/>
              </w:rPr>
              <w:fldChar w:fldCharType="begin" w:fldLock="1"/>
            </w:r>
            <w:r w:rsidRPr="005205D3">
              <w:rPr>
                <w:rFonts w:ascii="Times New Roman" w:eastAsia="Times New Roman" w:hAnsi="Times New Roman" w:cs="Times New Roman"/>
                <w:color w:val="000000"/>
                <w:sz w:val="24"/>
                <w:szCs w:val="24"/>
                <w:lang w:val="nl-NL" w:eastAsia="nl-NL"/>
              </w:rPr>
              <w:instrText>ADDIN CSL_CITATION { "citationItems" : [ { "id" : "ITEM-1", "itemData" : { "URL" : "http://www.circular.academy/circular-economy-some-definitions/", "author" : [ { "dropping-particle" : "", "family" : "Dutch House of Representatives", "given" : "", "non-dropping-particle" : "", "parse-names" : false, "suffix" : "" } ], "id" : "ITEM-1", "issued" : { "date-parts" : [ [ "2013" ] ] }, "title" : "Circular economy: some definitions", "type" : "webpage" }, "uris" : [ "http://www.mendeley.com/documents/?uuid=73f29d86-e94d-476d-a4e5-ec74b201e10e" ] } ], "mendeley" : { "formattedCitation" : "(Dutch House of Representatives, 2013)", "manualFormatting" : "Dutch House of Representatives (2013)", "plainTextFormattedCitation" : "(Dutch House of Representatives, 2013)", "previouslyFormattedCitation" : "(Dutch House of Representatives, 2013)" }, "properties" : { "noteIndex" : 0 }, "schema" : "https://github.com/citation-style-language/schema/raw/master/csl-citation.json" }</w:instrText>
            </w:r>
            <w:r w:rsidRPr="005205D3">
              <w:rPr>
                <w:rFonts w:ascii="Times New Roman" w:eastAsia="Times New Roman" w:hAnsi="Times New Roman" w:cs="Times New Roman"/>
                <w:color w:val="000000"/>
                <w:sz w:val="24"/>
                <w:szCs w:val="24"/>
                <w:lang w:eastAsia="nl-NL"/>
              </w:rPr>
              <w:fldChar w:fldCharType="separate"/>
            </w:r>
            <w:r w:rsidRPr="005205D3">
              <w:rPr>
                <w:rFonts w:ascii="Times New Roman" w:eastAsia="Times New Roman" w:hAnsi="Times New Roman" w:cs="Times New Roman"/>
                <w:noProof/>
                <w:color w:val="000000"/>
                <w:sz w:val="24"/>
                <w:szCs w:val="24"/>
                <w:lang w:val="nl-NL" w:eastAsia="nl-NL"/>
              </w:rPr>
              <w:t>Ludwig-</w:t>
            </w:r>
            <w:r w:rsidR="002C6E8E" w:rsidRPr="003855B1">
              <w:rPr>
                <w:rFonts w:ascii="Times New Roman" w:eastAsia="Times New Roman" w:hAnsi="Times New Roman" w:cs="Times New Roman"/>
                <w:noProof/>
                <w:sz w:val="24"/>
                <w:szCs w:val="24"/>
                <w:lang w:val="en-NL" w:eastAsia="en-GB"/>
              </w:rPr>
              <w:t xml:space="preserve"> Borycz </w:t>
            </w:r>
            <w:r w:rsidRPr="005205D3">
              <w:rPr>
                <w:rFonts w:ascii="Times New Roman" w:eastAsia="Times New Roman" w:hAnsi="Times New Roman" w:cs="Times New Roman"/>
                <w:noProof/>
                <w:color w:val="000000"/>
                <w:sz w:val="24"/>
                <w:szCs w:val="24"/>
                <w:lang w:val="nl-NL" w:eastAsia="nl-NL"/>
              </w:rPr>
              <w:t>et al. (2023, p. 6)</w:t>
            </w:r>
            <w:r w:rsidRPr="005205D3">
              <w:rPr>
                <w:rFonts w:ascii="Times New Roman" w:eastAsia="Times New Roman" w:hAnsi="Times New Roman" w:cs="Times New Roman"/>
                <w:color w:val="000000"/>
                <w:sz w:val="24"/>
                <w:szCs w:val="24"/>
                <w:lang w:eastAsia="nl-NL"/>
              </w:rPr>
              <w:fldChar w:fldCharType="end"/>
            </w:r>
            <w:r w:rsidRPr="005205D3">
              <w:rPr>
                <w:rFonts w:ascii="Times New Roman" w:eastAsia="Times New Roman" w:hAnsi="Times New Roman" w:cs="Times New Roman"/>
                <w:color w:val="000000"/>
                <w:sz w:val="24"/>
                <w:szCs w:val="24"/>
                <w:lang w:val="nl-NL" w:eastAsia="nl-NL"/>
              </w:rPr>
              <w:t xml:space="preserve"> </w:t>
            </w:r>
          </w:p>
        </w:tc>
        <w:tc>
          <w:tcPr>
            <w:tcW w:w="0" w:type="auto"/>
          </w:tcPr>
          <w:p w14:paraId="42206EB4" w14:textId="36CEEB56"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l-NL"/>
              </w:rPr>
            </w:pPr>
            <w:r w:rsidRPr="005205D3">
              <w:rPr>
                <w:rFonts w:ascii="Times New Roman" w:eastAsia="Times New Roman" w:hAnsi="Times New Roman" w:cs="Times New Roman"/>
                <w:sz w:val="24"/>
                <w:szCs w:val="24"/>
                <w:lang w:eastAsia="nl-NL"/>
              </w:rPr>
              <w:t xml:space="preserve">In 2015, the Paris Agreement set the goal to limit the global temperature increase to less than 2°C to mitigate the devastating effects of climate change(1). Sustainable food systems are essential to meeting the goal of the Paris Agreement because agriculture is responsible for about25 % of greenhouse gas emission globally, more than 70 % of freshwater use(2), 80 % of deforestation(3), and is the single largest contributor to biodiversity loss(4). A </w:t>
            </w:r>
            <w:r w:rsidRPr="005205D3">
              <w:rPr>
                <w:rFonts w:ascii="Times New Roman" w:eastAsia="Times New Roman" w:hAnsi="Times New Roman" w:cs="Times New Roman"/>
                <w:sz w:val="24"/>
                <w:szCs w:val="24"/>
                <w:lang w:eastAsia="nl-NL"/>
              </w:rPr>
              <w:lastRenderedPageBreak/>
              <w:t>sustainable food system involves diets that provide for both the flourishing of human and environmental health and are affordable, equitable, safe, and culturally appropriate(5).</w:t>
            </w:r>
          </w:p>
        </w:tc>
      </w:tr>
      <w:tr w:rsidR="009A4E0A" w:rsidRPr="0066686C" w14:paraId="6393969E" w14:textId="77777777" w:rsidTr="54F068BE">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0" w:type="auto"/>
            <w:noWrap/>
          </w:tcPr>
          <w:p w14:paraId="51F8BDAE" w14:textId="4991AD8E" w:rsidR="009A4E0A" w:rsidRPr="005205D3" w:rsidRDefault="001C59EC" w:rsidP="009A4E0A">
            <w:pPr>
              <w:spacing w:before="60" w:after="60" w:line="264" w:lineRule="auto"/>
              <w:jc w:val="right"/>
              <w:rPr>
                <w:rFonts w:ascii="Times New Roman" w:eastAsia="Times New Roman" w:hAnsi="Times New Roman" w:cs="Times New Roman"/>
                <w:b w:val="0"/>
                <w:bCs w:val="0"/>
                <w:color w:val="000000"/>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lastRenderedPageBreak/>
              <w:t>3</w:t>
            </w:r>
            <w:r w:rsidR="2E2FBBBB" w:rsidRPr="005205D3">
              <w:rPr>
                <w:rFonts w:ascii="Times New Roman" w:eastAsia="Times New Roman" w:hAnsi="Times New Roman" w:cs="Times New Roman"/>
                <w:b w:val="0"/>
                <w:bCs w:val="0"/>
                <w:color w:val="000000" w:themeColor="text1"/>
                <w:sz w:val="24"/>
                <w:szCs w:val="24"/>
                <w:lang w:val="nl-NL" w:eastAsia="nl-NL"/>
              </w:rPr>
              <w:t>9</w:t>
            </w:r>
          </w:p>
        </w:tc>
        <w:tc>
          <w:tcPr>
            <w:tcW w:w="0" w:type="auto"/>
          </w:tcPr>
          <w:p w14:paraId="4E91A363" w14:textId="382B3B74"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r w:rsidRPr="005205D3">
              <w:rPr>
                <w:rFonts w:ascii="Times New Roman" w:eastAsia="Times New Roman" w:hAnsi="Times New Roman" w:cs="Times New Roman"/>
                <w:color w:val="000000"/>
                <w:sz w:val="24"/>
                <w:szCs w:val="24"/>
                <w:lang w:val="nl-NL" w:eastAsia="nl-NL"/>
              </w:rPr>
              <w:fldChar w:fldCharType="begin" w:fldLock="1"/>
            </w:r>
            <w:r w:rsidRPr="005205D3">
              <w:rPr>
                <w:rFonts w:ascii="Times New Roman" w:eastAsia="Times New Roman" w:hAnsi="Times New Roman" w:cs="Times New Roman"/>
                <w:color w:val="000000"/>
                <w:sz w:val="24"/>
                <w:szCs w:val="24"/>
                <w:lang w:val="nl-NL" w:eastAsia="nl-NL"/>
              </w:rPr>
              <w:instrText>ADDIN CSL_CITATION { "citationItems" : [ { "id" : "ITEM-1", "itemData" : { "URL" : "https://www.ellenmacarthurfoundation.org/circular-economy/overview/concept", "author" : [ { "dropping-particle" : "", "family" : "Ellen MacArthur Foundation", "given" : "", "non-dropping-particle" : "", "parse-names" : false, "suffix" : "" } ], "id" : "ITEM-1", "issued" : { "date-parts" : [ [ "2013" ] ] }, "title" : "Circular Economy Overview", "type" : "webpage" }, "uris" : [ "http://www.mendeley.com/documents/?uuid=de1c6ebb-847e-4022-b98f-3cd3547ce892" ] } ], "mendeley" : { "formattedCitation" : "(Ellen MacArthur Foundation, 2013)", "manualFormatting" : "Ellen MacArthur Foundation (2013)", "plainTextFormattedCitation" : "(Ellen MacArthur Foundation, 2013)", "previouslyFormattedCitation" : "(Ellen MacArthur Foundation, 2013)" }, "properties" : { "noteIndex" : 0 }, "schema" : "https://github.com/citation-style-language/schema/raw/master/csl-citation.json" }</w:instrText>
            </w:r>
            <w:r w:rsidRPr="005205D3">
              <w:rPr>
                <w:rFonts w:ascii="Times New Roman" w:eastAsia="Times New Roman" w:hAnsi="Times New Roman" w:cs="Times New Roman"/>
                <w:color w:val="000000"/>
                <w:sz w:val="24"/>
                <w:szCs w:val="24"/>
                <w:lang w:val="nl-NL" w:eastAsia="nl-NL"/>
              </w:rPr>
              <w:fldChar w:fldCharType="separate"/>
            </w:r>
            <w:r w:rsidRPr="005205D3">
              <w:rPr>
                <w:rFonts w:ascii="Times New Roman" w:eastAsia="Times New Roman" w:hAnsi="Times New Roman" w:cs="Times New Roman"/>
                <w:color w:val="000000"/>
                <w:sz w:val="24"/>
                <w:szCs w:val="24"/>
                <w:lang w:val="nl-NL" w:eastAsia="nl-NL"/>
              </w:rPr>
              <w:t>Mancini, Marchini, &amp; Simeone</w:t>
            </w:r>
            <w:r w:rsidRPr="005205D3">
              <w:rPr>
                <w:rFonts w:ascii="Times New Roman" w:eastAsia="Times New Roman" w:hAnsi="Times New Roman" w:cs="Times New Roman"/>
                <w:noProof/>
                <w:color w:val="000000"/>
                <w:sz w:val="24"/>
                <w:szCs w:val="24"/>
                <w:lang w:val="nl-NL" w:eastAsia="nl-NL"/>
              </w:rPr>
              <w:t xml:space="preserve"> (2017, p. 1839)</w:t>
            </w:r>
            <w:r w:rsidRPr="005205D3">
              <w:rPr>
                <w:rFonts w:ascii="Times New Roman" w:eastAsia="Times New Roman" w:hAnsi="Times New Roman" w:cs="Times New Roman"/>
                <w:color w:val="000000"/>
                <w:sz w:val="24"/>
                <w:szCs w:val="24"/>
                <w:lang w:val="nl-NL" w:eastAsia="nl-NL"/>
              </w:rPr>
              <w:fldChar w:fldCharType="end"/>
            </w:r>
          </w:p>
        </w:tc>
        <w:tc>
          <w:tcPr>
            <w:tcW w:w="0" w:type="auto"/>
          </w:tcPr>
          <w:p w14:paraId="4435EB60" w14:textId="53681694"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Sustainable consumption behaviour comprises many aspects of the food sector. Those of main interest are: protection of individual health, support of market transparency by seeking more informative contents and certifications, protection of the environmental and of intra- and intergenerational biodiversity sustainability, attention to resources waste, reduction of CO2 emissions and climate change, supporting of local rural communities, supporting of small businesses and the creation of channels to provide alternatives to the dominance of multinational corporations.</w:t>
            </w:r>
          </w:p>
        </w:tc>
      </w:tr>
      <w:tr w:rsidR="009A4E0A" w:rsidRPr="0066686C" w14:paraId="0723DB03" w14:textId="77777777" w:rsidTr="54F068BE">
        <w:trPr>
          <w:trHeight w:val="431"/>
        </w:trPr>
        <w:tc>
          <w:tcPr>
            <w:cnfStyle w:val="001000000000" w:firstRow="0" w:lastRow="0" w:firstColumn="1" w:lastColumn="0" w:oddVBand="0" w:evenVBand="0" w:oddHBand="0" w:evenHBand="0" w:firstRowFirstColumn="0" w:firstRowLastColumn="0" w:lastRowFirstColumn="0" w:lastRowLastColumn="0"/>
            <w:tcW w:w="0" w:type="auto"/>
            <w:noWrap/>
          </w:tcPr>
          <w:p w14:paraId="300615F3" w14:textId="19E3268D" w:rsidR="009A4E0A" w:rsidRPr="005205D3" w:rsidRDefault="75B0BE6A" w:rsidP="009A4E0A">
            <w:pPr>
              <w:spacing w:before="60" w:after="60" w:line="264" w:lineRule="auto"/>
              <w:jc w:val="right"/>
              <w:rPr>
                <w:rFonts w:ascii="Times New Roman" w:eastAsia="Times New Roman" w:hAnsi="Times New Roman" w:cs="Times New Roman"/>
                <w:b w:val="0"/>
                <w:bCs w:val="0"/>
                <w:color w:val="000000"/>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t>40</w:t>
            </w:r>
          </w:p>
        </w:tc>
        <w:tc>
          <w:tcPr>
            <w:tcW w:w="0" w:type="auto"/>
          </w:tcPr>
          <w:p w14:paraId="7484C9FD" w14:textId="280F38CE"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r w:rsidRPr="005205D3">
              <w:rPr>
                <w:rFonts w:ascii="Times New Roman" w:eastAsia="Times New Roman" w:hAnsi="Times New Roman" w:cs="Times New Roman"/>
                <w:color w:val="000000"/>
                <w:sz w:val="24"/>
                <w:szCs w:val="24"/>
                <w:lang w:val="nl-NL" w:eastAsia="nl-NL"/>
              </w:rPr>
              <w:fldChar w:fldCharType="begin" w:fldLock="1"/>
            </w:r>
            <w:r w:rsidRPr="005205D3">
              <w:rPr>
                <w:rFonts w:ascii="Times New Roman" w:eastAsia="Times New Roman" w:hAnsi="Times New Roman" w:cs="Times New Roman"/>
                <w:color w:val="000000"/>
                <w:sz w:val="24"/>
                <w:szCs w:val="24"/>
                <w:lang w:val="nl-NL" w:eastAsia="nl-NL"/>
              </w:rPr>
              <w:instrText>ADDIN CSL_CITATION { "citationItems" : [ { "id" : "ITEM-1", "itemData" : { "author" : [ { "dropping-particle" : "", "family" : "Ellen MacArthur Foundation", "given" : "", "non-dropping-particle" : "", "parse-names" : false, "suffix" : "" } ], "id" : "ITEM-1", "issued" : { "date-parts" : [ [ "2014" ] ] }, "title" : "Towards the Circular Economy: Accelerating the scale-up across global supply chains", "type" : "report" }, "locator" : "15", "uris" : [ "http://www.mendeley.com/documents/?uuid=d3351d46-c80b-4089-8a95-f89c0a2565cb" ] } ], "mendeley" : { "formattedCitation" : "(Ellen MacArthur Foundation, 2014, p. 15)", "manualFormatting" : "Ellen MacArthur Foundation (2014, p. 15)", "plainTextFormattedCitation" : "(Ellen MacArthur Foundation, 2014, p. 15)", "previouslyFormattedCitation" : "(Ellen MacArthur Foundation, 2014, p. 15)" }, "properties" : { "noteIndex" : 0 }, "schema" : "https://github.com/citation-style-language/schema/raw/master/csl-citation.json" }</w:instrText>
            </w:r>
            <w:r w:rsidRPr="005205D3">
              <w:rPr>
                <w:rFonts w:ascii="Times New Roman" w:eastAsia="Times New Roman" w:hAnsi="Times New Roman" w:cs="Times New Roman"/>
                <w:color w:val="000000"/>
                <w:sz w:val="24"/>
                <w:szCs w:val="24"/>
                <w:lang w:val="nl-NL" w:eastAsia="nl-NL"/>
              </w:rPr>
              <w:fldChar w:fldCharType="separate"/>
            </w:r>
            <w:r w:rsidRPr="005205D3">
              <w:rPr>
                <w:rFonts w:ascii="Times New Roman" w:eastAsia="Times New Roman" w:hAnsi="Times New Roman" w:cs="Times New Roman"/>
                <w:noProof/>
                <w:color w:val="000000"/>
                <w:sz w:val="24"/>
                <w:szCs w:val="24"/>
                <w:lang w:val="nl-NL" w:eastAsia="nl-NL"/>
              </w:rPr>
              <w:t>Mensah et al. (2024, p. 15)</w:t>
            </w:r>
            <w:r w:rsidRPr="005205D3">
              <w:rPr>
                <w:rFonts w:ascii="Times New Roman" w:eastAsia="Times New Roman" w:hAnsi="Times New Roman" w:cs="Times New Roman"/>
                <w:color w:val="000000"/>
                <w:sz w:val="24"/>
                <w:szCs w:val="24"/>
                <w:lang w:val="nl-NL" w:eastAsia="nl-NL"/>
              </w:rPr>
              <w:fldChar w:fldCharType="end"/>
            </w:r>
          </w:p>
        </w:tc>
        <w:tc>
          <w:tcPr>
            <w:tcW w:w="0" w:type="auto"/>
          </w:tcPr>
          <w:p w14:paraId="2545F063" w14:textId="4F192617"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There seems to be no general agreement on the definition of SFC. A range of definitions focuses on different aspects of SFC (Garnett et al., 2014). Depending on the focus of the definition, the narrative changes slightly, meaning that the emphasis is sometimes placed more firmly on the environment, while other definitions underline nutritional aspects. Before looking at the definitions of SFC, it is interesting to break down the term itself. How ‘sustainable’, ‘food’, and ‘consumption’ can be defined is important to understand the definitions of SFC as a term. In general, the definitions of ‘sustainable’ differ greatly depending on the perspective and weight that different actors place on aspects of sustainability. In 1986, the Brundtland Report stated that ‘Humanity has the ability to make development sustainable to ensure that it meets the needs of the present without compromising the ability of future generations to meet their own needs’ (Brundtland &amp; Khalid, 1987). This is a broader definition that is not limited to a specific element. There are other definitions that more narrowly understand sustainability in the context of the environmental element. Both approaches have clear advantages. A definition that is too narrow can oversimplify, while a definition that is too broad could be overwhelming and impractical to adopt in daily life (Garnett et al., 2014). When focusing on sustainability in the context of food consumption, it is evident that a mixture of narrow and broad definitions can be used. From a nutritional perspective, food provides energy for vital processes and consists mainly of carbohydrates, protein, fat, and micronutrients. Most foods are of plant and animal origin and are produced by the agricultural sector. It is an element that all humans identify with; it represents cultural belongings and dietary patterns that cannot be explained solely by the nutritional goal of homeostasis. Food systems are located at the local, national, and global levels. They differ in several aspects, while also consisting of the same fundamental elements (von Braun et al., 2021). In the economic field, consumption means that economic actors consume goods and services to fulfil a need (</w:t>
            </w:r>
            <w:proofErr w:type="spellStart"/>
            <w:r w:rsidRPr="005205D3">
              <w:rPr>
                <w:rFonts w:ascii="Times New Roman" w:eastAsia="Times New Roman" w:hAnsi="Times New Roman" w:cs="Times New Roman"/>
                <w:color w:val="000000"/>
                <w:sz w:val="24"/>
                <w:szCs w:val="24"/>
                <w:lang w:eastAsia="nl-NL"/>
              </w:rPr>
              <w:t>Hashimzade</w:t>
            </w:r>
            <w:proofErr w:type="spellEnd"/>
            <w:r w:rsidRPr="005205D3">
              <w:rPr>
                <w:rFonts w:ascii="Times New Roman" w:eastAsia="Times New Roman" w:hAnsi="Times New Roman" w:cs="Times New Roman"/>
                <w:color w:val="000000"/>
                <w:sz w:val="24"/>
                <w:szCs w:val="24"/>
                <w:lang w:eastAsia="nl-NL"/>
              </w:rPr>
              <w:t xml:space="preserve">, 2017). This need can present as a physiological </w:t>
            </w:r>
            <w:r w:rsidRPr="005205D3">
              <w:rPr>
                <w:rFonts w:ascii="Times New Roman" w:eastAsia="Times New Roman" w:hAnsi="Times New Roman" w:cs="Times New Roman"/>
                <w:color w:val="000000"/>
                <w:sz w:val="24"/>
                <w:szCs w:val="24"/>
                <w:lang w:eastAsia="nl-NL"/>
              </w:rPr>
              <w:lastRenderedPageBreak/>
              <w:t xml:space="preserve">necessity, a pleasure, or both. Food consumption is shaped by the availability, access, and </w:t>
            </w:r>
            <w:proofErr w:type="spellStart"/>
            <w:r w:rsidRPr="005205D3">
              <w:rPr>
                <w:rFonts w:ascii="Times New Roman" w:eastAsia="Times New Roman" w:hAnsi="Times New Roman" w:cs="Times New Roman"/>
                <w:color w:val="000000"/>
                <w:sz w:val="24"/>
                <w:szCs w:val="24"/>
                <w:lang w:eastAsia="nl-NL"/>
              </w:rPr>
              <w:t>utilisation</w:t>
            </w:r>
            <w:proofErr w:type="spellEnd"/>
            <w:r w:rsidRPr="005205D3">
              <w:rPr>
                <w:rFonts w:ascii="Times New Roman" w:eastAsia="Times New Roman" w:hAnsi="Times New Roman" w:cs="Times New Roman"/>
                <w:color w:val="000000"/>
                <w:sz w:val="24"/>
                <w:szCs w:val="24"/>
                <w:lang w:eastAsia="nl-NL"/>
              </w:rPr>
              <w:t xml:space="preserve"> of food over time and factors such as preferences, traditions, fashion, and psychological needs (Reisch et al., 2013). Therefore, SFC touches on several aspects of consumption. Although a diet that is SFC-sound can be environmentally friendly, this does not translate into a preferred diet that people accept to incorporate into their daily choices</w:t>
            </w:r>
          </w:p>
        </w:tc>
      </w:tr>
      <w:tr w:rsidR="009A4E0A" w:rsidRPr="002F34D9" w14:paraId="3661B5B3" w14:textId="77777777" w:rsidTr="54F068BE">
        <w:trPr>
          <w:cnfStyle w:val="000000100000" w:firstRow="0" w:lastRow="0" w:firstColumn="0" w:lastColumn="0" w:oddVBand="0" w:evenVBand="0" w:oddHBand="1" w:evenHBand="0" w:firstRowFirstColumn="0" w:firstRowLastColumn="0" w:lastRowFirstColumn="0" w:lastRowLastColumn="0"/>
          <w:trHeight w:val="35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460B4B5" w14:textId="4BDE9889" w:rsidR="009A4E0A" w:rsidRPr="005205D3" w:rsidRDefault="001C59EC" w:rsidP="009A4E0A">
            <w:pPr>
              <w:spacing w:before="60" w:after="60" w:line="264" w:lineRule="auto"/>
              <w:jc w:val="right"/>
              <w:rPr>
                <w:rFonts w:ascii="Times New Roman" w:eastAsia="Times New Roman" w:hAnsi="Times New Roman" w:cs="Times New Roman"/>
                <w:b w:val="0"/>
                <w:bCs w:val="0"/>
                <w:color w:val="000000"/>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lastRenderedPageBreak/>
              <w:t>4</w:t>
            </w:r>
            <w:r w:rsidR="6B881CED" w:rsidRPr="005205D3">
              <w:rPr>
                <w:rFonts w:ascii="Times New Roman" w:eastAsia="Times New Roman" w:hAnsi="Times New Roman" w:cs="Times New Roman"/>
                <w:b w:val="0"/>
                <w:bCs w:val="0"/>
                <w:color w:val="000000" w:themeColor="text1"/>
                <w:sz w:val="24"/>
                <w:szCs w:val="24"/>
                <w:lang w:val="nl-NL" w:eastAsia="nl-NL"/>
              </w:rPr>
              <w:t>1</w:t>
            </w:r>
          </w:p>
        </w:tc>
        <w:tc>
          <w:tcPr>
            <w:tcW w:w="0" w:type="auto"/>
            <w:hideMark/>
          </w:tcPr>
          <w:p w14:paraId="2D0139A1" w14:textId="47FC98E9"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r w:rsidRPr="005205D3">
              <w:rPr>
                <w:rFonts w:ascii="Times New Roman" w:eastAsia="Times New Roman" w:hAnsi="Times New Roman" w:cs="Times New Roman"/>
                <w:color w:val="000000"/>
                <w:sz w:val="24"/>
                <w:szCs w:val="24"/>
                <w:lang w:val="nl-NL" w:eastAsia="nl-NL"/>
              </w:rPr>
              <w:fldChar w:fldCharType="begin" w:fldLock="1"/>
            </w:r>
            <w:r w:rsidRPr="005205D3">
              <w:rPr>
                <w:rFonts w:ascii="Times New Roman" w:eastAsia="Times New Roman" w:hAnsi="Times New Roman" w:cs="Times New Roman"/>
                <w:color w:val="000000"/>
                <w:sz w:val="24"/>
                <w:szCs w:val="24"/>
                <w:lang w:val="nl-NL" w:eastAsia="nl-NL"/>
              </w:rPr>
              <w:instrText>ADDIN CSL_CITATION { "citationItems" : [ { "id" : "ITEM-1", "itemData" : { "author" : [ { "dropping-particle" : "", "family" : "Ellen MacArthur Foundation", "given" : "", "non-dropping-particle" : "", "parse-names" : false, "suffix" : "" } ], "id" : "ITEM-1", "issued" : { "date-parts" : [ [ "2016" ] ] }, "title" : "Intelligent Assets: Unlocking the Circular Economy Potential", "type" : "report" }, "locator" : "15", "uris" : [ "http://www.mendeley.com/documents/?uuid=41cd1b7a-63a5-4a14-8e39-d8f40b134bb9" ] } ], "mendeley" : { "formattedCitation" : "(Ellen MacArthur Foundation, 2016, p. 15)", "manualFormatting" : "Ellen MacArthur Foundation (2016, p. 15)", "plainTextFormattedCitation" : "(Ellen MacArthur Foundation, 2016, p. 15)", "previouslyFormattedCitation" : "(Ellen MacArthur Foundation, 2016, p. 15)" }, "properties" : { "noteIndex" : 0 }, "schema" : "https://github.com/citation-style-language/schema/raw/master/csl-citation.json" }</w:instrText>
            </w:r>
            <w:r w:rsidRPr="005205D3">
              <w:rPr>
                <w:rFonts w:ascii="Times New Roman" w:eastAsia="Times New Roman" w:hAnsi="Times New Roman" w:cs="Times New Roman"/>
                <w:color w:val="000000"/>
                <w:sz w:val="24"/>
                <w:szCs w:val="24"/>
                <w:lang w:val="nl-NL" w:eastAsia="nl-NL"/>
              </w:rPr>
              <w:fldChar w:fldCharType="separate"/>
            </w:r>
            <w:r w:rsidRPr="005205D3">
              <w:rPr>
                <w:rFonts w:ascii="Times New Roman" w:eastAsia="Times New Roman" w:hAnsi="Times New Roman" w:cs="Times New Roman"/>
                <w:noProof/>
                <w:color w:val="000000"/>
                <w:sz w:val="24"/>
                <w:szCs w:val="24"/>
                <w:lang w:val="nl-NL" w:eastAsia="nl-NL"/>
              </w:rPr>
              <w:t>Meybeck &amp; Gitz (2017, p. 1)</w:t>
            </w:r>
            <w:r w:rsidRPr="005205D3">
              <w:rPr>
                <w:rFonts w:ascii="Times New Roman" w:eastAsia="Times New Roman" w:hAnsi="Times New Roman" w:cs="Times New Roman"/>
                <w:color w:val="000000"/>
                <w:sz w:val="24"/>
                <w:szCs w:val="24"/>
                <w:lang w:val="nl-NL" w:eastAsia="nl-NL"/>
              </w:rPr>
              <w:fldChar w:fldCharType="end"/>
            </w:r>
            <w:r w:rsidRPr="005205D3">
              <w:rPr>
                <w:rFonts w:ascii="Times New Roman" w:eastAsia="Times New Roman" w:hAnsi="Times New Roman" w:cs="Times New Roman"/>
                <w:color w:val="000000"/>
                <w:sz w:val="24"/>
                <w:szCs w:val="24"/>
                <w:lang w:val="nl-NL" w:eastAsia="nl-NL"/>
              </w:rPr>
              <w:t xml:space="preserve"> </w:t>
            </w:r>
          </w:p>
        </w:tc>
        <w:tc>
          <w:tcPr>
            <w:tcW w:w="0" w:type="auto"/>
          </w:tcPr>
          <w:p w14:paraId="230C9FF8" w14:textId="57CBE5AD"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 xml:space="preserve">The concept of sustainable diet was defined in 2010 combining two totally different perspectives: a nutrition perspective, focused on individuals, and a global sustainability perspective, in all its dimensions: environmental, economic and social. The nutrition perspective can be easily related to health outcomes. The global sustainability perspective is more difficult to </w:t>
            </w:r>
            <w:proofErr w:type="spellStart"/>
            <w:r w:rsidRPr="005205D3">
              <w:rPr>
                <w:rFonts w:ascii="Times New Roman" w:eastAsia="Times New Roman" w:hAnsi="Times New Roman" w:cs="Times New Roman"/>
                <w:color w:val="000000"/>
                <w:sz w:val="24"/>
                <w:szCs w:val="24"/>
                <w:lang w:eastAsia="nl-NL"/>
              </w:rPr>
              <w:t>analyse</w:t>
            </w:r>
            <w:proofErr w:type="spellEnd"/>
            <w:r w:rsidRPr="005205D3">
              <w:rPr>
                <w:rFonts w:ascii="Times New Roman" w:eastAsia="Times New Roman" w:hAnsi="Times New Roman" w:cs="Times New Roman"/>
                <w:color w:val="000000"/>
                <w:sz w:val="24"/>
                <w:szCs w:val="24"/>
                <w:lang w:eastAsia="nl-NL"/>
              </w:rPr>
              <w:t xml:space="preserve"> directly. We propose that it be measured as the contribution of a diet to the sustainability of food systems. Such an approach, covering the three dimensions of sustainability, enables identification of interactions and interrelations between food systems and diets. It provides opportunities to find levers of change towards sustainability.</w:t>
            </w:r>
          </w:p>
        </w:tc>
      </w:tr>
      <w:tr w:rsidR="009A4E0A" w:rsidRPr="002F34D9" w14:paraId="261061F4" w14:textId="77777777" w:rsidTr="54F068BE">
        <w:trPr>
          <w:trHeight w:val="1520"/>
        </w:trPr>
        <w:tc>
          <w:tcPr>
            <w:cnfStyle w:val="001000000000" w:firstRow="0" w:lastRow="0" w:firstColumn="1" w:lastColumn="0" w:oddVBand="0" w:evenVBand="0" w:oddHBand="0" w:evenHBand="0" w:firstRowFirstColumn="0" w:firstRowLastColumn="0" w:lastRowFirstColumn="0" w:lastRowLastColumn="0"/>
            <w:tcW w:w="0" w:type="auto"/>
            <w:noWrap/>
          </w:tcPr>
          <w:p w14:paraId="5D846E3D" w14:textId="4245048F" w:rsidR="009A4E0A" w:rsidRPr="005205D3" w:rsidRDefault="001C59EC" w:rsidP="009A4E0A">
            <w:pPr>
              <w:spacing w:before="60" w:after="60" w:line="264" w:lineRule="auto"/>
              <w:jc w:val="right"/>
              <w:rPr>
                <w:rFonts w:ascii="Times New Roman" w:eastAsia="Times New Roman" w:hAnsi="Times New Roman" w:cs="Times New Roman"/>
                <w:b w:val="0"/>
                <w:bCs w:val="0"/>
                <w:color w:val="000000"/>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t>4</w:t>
            </w:r>
            <w:r w:rsidR="2525B25A" w:rsidRPr="005205D3">
              <w:rPr>
                <w:rFonts w:ascii="Times New Roman" w:eastAsia="Times New Roman" w:hAnsi="Times New Roman" w:cs="Times New Roman"/>
                <w:b w:val="0"/>
                <w:bCs w:val="0"/>
                <w:color w:val="000000" w:themeColor="text1"/>
                <w:sz w:val="24"/>
                <w:szCs w:val="24"/>
                <w:lang w:val="nl-NL" w:eastAsia="nl-NL"/>
              </w:rPr>
              <w:t>2</w:t>
            </w:r>
          </w:p>
        </w:tc>
        <w:tc>
          <w:tcPr>
            <w:tcW w:w="0" w:type="auto"/>
          </w:tcPr>
          <w:p w14:paraId="3C860EAD" w14:textId="4670C056"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r w:rsidRPr="005205D3">
              <w:rPr>
                <w:rFonts w:ascii="Times New Roman" w:eastAsia="Times New Roman" w:hAnsi="Times New Roman" w:cs="Times New Roman"/>
                <w:color w:val="000000"/>
                <w:sz w:val="24"/>
                <w:szCs w:val="24"/>
                <w:lang w:eastAsia="nl-NL"/>
              </w:rPr>
              <w:fldChar w:fldCharType="begin" w:fldLock="1"/>
            </w:r>
            <w:r w:rsidRPr="005205D3">
              <w:rPr>
                <w:rFonts w:ascii="Times New Roman" w:eastAsia="Times New Roman" w:hAnsi="Times New Roman" w:cs="Times New Roman"/>
                <w:color w:val="000000"/>
                <w:sz w:val="24"/>
                <w:szCs w:val="24"/>
                <w:lang w:val="nl-NL" w:eastAsia="nl-NL"/>
              </w:rPr>
              <w:instrText>ADDIN CSL_CITATION { "citationItems" : [ { "id" : "ITEM-1", "itemData" : { "author" : [ { "dropping-particle" : "", "family" : "EUKN", "given" : "", "non-dropping-particle" : "", "parse-names" : false, "suffix" : "" } ], "id" : "ITEM-1", "issued" : { "date-parts" : [ [ "2015" ] ] }, "title" : "The Circular City: Lessons from Europe", "type" : "report" }, "locator" : "1", "uris" : [ "http://www.mendeley.com/documents/?uuid=228da9bc-5c3a-45a7-8d47-3e67cd2b0dc7" ] } ], "mendeley" : { "formattedCitation" : "(EUKN, 2015, p. 1)", "manualFormatting" : "EUKN (2015, p. 1)", "plainTextFormattedCitation" : "(EUKN, 2015, p. 1)", "previouslyFormattedCitation" : "(EUKN, 2015, p. 1)" }, "properties" : { "noteIndex" : 0 }, "schema" : "https://github.com/citation-style-language/schema/raw/master/csl-citation.json" }</w:instrText>
            </w:r>
            <w:r w:rsidRPr="005205D3">
              <w:rPr>
                <w:rFonts w:ascii="Times New Roman" w:eastAsia="Times New Roman" w:hAnsi="Times New Roman" w:cs="Times New Roman"/>
                <w:color w:val="000000"/>
                <w:sz w:val="24"/>
                <w:szCs w:val="24"/>
                <w:lang w:eastAsia="nl-NL"/>
              </w:rPr>
              <w:fldChar w:fldCharType="separate"/>
            </w:r>
            <w:r w:rsidRPr="005205D3">
              <w:rPr>
                <w:rFonts w:ascii="Times New Roman" w:eastAsia="Times New Roman" w:hAnsi="Times New Roman" w:cs="Times New Roman"/>
                <w:noProof/>
                <w:color w:val="000000"/>
                <w:sz w:val="24"/>
                <w:szCs w:val="24"/>
                <w:lang w:val="nl-NL" w:eastAsia="nl-NL"/>
              </w:rPr>
              <w:t>Meyer-</w:t>
            </w:r>
            <w:r w:rsidR="00922454" w:rsidRPr="00922454">
              <w:rPr>
                <w:rFonts w:ascii="Times New Roman" w:eastAsia="Times New Roman" w:hAnsi="Times New Roman" w:cs="Times New Roman"/>
                <w:noProof/>
                <w:color w:val="000000"/>
                <w:sz w:val="24"/>
                <w:szCs w:val="24"/>
                <w:lang w:val="nl-NL" w:eastAsia="nl-NL"/>
              </w:rPr>
              <w:t>Höfer</w:t>
            </w:r>
            <w:r w:rsidRPr="005205D3">
              <w:rPr>
                <w:rFonts w:ascii="Times New Roman" w:eastAsia="Times New Roman" w:hAnsi="Times New Roman" w:cs="Times New Roman"/>
                <w:noProof/>
                <w:color w:val="000000"/>
                <w:sz w:val="24"/>
                <w:szCs w:val="24"/>
                <w:lang w:val="nl-NL" w:eastAsia="nl-NL"/>
              </w:rPr>
              <w:t>, der Wense, &amp; Spiller (2015, p. 1)</w:t>
            </w:r>
            <w:r w:rsidRPr="005205D3">
              <w:rPr>
                <w:rFonts w:ascii="Times New Roman" w:eastAsia="Times New Roman" w:hAnsi="Times New Roman" w:cs="Times New Roman"/>
                <w:color w:val="000000"/>
                <w:sz w:val="24"/>
                <w:szCs w:val="24"/>
                <w:lang w:eastAsia="nl-NL"/>
              </w:rPr>
              <w:fldChar w:fldCharType="end"/>
            </w:r>
          </w:p>
        </w:tc>
        <w:tc>
          <w:tcPr>
            <w:tcW w:w="0" w:type="auto"/>
          </w:tcPr>
          <w:p w14:paraId="7DEDC7A1" w14:textId="1E7F551E"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Among the large number of definitions of sustainable food consumption Reisch (2010) developed a comprehensive one, which is used as basis for this paper: “For food consumption to be sustainable it has to be safe and healthy in amount and quality; and it has to be realized through means that are economically, socially, culturally and environmentally sustainable – minimizing waste and pollution and not jeopardizing the needs of others”.</w:t>
            </w:r>
          </w:p>
        </w:tc>
      </w:tr>
      <w:tr w:rsidR="009A4E0A" w:rsidRPr="0066686C" w14:paraId="5B4F636F" w14:textId="77777777" w:rsidTr="54F068BE">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0" w:type="auto"/>
            <w:noWrap/>
          </w:tcPr>
          <w:p w14:paraId="5D8A87DC" w14:textId="3683E111" w:rsidR="009A4E0A" w:rsidRPr="005205D3" w:rsidRDefault="001C59EC" w:rsidP="009A4E0A">
            <w:pPr>
              <w:spacing w:before="60" w:after="60" w:line="264" w:lineRule="auto"/>
              <w:jc w:val="right"/>
              <w:rPr>
                <w:rFonts w:ascii="Times New Roman" w:eastAsia="Times New Roman" w:hAnsi="Times New Roman" w:cs="Times New Roman"/>
                <w:b w:val="0"/>
                <w:bCs w:val="0"/>
                <w:color w:val="000000"/>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t>4</w:t>
            </w:r>
            <w:r w:rsidR="41507840" w:rsidRPr="005205D3">
              <w:rPr>
                <w:rFonts w:ascii="Times New Roman" w:eastAsia="Times New Roman" w:hAnsi="Times New Roman" w:cs="Times New Roman"/>
                <w:b w:val="0"/>
                <w:bCs w:val="0"/>
                <w:color w:val="000000" w:themeColor="text1"/>
                <w:sz w:val="24"/>
                <w:szCs w:val="24"/>
                <w:lang w:val="nl-NL" w:eastAsia="nl-NL"/>
              </w:rPr>
              <w:t>3</w:t>
            </w:r>
          </w:p>
        </w:tc>
        <w:tc>
          <w:tcPr>
            <w:tcW w:w="0" w:type="auto"/>
          </w:tcPr>
          <w:p w14:paraId="268AE1EF" w14:textId="5610748E"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r w:rsidRPr="005205D3">
              <w:rPr>
                <w:rFonts w:ascii="Times New Roman" w:eastAsia="Times New Roman" w:hAnsi="Times New Roman" w:cs="Times New Roman"/>
                <w:color w:val="000000"/>
                <w:sz w:val="24"/>
                <w:szCs w:val="24"/>
                <w:lang w:val="nl-NL" w:eastAsia="nl-NL"/>
              </w:rPr>
              <w:fldChar w:fldCharType="begin" w:fldLock="1"/>
            </w:r>
            <w:r w:rsidRPr="005205D3">
              <w:rPr>
                <w:rFonts w:ascii="Times New Roman" w:eastAsia="Times New Roman" w:hAnsi="Times New Roman" w:cs="Times New Roman"/>
                <w:color w:val="000000"/>
                <w:sz w:val="24"/>
                <w:szCs w:val="24"/>
                <w:lang w:val="nl-NL" w:eastAsia="nl-NL"/>
              </w:rPr>
              <w:instrText>ADDIN CSL_CITATION { "citationItems" : [ { "id" : "ITEM-1", "itemData" : { "URL" : "http://www.circular.academy/circular-economy-some-definitions/", "author" : [ { "dropping-particle" : "", "family" : "European Commission", "given" : "", "non-dropping-particle" : "", "parse-names" : false, "suffix" : "" } ], "id" : "ITEM-1", "issued" : { "date-parts" : [ [ "2014" ] ] }, "title" : "Circular economy: Some definitions", "type" : "webpage" }, "uris" : [ "http://www.mendeley.com/documents/?uuid=508c3a0a-ec70-478e-95aa-9c81d07a1af6" ] } ], "mendeley" : { "formattedCitation" : "(European Commission, 2014)", "manualFormatting" : "European Commission (2014)", "plainTextFormattedCitation" : "(European Commission, 2014)", "previouslyFormattedCitation" : "(European Commission, 2014)" }, "properties" : { "noteIndex" : 0 }, "schema" : "https://github.com/citation-style-language/schema/raw/master/csl-citation.json" }</w:instrText>
            </w:r>
            <w:r w:rsidRPr="005205D3">
              <w:rPr>
                <w:rFonts w:ascii="Times New Roman" w:eastAsia="Times New Roman" w:hAnsi="Times New Roman" w:cs="Times New Roman"/>
                <w:color w:val="000000"/>
                <w:sz w:val="24"/>
                <w:szCs w:val="24"/>
                <w:lang w:val="nl-NL" w:eastAsia="nl-NL"/>
              </w:rPr>
              <w:fldChar w:fldCharType="separate"/>
            </w:r>
            <w:r w:rsidRPr="005205D3">
              <w:rPr>
                <w:rFonts w:ascii="Times New Roman" w:eastAsia="Times New Roman" w:hAnsi="Times New Roman" w:cs="Times New Roman"/>
                <w:noProof/>
                <w:color w:val="000000"/>
                <w:sz w:val="24"/>
                <w:szCs w:val="24"/>
                <w:lang w:val="nl-NL" w:eastAsia="nl-NL"/>
              </w:rPr>
              <w:t>Molinario et al. (2020, p. 1138)</w:t>
            </w:r>
            <w:r w:rsidRPr="005205D3">
              <w:rPr>
                <w:rFonts w:ascii="Times New Roman" w:eastAsia="Times New Roman" w:hAnsi="Times New Roman" w:cs="Times New Roman"/>
                <w:color w:val="000000"/>
                <w:sz w:val="24"/>
                <w:szCs w:val="24"/>
                <w:lang w:val="nl-NL" w:eastAsia="nl-NL"/>
              </w:rPr>
              <w:fldChar w:fldCharType="end"/>
            </w:r>
          </w:p>
        </w:tc>
        <w:tc>
          <w:tcPr>
            <w:tcW w:w="0" w:type="auto"/>
          </w:tcPr>
          <w:p w14:paraId="390A4D97" w14:textId="6264837C"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171717"/>
                <w:sz w:val="24"/>
                <w:szCs w:val="24"/>
                <w:lang w:eastAsia="nl-NL"/>
              </w:rPr>
            </w:pPr>
            <w:r w:rsidRPr="005205D3">
              <w:rPr>
                <w:rFonts w:ascii="Times New Roman" w:eastAsia="Times New Roman" w:hAnsi="Times New Roman" w:cs="Times New Roman"/>
                <w:color w:val="171717"/>
                <w:sz w:val="24"/>
                <w:szCs w:val="24"/>
                <w:lang w:eastAsia="nl-NL"/>
              </w:rPr>
              <w:t xml:space="preserve">One of the key concepts used in defining sustainable consumptions is biological diversity or biodiversity, that is, the variability among living organisms, including diversity within species, between species, and diversity of ecosystems (Convention on Biological Diversity of United Nation 1992). Biodiversity is defined on three levels: Genetic Diversity (GD), Species Diversity (SD), and Ecosystem Diversity (ED). GD refers to the variation of genes within species; SD refers to the variety and evenness of species in a natural site; ED refers to the variety of ecosystems in a natural site (see, for example, Osborne 2012). All three levels of biodiversity are of pivotal importance in the conservation process of the natural environment and, therefore, need to be considered when talking about sustainable diets. According to FAO (2010), biodiversity conservation in the context of food choices </w:t>
            </w:r>
            <w:r w:rsidRPr="005205D3">
              <w:rPr>
                <w:rFonts w:ascii="Times New Roman" w:eastAsia="Times New Roman" w:hAnsi="Times New Roman" w:cs="Times New Roman"/>
                <w:color w:val="171717"/>
                <w:sz w:val="24"/>
                <w:szCs w:val="24"/>
                <w:lang w:eastAsia="nl-NL"/>
              </w:rPr>
              <w:lastRenderedPageBreak/>
              <w:t xml:space="preserve">is based on several characteristics of the product. Products that are not involved in a long distribution chain (e.g. local products, or so-called farm-to-fork products) are considered less harmful for biodiversity than others (FAO 2010). </w:t>
            </w:r>
          </w:p>
        </w:tc>
      </w:tr>
      <w:tr w:rsidR="009A4E0A" w:rsidRPr="0066686C" w14:paraId="04A7D1F4" w14:textId="77777777" w:rsidTr="54F068BE">
        <w:trPr>
          <w:trHeight w:val="431"/>
        </w:trPr>
        <w:tc>
          <w:tcPr>
            <w:cnfStyle w:val="001000000000" w:firstRow="0" w:lastRow="0" w:firstColumn="1" w:lastColumn="0" w:oddVBand="0" w:evenVBand="0" w:oddHBand="0" w:evenHBand="0" w:firstRowFirstColumn="0" w:firstRowLastColumn="0" w:lastRowFirstColumn="0" w:lastRowLastColumn="0"/>
            <w:tcW w:w="0" w:type="auto"/>
            <w:noWrap/>
          </w:tcPr>
          <w:p w14:paraId="0FA68167" w14:textId="5237D122" w:rsidR="009A4E0A" w:rsidRPr="005205D3" w:rsidRDefault="001C59EC" w:rsidP="009A4E0A">
            <w:pPr>
              <w:spacing w:before="60" w:after="60" w:line="264" w:lineRule="auto"/>
              <w:jc w:val="right"/>
              <w:rPr>
                <w:rFonts w:ascii="Times New Roman" w:eastAsia="Times New Roman" w:hAnsi="Times New Roman" w:cs="Times New Roman"/>
                <w:b w:val="0"/>
                <w:bCs w:val="0"/>
                <w:color w:val="000000"/>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lastRenderedPageBreak/>
              <w:t>4</w:t>
            </w:r>
            <w:r w:rsidR="4EE1A5E7" w:rsidRPr="005205D3">
              <w:rPr>
                <w:rFonts w:ascii="Times New Roman" w:eastAsia="Times New Roman" w:hAnsi="Times New Roman" w:cs="Times New Roman"/>
                <w:b w:val="0"/>
                <w:bCs w:val="0"/>
                <w:color w:val="000000" w:themeColor="text1"/>
                <w:sz w:val="24"/>
                <w:szCs w:val="24"/>
                <w:lang w:val="nl-NL" w:eastAsia="nl-NL"/>
              </w:rPr>
              <w:t>4</w:t>
            </w:r>
          </w:p>
        </w:tc>
        <w:tc>
          <w:tcPr>
            <w:tcW w:w="0" w:type="auto"/>
          </w:tcPr>
          <w:p w14:paraId="01BF0B5D" w14:textId="0CF581A8"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r w:rsidRPr="005205D3">
              <w:rPr>
                <w:rFonts w:ascii="Times New Roman" w:eastAsia="Times New Roman" w:hAnsi="Times New Roman" w:cs="Times New Roman"/>
                <w:color w:val="000000"/>
                <w:sz w:val="24"/>
                <w:szCs w:val="24"/>
                <w:lang w:val="nl-NL" w:eastAsia="nl-NL"/>
              </w:rPr>
              <w:fldChar w:fldCharType="begin" w:fldLock="1"/>
            </w:r>
            <w:r w:rsidRPr="005205D3">
              <w:rPr>
                <w:rFonts w:ascii="Times New Roman" w:eastAsia="Times New Roman" w:hAnsi="Times New Roman" w:cs="Times New Roman"/>
                <w:color w:val="000000"/>
                <w:sz w:val="24"/>
                <w:szCs w:val="24"/>
                <w:lang w:val="nl-NL" w:eastAsia="nl-NL"/>
              </w:rPr>
              <w:instrText>ADDIN CSL_CITATION { "citationItems" : [ { "id" : "ITEM-1", "itemData" : { "URL" : "http://eur-lex.europa.eu/resource.html?uri=cellar:8a8ef5e8-99a0-11e5-b3b7-01aa75ed71a1.0012.03/DOC_1&amp;format=HTML&amp;lang=EN&amp;parentUrn=COM:2015:614:FIN", "author" : [ { "dropping-particle" : "", "family" : "European Commission", "given" : "", "non-dropping-particle" : "", "parse-names" : false, "suffix" : "" } ], "id" : "ITEM-1", "issued" : { "date-parts" : [ [ "2015" ] ] }, "title" : "Closing the loop - An EU action plan for the Circular Economy", "type" : "webpage" }, "uris" : [ "http://www.mendeley.com/documents/?uuid=8b92360c-3510-4421-b78e-1d67b0594d6a" ] } ], "mendeley" : { "formattedCitation" : "(European Commission, 2015)", "manualFormatting" : "European Commission (2015)", "plainTextFormattedCitation" : "(European Commission, 2015)", "previouslyFormattedCitation" : "(European Commission, 2015)" }, "properties" : { "noteIndex" : 0 }, "schema" : "https://github.com/citation-style-language/schema/raw/master/csl-citation.json" }</w:instrText>
            </w:r>
            <w:r w:rsidRPr="005205D3">
              <w:rPr>
                <w:rFonts w:ascii="Times New Roman" w:eastAsia="Times New Roman" w:hAnsi="Times New Roman" w:cs="Times New Roman"/>
                <w:color w:val="000000"/>
                <w:sz w:val="24"/>
                <w:szCs w:val="24"/>
                <w:lang w:val="nl-NL" w:eastAsia="nl-NL"/>
              </w:rPr>
              <w:fldChar w:fldCharType="separate"/>
            </w:r>
            <w:r w:rsidRPr="005205D3">
              <w:rPr>
                <w:rFonts w:ascii="Times New Roman" w:eastAsia="Times New Roman" w:hAnsi="Times New Roman" w:cs="Times New Roman"/>
                <w:color w:val="000000"/>
                <w:sz w:val="24"/>
                <w:szCs w:val="24"/>
                <w:lang w:val="nl-NL" w:eastAsia="nl-NL"/>
              </w:rPr>
              <w:t xml:space="preserve">Nakajima </w:t>
            </w:r>
            <w:r w:rsidRPr="005205D3">
              <w:rPr>
                <w:rFonts w:ascii="Times New Roman" w:eastAsia="Times New Roman" w:hAnsi="Times New Roman" w:cs="Times New Roman"/>
                <w:noProof/>
                <w:color w:val="000000"/>
                <w:sz w:val="24"/>
                <w:szCs w:val="24"/>
                <w:lang w:val="nl-NL" w:eastAsia="nl-NL"/>
              </w:rPr>
              <w:t>(2022, p.2)</w:t>
            </w:r>
            <w:r w:rsidRPr="005205D3">
              <w:rPr>
                <w:rFonts w:ascii="Times New Roman" w:eastAsia="Times New Roman" w:hAnsi="Times New Roman" w:cs="Times New Roman"/>
                <w:color w:val="000000"/>
                <w:sz w:val="24"/>
                <w:szCs w:val="24"/>
                <w:lang w:val="nl-NL" w:eastAsia="nl-NL"/>
              </w:rPr>
              <w:fldChar w:fldCharType="end"/>
            </w:r>
          </w:p>
        </w:tc>
        <w:tc>
          <w:tcPr>
            <w:tcW w:w="0" w:type="auto"/>
          </w:tcPr>
          <w:p w14:paraId="19239214" w14:textId="20BDC1A8"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The UK Sustainable Development Commission [15] defines sustainable food as healthy, safe, and hygienic produce which is able to meet global needs, provides viable livelihood for farmers, processors, and retailers, supports rural economics, and respects biophysical and environmental limits, all the while reducing energy consumption and improving the wider environment; respects the highest standards of animal health and welfare compatible with the production of affordable food for all societal sectors; and supports rural economies and the diversity of rural culture, in particular by emphasizing local products that keep food miles to a minimum. As the decision-making process of sustainable food consumption is complex, a wide range of potential determinants has been studied and identified to understand it better</w:t>
            </w:r>
          </w:p>
        </w:tc>
      </w:tr>
      <w:tr w:rsidR="009A4E0A" w:rsidRPr="0066686C" w14:paraId="79481B7D" w14:textId="77777777" w:rsidTr="54F068BE">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0" w:type="auto"/>
            <w:noWrap/>
          </w:tcPr>
          <w:p w14:paraId="352E291A" w14:textId="21AF73E5" w:rsidR="009A4E0A" w:rsidRPr="005205D3" w:rsidRDefault="001C59EC" w:rsidP="009A4E0A">
            <w:pPr>
              <w:spacing w:before="60" w:after="60" w:line="264" w:lineRule="auto"/>
              <w:jc w:val="right"/>
              <w:rPr>
                <w:rFonts w:ascii="Times New Roman" w:eastAsia="Times New Roman" w:hAnsi="Times New Roman" w:cs="Times New Roman"/>
                <w:b w:val="0"/>
                <w:bCs w:val="0"/>
                <w:color w:val="000000"/>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t>4</w:t>
            </w:r>
            <w:r w:rsidR="32B0D95A" w:rsidRPr="005205D3">
              <w:rPr>
                <w:rFonts w:ascii="Times New Roman" w:eastAsia="Times New Roman" w:hAnsi="Times New Roman" w:cs="Times New Roman"/>
                <w:b w:val="0"/>
                <w:bCs w:val="0"/>
                <w:color w:val="000000" w:themeColor="text1"/>
                <w:sz w:val="24"/>
                <w:szCs w:val="24"/>
                <w:lang w:val="nl-NL" w:eastAsia="nl-NL"/>
              </w:rPr>
              <w:t>5</w:t>
            </w:r>
          </w:p>
        </w:tc>
        <w:tc>
          <w:tcPr>
            <w:tcW w:w="0" w:type="auto"/>
          </w:tcPr>
          <w:p w14:paraId="46EB8B68" w14:textId="13B0C907"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r w:rsidRPr="005205D3">
              <w:rPr>
                <w:rFonts w:ascii="Times New Roman" w:eastAsia="Times New Roman" w:hAnsi="Times New Roman" w:cs="Times New Roman"/>
                <w:color w:val="000000"/>
                <w:sz w:val="24"/>
                <w:szCs w:val="24"/>
                <w:lang w:val="nl-NL" w:eastAsia="nl-NL"/>
              </w:rPr>
              <w:fldChar w:fldCharType="begin" w:fldLock="1"/>
            </w:r>
            <w:r w:rsidRPr="005205D3">
              <w:rPr>
                <w:rFonts w:ascii="Times New Roman" w:eastAsia="Times New Roman" w:hAnsi="Times New Roman" w:cs="Times New Roman"/>
                <w:color w:val="000000"/>
                <w:sz w:val="24"/>
                <w:szCs w:val="24"/>
                <w:lang w:val="nl-NL" w:eastAsia="nl-NL"/>
              </w:rPr>
              <w:instrText>ADDIN CSL_CITATION { "citationItems" : [ { "id" : "ITEM-1", "itemData" : { "DOI" : "10.1016/j.jenvman.2006.03.007", "ISSN" : "03014797", "author" : [ { "dropping-particle" : "", "family" : "Fang", "given" : "Yiping", "non-dropping-particle" : "", "parse-names" : false, "suffix" : "" }, { "dropping-particle" : "", "family" : "C\u00f4t\u00e9", "given" : "Raymond P.", "non-dropping-particle" : "", "parse-names" : false, "suffix" : "" }, { "dropping-particle" : "", "family" : "Qin", "given" : "Rong", "non-dropping-particle" : "", "parse-names" : false, "suffix" : "" } ], "container-title" : "Journal of Environmental Management", "id" : "ITEM-1", "issue" : "3", "issued" : { "date-parts" : [ [ "2007", "5" ] ] }, "page" : "315-328", "title" : "Industrial sustainability in China: Practice and prospects for eco-industrial development", "type" : "article-journal", "volume" : "83" }, "locator" : "316", "uris" : [ "http://www.mendeley.com/documents/?uuid=66fbcc7d-05fd-35f2-a441-f63d72211900" ] } ], "mendeley" : { "formattedCitation" : "(Fang, C\u00f4t\u00e9, &amp; Qin, 2007, p. 316)", "manualFormatting" : "Fang, C\u00f4t\u00e9, &amp; Qin (2007, p. 316)", "plainTextFormattedCitation" : "(Fang, C\u00f4t\u00e9, &amp; Qin, 2007, p. 316)", "previouslyFormattedCitation" : "(Fang, C\u00f4t\u00e9, &amp; Qin, 2007, p. 316)" }, "properties" : { "noteIndex" : 0 }, "schema" : "https://github.com/citation-style-language/schema/raw/master/csl-citation.json" }</w:instrText>
            </w:r>
            <w:r w:rsidRPr="005205D3">
              <w:rPr>
                <w:rFonts w:ascii="Times New Roman" w:eastAsia="Times New Roman" w:hAnsi="Times New Roman" w:cs="Times New Roman"/>
                <w:color w:val="000000"/>
                <w:sz w:val="24"/>
                <w:szCs w:val="24"/>
                <w:lang w:val="nl-NL" w:eastAsia="nl-NL"/>
              </w:rPr>
              <w:fldChar w:fldCharType="separate"/>
            </w:r>
            <w:r w:rsidRPr="005205D3">
              <w:rPr>
                <w:rFonts w:ascii="Times New Roman" w:eastAsia="Times New Roman" w:hAnsi="Times New Roman" w:cs="Times New Roman"/>
                <w:noProof/>
                <w:color w:val="000000"/>
                <w:sz w:val="24"/>
                <w:szCs w:val="24"/>
                <w:lang w:val="nl-NL" w:eastAsia="nl-NL"/>
              </w:rPr>
              <w:t>Nemeth et al. (2019, p. 3)</w:t>
            </w:r>
            <w:r w:rsidRPr="005205D3">
              <w:rPr>
                <w:rFonts w:ascii="Times New Roman" w:eastAsia="Times New Roman" w:hAnsi="Times New Roman" w:cs="Times New Roman"/>
                <w:color w:val="000000"/>
                <w:sz w:val="24"/>
                <w:szCs w:val="24"/>
                <w:lang w:val="nl-NL" w:eastAsia="nl-NL"/>
              </w:rPr>
              <w:fldChar w:fldCharType="end"/>
            </w:r>
          </w:p>
        </w:tc>
        <w:tc>
          <w:tcPr>
            <w:tcW w:w="0" w:type="auto"/>
          </w:tcPr>
          <w:p w14:paraId="55500120" w14:textId="0E399BB2"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 xml:space="preserve">As agreed by governments, UN agencies and others, “Sustainable Diets are those diets with low environmental impacts which contribute to food and nutrition security and healthy life for present and future generations. Sustainable diets are protective and respectful of biodiversity and ecosystems, culturally acceptable, accessible, economically fair and a </w:t>
            </w:r>
            <w:proofErr w:type="spellStart"/>
            <w:r w:rsidRPr="005205D3">
              <w:rPr>
                <w:rFonts w:ascii="Times New Roman" w:eastAsia="Times New Roman" w:hAnsi="Times New Roman" w:cs="Times New Roman"/>
                <w:color w:val="000000"/>
                <w:sz w:val="24"/>
                <w:szCs w:val="24"/>
                <w:lang w:eastAsia="nl-NL"/>
              </w:rPr>
              <w:t>ordable</w:t>
            </w:r>
            <w:proofErr w:type="spellEnd"/>
            <w:r w:rsidRPr="005205D3">
              <w:rPr>
                <w:rFonts w:ascii="Times New Roman" w:eastAsia="Times New Roman" w:hAnsi="Times New Roman" w:cs="Times New Roman"/>
                <w:color w:val="000000"/>
                <w:sz w:val="24"/>
                <w:szCs w:val="24"/>
                <w:lang w:eastAsia="nl-NL"/>
              </w:rPr>
              <w:t>; nutritionally adequate, safe and healthy; while optimizing natural and human resources” [18]. Sustainable eating is therefore essential not only in terms of food and nutrient safety [20,21], but also on the social level [22,23].</w:t>
            </w:r>
          </w:p>
        </w:tc>
      </w:tr>
      <w:tr w:rsidR="0FBACB51" w14:paraId="2EF0C405" w14:textId="77777777" w:rsidTr="54F068BE">
        <w:trPr>
          <w:trHeight w:val="300"/>
        </w:trPr>
        <w:tc>
          <w:tcPr>
            <w:cnfStyle w:val="001000000000" w:firstRow="0" w:lastRow="0" w:firstColumn="1" w:lastColumn="0" w:oddVBand="0" w:evenVBand="0" w:oddHBand="0" w:evenHBand="0" w:firstRowFirstColumn="0" w:firstRowLastColumn="0" w:lastRowFirstColumn="0" w:lastRowLastColumn="0"/>
            <w:tcW w:w="456" w:type="dxa"/>
            <w:noWrap/>
          </w:tcPr>
          <w:p w14:paraId="35B99827" w14:textId="4BE4549E" w:rsidR="48BA6568" w:rsidRPr="005205D3" w:rsidRDefault="48BA6568" w:rsidP="0FBACB51">
            <w:pPr>
              <w:spacing w:line="264" w:lineRule="auto"/>
              <w:jc w:val="right"/>
              <w:rPr>
                <w:rFonts w:ascii="Times New Roman" w:eastAsia="Times New Roman" w:hAnsi="Times New Roman" w:cs="Times New Roman"/>
                <w:b w:val="0"/>
                <w:bCs w:val="0"/>
                <w:color w:val="000000" w:themeColor="text1"/>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t>4</w:t>
            </w:r>
            <w:r w:rsidR="0C47A5A7" w:rsidRPr="005205D3">
              <w:rPr>
                <w:rFonts w:ascii="Times New Roman" w:eastAsia="Times New Roman" w:hAnsi="Times New Roman" w:cs="Times New Roman"/>
                <w:b w:val="0"/>
                <w:bCs w:val="0"/>
                <w:color w:val="000000" w:themeColor="text1"/>
                <w:sz w:val="24"/>
                <w:szCs w:val="24"/>
                <w:lang w:val="nl-NL" w:eastAsia="nl-NL"/>
              </w:rPr>
              <w:t>6</w:t>
            </w:r>
          </w:p>
        </w:tc>
        <w:tc>
          <w:tcPr>
            <w:tcW w:w="1899" w:type="dxa"/>
          </w:tcPr>
          <w:p w14:paraId="6C9C308A" w14:textId="63312807" w:rsidR="48BA6568" w:rsidRPr="005205D3" w:rsidRDefault="48BA6568" w:rsidP="0FBACB51">
            <w:pPr>
              <w:spacing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color w:val="000000" w:themeColor="text1"/>
                <w:sz w:val="24"/>
                <w:szCs w:val="24"/>
                <w:lang w:val="nl-NL" w:eastAsia="nl-NL"/>
              </w:rPr>
            </w:pPr>
            <w:r w:rsidRPr="005205D3">
              <w:rPr>
                <w:rFonts w:ascii="Times New Roman" w:eastAsia="Times New Roman" w:hAnsi="Times New Roman" w:cs="Times New Roman"/>
                <w:noProof/>
                <w:color w:val="000000" w:themeColor="text1"/>
                <w:sz w:val="24"/>
                <w:szCs w:val="24"/>
                <w:lang w:val="nl-NL" w:eastAsia="nl-NL"/>
              </w:rPr>
              <w:t>Ng</w:t>
            </w:r>
            <w:r w:rsidR="008E015E">
              <w:rPr>
                <w:rFonts w:ascii="Times New Roman" w:eastAsia="Times New Roman" w:hAnsi="Times New Roman" w:cs="Times New Roman"/>
                <w:noProof/>
                <w:color w:val="000000" w:themeColor="text1"/>
                <w:sz w:val="24"/>
                <w:szCs w:val="24"/>
                <w:lang w:val="nl-NL" w:eastAsia="nl-NL"/>
              </w:rPr>
              <w:t>u</w:t>
            </w:r>
            <w:r w:rsidRPr="005205D3">
              <w:rPr>
                <w:rFonts w:ascii="Times New Roman" w:eastAsia="Times New Roman" w:hAnsi="Times New Roman" w:cs="Times New Roman"/>
                <w:noProof/>
                <w:color w:val="000000" w:themeColor="text1"/>
                <w:sz w:val="24"/>
                <w:szCs w:val="24"/>
                <w:lang w:val="nl-NL" w:eastAsia="nl-NL"/>
              </w:rPr>
              <w:t>yen et al. (2025</w:t>
            </w:r>
            <w:r w:rsidR="2D40F5FF" w:rsidRPr="005205D3">
              <w:rPr>
                <w:rFonts w:ascii="Times New Roman" w:eastAsia="Times New Roman" w:hAnsi="Times New Roman" w:cs="Times New Roman"/>
                <w:noProof/>
                <w:color w:val="000000" w:themeColor="text1"/>
                <w:sz w:val="24"/>
                <w:szCs w:val="24"/>
                <w:lang w:val="nl-NL" w:eastAsia="nl-NL"/>
              </w:rPr>
              <w:t>, p. 1</w:t>
            </w:r>
            <w:r w:rsidRPr="005205D3">
              <w:rPr>
                <w:rFonts w:ascii="Times New Roman" w:eastAsia="Times New Roman" w:hAnsi="Times New Roman" w:cs="Times New Roman"/>
                <w:noProof/>
                <w:color w:val="000000" w:themeColor="text1"/>
                <w:sz w:val="24"/>
                <w:szCs w:val="24"/>
                <w:lang w:val="nl-NL" w:eastAsia="nl-NL"/>
              </w:rPr>
              <w:t>)</w:t>
            </w:r>
          </w:p>
        </w:tc>
        <w:tc>
          <w:tcPr>
            <w:tcW w:w="11603" w:type="dxa"/>
          </w:tcPr>
          <w:p w14:paraId="25139A8C" w14:textId="11B555D5" w:rsidR="48BA6568" w:rsidRPr="005205D3" w:rsidRDefault="48BA6568" w:rsidP="0FBACB51">
            <w:pPr>
              <w:spacing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nl-NL"/>
              </w:rPr>
            </w:pPr>
            <w:r w:rsidRPr="005205D3">
              <w:rPr>
                <w:rFonts w:ascii="Times New Roman" w:eastAsia="Times New Roman" w:hAnsi="Times New Roman" w:cs="Times New Roman"/>
                <w:color w:val="000000" w:themeColor="text1"/>
                <w:sz w:val="24"/>
                <w:szCs w:val="24"/>
                <w:lang w:eastAsia="nl-NL"/>
              </w:rPr>
              <w:t xml:space="preserve">A sustainable food system must ensure food security and nutrition for present and future generations while </w:t>
            </w:r>
            <w:proofErr w:type="spellStart"/>
            <w:r w:rsidRPr="005205D3">
              <w:rPr>
                <w:rFonts w:ascii="Times New Roman" w:eastAsia="Times New Roman" w:hAnsi="Times New Roman" w:cs="Times New Roman"/>
                <w:color w:val="000000" w:themeColor="text1"/>
                <w:sz w:val="24"/>
                <w:szCs w:val="24"/>
                <w:lang w:eastAsia="nl-NL"/>
              </w:rPr>
              <w:t>minimising</w:t>
            </w:r>
            <w:proofErr w:type="spellEnd"/>
            <w:r w:rsidRPr="005205D3">
              <w:rPr>
                <w:rFonts w:ascii="Times New Roman" w:eastAsia="Times New Roman" w:hAnsi="Times New Roman" w:cs="Times New Roman"/>
                <w:color w:val="000000" w:themeColor="text1"/>
                <w:sz w:val="24"/>
                <w:szCs w:val="24"/>
                <w:lang w:eastAsia="nl-NL"/>
              </w:rPr>
              <w:t xml:space="preserve"> environmental impacts, maintaining economic affordability, and promoting social equity (FAO, 2018; UNEP, 2017; United Nations, 2025). Sustainable food consumption refers to the demand side of this system, encompassing consumers behaviours and choices that meet the need of nutritious and safe food and support the long-term sustainability of the food system while considering environmental, social, and economic factors (Baker, 1996; Reisch et al., 2013). Consumers can contribute to sustainable food consumption in two ways: (1) by making informed purchasing decisions, such as choosing sustainable food products,1 and (2) by reducing food waste (United Nations, 2023). However, studies addressing these two domains remain largely disconnected. Research has focused on sustainable purchasing decisions, such as choosing organic, locally sourced, or ethically certified foods (Aleksandrowicz et al., 2016; Azzurra et al., 2019; van Bussel et al., 2022; </w:t>
            </w:r>
            <w:proofErr w:type="spellStart"/>
            <w:r w:rsidRPr="005205D3">
              <w:rPr>
                <w:rFonts w:ascii="Times New Roman" w:eastAsia="Times New Roman" w:hAnsi="Times New Roman" w:cs="Times New Roman"/>
                <w:color w:val="000000" w:themeColor="text1"/>
                <w:sz w:val="24"/>
                <w:szCs w:val="24"/>
                <w:lang w:eastAsia="nl-NL"/>
              </w:rPr>
              <w:t>Verain</w:t>
            </w:r>
            <w:proofErr w:type="spellEnd"/>
            <w:r w:rsidRPr="005205D3">
              <w:rPr>
                <w:rFonts w:ascii="Times New Roman" w:eastAsia="Times New Roman" w:hAnsi="Times New Roman" w:cs="Times New Roman"/>
                <w:color w:val="000000" w:themeColor="text1"/>
                <w:sz w:val="24"/>
                <w:szCs w:val="24"/>
                <w:lang w:eastAsia="nl-NL"/>
              </w:rPr>
              <w:t xml:space="preserve"> et al., 2021; Zepeda and Deal, </w:t>
            </w:r>
            <w:r w:rsidRPr="005205D3">
              <w:rPr>
                <w:rFonts w:ascii="Times New Roman" w:eastAsia="Times New Roman" w:hAnsi="Times New Roman" w:cs="Times New Roman"/>
                <w:color w:val="000000" w:themeColor="text1"/>
                <w:sz w:val="24"/>
                <w:szCs w:val="24"/>
                <w:lang w:eastAsia="nl-NL"/>
              </w:rPr>
              <w:lastRenderedPageBreak/>
              <w:t>2009), while food waste reduction is often studied within the broader context of pro-environmental behaviour and waste management (Diaz-Ruiz et al., 2018; Nguyen et al., 2022; Quested et al., 2013).</w:t>
            </w:r>
          </w:p>
        </w:tc>
      </w:tr>
      <w:tr w:rsidR="00D2302D" w:rsidRPr="0066686C" w14:paraId="49B317F5" w14:textId="77777777" w:rsidTr="54F068BE">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0" w:type="auto"/>
            <w:noWrap/>
          </w:tcPr>
          <w:p w14:paraId="3CE05F3F" w14:textId="71A8AB64" w:rsidR="00D2302D" w:rsidRPr="005205D3" w:rsidRDefault="001C59EC" w:rsidP="009A4E0A">
            <w:pPr>
              <w:spacing w:before="60" w:after="60" w:line="264" w:lineRule="auto"/>
              <w:jc w:val="right"/>
              <w:rPr>
                <w:rFonts w:ascii="Times New Roman" w:eastAsia="Times New Roman" w:hAnsi="Times New Roman" w:cs="Times New Roman"/>
                <w:b w:val="0"/>
                <w:bCs w:val="0"/>
                <w:color w:val="000000"/>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lastRenderedPageBreak/>
              <w:t>4</w:t>
            </w:r>
            <w:r w:rsidR="3AC1773F" w:rsidRPr="005205D3">
              <w:rPr>
                <w:rFonts w:ascii="Times New Roman" w:eastAsia="Times New Roman" w:hAnsi="Times New Roman" w:cs="Times New Roman"/>
                <w:b w:val="0"/>
                <w:bCs w:val="0"/>
                <w:color w:val="000000" w:themeColor="text1"/>
                <w:sz w:val="24"/>
                <w:szCs w:val="24"/>
                <w:lang w:val="nl-NL" w:eastAsia="nl-NL"/>
              </w:rPr>
              <w:t>7</w:t>
            </w:r>
          </w:p>
        </w:tc>
        <w:tc>
          <w:tcPr>
            <w:tcW w:w="0" w:type="auto"/>
          </w:tcPr>
          <w:p w14:paraId="06B2CAF5" w14:textId="46403D24" w:rsidR="00D2302D" w:rsidRPr="005205D3" w:rsidRDefault="7E4F0D08" w:rsidP="54F068BE">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themeColor="text1"/>
                <w:sz w:val="24"/>
                <w:szCs w:val="24"/>
                <w:lang w:eastAsia="nl-NL"/>
              </w:rPr>
              <w:t>Norwegian Ministry of Agriculture and Food (n.d.)</w:t>
            </w:r>
          </w:p>
        </w:tc>
        <w:tc>
          <w:tcPr>
            <w:tcW w:w="0" w:type="auto"/>
          </w:tcPr>
          <w:p w14:paraId="20A46715" w14:textId="77777777" w:rsidR="00D2302D" w:rsidRPr="005205D3" w:rsidRDefault="00D2302D"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The critical role of sustainable food systems as key to achieving progress on all 17 Sustainable Development Goals was put on the agenda by the UN Food Systems Summit in 2021 and by the UN Food Systems Summit Stocktaking Moment in 2023. Food system transformation is a continuous process. In Norway, increased food production, improved environmental outcomes, healthy diets, value creation and competitiveness in the food value chain throughout the country are key elements for achieving sustainable food systems. Addressing these challenges through a food systems lens requires a holistic approach that addresses all three dimensions of sustainability (social, economic, and environmental), and that engages all actors in the food system.</w:t>
            </w:r>
          </w:p>
          <w:p w14:paraId="1420CF08" w14:textId="3898D370" w:rsidR="00D2302D" w:rsidRPr="005205D3" w:rsidRDefault="00D2302D"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(https://www.regjeringen.no/contentassets/b0d37474b77f4ee9baa8f636eafd603f/en-gb/pdfs/norways-path-towards-a-sustainable-food-system.pdf)</w:t>
            </w:r>
          </w:p>
        </w:tc>
      </w:tr>
      <w:tr w:rsidR="009A4E0A" w:rsidRPr="0066686C" w14:paraId="49F8071E" w14:textId="77777777" w:rsidTr="54F068BE">
        <w:trPr>
          <w:trHeight w:val="431"/>
        </w:trPr>
        <w:tc>
          <w:tcPr>
            <w:cnfStyle w:val="001000000000" w:firstRow="0" w:lastRow="0" w:firstColumn="1" w:lastColumn="0" w:oddVBand="0" w:evenVBand="0" w:oddHBand="0" w:evenHBand="0" w:firstRowFirstColumn="0" w:firstRowLastColumn="0" w:lastRowFirstColumn="0" w:lastRowLastColumn="0"/>
            <w:tcW w:w="0" w:type="auto"/>
            <w:noWrap/>
          </w:tcPr>
          <w:p w14:paraId="3AD7FA8E" w14:textId="4E7D916F" w:rsidR="009A4E0A" w:rsidRPr="005205D3" w:rsidRDefault="001C59EC" w:rsidP="009A4E0A">
            <w:pPr>
              <w:spacing w:before="60" w:after="60" w:line="264" w:lineRule="auto"/>
              <w:jc w:val="right"/>
              <w:rPr>
                <w:rFonts w:ascii="Times New Roman" w:eastAsia="Times New Roman" w:hAnsi="Times New Roman" w:cs="Times New Roman"/>
                <w:b w:val="0"/>
                <w:bCs w:val="0"/>
                <w:color w:val="000000"/>
                <w:sz w:val="24"/>
                <w:szCs w:val="24"/>
                <w:lang w:eastAsia="nl-NL"/>
              </w:rPr>
            </w:pPr>
            <w:r w:rsidRPr="005205D3">
              <w:rPr>
                <w:rFonts w:ascii="Times New Roman" w:eastAsia="Times New Roman" w:hAnsi="Times New Roman" w:cs="Times New Roman"/>
                <w:b w:val="0"/>
                <w:bCs w:val="0"/>
                <w:color w:val="000000" w:themeColor="text1"/>
                <w:sz w:val="24"/>
                <w:szCs w:val="24"/>
                <w:lang w:eastAsia="nl-NL"/>
              </w:rPr>
              <w:t>4</w:t>
            </w:r>
            <w:r w:rsidR="065BA525" w:rsidRPr="005205D3">
              <w:rPr>
                <w:rFonts w:ascii="Times New Roman" w:eastAsia="Times New Roman" w:hAnsi="Times New Roman" w:cs="Times New Roman"/>
                <w:b w:val="0"/>
                <w:bCs w:val="0"/>
                <w:color w:val="000000" w:themeColor="text1"/>
                <w:sz w:val="24"/>
                <w:szCs w:val="24"/>
                <w:lang w:eastAsia="nl-NL"/>
              </w:rPr>
              <w:t>8</w:t>
            </w:r>
          </w:p>
        </w:tc>
        <w:tc>
          <w:tcPr>
            <w:tcW w:w="0" w:type="auto"/>
          </w:tcPr>
          <w:p w14:paraId="0AB3DBAD" w14:textId="61EA8FB6" w:rsidR="009A4E0A" w:rsidRPr="005205D3" w:rsidRDefault="63670EF1" w:rsidP="54F068BE">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r w:rsidRPr="005205D3">
              <w:rPr>
                <w:rFonts w:ascii="Times New Roman" w:eastAsia="Times New Roman" w:hAnsi="Times New Roman" w:cs="Times New Roman"/>
                <w:color w:val="000000" w:themeColor="text1"/>
                <w:sz w:val="24"/>
                <w:szCs w:val="24"/>
                <w:lang w:val="nl-NL" w:eastAsia="nl-NL"/>
              </w:rPr>
              <w:t>Oxfam Ireland (2021)</w:t>
            </w:r>
          </w:p>
        </w:tc>
        <w:tc>
          <w:tcPr>
            <w:tcW w:w="0" w:type="auto"/>
          </w:tcPr>
          <w:p w14:paraId="4C1D8347" w14:textId="77777777"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 xml:space="preserve">For a food system to be sustainable, it needs to generate positive value across all three dimensions of sustainability: economic, social, and environmental. The FAO (2018)21 elaborates on this: </w:t>
            </w:r>
          </w:p>
          <w:p w14:paraId="394C5A74" w14:textId="77777777"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 xml:space="preserve">• On the economic dimension, a food system is considered sustainable if the activities conducted by each food system actor or support service provider are commercially or fiscally viable. The activities should generate benefits, or economic value-added, for all categories of stakeholders: wages for workers, taxes for governments, profits for enterprises, and food supply improvements for consumers. </w:t>
            </w:r>
          </w:p>
          <w:p w14:paraId="74E13601" w14:textId="77777777"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 xml:space="preserve">• On the social dimension, a food system is considered sustainable when there is equity in the distribution of the economic value-added, taking into account vulnerable groups categorized by gender, age, race, and so on. Of fundamental importance, food system activities need to contribute to the advancement of important socio-cultural outcomes, such as nutrition and health, with respect for local and indigenous peoples’ traditions, </w:t>
            </w:r>
            <w:proofErr w:type="spellStart"/>
            <w:r w:rsidRPr="005205D3">
              <w:rPr>
                <w:rFonts w:ascii="Times New Roman" w:eastAsia="Times New Roman" w:hAnsi="Times New Roman" w:cs="Times New Roman"/>
                <w:color w:val="000000"/>
                <w:sz w:val="24"/>
                <w:szCs w:val="24"/>
                <w:lang w:eastAsia="nl-NL"/>
              </w:rPr>
              <w:t>labour</w:t>
            </w:r>
            <w:proofErr w:type="spellEnd"/>
            <w:r w:rsidRPr="005205D3">
              <w:rPr>
                <w:rFonts w:ascii="Times New Roman" w:eastAsia="Times New Roman" w:hAnsi="Times New Roman" w:cs="Times New Roman"/>
                <w:color w:val="000000"/>
                <w:sz w:val="24"/>
                <w:szCs w:val="24"/>
                <w:lang w:eastAsia="nl-NL"/>
              </w:rPr>
              <w:t xml:space="preserve"> conditions, and animal welfare. </w:t>
            </w:r>
          </w:p>
          <w:p w14:paraId="30FF3744" w14:textId="159F7007"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 On the environmental dimension, sustainability is determined by ensuring that the impacts of food system activities on the surrounding natural environment are neutral or positive, taking into consideration biodiversity, water, soil, animal and plant health, the carbon footprint, the water footprint, food loss and waste, and toxicity</w:t>
            </w:r>
            <w:r w:rsidRPr="005205D3">
              <w:rPr>
                <w:rFonts w:ascii="Times New Roman" w:eastAsia="Times New Roman" w:hAnsi="Times New Roman" w:cs="Times New Roman"/>
                <w:color w:val="000000"/>
                <w:sz w:val="24"/>
                <w:szCs w:val="24"/>
                <w:lang w:eastAsia="nl-NL"/>
              </w:rPr>
              <w:br/>
              <w:t>(https://www.oxfamireland.org/sites/default/files/sustainable_food_systems_aug_2021.pdf)</w:t>
            </w:r>
          </w:p>
        </w:tc>
      </w:tr>
      <w:tr w:rsidR="009A4E0A" w:rsidRPr="0066686C" w14:paraId="75553017" w14:textId="77777777" w:rsidTr="54F068BE">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0" w:type="auto"/>
            <w:noWrap/>
          </w:tcPr>
          <w:p w14:paraId="5E5375B5" w14:textId="2E16193A" w:rsidR="009A4E0A" w:rsidRPr="005205D3" w:rsidRDefault="001C59EC" w:rsidP="009A4E0A">
            <w:pPr>
              <w:spacing w:before="60" w:after="60" w:line="264" w:lineRule="auto"/>
              <w:jc w:val="right"/>
              <w:rPr>
                <w:rFonts w:ascii="Times New Roman" w:eastAsia="Times New Roman" w:hAnsi="Times New Roman" w:cs="Times New Roman"/>
                <w:b w:val="0"/>
                <w:bCs w:val="0"/>
                <w:color w:val="000000"/>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lastRenderedPageBreak/>
              <w:t>4</w:t>
            </w:r>
            <w:r w:rsidR="2FFE0D15" w:rsidRPr="005205D3">
              <w:rPr>
                <w:rFonts w:ascii="Times New Roman" w:eastAsia="Times New Roman" w:hAnsi="Times New Roman" w:cs="Times New Roman"/>
                <w:b w:val="0"/>
                <w:bCs w:val="0"/>
                <w:color w:val="000000" w:themeColor="text1"/>
                <w:sz w:val="24"/>
                <w:szCs w:val="24"/>
                <w:lang w:val="nl-NL" w:eastAsia="nl-NL"/>
              </w:rPr>
              <w:t>9</w:t>
            </w:r>
          </w:p>
        </w:tc>
        <w:tc>
          <w:tcPr>
            <w:tcW w:w="0" w:type="auto"/>
          </w:tcPr>
          <w:p w14:paraId="42D77ECA" w14:textId="56625960"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val="nl-NL" w:eastAsia="nl-NL"/>
              </w:rPr>
              <w:fldChar w:fldCharType="begin" w:fldLock="1"/>
            </w:r>
            <w:r w:rsidRPr="005205D3">
              <w:rPr>
                <w:rFonts w:ascii="Times New Roman" w:eastAsia="Times New Roman" w:hAnsi="Times New Roman" w:cs="Times New Roman"/>
                <w:color w:val="000000"/>
                <w:sz w:val="24"/>
                <w:szCs w:val="24"/>
                <w:lang w:eastAsia="nl-NL"/>
              </w:rPr>
              <w:instrText>ADDIN CSL_CITATION { "citationItems" : [ { "id" : "ITEM-1", "itemData" : { "DOI" : "10.1111/jiec.12582", "ISSN" : "10881980", "author" : [ { "dropping-particle" : "", "family" : "Fellner", "given" : "Johann", "non-dropping-particle" : "", "parse-names" : false, "suffix" : "" }, { "dropping-particle" : "", "family" : "Lederer", "given" : "Jakob", "non-dropping-particle" : "", "parse-names" : false, "suffix" : "" }, { "dropping-particle" : "", "family" : "Scharff", "given" : "Christoph", "non-dropping-particle" : "", "parse-names" : false, "suffix" : "" }, { "dropping-particle" : "", "family" : "Laner", "given" : "David", "non-dropping-particle" : "", "parse-names" : false, "suffix" : "" } ], "container-title" : "Journal of Industrial Ecology", "id" : "ITEM-1", "issue" : "3", "issued" : { "date-parts" : [ [ "2017", "6", "1" ] ] }, "page" : "494-496", "title" : "Present Potentials and Limitations of a Circular Economy with Respect to Primary Raw Material Demand", "type" : "article-journal", "volume" : "21" }, "uris" : [ "http://www.mendeley.com/documents/?uuid=4edb2623-d92b-3697-8497-77e7150c48a8" ] } ], "mendeley" : { "formattedCitation" : "(Fellner, Lederer, Scharff, &amp; Laner, 2017)", "manualFormatting" : "Fellner, Lederer, Scharff, &amp; Laner (2017, p. 494)", "plainTextFormattedCitation" : "(Fellner, Lederer, Scharff, &amp; Laner, 2017)", "previouslyFormattedCitation" : "(Fellner, Lederer, Scharff, &amp; Laner, 2017)" }, "properties" : { "noteIndex" : 0 }, "schema" : "https://github.com/citation-style-language/schema/raw/master/csl-citation.json" }</w:instrText>
            </w:r>
            <w:r w:rsidRPr="005205D3">
              <w:rPr>
                <w:rFonts w:ascii="Times New Roman" w:eastAsia="Times New Roman" w:hAnsi="Times New Roman" w:cs="Times New Roman"/>
                <w:color w:val="000000"/>
                <w:sz w:val="24"/>
                <w:szCs w:val="24"/>
                <w:lang w:val="nl-NL" w:eastAsia="nl-NL"/>
              </w:rPr>
              <w:fldChar w:fldCharType="separate"/>
            </w:r>
            <w:r w:rsidRPr="005205D3">
              <w:rPr>
                <w:rFonts w:ascii="Times New Roman" w:eastAsia="Times New Roman" w:hAnsi="Times New Roman" w:cs="Times New Roman"/>
                <w:noProof/>
                <w:color w:val="000000"/>
                <w:sz w:val="24"/>
                <w:szCs w:val="24"/>
                <w:lang w:eastAsia="nl-NL"/>
              </w:rPr>
              <w:t>Pakravan-Charvadeh &amp; Flora (2022, p. 9929)</w:t>
            </w:r>
            <w:r w:rsidRPr="005205D3">
              <w:rPr>
                <w:rFonts w:ascii="Times New Roman" w:eastAsia="Times New Roman" w:hAnsi="Times New Roman" w:cs="Times New Roman"/>
                <w:color w:val="000000"/>
                <w:sz w:val="24"/>
                <w:szCs w:val="24"/>
                <w:lang w:val="nl-NL" w:eastAsia="nl-NL"/>
              </w:rPr>
              <w:fldChar w:fldCharType="end"/>
            </w:r>
          </w:p>
        </w:tc>
        <w:tc>
          <w:tcPr>
            <w:tcW w:w="0" w:type="auto"/>
          </w:tcPr>
          <w:p w14:paraId="6027E3A6" w14:textId="2FA6AED8"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 xml:space="preserve">Sustainable food consumption, which is directly associated with consumer culture and attitude, improves nutrition and food security by consuming optimal food ingredients and decreasing food wastes (Reisch et al. 2013; Ghinea and </w:t>
            </w:r>
            <w:proofErr w:type="spellStart"/>
            <w:r w:rsidRPr="005205D3">
              <w:rPr>
                <w:rFonts w:ascii="Times New Roman" w:eastAsia="Times New Roman" w:hAnsi="Times New Roman" w:cs="Times New Roman"/>
                <w:color w:val="000000"/>
                <w:sz w:val="24"/>
                <w:szCs w:val="24"/>
                <w:lang w:eastAsia="nl-NL"/>
              </w:rPr>
              <w:t>Ghiuta</w:t>
            </w:r>
            <w:proofErr w:type="spellEnd"/>
            <w:r w:rsidRPr="005205D3">
              <w:rPr>
                <w:rFonts w:ascii="Times New Roman" w:eastAsia="Times New Roman" w:hAnsi="Times New Roman" w:cs="Times New Roman"/>
                <w:color w:val="000000"/>
                <w:sz w:val="24"/>
                <w:szCs w:val="24"/>
                <w:lang w:eastAsia="nl-NL"/>
              </w:rPr>
              <w:t xml:space="preserve"> 2019; Nasser et al. 2019).</w:t>
            </w:r>
          </w:p>
        </w:tc>
      </w:tr>
      <w:tr w:rsidR="009A4E0A" w:rsidRPr="0066686C" w14:paraId="03FB89BE" w14:textId="77777777" w:rsidTr="54F068BE">
        <w:trPr>
          <w:trHeight w:val="431"/>
        </w:trPr>
        <w:tc>
          <w:tcPr>
            <w:cnfStyle w:val="001000000000" w:firstRow="0" w:lastRow="0" w:firstColumn="1" w:lastColumn="0" w:oddVBand="0" w:evenVBand="0" w:oddHBand="0" w:evenHBand="0" w:firstRowFirstColumn="0" w:firstRowLastColumn="0" w:lastRowFirstColumn="0" w:lastRowLastColumn="0"/>
            <w:tcW w:w="0" w:type="auto"/>
            <w:noWrap/>
          </w:tcPr>
          <w:p w14:paraId="6022EBEC" w14:textId="555D8176" w:rsidR="009A4E0A" w:rsidRPr="005205D3" w:rsidRDefault="07EB6980" w:rsidP="009A4E0A">
            <w:pPr>
              <w:spacing w:before="60" w:after="60" w:line="264" w:lineRule="auto"/>
              <w:jc w:val="right"/>
              <w:rPr>
                <w:rFonts w:ascii="Times New Roman" w:eastAsia="Times New Roman" w:hAnsi="Times New Roman" w:cs="Times New Roman"/>
                <w:b w:val="0"/>
                <w:bCs w:val="0"/>
                <w:color w:val="000000"/>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t>50</w:t>
            </w:r>
          </w:p>
        </w:tc>
        <w:tc>
          <w:tcPr>
            <w:tcW w:w="0" w:type="auto"/>
          </w:tcPr>
          <w:p w14:paraId="36C1A975" w14:textId="73DA03A4"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r w:rsidRPr="005205D3">
              <w:rPr>
                <w:rFonts w:ascii="Times New Roman" w:eastAsia="Times New Roman" w:hAnsi="Times New Roman" w:cs="Times New Roman"/>
                <w:color w:val="000000"/>
                <w:sz w:val="24"/>
                <w:szCs w:val="24"/>
                <w:lang w:val="nl-NL" w:eastAsia="nl-NL"/>
              </w:rPr>
              <w:fldChar w:fldCharType="begin" w:fldLock="1"/>
            </w:r>
            <w:r w:rsidRPr="005205D3">
              <w:rPr>
                <w:rFonts w:ascii="Times New Roman" w:eastAsia="Times New Roman" w:hAnsi="Times New Roman" w:cs="Times New Roman"/>
                <w:color w:val="000000"/>
                <w:sz w:val="24"/>
                <w:szCs w:val="24"/>
                <w:lang w:val="nl-NL" w:eastAsia="nl-NL"/>
              </w:rPr>
              <w:instrText>ADDIN CSL_CITATION { "citationItems" : [ { "id" : "ITEM-1", "itemData" : { "DOI" : "10.1016/j.jclepro.2016.12.048", "ISSN" : "09596526", "abstract" : "While the terms Circular Economy and sustainability are increasingly gaining traction with academia, industry, and policymakers, the similarities and differences between both concepts remain ambiguous. The relationship between the concepts is not made explicit in literature, which is blurring their conceptual contours and constrains the efficacy of using the approaches in research and practice. This research addresses this gap and aims to provide conceptual clarity by distinguishing the terms and synthesising the different types of relationships between them. We conducted an extensive literature review, employing bibliometric analysis and snowballing techniques to investigate the state of the art in the field and synthesise the similarities, differences and relationships between both terms. We identified eight different relationship types in the literature and illustrated the most evident similarities and differences between both concepts.", "author" : [ { "dropping-particle" : "", "family" : "Geissdoerfer", "given" : "Martin", "non-dropping-particle" : "", "parse-names" : false, "suffix" : "" }, { "dropping-particle" : "", "family" : "Savaget", "given" : "Paulo", "non-dropping-particle" : "", "parse-names" : false, "suffix" : "" }, { "dropping-particle" : "", "family" : "Bocken", "given" : "Nancy M.P.", "non-dropping-particle" : "", "parse-names" : false, "suffix" : "" }, { "dropping-particle" : "", "family" : "Hultink", "given" : "Erik Jan", "non-dropping-particle" : "", "parse-names" : false, "suffix" : "" } ], "container-title" : "Journal of Cleaner Production", "id" : "ITEM-1", "issued" : { "date-parts" : [ [ "2017" ] ] }, "page" : "757-768", "title" : "The Circular Economy \u2013 A new sustainability paradigm?", "type" : "article-journal", "volume" : "143" }, "locator" : "759", "uris" : [ "http://www.mendeley.com/documents/?uuid=d34b26a3-7f78-311f-94ed-70da59e00650" ] } ], "mendeley" : { "formattedCitation" : "(Geissdoerfer, Savaget, Bocken, &amp; Hultink, 2017, p. 759)", "manualFormatting" : "Geissdoerfer, Savaget, Bocken, &amp; Hultink (2017, p. 759)", "plainTextFormattedCitation" : "(Geissdoerfer, Savaget, Bocken, &amp; Hultink, 2017, p. 759)", "previouslyFormattedCitation" : "(Geissdoerfer, Savaget, Bocken, &amp; Hultink, 2017, p. 759)" }, "properties" : { "noteIndex" : 0 }, "schema" : "https://github.com/citation-style-language/schema/raw/master/csl-citation.json" }</w:instrText>
            </w:r>
            <w:r w:rsidRPr="005205D3">
              <w:rPr>
                <w:rFonts w:ascii="Times New Roman" w:eastAsia="Times New Roman" w:hAnsi="Times New Roman" w:cs="Times New Roman"/>
                <w:color w:val="000000"/>
                <w:sz w:val="24"/>
                <w:szCs w:val="24"/>
                <w:lang w:val="nl-NL" w:eastAsia="nl-NL"/>
              </w:rPr>
              <w:fldChar w:fldCharType="separate"/>
            </w:r>
            <w:r w:rsidRPr="005205D3">
              <w:rPr>
                <w:rFonts w:ascii="Times New Roman" w:eastAsia="Times New Roman" w:hAnsi="Times New Roman" w:cs="Times New Roman"/>
                <w:noProof/>
                <w:color w:val="000000"/>
                <w:sz w:val="24"/>
                <w:szCs w:val="24"/>
                <w:lang w:val="nl-NL" w:eastAsia="nl-NL"/>
              </w:rPr>
              <w:t>Panatsa &amp; Malandrakis (2024, p. 3)</w:t>
            </w:r>
            <w:r w:rsidRPr="005205D3">
              <w:rPr>
                <w:rFonts w:ascii="Times New Roman" w:eastAsia="Times New Roman" w:hAnsi="Times New Roman" w:cs="Times New Roman"/>
                <w:color w:val="000000"/>
                <w:sz w:val="24"/>
                <w:szCs w:val="24"/>
                <w:lang w:val="nl-NL" w:eastAsia="nl-NL"/>
              </w:rPr>
              <w:fldChar w:fldCharType="end"/>
            </w:r>
          </w:p>
        </w:tc>
        <w:tc>
          <w:tcPr>
            <w:tcW w:w="0" w:type="auto"/>
          </w:tcPr>
          <w:p w14:paraId="3E8EB67C" w14:textId="0F202ECD"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 xml:space="preserve">Sustainable food consumption entails the adoption of food consumption patterns which are at the same time environmentally, socially, and economically sustainable. A widely accepted definition of the concept of sustainable diets describes them as “those diets with low environmental impacts which contribute to food and nutrition security and to healthy life for present and future generations. Sustainable diets are protective and respectful of biodiversity and ecosystems, culturally acceptable, accessible, economically fair, and affordable; nutritionally adequate, safe, and healthy; while optimizing natural and human resources” (Burlingame and </w:t>
            </w:r>
            <w:proofErr w:type="spellStart"/>
            <w:r w:rsidRPr="005205D3">
              <w:rPr>
                <w:rFonts w:ascii="Times New Roman" w:eastAsia="Times New Roman" w:hAnsi="Times New Roman" w:cs="Times New Roman"/>
                <w:color w:val="000000"/>
                <w:sz w:val="24"/>
                <w:szCs w:val="24"/>
                <w:lang w:eastAsia="nl-NL"/>
              </w:rPr>
              <w:t>Dernini</w:t>
            </w:r>
            <w:proofErr w:type="spellEnd"/>
            <w:r w:rsidRPr="005205D3">
              <w:rPr>
                <w:rFonts w:ascii="Times New Roman" w:eastAsia="Times New Roman" w:hAnsi="Times New Roman" w:cs="Times New Roman"/>
                <w:color w:val="000000"/>
                <w:sz w:val="24"/>
                <w:szCs w:val="24"/>
                <w:lang w:eastAsia="nl-NL"/>
              </w:rPr>
              <w:t>, 2012, 7). This definition explicitly highlights the close connection of a sustainable diet with the dimensions of human health, environment, economy, society, and culture, which act as directions for the transition to a sustainable food system (Paoletti, 2015; Padilla et al., 2012)</w:t>
            </w:r>
          </w:p>
        </w:tc>
      </w:tr>
      <w:tr w:rsidR="009A4E0A" w:rsidRPr="0066686C" w14:paraId="55DE5386" w14:textId="77777777" w:rsidTr="54F068BE">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0" w:type="auto"/>
            <w:noWrap/>
          </w:tcPr>
          <w:p w14:paraId="63DFF791" w14:textId="1E54733A" w:rsidR="009A4E0A" w:rsidRPr="005205D3" w:rsidRDefault="0C8C1DE5" w:rsidP="009A4E0A">
            <w:pPr>
              <w:spacing w:before="60" w:after="60" w:line="264" w:lineRule="auto"/>
              <w:jc w:val="right"/>
              <w:rPr>
                <w:rFonts w:ascii="Times New Roman" w:eastAsia="Times New Roman" w:hAnsi="Times New Roman" w:cs="Times New Roman"/>
                <w:b w:val="0"/>
                <w:bCs w:val="0"/>
                <w:color w:val="000000"/>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t>51</w:t>
            </w:r>
          </w:p>
        </w:tc>
        <w:tc>
          <w:tcPr>
            <w:tcW w:w="0" w:type="auto"/>
          </w:tcPr>
          <w:p w14:paraId="222962B3" w14:textId="7FE1DDE9"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r w:rsidRPr="005205D3">
              <w:rPr>
                <w:rFonts w:ascii="Times New Roman" w:eastAsia="Times New Roman" w:hAnsi="Times New Roman" w:cs="Times New Roman"/>
                <w:color w:val="000000"/>
                <w:sz w:val="24"/>
                <w:szCs w:val="24"/>
                <w:lang w:val="nl-NL" w:eastAsia="nl-NL"/>
              </w:rPr>
              <w:fldChar w:fldCharType="begin" w:fldLock="1"/>
            </w:r>
            <w:r w:rsidRPr="005205D3">
              <w:rPr>
                <w:rFonts w:ascii="Times New Roman" w:eastAsia="Times New Roman" w:hAnsi="Times New Roman" w:cs="Times New Roman"/>
                <w:color w:val="000000"/>
                <w:sz w:val="24"/>
                <w:szCs w:val="24"/>
                <w:lang w:val="nl-NL" w:eastAsia="nl-NL"/>
              </w:rPr>
              <w:instrText>ADDIN CSL_CITATION { "citationItems" : [ { "id" : "ITEM-1", "itemData" : { "DOI" : "10.3843/SusDev.15.3:6", "ISSN" : "1350-4509", "abstract" : "China is pioneering a new sustainable development model which has the ability to overcome current environmental and resource management problems, while achieving improvements in resource productivity and eco-efficiency. This model, formally accepted in 2002 and termed the 'circular economy', is understood to mean the realisation of a closed loop of material flows in the Chinese economic system. Successful implementation of this model is seen as one way in which China can 'leapfrog' past environmental damage that is typically seen as economies industrialise. This paper introduces the development of the model in China, and presents the current situation of circular economy practice in China. The paper describes current measures being implemented in China for the long-term promotion of a circular economy, including the formulation of objectives, legislation, policies and measures, so that the country can 'leapfrog' its way from environmentally-damaging development to a more sustainable path. The paper then i...", "author" : [ { "dropping-particle" : "", "family" : "Geng", "given" : "Yong", "non-dropping-particle" : "", "parse-names" : false, "suffix" : "" }, { "dropping-particle" : "", "family" : "Doberstein", "given" : "Brent", "non-dropping-particle" : "", "parse-names" : false, "suffix" : "" } ], "container-title" : "International Journal of Sustainable Development &amp; World Ecology", "id" : "ITEM-1", "issue" : "3", "issued" : { "date-parts" : [ [ "2008", "6" ] ] }, "page" : "231-239", "publisher" : " Taylor &amp; Francis Group ", "title" : "Developing the circular economy in China: Challenges and opportunities for achieving 'leapfrog development'", "type" : "article-journal", "volume" : "15" }, "locator" : "232", "uris" : [ "http://www.mendeley.com/documents/?uuid=dd2516a0-d726-306f-96bd-f3e1f30f0057" ] } ], "mendeley" : { "formattedCitation" : "(Geng &amp; Doberstein, 2008, p. 232)", "manualFormatting" : "Geng &amp; Doberstein (2008, p. 232)", "plainTextFormattedCitation" : "(Geng &amp; Doberstein, 2008, p. 232)", "previouslyFormattedCitation" : "(Geng &amp; Doberstein, 2008, p. 232)" }, "properties" : { "noteIndex" : 0 }, "schema" : "https://github.com/citation-style-language/schema/raw/master/csl-citation.json" }</w:instrText>
            </w:r>
            <w:r w:rsidRPr="005205D3">
              <w:rPr>
                <w:rFonts w:ascii="Times New Roman" w:eastAsia="Times New Roman" w:hAnsi="Times New Roman" w:cs="Times New Roman"/>
                <w:color w:val="000000"/>
                <w:sz w:val="24"/>
                <w:szCs w:val="24"/>
                <w:lang w:val="nl-NL" w:eastAsia="nl-NL"/>
              </w:rPr>
              <w:fldChar w:fldCharType="separate"/>
            </w:r>
            <w:r w:rsidRPr="005205D3">
              <w:rPr>
                <w:rFonts w:ascii="Times New Roman" w:eastAsia="Times New Roman" w:hAnsi="Times New Roman" w:cs="Times New Roman"/>
                <w:noProof/>
                <w:color w:val="000000"/>
                <w:sz w:val="24"/>
                <w:szCs w:val="24"/>
                <w:lang w:val="nl-NL" w:eastAsia="nl-NL"/>
              </w:rPr>
              <w:t>Pandey et al. (2023, p. 894)</w:t>
            </w:r>
            <w:r w:rsidRPr="005205D3">
              <w:rPr>
                <w:rFonts w:ascii="Times New Roman" w:eastAsia="Times New Roman" w:hAnsi="Times New Roman" w:cs="Times New Roman"/>
                <w:color w:val="000000"/>
                <w:sz w:val="24"/>
                <w:szCs w:val="24"/>
                <w:lang w:val="nl-NL" w:eastAsia="nl-NL"/>
              </w:rPr>
              <w:fldChar w:fldCharType="end"/>
            </w:r>
          </w:p>
        </w:tc>
        <w:tc>
          <w:tcPr>
            <w:tcW w:w="0" w:type="auto"/>
          </w:tcPr>
          <w:p w14:paraId="28BC2B85" w14:textId="758031DA"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According to the Food and Agricultural Organization (FAO), sustainable diets have low environmental impacts that contribute to food and nutrition.</w:t>
            </w:r>
          </w:p>
        </w:tc>
      </w:tr>
      <w:tr w:rsidR="009A4E0A" w:rsidRPr="00984A98" w14:paraId="26CB33AE" w14:textId="77777777" w:rsidTr="54F068BE">
        <w:trPr>
          <w:trHeight w:val="431"/>
        </w:trPr>
        <w:tc>
          <w:tcPr>
            <w:cnfStyle w:val="001000000000" w:firstRow="0" w:lastRow="0" w:firstColumn="1" w:lastColumn="0" w:oddVBand="0" w:evenVBand="0" w:oddHBand="0" w:evenHBand="0" w:firstRowFirstColumn="0" w:firstRowLastColumn="0" w:lastRowFirstColumn="0" w:lastRowLastColumn="0"/>
            <w:tcW w:w="0" w:type="auto"/>
            <w:noWrap/>
          </w:tcPr>
          <w:p w14:paraId="4D371D16" w14:textId="6CEE6925" w:rsidR="009A4E0A" w:rsidRPr="005205D3" w:rsidRDefault="001C59EC" w:rsidP="009A4E0A">
            <w:pPr>
              <w:spacing w:before="60" w:after="60" w:line="264" w:lineRule="auto"/>
              <w:jc w:val="right"/>
              <w:rPr>
                <w:rFonts w:ascii="Times New Roman" w:eastAsia="Times New Roman" w:hAnsi="Times New Roman" w:cs="Times New Roman"/>
                <w:b w:val="0"/>
                <w:bCs w:val="0"/>
                <w:color w:val="000000"/>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t>5</w:t>
            </w:r>
            <w:r w:rsidR="374910CD" w:rsidRPr="005205D3">
              <w:rPr>
                <w:rFonts w:ascii="Times New Roman" w:eastAsia="Times New Roman" w:hAnsi="Times New Roman" w:cs="Times New Roman"/>
                <w:b w:val="0"/>
                <w:bCs w:val="0"/>
                <w:color w:val="000000" w:themeColor="text1"/>
                <w:sz w:val="24"/>
                <w:szCs w:val="24"/>
                <w:lang w:val="nl-NL" w:eastAsia="nl-NL"/>
              </w:rPr>
              <w:t>2</w:t>
            </w:r>
          </w:p>
        </w:tc>
        <w:tc>
          <w:tcPr>
            <w:tcW w:w="0" w:type="auto"/>
          </w:tcPr>
          <w:p w14:paraId="5663B3ED" w14:textId="4739453C"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val="nl-NL" w:eastAsia="nl-NL"/>
              </w:rPr>
              <w:fldChar w:fldCharType="begin" w:fldLock="1"/>
            </w:r>
            <w:r w:rsidRPr="005205D3">
              <w:rPr>
                <w:rFonts w:ascii="Times New Roman" w:eastAsia="Times New Roman" w:hAnsi="Times New Roman" w:cs="Times New Roman"/>
                <w:color w:val="000000"/>
                <w:sz w:val="24"/>
                <w:szCs w:val="24"/>
                <w:lang w:val="nl-NL" w:eastAsia="nl-NL"/>
              </w:rPr>
              <w:instrText>ADDIN CSL_CITATION { "citationItems" : [ { "id" : "ITEM-1", "itemData" : { "DOI" : "10.1016/j.jclepro.2011.07.005", "ISSN" : "09596526", "abstract" : "It is widely acknowledged that China\u2019s economic miracle has been achieved at the expense of its natural capital and environment. In order to deal with this problem, the circular economy (CE) has been chosen as a national policy for sustainable development. National laws and regulations have been enacted to facilitate the implementation of CE and national CE demonstration projects have been initiated such that national benchmarking activities could be completed. China is the first country to release nationally focused CE indicators so that objective and credible information on the status of CE implementation can be recognized. These CE indicators are valuable metrics for policy and decision-makers and can help achieve CE goals and outcomes. This unique indicator system has not been communicated to international communities. This paper aims to more broadly introduce this unique national CE indicator system. China\u2019s CE efforts are first detailed with various provisions of the national indicator system. A critical analysis of such an indicator system is presented. We show that certain benefits can be gained, but substantive revision is also needed due to the lack of a comprehensive set of sustainability indicators which should include social, business indicators, urban/industrial symbiosis, absolute material/energy reduction, and prevention-oriented indicators. Concerns related to barriers on implementation are also presented in this paper. The knowledge gained from Chinese efforts on CE indicators are valuable to both developed and developing natio</w:instrText>
            </w:r>
            <w:r w:rsidRPr="005205D3">
              <w:rPr>
                <w:rFonts w:ascii="Times New Roman" w:eastAsia="Times New Roman" w:hAnsi="Times New Roman" w:cs="Times New Roman"/>
                <w:color w:val="000000"/>
                <w:sz w:val="24"/>
                <w:szCs w:val="24"/>
                <w:lang w:eastAsia="nl-NL"/>
              </w:rPr>
              <w:instrText>ns seeking to implement sustainable development measures within their regulatory policies.", "author" : [ { "dropping-particle" : "", "family" : "Geng", "given" : "Yong", "non-dropping-particle" : "", "parse-names" : false, "suffix" : "" }, { "dropping-particle" : "", "family" : "Fu", "given" : "Jia", "non-dropping-particle" : "", "parse-names" : false, "suffix" : "" }, { "dropping-particle" : "", "family" : "Sarkis", "given" : "Joseph", "non-dropping-particle" : "", "parse-names" : false, "suffix" : "" }, { "dropping-particle" : "", "family" : "Xue", "given" : "Bing", "non-dropping-particle" : "", "parse-names" : false, "suffix" : "" } ], "container-title" : "Journal of Cleaner Production", "id" : "ITEM-1", "issue" : "1", "issued" : { "date-parts" : [ [ "2012" ] ] }, "number-of-pages" : "216-224", "title" : "Towards a national circular economy indicator system in China: an evaluation and critical analysis", "type" : "report", "volume" : "23" }, "locator" : "216", "uris" : [ "http://www.mendeley.com/documents/?uuid=9526ae53-ca54-38be-bc13-a6b88125bd48" ] } ], "mendeley" : { "formattedCitation" : "(Geng, Fu, Sarkis, &amp; Xue, 2012, p. 216)", "manualFormatting" : "Geng, Fu, Sarkis, &amp; Xue (2012, p. 216)", "plainTextFormattedCitation" : "(Geng, Fu, Sarkis, &amp; Xue, 2012, p. 216)", "previouslyFormattedCitation" : "(Geng, Fu, Sarkis, &amp; Xue, 2012, p. 216)" }, "properties" : { "noteIndex" : 0 }, "schema" : "https://github.com/citation-style-language/schema/raw/master/csl-citation.json" }</w:instrText>
            </w:r>
            <w:r w:rsidRPr="005205D3">
              <w:rPr>
                <w:rFonts w:ascii="Times New Roman" w:eastAsia="Times New Roman" w:hAnsi="Times New Roman" w:cs="Times New Roman"/>
                <w:color w:val="000000"/>
                <w:sz w:val="24"/>
                <w:szCs w:val="24"/>
                <w:lang w:val="nl-NL" w:eastAsia="nl-NL"/>
              </w:rPr>
              <w:fldChar w:fldCharType="separate"/>
            </w:r>
            <w:r w:rsidRPr="005205D3">
              <w:rPr>
                <w:rFonts w:ascii="Times New Roman" w:eastAsia="Times New Roman" w:hAnsi="Times New Roman" w:cs="Times New Roman"/>
                <w:noProof/>
                <w:color w:val="000000"/>
                <w:sz w:val="24"/>
                <w:szCs w:val="24"/>
                <w:lang w:eastAsia="nl-NL"/>
              </w:rPr>
              <w:t>Pfeiffer, Speck, &amp; Strassner (2017, p. 3)</w:t>
            </w:r>
            <w:r w:rsidRPr="005205D3">
              <w:rPr>
                <w:rFonts w:ascii="Times New Roman" w:eastAsia="Times New Roman" w:hAnsi="Times New Roman" w:cs="Times New Roman"/>
                <w:color w:val="000000"/>
                <w:sz w:val="24"/>
                <w:szCs w:val="24"/>
                <w:lang w:val="nl-NL" w:eastAsia="nl-NL"/>
              </w:rPr>
              <w:fldChar w:fldCharType="end"/>
            </w:r>
          </w:p>
        </w:tc>
        <w:tc>
          <w:tcPr>
            <w:tcW w:w="0" w:type="auto"/>
          </w:tcPr>
          <w:p w14:paraId="49FA6A42" w14:textId="5CF90042"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Nevertheless we can assume that a more sustainable food choice is one with a low-protein content which may be vegetarian or vegan. A sustainable meal is produced locally and contains mainly seasonal ingredients or at the very least does not contain ingredients that were shipped by plane or imported out of season. As sustainability should never provide a solely environmental point of view, a sustainable food choice should always be a healthy one [15].</w:t>
            </w:r>
          </w:p>
        </w:tc>
      </w:tr>
      <w:tr w:rsidR="009A4E0A" w:rsidRPr="0066686C" w14:paraId="5BC8358C" w14:textId="77777777" w:rsidTr="54F068BE">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0" w:type="auto"/>
            <w:noWrap/>
          </w:tcPr>
          <w:p w14:paraId="5C8A5B8C" w14:textId="1588B8A4" w:rsidR="009A4E0A" w:rsidRPr="005205D3" w:rsidRDefault="001C59EC" w:rsidP="009A4E0A">
            <w:pPr>
              <w:spacing w:before="60" w:after="60" w:line="264" w:lineRule="auto"/>
              <w:jc w:val="right"/>
              <w:rPr>
                <w:rFonts w:ascii="Times New Roman" w:eastAsia="Times New Roman" w:hAnsi="Times New Roman" w:cs="Times New Roman"/>
                <w:b w:val="0"/>
                <w:bCs w:val="0"/>
                <w:color w:val="000000"/>
                <w:sz w:val="24"/>
                <w:szCs w:val="24"/>
                <w:lang w:eastAsia="nl-NL"/>
              </w:rPr>
            </w:pPr>
            <w:r w:rsidRPr="005205D3">
              <w:rPr>
                <w:rFonts w:ascii="Times New Roman" w:eastAsia="Times New Roman" w:hAnsi="Times New Roman" w:cs="Times New Roman"/>
                <w:b w:val="0"/>
                <w:bCs w:val="0"/>
                <w:color w:val="000000" w:themeColor="text1"/>
                <w:sz w:val="24"/>
                <w:szCs w:val="24"/>
                <w:lang w:eastAsia="nl-NL"/>
              </w:rPr>
              <w:t>5</w:t>
            </w:r>
            <w:r w:rsidR="47507E20" w:rsidRPr="005205D3">
              <w:rPr>
                <w:rFonts w:ascii="Times New Roman" w:eastAsia="Times New Roman" w:hAnsi="Times New Roman" w:cs="Times New Roman"/>
                <w:b w:val="0"/>
                <w:bCs w:val="0"/>
                <w:color w:val="000000" w:themeColor="text1"/>
                <w:sz w:val="24"/>
                <w:szCs w:val="24"/>
                <w:lang w:eastAsia="nl-NL"/>
              </w:rPr>
              <w:t>3</w:t>
            </w:r>
          </w:p>
        </w:tc>
        <w:tc>
          <w:tcPr>
            <w:tcW w:w="0" w:type="auto"/>
          </w:tcPr>
          <w:p w14:paraId="42E6F2AF" w14:textId="74738A6F"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val="nl-NL" w:eastAsia="nl-NL"/>
              </w:rPr>
              <w:fldChar w:fldCharType="begin" w:fldLock="1"/>
            </w:r>
            <w:r w:rsidRPr="005205D3">
              <w:rPr>
                <w:rFonts w:ascii="Times New Roman" w:eastAsia="Times New Roman" w:hAnsi="Times New Roman" w:cs="Times New Roman"/>
                <w:color w:val="000000"/>
                <w:sz w:val="24"/>
                <w:szCs w:val="24"/>
                <w:lang w:eastAsia="nl-NL"/>
              </w:rPr>
              <w:instrText>ADDIN CSL_CITATION { "citationItems" : [ { "id" : "ITEM-1", "itemData" : { "DOI" : "10.1016/j.jclepro.2011.07.005", "ISSN" : "09596526", "abstract" : "It is widely acknowledged that China\u2019s economic miracle has been achieved at the expense of its natural capital and environment. In order to deal with this problem, the circular economy (CE) has been chosen as a national policy for sustainable development. National laws and regulations have been enacted to facilitate the implementation of CE and national CE demonstration projects have been initiated such that national benchmarking activities could be completed. China is the first country to release nationally focused CE indicators so that objective and credible information on the status of CE implementation can be recognized. These CE indicators are valuable metrics for policy and decision-makers and can help achieve CE goals and outcomes. This unique indicator system has not been communicated to international communities. This p</w:instrText>
            </w:r>
            <w:r w:rsidRPr="005205D3">
              <w:rPr>
                <w:rFonts w:ascii="Times New Roman" w:eastAsia="Times New Roman" w:hAnsi="Times New Roman" w:cs="Times New Roman"/>
                <w:color w:val="000000"/>
                <w:sz w:val="24"/>
                <w:szCs w:val="24"/>
                <w:lang w:val="nl-NL" w:eastAsia="nl-NL"/>
              </w:rPr>
              <w:instrText>aper aims to more broadly introduce this unique national CE indicator system. China\u2019s CE efforts are first detailed with various provisions of the national indicator system. A critical analysis of such an indicator system is presented. We show that certain benefits can be gained, but substantive revision is also needed due to the lack of a comprehensive set of sustainability indicators which should include social, business indicators, urban/industrial symbiosis, absolute material/energy reduction, and prevention-oriented indicators. Concerns related to barriers on implementation are also presented in this paper. The knowledge gained from Chinese efforts on CE indicators are valuable to both developed and developing natio</w:instrText>
            </w:r>
            <w:r w:rsidRPr="005205D3">
              <w:rPr>
                <w:rFonts w:ascii="Times New Roman" w:eastAsia="Times New Roman" w:hAnsi="Times New Roman" w:cs="Times New Roman"/>
                <w:color w:val="000000"/>
                <w:sz w:val="24"/>
                <w:szCs w:val="24"/>
                <w:lang w:eastAsia="nl-NL"/>
              </w:rPr>
              <w:instrText>ns seeking to implement sustainable development measures within their regulatory policies.", "author" : [ { "dropping-particle" : "", "family" : "Geng", "given" : "Yong", "non-dropping-particle" : "", "parse-names" : false, "suffix" : "" }, { "dropping-particle" : "", "family" : "Fu", "given" : "Jia", "non-dropping-particle" : "", "parse-names" : false, "suffix" : "" }, { "dropping-particle" : "", "family" : "Sarkis", "given" : "Joseph", "non-dropping-particle" : "", "parse-names" : false, "suffix" : "" }, { "dropping-particle" : "", "family" : "Xue", "given" : "Bing", "non-dropping-particle" : "", "parse-names" : false, "suffix" : "" } ], "container-title" : "Journal of Cleaner Production", "id" : "ITEM-1", "issue" : "1", "issued" : { "date-parts" : [ [ "2012" ] ] }, "number-of-pages" : "216-224", "title" : "Towards a national circular economy indicator system in China: an evaluation and critical analysis", "type" : "report", "volume" : "23" }, "locator" : "216", "uris" : [ "http://www.mendeley.com/documents/?uuid=9526ae53-ca54-38be-bc13-a6b88125bd48" ] } ], "mendeley" : { "formattedCitation" : "(Geng, Fu, Sarkis, &amp; Xue, 2012, p. 216)", "manualFormatting" : "Geng, Fu, Sarkis, &amp; Xue (2012, p. 216)", "plainTextFormattedCitation" : "(Geng, Fu, Sarkis, &amp; Xue, 2012, p. 216)", "previouslyFormattedCitation" : "(Geng, Fu, Sarkis, &amp; Xue, 2012, p. 216)" }, "properties" : { "noteIndex" : 0 }, "schema" : "https://github.com/citation-style-language/schema/raw/master/csl-citation.json" }</w:instrText>
            </w:r>
            <w:r w:rsidRPr="005205D3">
              <w:rPr>
                <w:rFonts w:ascii="Times New Roman" w:eastAsia="Times New Roman" w:hAnsi="Times New Roman" w:cs="Times New Roman"/>
                <w:color w:val="000000"/>
                <w:sz w:val="24"/>
                <w:szCs w:val="24"/>
                <w:lang w:val="nl-NL" w:eastAsia="nl-NL"/>
              </w:rPr>
              <w:fldChar w:fldCharType="separate"/>
            </w:r>
            <w:r w:rsidRPr="005205D3">
              <w:rPr>
                <w:rFonts w:ascii="Times New Roman" w:eastAsia="Times New Roman" w:hAnsi="Times New Roman" w:cs="Times New Roman"/>
                <w:noProof/>
                <w:color w:val="000000"/>
                <w:sz w:val="24"/>
                <w:szCs w:val="24"/>
                <w:lang w:eastAsia="nl-NL"/>
              </w:rPr>
              <w:t>Phan (2024, p. 1)</w:t>
            </w:r>
            <w:r w:rsidRPr="005205D3">
              <w:rPr>
                <w:rFonts w:ascii="Times New Roman" w:eastAsia="Times New Roman" w:hAnsi="Times New Roman" w:cs="Times New Roman"/>
                <w:color w:val="000000"/>
                <w:sz w:val="24"/>
                <w:szCs w:val="24"/>
                <w:lang w:val="nl-NL" w:eastAsia="nl-NL"/>
              </w:rPr>
              <w:fldChar w:fldCharType="end"/>
            </w:r>
          </w:p>
        </w:tc>
        <w:tc>
          <w:tcPr>
            <w:tcW w:w="0" w:type="auto"/>
          </w:tcPr>
          <w:p w14:paraId="30F901D6" w14:textId="0EFDAB9D"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 xml:space="preserve">Consumption is not exhausted in mere purchases of products or services (Geiger et al., 2018). It means that sustainable food consumption is not simply by purchasing (or intent to purchase) sustainable food products. What if a high percentage of organic and local products - considered sustainable food - are bought by consumers and then end up in a bin (food waste)? And what if the “sustainable” ingredients are cooked by an “unsustainable” method (e.g., waste too much energy when cooking)? We cannot simply conclude that the food consumption behaviour of one consumer is sustainable or unsustainable by just looking at their purchasing behaviour (or even their eating patterns). For this reason, the proposed framework in this research will cover all three phases of food consumption and can become a more comprehensive reference for future researchers/policymakers when conducting their sustainable food consumption studies/policies. </w:t>
            </w:r>
            <w:r w:rsidRPr="005205D3">
              <w:rPr>
                <w:rFonts w:ascii="Times New Roman" w:eastAsia="Times New Roman" w:hAnsi="Times New Roman" w:cs="Times New Roman"/>
                <w:i/>
                <w:iCs/>
                <w:color w:val="000000"/>
                <w:sz w:val="24"/>
                <w:szCs w:val="24"/>
                <w:lang w:eastAsia="nl-NL"/>
              </w:rPr>
              <w:t>(referring to acquisition, usage, and disposal).</w:t>
            </w:r>
          </w:p>
        </w:tc>
      </w:tr>
      <w:tr w:rsidR="009A4E0A" w:rsidRPr="0066686C" w14:paraId="6595D39E" w14:textId="77777777" w:rsidTr="54F068BE">
        <w:trPr>
          <w:trHeight w:val="431"/>
        </w:trPr>
        <w:tc>
          <w:tcPr>
            <w:cnfStyle w:val="001000000000" w:firstRow="0" w:lastRow="0" w:firstColumn="1" w:lastColumn="0" w:oddVBand="0" w:evenVBand="0" w:oddHBand="0" w:evenHBand="0" w:firstRowFirstColumn="0" w:firstRowLastColumn="0" w:lastRowFirstColumn="0" w:lastRowLastColumn="0"/>
            <w:tcW w:w="0" w:type="auto"/>
            <w:noWrap/>
          </w:tcPr>
          <w:p w14:paraId="2ABB2EA7" w14:textId="7ECE441C" w:rsidR="009A4E0A" w:rsidRPr="005205D3" w:rsidRDefault="001C59EC" w:rsidP="009A4E0A">
            <w:pPr>
              <w:spacing w:before="60" w:after="60" w:line="264" w:lineRule="auto"/>
              <w:jc w:val="right"/>
              <w:rPr>
                <w:rFonts w:ascii="Times New Roman" w:eastAsia="Times New Roman" w:hAnsi="Times New Roman" w:cs="Times New Roman"/>
                <w:b w:val="0"/>
                <w:bCs w:val="0"/>
                <w:color w:val="000000"/>
                <w:sz w:val="24"/>
                <w:szCs w:val="24"/>
                <w:lang w:eastAsia="nl-NL"/>
              </w:rPr>
            </w:pPr>
            <w:r w:rsidRPr="005205D3">
              <w:rPr>
                <w:rFonts w:ascii="Times New Roman" w:eastAsia="Times New Roman" w:hAnsi="Times New Roman" w:cs="Times New Roman"/>
                <w:b w:val="0"/>
                <w:bCs w:val="0"/>
                <w:color w:val="000000" w:themeColor="text1"/>
                <w:sz w:val="24"/>
                <w:szCs w:val="24"/>
                <w:lang w:eastAsia="nl-NL"/>
              </w:rPr>
              <w:lastRenderedPageBreak/>
              <w:t>5</w:t>
            </w:r>
            <w:r w:rsidR="2FBF368F" w:rsidRPr="005205D3">
              <w:rPr>
                <w:rFonts w:ascii="Times New Roman" w:eastAsia="Times New Roman" w:hAnsi="Times New Roman" w:cs="Times New Roman"/>
                <w:b w:val="0"/>
                <w:bCs w:val="0"/>
                <w:color w:val="000000" w:themeColor="text1"/>
                <w:sz w:val="24"/>
                <w:szCs w:val="24"/>
                <w:lang w:eastAsia="nl-NL"/>
              </w:rPr>
              <w:t>4</w:t>
            </w:r>
          </w:p>
        </w:tc>
        <w:tc>
          <w:tcPr>
            <w:tcW w:w="0" w:type="auto"/>
          </w:tcPr>
          <w:p w14:paraId="69F97AA2" w14:textId="4077142D"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r w:rsidRPr="005205D3">
              <w:rPr>
                <w:rFonts w:ascii="Times New Roman" w:eastAsia="Times New Roman" w:hAnsi="Times New Roman" w:cs="Times New Roman"/>
                <w:color w:val="000000"/>
                <w:sz w:val="24"/>
                <w:szCs w:val="24"/>
                <w:lang w:val="nl-NL" w:eastAsia="nl-NL"/>
              </w:rPr>
              <w:fldChar w:fldCharType="begin" w:fldLock="1"/>
            </w:r>
            <w:r w:rsidRPr="005205D3">
              <w:rPr>
                <w:rFonts w:ascii="Times New Roman" w:eastAsia="Times New Roman" w:hAnsi="Times New Roman" w:cs="Times New Roman"/>
                <w:color w:val="000000"/>
                <w:sz w:val="24"/>
                <w:szCs w:val="24"/>
                <w:lang w:eastAsia="nl-NL"/>
              </w:rPr>
              <w:instrText>ADDIN CSL_CITATION { "citationItems" : [ { "id" : "ITEM-1", "itemData" : { "DOI" : "10.1111/j.1530-9290.2008.00071.x", "ISSN" : "10881980", "author" : [ { "dropping-particle" : "", "family" : "Geng", "given" : "Yong", "non-dropping-particle" : "", "parse-names" : false, "suffix" : "" }, { "dropping-particle" : "", "family" : "Zhang", "given" : "Pan", "non-dropping-particle" : "", "parse-names" : false, "suffix" : "" }, { "dropping-particle" : "", "family" : "C\u00f4t\u00e9", "given" : "Raymond P.", "non-dropping-particle" : "", "parse-names" : false, "suffix" : "" }, { "dropping-particle" : "", "family" : "Fujita", "given" : "Tsuyoshi", "non-dropping-particle" : "", "parse-names" : false, "suffix" : "" } ], "container-title" : "Journal of Industrial Ecology", "id" : "ITEM-1", "issue" : "1", "issued" : { "date-parts" : [ [ "2009", "2" ] ] }, "page" : "15-26", "publisher" : "Blackwell Publishing Inc", "title" : "Assessment of the National Eco-Industrial Park Standard for Promoting Industrial Symbiosis in China", "type" : "article-journal", "volume" : "13" }, "locator" : "16", "uris" : [ "http://www.mendeley.com/documents/?uuid=99c70c07-5c90-3751-92b8-828739dd6b59" ] } ], "me</w:instrText>
            </w:r>
            <w:r w:rsidRPr="005205D3">
              <w:rPr>
                <w:rFonts w:ascii="Times New Roman" w:eastAsia="Times New Roman" w:hAnsi="Times New Roman" w:cs="Times New Roman"/>
                <w:color w:val="000000"/>
                <w:sz w:val="24"/>
                <w:szCs w:val="24"/>
                <w:lang w:val="nl-NL" w:eastAsia="nl-NL"/>
              </w:rPr>
              <w:instrText>ndeley" : { "formattedCitation" : "(Geng, Zhang, C\u00f4t\u00e9, &amp; Fujita, 2009, p. 16)", "manualFormatting" : "Geng, Zhang, C\u00f4t\u00e9, &amp; Fujita (2009, p. 16)", "plainTextFormattedCitation" : "(Geng, Zhang, C\u00f4t\u00e9, &amp; Fujita, 2009, p. 16)", "previouslyFormattedCitation" : "(Geng, Zhang, C\u00f4t\u00e9, &amp; Fujita, 2009, p. 16)" }, "properties" : { "noteIndex" : 0 }, "schema" : "https://github.com/citation-style-language/schema/raw/master/csl-citation.json" }</w:instrText>
            </w:r>
            <w:r w:rsidRPr="005205D3">
              <w:rPr>
                <w:rFonts w:ascii="Times New Roman" w:eastAsia="Times New Roman" w:hAnsi="Times New Roman" w:cs="Times New Roman"/>
                <w:color w:val="000000"/>
                <w:sz w:val="24"/>
                <w:szCs w:val="24"/>
                <w:lang w:val="nl-NL" w:eastAsia="nl-NL"/>
              </w:rPr>
              <w:fldChar w:fldCharType="separate"/>
            </w:r>
            <w:r w:rsidRPr="005205D3">
              <w:rPr>
                <w:rFonts w:ascii="Times New Roman" w:eastAsia="Times New Roman" w:hAnsi="Times New Roman" w:cs="Times New Roman"/>
                <w:noProof/>
                <w:color w:val="000000"/>
                <w:sz w:val="24"/>
                <w:szCs w:val="24"/>
                <w:lang w:val="nl-NL" w:eastAsia="nl-NL"/>
              </w:rPr>
              <w:t>Ran et al. (2024, p. 3)</w:t>
            </w:r>
            <w:r w:rsidRPr="005205D3">
              <w:rPr>
                <w:rFonts w:ascii="Times New Roman" w:eastAsia="Times New Roman" w:hAnsi="Times New Roman" w:cs="Times New Roman"/>
                <w:color w:val="000000"/>
                <w:sz w:val="24"/>
                <w:szCs w:val="24"/>
                <w:lang w:val="nl-NL" w:eastAsia="nl-NL"/>
              </w:rPr>
              <w:fldChar w:fldCharType="end"/>
            </w:r>
          </w:p>
        </w:tc>
        <w:tc>
          <w:tcPr>
            <w:tcW w:w="0" w:type="auto"/>
          </w:tcPr>
          <w:p w14:paraId="22E27B02" w14:textId="31753C7A"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 xml:space="preserve">(Environmentally) sustainable consumption, e.g. food consumption, was defined as the use of goods and services to respond to basic needs and improve quality of life, while </w:t>
            </w:r>
            <w:proofErr w:type="spellStart"/>
            <w:r w:rsidRPr="005205D3">
              <w:rPr>
                <w:rFonts w:ascii="Times New Roman" w:eastAsia="Times New Roman" w:hAnsi="Times New Roman" w:cs="Times New Roman"/>
                <w:color w:val="000000"/>
                <w:sz w:val="24"/>
                <w:szCs w:val="24"/>
                <w:lang w:eastAsia="nl-NL"/>
              </w:rPr>
              <w:t>minimising</w:t>
            </w:r>
            <w:proofErr w:type="spellEnd"/>
            <w:r w:rsidRPr="005205D3">
              <w:rPr>
                <w:rFonts w:ascii="Times New Roman" w:eastAsia="Times New Roman" w:hAnsi="Times New Roman" w:cs="Times New Roman"/>
                <w:color w:val="000000"/>
                <w:sz w:val="24"/>
                <w:szCs w:val="24"/>
                <w:lang w:eastAsia="nl-NL"/>
              </w:rPr>
              <w:t xml:space="preserve"> the use of natural resources, toxic materials and emissions of waste and pollutants over their life cycle [9].</w:t>
            </w:r>
          </w:p>
        </w:tc>
      </w:tr>
      <w:tr w:rsidR="009A4E0A" w:rsidRPr="0066686C" w14:paraId="3EDF217C" w14:textId="77777777" w:rsidTr="54F068BE">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0" w:type="auto"/>
            <w:noWrap/>
          </w:tcPr>
          <w:p w14:paraId="3FE430B6" w14:textId="117E3FC6" w:rsidR="009A4E0A" w:rsidRPr="005205D3" w:rsidRDefault="001C59EC" w:rsidP="009A4E0A">
            <w:pPr>
              <w:spacing w:before="60" w:after="60" w:line="264" w:lineRule="auto"/>
              <w:jc w:val="right"/>
              <w:rPr>
                <w:rFonts w:ascii="Times New Roman" w:eastAsia="Times New Roman" w:hAnsi="Times New Roman" w:cs="Times New Roman"/>
                <w:b w:val="0"/>
                <w:bCs w:val="0"/>
                <w:color w:val="000000"/>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t>5</w:t>
            </w:r>
            <w:r w:rsidR="65520FE0" w:rsidRPr="005205D3">
              <w:rPr>
                <w:rFonts w:ascii="Times New Roman" w:eastAsia="Times New Roman" w:hAnsi="Times New Roman" w:cs="Times New Roman"/>
                <w:b w:val="0"/>
                <w:bCs w:val="0"/>
                <w:color w:val="000000" w:themeColor="text1"/>
                <w:sz w:val="24"/>
                <w:szCs w:val="24"/>
                <w:lang w:val="nl-NL" w:eastAsia="nl-NL"/>
              </w:rPr>
              <w:t>5</w:t>
            </w:r>
          </w:p>
        </w:tc>
        <w:tc>
          <w:tcPr>
            <w:tcW w:w="0" w:type="auto"/>
          </w:tcPr>
          <w:p w14:paraId="302D8791" w14:textId="6624B806"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val="nl-NL" w:eastAsia="nl-NL"/>
              </w:rPr>
              <w:fldChar w:fldCharType="begin" w:fldLock="1"/>
            </w:r>
            <w:r w:rsidRPr="005205D3">
              <w:rPr>
                <w:rFonts w:ascii="Times New Roman" w:eastAsia="Times New Roman" w:hAnsi="Times New Roman" w:cs="Times New Roman"/>
                <w:color w:val="000000"/>
                <w:sz w:val="24"/>
                <w:szCs w:val="24"/>
                <w:lang w:eastAsia="nl-NL"/>
              </w:rPr>
              <w:instrText>ADDIN CSL_CITATION { "citationItems" : [ { "id" : "ITEM-1", "itemData" : { "DOI" : "10.1016/j.scitotenv.2010.07.081", "ISSN" : "00489697", "author" : [ { "dropping-particle" : "", "family" : "Geng", "given" : "Yong", "non-dropping-particle" : "", "parse-names" : false, "suffix" : "" }, { "dropping-particle" : "", "family" : "Zhang", "given" : "Pan", "non-dropping-particle" : "", "parse-names" : false, "suffix" : "" }, { "dropping-particle" : "", "family" : "Ulgiati", "given" : "Sergio", "non-dropping-particle" : "", "parse-names" : false, "suffix" : "" }, { "dropping-particle" : "", "family" : "Sarkis", "given" : "Joseph", "non-dropping-particle" : "", "parse-names" : false, "suffix" : "" } ], "container-title" : "Science of The Total Environment", "id" : "ITEM-1", "issue" : "22", "issued" : { "date-parts" : [ [ "2010", "10" ] ] }, "page" : "5273-5283", "title" : "Emergy analysis of an industrial park: The case of Dalian, China", "type" : "article-journal", "volume" : "408" }, "locator" : "5278", "uris" : [ "http://www.mendeley.com/documents/?uuid=09d8c4e0-1e97-395f-bcf8-2eeb582ab6e6" ] } ], "mendeley" : { "formattedCitation" : "(Geng, Zhang, Ulgiati, &amp; Sarkis, 2010, p. 5278)", "manualFormatting" : "Geng, Zhang, Ulgiati, &amp; Sarkis (2010, p. 5278)", "plainTextFormattedCitation" : "(Geng, Zhang, Ulgiati, &amp; Sarkis, 2010, p. 5278)", "previouslyFormattedCitation" : "(Geng, Zhang, Ulgiati, &amp; Sarkis, 2010, p. 5278)" }, "properties" : { "noteIndex" : 0 }, "schema" : "https://github.com/citation-style-language/schema/raw/master/csl-citation.json" }</w:instrText>
            </w:r>
            <w:r w:rsidRPr="005205D3">
              <w:rPr>
                <w:rFonts w:ascii="Times New Roman" w:eastAsia="Times New Roman" w:hAnsi="Times New Roman" w:cs="Times New Roman"/>
                <w:color w:val="000000"/>
                <w:sz w:val="24"/>
                <w:szCs w:val="24"/>
                <w:lang w:val="nl-NL" w:eastAsia="nl-NL"/>
              </w:rPr>
              <w:fldChar w:fldCharType="separate"/>
            </w:r>
            <w:r w:rsidRPr="005205D3">
              <w:rPr>
                <w:rFonts w:ascii="Times New Roman" w:eastAsia="Times New Roman" w:hAnsi="Times New Roman" w:cs="Times New Roman"/>
                <w:noProof/>
                <w:color w:val="000000"/>
                <w:sz w:val="24"/>
                <w:szCs w:val="24"/>
                <w:lang w:eastAsia="nl-NL"/>
              </w:rPr>
              <w:t>Randall et al. (2024, p. 3)</w:t>
            </w:r>
            <w:r w:rsidRPr="005205D3">
              <w:rPr>
                <w:rFonts w:ascii="Times New Roman" w:eastAsia="Times New Roman" w:hAnsi="Times New Roman" w:cs="Times New Roman"/>
                <w:color w:val="000000"/>
                <w:sz w:val="24"/>
                <w:szCs w:val="24"/>
                <w:lang w:val="nl-NL" w:eastAsia="nl-NL"/>
              </w:rPr>
              <w:fldChar w:fldCharType="end"/>
            </w:r>
          </w:p>
        </w:tc>
        <w:tc>
          <w:tcPr>
            <w:tcW w:w="0" w:type="auto"/>
          </w:tcPr>
          <w:p w14:paraId="5DB68A29" w14:textId="38E2B255"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A sustainable diet is a dietary pattern that promotes health and wellbeing, produces low environmental pressures, is accessible, affordable, safe, and culturally acceptable (WHO &amp; FAO, 2019). Our diets can be more sustainable by, for example, eating a vegan or vegetarian diet, reducing food waste, eating seasonally, purchasing organic products and consuming lower carbon meats (Ivanova et al., 2020).</w:t>
            </w:r>
          </w:p>
        </w:tc>
      </w:tr>
      <w:tr w:rsidR="009A4E0A" w:rsidRPr="00984A98" w14:paraId="127215E0" w14:textId="77777777" w:rsidTr="54F068BE">
        <w:trPr>
          <w:trHeight w:val="431"/>
        </w:trPr>
        <w:tc>
          <w:tcPr>
            <w:cnfStyle w:val="001000000000" w:firstRow="0" w:lastRow="0" w:firstColumn="1" w:lastColumn="0" w:oddVBand="0" w:evenVBand="0" w:oddHBand="0" w:evenHBand="0" w:firstRowFirstColumn="0" w:firstRowLastColumn="0" w:lastRowFirstColumn="0" w:lastRowLastColumn="0"/>
            <w:tcW w:w="0" w:type="auto"/>
            <w:noWrap/>
          </w:tcPr>
          <w:p w14:paraId="11145CAE" w14:textId="2CCAC573" w:rsidR="009A4E0A" w:rsidRPr="005205D3" w:rsidRDefault="001C59EC" w:rsidP="009A4E0A">
            <w:pPr>
              <w:spacing w:before="60" w:after="60" w:line="264" w:lineRule="auto"/>
              <w:jc w:val="right"/>
              <w:rPr>
                <w:rFonts w:ascii="Times New Roman" w:eastAsia="Times New Roman" w:hAnsi="Times New Roman" w:cs="Times New Roman"/>
                <w:b w:val="0"/>
                <w:bCs w:val="0"/>
                <w:color w:val="000000"/>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t>5</w:t>
            </w:r>
            <w:r w:rsidR="554196F0" w:rsidRPr="005205D3">
              <w:rPr>
                <w:rFonts w:ascii="Times New Roman" w:eastAsia="Times New Roman" w:hAnsi="Times New Roman" w:cs="Times New Roman"/>
                <w:b w:val="0"/>
                <w:bCs w:val="0"/>
                <w:color w:val="000000" w:themeColor="text1"/>
                <w:sz w:val="24"/>
                <w:szCs w:val="24"/>
                <w:lang w:val="nl-NL" w:eastAsia="nl-NL"/>
              </w:rPr>
              <w:t>6</w:t>
            </w:r>
          </w:p>
        </w:tc>
        <w:tc>
          <w:tcPr>
            <w:tcW w:w="0" w:type="auto"/>
          </w:tcPr>
          <w:p w14:paraId="55342F64" w14:textId="028FD0FA"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val="nl-NL" w:eastAsia="nl-NL"/>
              </w:rPr>
              <w:fldChar w:fldCharType="begin" w:fldLock="1"/>
            </w:r>
            <w:r w:rsidRPr="005205D3">
              <w:rPr>
                <w:rFonts w:ascii="Times New Roman" w:eastAsia="Times New Roman" w:hAnsi="Times New Roman" w:cs="Times New Roman"/>
                <w:color w:val="000000"/>
                <w:sz w:val="24"/>
                <w:szCs w:val="24"/>
                <w:lang w:val="nl-NL" w:eastAsia="nl-NL"/>
              </w:rPr>
              <w:instrText>ADDIN CSL_CITATION { "citationItems" : [ { "id" : "ITEM-1", "itemData" : { "DOI" : "10.1016/j.jclepro.2015.09.007", "ISSN" : "09596526", "abstract" : "In the last few years Circular Economy (CE) is receiving increasing attention worldwide as a way to overcome the current production and consumption model based on continuous growth and increasing resource throughput. By promoting the adoption of closing-the-loop production patterns within an economic system CE aims to increase the efficiency of resource use, with special focus on urban and industrial waste, to achieve a better balance and harmony between economy, environment and society. This study provides an extensive review of the literature of last two decades, with the purpose of grasping the main CE features and perspectives: origins, basic principles, advantages and disadvantages, modelling and implementation of CE at the different levels (micro, meso and macro) worldwide. Results evidence that CE origins are mainly rooted in ecological and environmental economics and industrial ecology. In China CE is promoted as a top-down national political objective while in other areas and countries as European Union, Japan and USA it is a tool to design bottom-up environmental and waste management policies. The ultimate goal of promoting CE is the decoupling of environmental pressure from economic growth. The implementation of CE worldwide still seems in the early stages, mainly focused on recycle rather than reuse. Important results have been achieved in some activity sectors (e.g. in waste management, where large waste recycling rates are achieved in selected developed countries). CE implies the adoption of cleaner production patterns at company level, an increase of producers and consumers responsibility and awareness, the use of renewable technologies and materials (wherever possible) as well as the adoption of suitable, clear and stable policies and tools. The lesson learned from successful experiences is that the transition towards CE comes from the involvement of all actors of the society and their capacity to link and create suitable collaboration and exchange patterns. Success stories also point out the need for an economic return on investment, in order to provide suitable motivation to companies and investors. In summary, the CE transition has just started. Moreover, the interdisciplinary framework underpinning CE offers good prospects for gradual i</w:instrText>
            </w:r>
            <w:r w:rsidRPr="005205D3">
              <w:rPr>
                <w:rFonts w:ascii="Times New Roman" w:eastAsia="Times New Roman" w:hAnsi="Times New Roman" w:cs="Times New Roman"/>
                <w:color w:val="000000"/>
                <w:sz w:val="24"/>
                <w:szCs w:val="24"/>
                <w:lang w:eastAsia="nl-NL"/>
              </w:rPr>
              <w:instrText>mprovement of the present production and consumption models, no longer adequate because of their environmental load and social inequity, a clear indicator of resource use inefficiency.", "author" : [ { "dropping-particle" : "", "family" : "Ghisellini", "given" : "Patrizia", "non-dropping-particle" : "", "parse-names" : false, "suffix" : "" }, { "dropping-particle" : "", "family" : "Cialani", "given" : "Catia", "non-dropping-particle" : "", "parse-names" : false, "suffix" : "" }, { "dropping-particle" : "", "family" : "Ulgiati", "given" : "Sergio", "non-dropping-particle" : "", "parse-names" : false, "suffix" : "" } ], "container-title" : "Journal of Cleaner Production", "id" : "ITEM-1", "issued" : { "date-parts" : [ [ "2016", "2" ] ] }, "page" : "11-32", "title" : "A review on circular economy: the expected transition to a balanced interplay of environmental and economic systems", "type" : "article-journal", "volume" : "114" }, "locator" : "4", "uris" : [ "http://www.mendeley.com/documents/?uuid=00d24203-1062-4298-aab2-83e98f1581ea" ] } ], "mendeley" : { "formattedCitation" : "(Ghisellini, Cialani, &amp; Ulgiati, 2016, p. 4)", "manualFormatting" : "Ghisellini, Cialani, &amp; Ulgiati (2016, p. 4)", "plainTextFormattedCitation" : "(Ghisellini, Cialani, &amp; Ulgiati, 2016, p. 4)", "previouslyFormattedCitation" : "(Ghisellini, Cialani, &amp; Ulgiati, 2016, p. 4)" }, "properties" : { "noteIndex" : 0 }, "schema" : "https://github.com/citation-style-language/schema/raw/master/csl-citation.json" }</w:instrText>
            </w:r>
            <w:r w:rsidRPr="005205D3">
              <w:rPr>
                <w:rFonts w:ascii="Times New Roman" w:eastAsia="Times New Roman" w:hAnsi="Times New Roman" w:cs="Times New Roman"/>
                <w:color w:val="000000"/>
                <w:sz w:val="24"/>
                <w:szCs w:val="24"/>
                <w:lang w:val="nl-NL" w:eastAsia="nl-NL"/>
              </w:rPr>
              <w:fldChar w:fldCharType="separate"/>
            </w:r>
            <w:r w:rsidRPr="005205D3">
              <w:rPr>
                <w:rFonts w:ascii="Times New Roman" w:eastAsia="Times New Roman" w:hAnsi="Times New Roman" w:cs="Times New Roman"/>
                <w:noProof/>
                <w:color w:val="000000"/>
                <w:sz w:val="24"/>
                <w:szCs w:val="24"/>
                <w:lang w:eastAsia="nl-NL"/>
              </w:rPr>
              <w:t>Reisch, Eberle, &amp; Lorek (2013, p. 8)</w:t>
            </w:r>
            <w:r w:rsidRPr="005205D3">
              <w:rPr>
                <w:rFonts w:ascii="Times New Roman" w:eastAsia="Times New Roman" w:hAnsi="Times New Roman" w:cs="Times New Roman"/>
                <w:color w:val="000000"/>
                <w:sz w:val="24"/>
                <w:szCs w:val="24"/>
                <w:lang w:val="nl-NL" w:eastAsia="nl-NL"/>
              </w:rPr>
              <w:fldChar w:fldCharType="end"/>
            </w:r>
          </w:p>
        </w:tc>
        <w:tc>
          <w:tcPr>
            <w:tcW w:w="0" w:type="auto"/>
          </w:tcPr>
          <w:p w14:paraId="4E0AE14D" w14:textId="382A8B4B"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 xml:space="preserve">There is as yet no commonly agreed upon definition of sustainable food consumption. Perhaps the most encompassing attempt is that introduced by the UK Sustainable Development Commission (2005; 2009), defining “sustainable food and drink” as that which is safe, healthy, and nutritious for consumers in shops, restaurants, schools, hospitals, and so forth; can meet the needs of the less well off at a global scale; provides a viable livelihood for farmers, processors, and retailers whose employees enjoy a safe and hygienic working environment; respects biophysical and environmental limits in its production and processing while reducing energy consumption and improving the wider environment; respects the highest standards of animal health and welfare compatible with the production of affordable food for all sectors of society; and supports rural economies and the diversity of rural culture, in particular by emphasizing local products that minimize food miles. Other researchers have also pointed out that sustainable food styles must fit into people’s everyday lifestyles (i.e., must be “feasible,” available, affordable, and accessible) and should allow for sociocultural diversity (Eberle et al. 2006). </w:t>
            </w:r>
          </w:p>
        </w:tc>
      </w:tr>
      <w:tr w:rsidR="009A4E0A" w:rsidRPr="00984A98" w14:paraId="298335A9" w14:textId="77777777" w:rsidTr="54F068BE">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0" w:type="auto"/>
            <w:noWrap/>
          </w:tcPr>
          <w:p w14:paraId="5263B072" w14:textId="7EF1BCB5" w:rsidR="009A4E0A" w:rsidRPr="005205D3" w:rsidRDefault="001C59EC" w:rsidP="009A4E0A">
            <w:pPr>
              <w:spacing w:before="60" w:after="60" w:line="264" w:lineRule="auto"/>
              <w:jc w:val="right"/>
              <w:rPr>
                <w:rFonts w:ascii="Times New Roman" w:eastAsia="Times New Roman" w:hAnsi="Times New Roman" w:cs="Times New Roman"/>
                <w:b w:val="0"/>
                <w:bCs w:val="0"/>
                <w:color w:val="000000"/>
                <w:sz w:val="24"/>
                <w:szCs w:val="24"/>
                <w:lang w:eastAsia="nl-NL"/>
              </w:rPr>
            </w:pPr>
            <w:r w:rsidRPr="005205D3">
              <w:rPr>
                <w:rFonts w:ascii="Times New Roman" w:eastAsia="Times New Roman" w:hAnsi="Times New Roman" w:cs="Times New Roman"/>
                <w:b w:val="0"/>
                <w:bCs w:val="0"/>
                <w:color w:val="000000" w:themeColor="text1"/>
                <w:sz w:val="24"/>
                <w:szCs w:val="24"/>
                <w:lang w:eastAsia="nl-NL"/>
              </w:rPr>
              <w:t>5</w:t>
            </w:r>
            <w:r w:rsidR="529A76A3" w:rsidRPr="005205D3">
              <w:rPr>
                <w:rFonts w:ascii="Times New Roman" w:eastAsia="Times New Roman" w:hAnsi="Times New Roman" w:cs="Times New Roman"/>
                <w:b w:val="0"/>
                <w:bCs w:val="0"/>
                <w:color w:val="000000" w:themeColor="text1"/>
                <w:sz w:val="24"/>
                <w:szCs w:val="24"/>
                <w:lang w:eastAsia="nl-NL"/>
              </w:rPr>
              <w:t>7</w:t>
            </w:r>
          </w:p>
        </w:tc>
        <w:tc>
          <w:tcPr>
            <w:tcW w:w="0" w:type="auto"/>
          </w:tcPr>
          <w:p w14:paraId="5574DE0E" w14:textId="58437723" w:rsidR="009A4E0A" w:rsidRPr="00D138CB" w:rsidRDefault="10F224D2"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proofErr w:type="spellStart"/>
            <w:r w:rsidRPr="00D138CB">
              <w:rPr>
                <w:rFonts w:ascii="Times New Roman" w:eastAsia="Times New Roman" w:hAnsi="Times New Roman" w:cs="Times New Roman"/>
                <w:sz w:val="24"/>
                <w:szCs w:val="24"/>
              </w:rPr>
              <w:t>Rijksinstituut</w:t>
            </w:r>
            <w:proofErr w:type="spellEnd"/>
            <w:r w:rsidRPr="00D138CB">
              <w:rPr>
                <w:rFonts w:ascii="Times New Roman" w:eastAsia="Times New Roman" w:hAnsi="Times New Roman" w:cs="Times New Roman"/>
                <w:sz w:val="24"/>
                <w:szCs w:val="24"/>
              </w:rPr>
              <w:t xml:space="preserve"> </w:t>
            </w:r>
            <w:proofErr w:type="spellStart"/>
            <w:r w:rsidRPr="00D138CB">
              <w:rPr>
                <w:rFonts w:ascii="Times New Roman" w:eastAsia="Times New Roman" w:hAnsi="Times New Roman" w:cs="Times New Roman"/>
                <w:sz w:val="24"/>
                <w:szCs w:val="24"/>
              </w:rPr>
              <w:t>voor</w:t>
            </w:r>
            <w:proofErr w:type="spellEnd"/>
            <w:r w:rsidRPr="00D138CB">
              <w:rPr>
                <w:rFonts w:ascii="Times New Roman" w:eastAsia="Times New Roman" w:hAnsi="Times New Roman" w:cs="Times New Roman"/>
                <w:sz w:val="24"/>
                <w:szCs w:val="24"/>
              </w:rPr>
              <w:t xml:space="preserve"> </w:t>
            </w:r>
            <w:proofErr w:type="spellStart"/>
            <w:r w:rsidRPr="00D138CB">
              <w:rPr>
                <w:rFonts w:ascii="Times New Roman" w:eastAsia="Times New Roman" w:hAnsi="Times New Roman" w:cs="Times New Roman"/>
                <w:sz w:val="24"/>
                <w:szCs w:val="24"/>
              </w:rPr>
              <w:t>Volksgezondheid</w:t>
            </w:r>
            <w:proofErr w:type="spellEnd"/>
            <w:r w:rsidRPr="00D138CB">
              <w:rPr>
                <w:rFonts w:ascii="Times New Roman" w:eastAsia="Times New Roman" w:hAnsi="Times New Roman" w:cs="Times New Roman"/>
                <w:sz w:val="24"/>
                <w:szCs w:val="24"/>
              </w:rPr>
              <w:t xml:space="preserve"> </w:t>
            </w:r>
            <w:proofErr w:type="spellStart"/>
            <w:r w:rsidRPr="00D138CB">
              <w:rPr>
                <w:rFonts w:ascii="Times New Roman" w:eastAsia="Times New Roman" w:hAnsi="Times New Roman" w:cs="Times New Roman"/>
                <w:sz w:val="24"/>
                <w:szCs w:val="24"/>
              </w:rPr>
              <w:t>en</w:t>
            </w:r>
            <w:proofErr w:type="spellEnd"/>
            <w:r w:rsidRPr="00D138CB">
              <w:rPr>
                <w:rFonts w:ascii="Times New Roman" w:eastAsia="Times New Roman" w:hAnsi="Times New Roman" w:cs="Times New Roman"/>
                <w:sz w:val="24"/>
                <w:szCs w:val="24"/>
              </w:rPr>
              <w:t xml:space="preserve"> Milieu (</w:t>
            </w:r>
            <w:r w:rsidR="63670EF1" w:rsidRPr="00D138CB">
              <w:rPr>
                <w:rFonts w:ascii="Times New Roman" w:eastAsia="Times New Roman" w:hAnsi="Times New Roman" w:cs="Times New Roman"/>
                <w:color w:val="000000" w:themeColor="text1"/>
                <w:sz w:val="24"/>
                <w:szCs w:val="24"/>
                <w:lang w:eastAsia="nl-NL"/>
              </w:rPr>
              <w:t>RIVM</w:t>
            </w:r>
            <w:r w:rsidR="5B976785" w:rsidRPr="00D138CB">
              <w:rPr>
                <w:rFonts w:ascii="Times New Roman" w:eastAsia="Times New Roman" w:hAnsi="Times New Roman" w:cs="Times New Roman"/>
                <w:color w:val="000000" w:themeColor="text1"/>
                <w:sz w:val="24"/>
                <w:szCs w:val="24"/>
                <w:lang w:eastAsia="nl-NL"/>
              </w:rPr>
              <w:t>)</w:t>
            </w:r>
            <w:r w:rsidR="63670EF1" w:rsidRPr="00D138CB">
              <w:rPr>
                <w:rFonts w:ascii="Times New Roman" w:eastAsia="Times New Roman" w:hAnsi="Times New Roman" w:cs="Times New Roman"/>
                <w:color w:val="000000" w:themeColor="text1"/>
                <w:sz w:val="24"/>
                <w:szCs w:val="24"/>
                <w:lang w:eastAsia="nl-NL"/>
              </w:rPr>
              <w:t xml:space="preserve"> (n.d.)</w:t>
            </w:r>
          </w:p>
        </w:tc>
        <w:tc>
          <w:tcPr>
            <w:tcW w:w="0" w:type="auto"/>
          </w:tcPr>
          <w:p w14:paraId="3163381C" w14:textId="77777777"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Food production has an impact on the environment. This is due to the use of fossil energy, fertilizers, pesticides, land and water and the depletion of soil . Sustainable food both protects ecological systems and meets people’s existing and future nutrition needs.</w:t>
            </w:r>
          </w:p>
          <w:p w14:paraId="7F77945A" w14:textId="3202AB87"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(https://www.rivm.nl/en/food-and-nutrition/sustainable-food)</w:t>
            </w:r>
          </w:p>
        </w:tc>
      </w:tr>
      <w:tr w:rsidR="009A4E0A" w:rsidRPr="00984A98" w14:paraId="54F9F4A3" w14:textId="77777777" w:rsidTr="54F068BE">
        <w:trPr>
          <w:trHeight w:val="431"/>
        </w:trPr>
        <w:tc>
          <w:tcPr>
            <w:cnfStyle w:val="001000000000" w:firstRow="0" w:lastRow="0" w:firstColumn="1" w:lastColumn="0" w:oddVBand="0" w:evenVBand="0" w:oddHBand="0" w:evenHBand="0" w:firstRowFirstColumn="0" w:firstRowLastColumn="0" w:lastRowFirstColumn="0" w:lastRowLastColumn="0"/>
            <w:tcW w:w="0" w:type="auto"/>
            <w:noWrap/>
          </w:tcPr>
          <w:p w14:paraId="3DBDF01E" w14:textId="67A114BC" w:rsidR="009A4E0A" w:rsidRPr="005205D3" w:rsidRDefault="001C59EC" w:rsidP="009A4E0A">
            <w:pPr>
              <w:spacing w:before="60" w:after="60" w:line="264" w:lineRule="auto"/>
              <w:jc w:val="right"/>
              <w:rPr>
                <w:rFonts w:ascii="Times New Roman" w:eastAsia="Times New Roman" w:hAnsi="Times New Roman" w:cs="Times New Roman"/>
                <w:b w:val="0"/>
                <w:bCs w:val="0"/>
                <w:color w:val="000000"/>
                <w:sz w:val="24"/>
                <w:szCs w:val="24"/>
                <w:lang w:eastAsia="nl-NL"/>
              </w:rPr>
            </w:pPr>
            <w:r w:rsidRPr="005205D3">
              <w:rPr>
                <w:rFonts w:ascii="Times New Roman" w:eastAsia="Times New Roman" w:hAnsi="Times New Roman" w:cs="Times New Roman"/>
                <w:b w:val="0"/>
                <w:bCs w:val="0"/>
                <w:color w:val="000000" w:themeColor="text1"/>
                <w:sz w:val="24"/>
                <w:szCs w:val="24"/>
                <w:lang w:eastAsia="nl-NL"/>
              </w:rPr>
              <w:t>5</w:t>
            </w:r>
            <w:r w:rsidR="40162671" w:rsidRPr="005205D3">
              <w:rPr>
                <w:rFonts w:ascii="Times New Roman" w:eastAsia="Times New Roman" w:hAnsi="Times New Roman" w:cs="Times New Roman"/>
                <w:b w:val="0"/>
                <w:bCs w:val="0"/>
                <w:color w:val="000000" w:themeColor="text1"/>
                <w:sz w:val="24"/>
                <w:szCs w:val="24"/>
                <w:lang w:eastAsia="nl-NL"/>
              </w:rPr>
              <w:t>8</w:t>
            </w:r>
          </w:p>
        </w:tc>
        <w:tc>
          <w:tcPr>
            <w:tcW w:w="0" w:type="auto"/>
          </w:tcPr>
          <w:p w14:paraId="3AB17C26" w14:textId="3ECADAB3"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val="nl-NL" w:eastAsia="nl-NL"/>
              </w:rPr>
              <w:fldChar w:fldCharType="begin" w:fldLock="1"/>
            </w:r>
            <w:r w:rsidRPr="005205D3">
              <w:rPr>
                <w:rFonts w:ascii="Times New Roman" w:eastAsia="Times New Roman" w:hAnsi="Times New Roman" w:cs="Times New Roman"/>
                <w:color w:val="000000"/>
                <w:sz w:val="24"/>
                <w:szCs w:val="24"/>
                <w:lang w:eastAsia="nl-NL"/>
              </w:rPr>
              <w:instrText>ADDIN CSL_CITATION { "citationItems" : [ { "id" : "ITEM-1", "itemData" : { "DOI" : "10.1111/jiec.12585", "ISSN" : "10881980", "author" : [ { "dropping-particle" : "", "family" : "Goldberg", "given" : "Terri", "non-dropping-particle" : "", "parse-names" : false, "suffix" : "" } ], "container-title" : "Journal of Industrial Ecology", "id" : "ITEM-1", "issue" : "3", "issued" : { "date-parts" : [ [ "2017", "6", "1" ] ] }, "page" : "491-493", "title" : "What about the Circularity of Hazardous Materials?", "type" : "article-journal", "volume" : "21" }, "uris" : [ "http://www.mendeley.com/documents/?uuid=06ca445a-534b-3293-9895-7d624978dc8c" ] } ], "mendeley" : { "formattedCitation" : "(Goldberg, 2017)", "manualFormatting" : "Goldberg (2017, p. 491)", "plainTextFormattedCitation" : "(Goldberg, 2017)", "previouslyFormattedCitation" : "(Goldberg, 2017)" }, "properties" : { "noteIndex" : 0 }, "schema" : "https://github.com/citation-style-language/schema/raw/master/csl-citation.json" }</w:instrText>
            </w:r>
            <w:r w:rsidRPr="005205D3">
              <w:rPr>
                <w:rFonts w:ascii="Times New Roman" w:eastAsia="Times New Roman" w:hAnsi="Times New Roman" w:cs="Times New Roman"/>
                <w:color w:val="000000"/>
                <w:sz w:val="24"/>
                <w:szCs w:val="24"/>
                <w:lang w:val="nl-NL" w:eastAsia="nl-NL"/>
              </w:rPr>
              <w:fldChar w:fldCharType="separate"/>
            </w:r>
            <w:r w:rsidRPr="005205D3">
              <w:rPr>
                <w:rFonts w:ascii="Times New Roman" w:eastAsia="Times New Roman" w:hAnsi="Times New Roman" w:cs="Times New Roman"/>
                <w:noProof/>
                <w:color w:val="000000"/>
                <w:sz w:val="24"/>
                <w:szCs w:val="24"/>
                <w:lang w:eastAsia="nl-NL"/>
              </w:rPr>
              <w:t>Sargant (2014, p. 19)</w:t>
            </w:r>
            <w:r w:rsidRPr="005205D3">
              <w:rPr>
                <w:rFonts w:ascii="Times New Roman" w:eastAsia="Times New Roman" w:hAnsi="Times New Roman" w:cs="Times New Roman"/>
                <w:color w:val="000000"/>
                <w:sz w:val="24"/>
                <w:szCs w:val="24"/>
                <w:lang w:val="nl-NL" w:eastAsia="nl-NL"/>
              </w:rPr>
              <w:fldChar w:fldCharType="end"/>
            </w:r>
          </w:p>
        </w:tc>
        <w:tc>
          <w:tcPr>
            <w:tcW w:w="0" w:type="auto"/>
          </w:tcPr>
          <w:p w14:paraId="45F4A20F" w14:textId="591A4470"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 xml:space="preserve">Taking a more </w:t>
            </w:r>
            <w:r w:rsidRPr="005205D3">
              <w:rPr>
                <w:rFonts w:ascii="Times New Roman" w:eastAsia="Times New Roman" w:hAnsi="Times New Roman" w:cs="Times New Roman"/>
                <w:b/>
                <w:bCs/>
                <w:color w:val="000000"/>
                <w:sz w:val="24"/>
                <w:szCs w:val="24"/>
                <w:lang w:eastAsia="nl-NL"/>
              </w:rPr>
              <w:t>contextual</w:t>
            </w:r>
            <w:r w:rsidRPr="005205D3">
              <w:rPr>
                <w:rFonts w:ascii="Times New Roman" w:eastAsia="Times New Roman" w:hAnsi="Times New Roman" w:cs="Times New Roman"/>
                <w:color w:val="000000"/>
                <w:sz w:val="24"/>
                <w:szCs w:val="24"/>
                <w:lang w:eastAsia="nl-NL"/>
              </w:rPr>
              <w:t xml:space="preserve"> perspective on sustainable development of food consumption is also important because aside from unsustainable food practices, unhealthy food consumption is a major problem in society today. In the Netherlands obesity is a growing problem under adults and children and less healthy diets are seen especially within the lower socio-economic classes (Jansen et al., 2002; </w:t>
            </w:r>
            <w:proofErr w:type="spellStart"/>
            <w:r w:rsidRPr="005205D3">
              <w:rPr>
                <w:rFonts w:ascii="Times New Roman" w:eastAsia="Times New Roman" w:hAnsi="Times New Roman" w:cs="Times New Roman"/>
                <w:color w:val="000000"/>
                <w:sz w:val="24"/>
                <w:szCs w:val="24"/>
                <w:lang w:eastAsia="nl-NL"/>
              </w:rPr>
              <w:t>Kreijl</w:t>
            </w:r>
            <w:proofErr w:type="spellEnd"/>
            <w:r w:rsidRPr="005205D3">
              <w:rPr>
                <w:rFonts w:ascii="Times New Roman" w:eastAsia="Times New Roman" w:hAnsi="Times New Roman" w:cs="Times New Roman"/>
                <w:color w:val="000000"/>
                <w:sz w:val="24"/>
                <w:szCs w:val="24"/>
                <w:lang w:eastAsia="nl-NL"/>
              </w:rPr>
              <w:t>, 2004). Here the lack in fresh vegetables and fruit intake and the excess intake of high-energy foods are two major causes of dietary deficiency (</w:t>
            </w:r>
            <w:proofErr w:type="spellStart"/>
            <w:r w:rsidRPr="005205D3">
              <w:rPr>
                <w:rFonts w:ascii="Times New Roman" w:eastAsia="Times New Roman" w:hAnsi="Times New Roman" w:cs="Times New Roman"/>
                <w:color w:val="000000"/>
                <w:sz w:val="24"/>
                <w:szCs w:val="24"/>
                <w:lang w:eastAsia="nl-NL"/>
              </w:rPr>
              <w:t>Kreijl</w:t>
            </w:r>
            <w:proofErr w:type="spellEnd"/>
            <w:r w:rsidRPr="005205D3">
              <w:rPr>
                <w:rFonts w:ascii="Times New Roman" w:eastAsia="Times New Roman" w:hAnsi="Times New Roman" w:cs="Times New Roman"/>
                <w:color w:val="000000"/>
                <w:sz w:val="24"/>
                <w:szCs w:val="24"/>
                <w:lang w:eastAsia="nl-NL"/>
              </w:rPr>
              <w:t xml:space="preserve">, 2004; </w:t>
            </w:r>
            <w:r w:rsidRPr="005205D3">
              <w:rPr>
                <w:rFonts w:ascii="Times New Roman" w:eastAsia="Times New Roman" w:hAnsi="Times New Roman" w:cs="Times New Roman"/>
                <w:color w:val="000000"/>
                <w:sz w:val="24"/>
                <w:szCs w:val="24"/>
                <w:lang w:eastAsia="nl-NL"/>
              </w:rPr>
              <w:lastRenderedPageBreak/>
              <w:t>WHO, 2002).8 Studies have indicated that our ‘</w:t>
            </w:r>
            <w:proofErr w:type="spellStart"/>
            <w:r w:rsidRPr="005205D3">
              <w:rPr>
                <w:rFonts w:ascii="Times New Roman" w:eastAsia="Times New Roman" w:hAnsi="Times New Roman" w:cs="Times New Roman"/>
                <w:color w:val="000000"/>
                <w:sz w:val="24"/>
                <w:szCs w:val="24"/>
                <w:lang w:eastAsia="nl-NL"/>
              </w:rPr>
              <w:t>obsogenic</w:t>
            </w:r>
            <w:proofErr w:type="spellEnd"/>
            <w:r w:rsidRPr="005205D3">
              <w:rPr>
                <w:rFonts w:ascii="Times New Roman" w:eastAsia="Times New Roman" w:hAnsi="Times New Roman" w:cs="Times New Roman"/>
                <w:color w:val="000000"/>
                <w:sz w:val="24"/>
                <w:szCs w:val="24"/>
                <w:lang w:eastAsia="nl-NL"/>
              </w:rPr>
              <w:t>’ environment promotes unhealthy eating patterns (</w:t>
            </w:r>
            <w:proofErr w:type="spellStart"/>
            <w:r w:rsidRPr="005205D3">
              <w:rPr>
                <w:rFonts w:ascii="Times New Roman" w:eastAsia="Times New Roman" w:hAnsi="Times New Roman" w:cs="Times New Roman"/>
                <w:color w:val="000000"/>
                <w:sz w:val="24"/>
                <w:szCs w:val="24"/>
                <w:lang w:eastAsia="nl-NL"/>
              </w:rPr>
              <w:t>Dagevos</w:t>
            </w:r>
            <w:proofErr w:type="spellEnd"/>
            <w:r w:rsidRPr="005205D3">
              <w:rPr>
                <w:rFonts w:ascii="Times New Roman" w:eastAsia="Times New Roman" w:hAnsi="Times New Roman" w:cs="Times New Roman"/>
                <w:color w:val="000000"/>
                <w:sz w:val="24"/>
                <w:szCs w:val="24"/>
                <w:lang w:eastAsia="nl-NL"/>
              </w:rPr>
              <w:t xml:space="preserve"> &amp; </w:t>
            </w:r>
            <w:proofErr w:type="spellStart"/>
            <w:r w:rsidRPr="005205D3">
              <w:rPr>
                <w:rFonts w:ascii="Times New Roman" w:eastAsia="Times New Roman" w:hAnsi="Times New Roman" w:cs="Times New Roman"/>
                <w:color w:val="000000"/>
                <w:sz w:val="24"/>
                <w:szCs w:val="24"/>
                <w:lang w:eastAsia="nl-NL"/>
              </w:rPr>
              <w:t>Munnichs</w:t>
            </w:r>
            <w:proofErr w:type="spellEnd"/>
            <w:r w:rsidRPr="005205D3">
              <w:rPr>
                <w:rFonts w:ascii="Times New Roman" w:eastAsia="Times New Roman" w:hAnsi="Times New Roman" w:cs="Times New Roman"/>
                <w:color w:val="000000"/>
                <w:sz w:val="24"/>
                <w:szCs w:val="24"/>
                <w:lang w:eastAsia="nl-NL"/>
              </w:rPr>
              <w:t xml:space="preserve">, 2007; </w:t>
            </w:r>
            <w:proofErr w:type="spellStart"/>
            <w:r w:rsidRPr="005205D3">
              <w:rPr>
                <w:rFonts w:ascii="Times New Roman" w:eastAsia="Times New Roman" w:hAnsi="Times New Roman" w:cs="Times New Roman"/>
                <w:color w:val="000000"/>
                <w:sz w:val="24"/>
                <w:szCs w:val="24"/>
                <w:lang w:eastAsia="nl-NL"/>
              </w:rPr>
              <w:t>Gezondheidsraad</w:t>
            </w:r>
            <w:proofErr w:type="spellEnd"/>
            <w:r w:rsidRPr="005205D3">
              <w:rPr>
                <w:rFonts w:ascii="Times New Roman" w:eastAsia="Times New Roman" w:hAnsi="Times New Roman" w:cs="Times New Roman"/>
                <w:color w:val="000000"/>
                <w:sz w:val="24"/>
                <w:szCs w:val="24"/>
                <w:lang w:eastAsia="nl-NL"/>
              </w:rPr>
              <w:t xml:space="preserve">, 2003), and that the availability and accessibility of healthy foods is paramount in promoting healthier eating patterns (Brug &amp; Lenthe, 2005; Kamphuis et al., 2006). Indeed, the great demand for convenient-to-use food products and meal-components both within households and in the food services and catering industry (Bava et al., 2008; Carrigan et al., 2006; Lang, 2004; Regmi et al., 2005), means less food is made with fresh ingredients and often contains too high levels of added salt and sugar (FNLI, 2008; </w:t>
            </w:r>
            <w:proofErr w:type="spellStart"/>
            <w:r w:rsidRPr="005205D3">
              <w:rPr>
                <w:rFonts w:ascii="Times New Roman" w:eastAsia="Times New Roman" w:hAnsi="Times New Roman" w:cs="Times New Roman"/>
                <w:color w:val="000000"/>
                <w:sz w:val="24"/>
                <w:szCs w:val="24"/>
                <w:lang w:eastAsia="nl-NL"/>
              </w:rPr>
              <w:t>Gezondheidsraad</w:t>
            </w:r>
            <w:proofErr w:type="spellEnd"/>
            <w:r w:rsidRPr="005205D3">
              <w:rPr>
                <w:rFonts w:ascii="Times New Roman" w:eastAsia="Times New Roman" w:hAnsi="Times New Roman" w:cs="Times New Roman"/>
                <w:color w:val="000000"/>
                <w:sz w:val="24"/>
                <w:szCs w:val="24"/>
                <w:lang w:eastAsia="nl-NL"/>
              </w:rPr>
              <w:t>, 2006). Issues of food sustainability and dietary health are connected, although they are not often approached as such.</w:t>
            </w:r>
          </w:p>
        </w:tc>
      </w:tr>
      <w:tr w:rsidR="009A4E0A" w:rsidRPr="00984A98" w14:paraId="06D5D8C2" w14:textId="77777777" w:rsidTr="54F068BE">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0" w:type="auto"/>
            <w:noWrap/>
          </w:tcPr>
          <w:p w14:paraId="142AED3B" w14:textId="4C76F92F" w:rsidR="009A4E0A" w:rsidRPr="005205D3" w:rsidRDefault="001C59EC" w:rsidP="009A4E0A">
            <w:pPr>
              <w:spacing w:before="60" w:after="60" w:line="264" w:lineRule="auto"/>
              <w:jc w:val="right"/>
              <w:rPr>
                <w:rFonts w:ascii="Times New Roman" w:eastAsia="Times New Roman" w:hAnsi="Times New Roman" w:cs="Times New Roman"/>
                <w:b w:val="0"/>
                <w:bCs w:val="0"/>
                <w:color w:val="000000"/>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lastRenderedPageBreak/>
              <w:t>5</w:t>
            </w:r>
            <w:r w:rsidR="04FB6AC2" w:rsidRPr="005205D3">
              <w:rPr>
                <w:rFonts w:ascii="Times New Roman" w:eastAsia="Times New Roman" w:hAnsi="Times New Roman" w:cs="Times New Roman"/>
                <w:b w:val="0"/>
                <w:bCs w:val="0"/>
                <w:color w:val="000000" w:themeColor="text1"/>
                <w:sz w:val="24"/>
                <w:szCs w:val="24"/>
                <w:lang w:val="nl-NL" w:eastAsia="nl-NL"/>
              </w:rPr>
              <w:t>9</w:t>
            </w:r>
          </w:p>
        </w:tc>
        <w:tc>
          <w:tcPr>
            <w:tcW w:w="0" w:type="auto"/>
          </w:tcPr>
          <w:p w14:paraId="4DDBA602" w14:textId="60DAB1B7"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r w:rsidRPr="005205D3">
              <w:rPr>
                <w:rFonts w:ascii="Times New Roman" w:eastAsia="Times New Roman" w:hAnsi="Times New Roman" w:cs="Times New Roman"/>
                <w:color w:val="000000"/>
                <w:sz w:val="24"/>
                <w:szCs w:val="24"/>
                <w:lang w:val="nl-NL" w:eastAsia="nl-NL"/>
              </w:rPr>
              <w:fldChar w:fldCharType="begin" w:fldLock="1"/>
            </w:r>
            <w:r w:rsidRPr="005205D3">
              <w:rPr>
                <w:rFonts w:ascii="Times New Roman" w:eastAsia="Times New Roman" w:hAnsi="Times New Roman" w:cs="Times New Roman"/>
                <w:color w:val="000000"/>
                <w:sz w:val="24"/>
                <w:szCs w:val="24"/>
                <w:lang w:val="nl-NL" w:eastAsia="nl-NL"/>
              </w:rPr>
              <w:instrText>ADDIN CSL_CITATION { "citationItems" : [ { "id" : "ITEM-1", "itemData" : { "DOI" : "10.1111/jiec.12506", "ISSN" : "10881980", "author" : [ { "dropping-particle" : "", "family" : "Haupt", "given" : "Melanie", "non-dropping-particle" : "", "parse-names" : false, "suffix" : "" }, { "dropping-particle" : "", "family" : "Vadenbo", "given" : "Carl", "non-dropping-particle" : "", "parse-names" : false, "suffix" : "" }, { "dropping-particle" : "", "family" : "Hellweg", "given" : "Stefanie", "non-dropping-particle" : "", "parse-names" : false, "suffix" : "" } ], "container-title" : "Journal of Industrial Ecology", "id" : "ITEM-1", "issue" : "3", "issued" : { "date-parts" : [ [ "2017", "6", "1" ] ] }, "page" : "615-627", "title" : "Do We Have the Right Performance Indicators for the Circular Economy?: Insight into the Swiss Waste Management System", "type" : "article-journal", "volume" : "21" }, "uris" : [ "http://www.mendeley.com/documents/?uuid=f5f4720d-45ce-3243-9283-e30330d197b9" ] } ], "mendeley" : { "formattedCitation" : "(Haupt, Vadenbo, &amp; Hellweg, 2017)", "manualFormatting" : "Haupt, Vadenbo, &amp; Hellweg (2017, p. 615)", "plainTextFormattedCitation" : "(Haupt, Vadenbo, &amp; Hellweg, 2017)", "previouslyFormattedCitation" : "(Haupt, Vadenbo, &amp; Hellweg, 2017)" }, "properties" : { "noteIndex" : 0 }, "schema" : "https://github.com/citation-style-language/schema/raw/master/csl-citation.json" }</w:instrText>
            </w:r>
            <w:r w:rsidRPr="005205D3">
              <w:rPr>
                <w:rFonts w:ascii="Times New Roman" w:eastAsia="Times New Roman" w:hAnsi="Times New Roman" w:cs="Times New Roman"/>
                <w:color w:val="000000"/>
                <w:sz w:val="24"/>
                <w:szCs w:val="24"/>
                <w:lang w:val="nl-NL" w:eastAsia="nl-NL"/>
              </w:rPr>
              <w:fldChar w:fldCharType="separate"/>
            </w:r>
            <w:r w:rsidRPr="005205D3">
              <w:rPr>
                <w:rFonts w:ascii="Times New Roman" w:eastAsia="Times New Roman" w:hAnsi="Times New Roman" w:cs="Times New Roman"/>
                <w:noProof/>
                <w:color w:val="000000"/>
                <w:sz w:val="24"/>
                <w:szCs w:val="24"/>
                <w:lang w:val="nl-NL" w:eastAsia="nl-NL"/>
              </w:rPr>
              <w:t>Scalvedi &amp; Saba (2018, p. 749)</w:t>
            </w:r>
            <w:r w:rsidRPr="005205D3">
              <w:rPr>
                <w:rFonts w:ascii="Times New Roman" w:eastAsia="Times New Roman" w:hAnsi="Times New Roman" w:cs="Times New Roman"/>
                <w:color w:val="000000"/>
                <w:sz w:val="24"/>
                <w:szCs w:val="24"/>
                <w:lang w:val="nl-NL" w:eastAsia="nl-NL"/>
              </w:rPr>
              <w:fldChar w:fldCharType="end"/>
            </w:r>
          </w:p>
        </w:tc>
        <w:tc>
          <w:tcPr>
            <w:tcW w:w="0" w:type="auto"/>
          </w:tcPr>
          <w:p w14:paraId="7E7C6FB1" w14:textId="646F4096"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Sustainable food consumption (SFC) is a consumer-driven, holistic concept that refers to the integrated implementation of sustainable patterns of food consumption and production, while respecting the carrying capacities of natural ecosystems (FAO/UNEP, 2011).</w:t>
            </w:r>
          </w:p>
        </w:tc>
      </w:tr>
      <w:tr w:rsidR="009A4E0A" w:rsidRPr="0066686C" w14:paraId="0911AE88" w14:textId="77777777" w:rsidTr="54F068BE">
        <w:trPr>
          <w:trHeight w:val="431"/>
        </w:trPr>
        <w:tc>
          <w:tcPr>
            <w:cnfStyle w:val="001000000000" w:firstRow="0" w:lastRow="0" w:firstColumn="1" w:lastColumn="0" w:oddVBand="0" w:evenVBand="0" w:oddHBand="0" w:evenHBand="0" w:firstRowFirstColumn="0" w:firstRowLastColumn="0" w:lastRowFirstColumn="0" w:lastRowLastColumn="0"/>
            <w:tcW w:w="0" w:type="auto"/>
            <w:noWrap/>
          </w:tcPr>
          <w:p w14:paraId="54E93CE7" w14:textId="04FD4B76" w:rsidR="009A4E0A" w:rsidRPr="005205D3" w:rsidRDefault="53ED14B2" w:rsidP="009A4E0A">
            <w:pPr>
              <w:spacing w:before="60" w:after="60" w:line="264" w:lineRule="auto"/>
              <w:jc w:val="right"/>
              <w:rPr>
                <w:rFonts w:ascii="Times New Roman" w:eastAsia="Times New Roman" w:hAnsi="Times New Roman" w:cs="Times New Roman"/>
                <w:b w:val="0"/>
                <w:bCs w:val="0"/>
                <w:color w:val="000000"/>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t>60</w:t>
            </w:r>
          </w:p>
        </w:tc>
        <w:tc>
          <w:tcPr>
            <w:tcW w:w="0" w:type="auto"/>
          </w:tcPr>
          <w:p w14:paraId="12D24D20" w14:textId="5F57DCA9"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r w:rsidRPr="005205D3">
              <w:rPr>
                <w:rFonts w:ascii="Times New Roman" w:eastAsia="Times New Roman" w:hAnsi="Times New Roman" w:cs="Times New Roman"/>
                <w:color w:val="000000"/>
                <w:sz w:val="24"/>
                <w:szCs w:val="24"/>
                <w:lang w:val="nl-NL" w:eastAsia="nl-NL"/>
              </w:rPr>
              <w:fldChar w:fldCharType="begin" w:fldLock="1"/>
            </w:r>
            <w:r w:rsidRPr="005205D3">
              <w:rPr>
                <w:rFonts w:ascii="Times New Roman" w:eastAsia="Times New Roman" w:hAnsi="Times New Roman" w:cs="Times New Roman"/>
                <w:color w:val="000000"/>
                <w:sz w:val="24"/>
                <w:szCs w:val="24"/>
                <w:lang w:val="nl-NL" w:eastAsia="nl-NL"/>
              </w:rPr>
              <w:instrText>ADDIN CSL_CITATION { "citationItems" : [ { "id" : "ITEM-1", "itemData" : { "URL" : "http://www.circular.academy/circular-economy-some-definitions/", "author" : [ { "dropping-particle" : "", "family" : "Hislop", "given" : "", "non-dropping-particle" : "", "parse-names" : false, "suffix" : "" }, { "dropping-particle" : "", "family" : "Hill", "given" : "", "non-dropping-particle" : "", "parse-names" : false, "suffix" : "" } ], "id" : "ITEM-1", "issued" : { "date-parts" : [ [ "2011" ] ] }, "title" : "Circular economy: some definitions", "type" : "webpage" }, "uris" : [ "http://www.mendeley.com/documents/?uuid=1e8b21dc-e986-4784-a35b-64b1dd8b7399" ] } ], "mendeley" : { "formattedCitation" : "(Hislop &amp; Hill, 2011)", "manualFormatting" : "Hislop &amp; Hill (2011)", "plainTextFormattedCitation" : "(Hislop &amp; Hill, 2011)", "previouslyFormattedCitation" : "(Hislop &amp; Hill, 2011)" }, "properties" : { "noteIndex" : 0 }, "schema" : "https://github.com/citation-style-language/schema/raw/master/csl-citation.json" }</w:instrText>
            </w:r>
            <w:r w:rsidRPr="005205D3">
              <w:rPr>
                <w:rFonts w:ascii="Times New Roman" w:eastAsia="Times New Roman" w:hAnsi="Times New Roman" w:cs="Times New Roman"/>
                <w:color w:val="000000"/>
                <w:sz w:val="24"/>
                <w:szCs w:val="24"/>
                <w:lang w:val="nl-NL" w:eastAsia="nl-NL"/>
              </w:rPr>
              <w:fldChar w:fldCharType="separate"/>
            </w:r>
            <w:r w:rsidRPr="005205D3">
              <w:rPr>
                <w:rFonts w:ascii="Times New Roman" w:hAnsi="Times New Roman" w:cs="Times New Roman"/>
                <w:color w:val="000000"/>
                <w:sz w:val="24"/>
                <w:szCs w:val="24"/>
                <w:lang w:val="nl-NL"/>
              </w:rPr>
              <w:t xml:space="preserve"> </w:t>
            </w:r>
            <w:r w:rsidRPr="005205D3">
              <w:rPr>
                <w:rFonts w:ascii="Times New Roman" w:eastAsia="Times New Roman" w:hAnsi="Times New Roman" w:cs="Times New Roman"/>
                <w:noProof/>
                <w:color w:val="000000"/>
                <w:sz w:val="24"/>
                <w:szCs w:val="24"/>
                <w:lang w:val="nl-NL" w:eastAsia="nl-NL"/>
              </w:rPr>
              <w:t>Schäufele-Elbers &amp; Janssen  (2023, p. 2)</w:t>
            </w:r>
            <w:r w:rsidRPr="005205D3">
              <w:rPr>
                <w:rFonts w:ascii="Times New Roman" w:eastAsia="Times New Roman" w:hAnsi="Times New Roman" w:cs="Times New Roman"/>
                <w:color w:val="000000"/>
                <w:sz w:val="24"/>
                <w:szCs w:val="24"/>
                <w:lang w:val="nl-NL" w:eastAsia="nl-NL"/>
              </w:rPr>
              <w:fldChar w:fldCharType="end"/>
            </w:r>
          </w:p>
        </w:tc>
        <w:tc>
          <w:tcPr>
            <w:tcW w:w="0" w:type="auto"/>
          </w:tcPr>
          <w:p w14:paraId="28E58AFC" w14:textId="77362431"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71717"/>
                <w:sz w:val="24"/>
                <w:szCs w:val="24"/>
                <w:lang w:eastAsia="nl-NL"/>
              </w:rPr>
            </w:pPr>
            <w:r w:rsidRPr="005205D3">
              <w:rPr>
                <w:rFonts w:ascii="Times New Roman" w:eastAsia="Times New Roman" w:hAnsi="Times New Roman" w:cs="Times New Roman"/>
                <w:color w:val="171717"/>
                <w:sz w:val="24"/>
                <w:szCs w:val="24"/>
                <w:lang w:eastAsia="nl-NL"/>
              </w:rPr>
              <w:t>The necessary transition of food consumption patterns in high-income countries encompasses two elements (4). First, is the shift toward food produced with (more) sustainable methods, e.g., organic food. A second challenge is the transformation of dietary patterns away from animal and highly processed foods toward a whole food and (more) plant-based diet (5). The reduction of meat consumption is an all-encompassing objective to mitigate climate change and other externalities, but also to reduce health-related problems. In particular, the reduction of red and processed meat is associated with positive health and environmental effects (6). In addition to the reduction of meat, a healthy diet should reduce the intake of highly processed food (high in sugar, fat, or salt) and contain an unrestricted consumption of a variety of plant foods (e.g., legumes, whole grains, fruits, and vegetables) (5).</w:t>
            </w:r>
          </w:p>
        </w:tc>
      </w:tr>
      <w:tr w:rsidR="009A4E0A" w:rsidRPr="0066686C" w14:paraId="2C4EA5DD" w14:textId="77777777" w:rsidTr="54F068BE">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0" w:type="auto"/>
            <w:noWrap/>
          </w:tcPr>
          <w:p w14:paraId="1EC7EDF2" w14:textId="79BE82A0" w:rsidR="009A4E0A" w:rsidRPr="005205D3" w:rsidRDefault="1FCF3709" w:rsidP="009A4E0A">
            <w:pPr>
              <w:spacing w:before="60" w:after="60" w:line="264" w:lineRule="auto"/>
              <w:jc w:val="right"/>
              <w:rPr>
                <w:rFonts w:ascii="Times New Roman" w:eastAsia="Times New Roman" w:hAnsi="Times New Roman" w:cs="Times New Roman"/>
                <w:b w:val="0"/>
                <w:bCs w:val="0"/>
                <w:color w:val="000000"/>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t>61</w:t>
            </w:r>
          </w:p>
        </w:tc>
        <w:tc>
          <w:tcPr>
            <w:tcW w:w="0" w:type="auto"/>
          </w:tcPr>
          <w:p w14:paraId="77002777" w14:textId="679C0E69"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proofErr w:type="spellStart"/>
            <w:r w:rsidRPr="005205D3">
              <w:rPr>
                <w:rFonts w:ascii="Times New Roman" w:eastAsia="Times New Roman" w:hAnsi="Times New Roman" w:cs="Times New Roman"/>
                <w:color w:val="000000"/>
                <w:sz w:val="24"/>
                <w:szCs w:val="24"/>
                <w:lang w:val="nl-NL" w:eastAsia="nl-NL"/>
              </w:rPr>
              <w:t>Srivastava</w:t>
            </w:r>
            <w:proofErr w:type="spellEnd"/>
            <w:r w:rsidRPr="005205D3">
              <w:rPr>
                <w:rFonts w:ascii="Times New Roman" w:eastAsia="Times New Roman" w:hAnsi="Times New Roman" w:cs="Times New Roman"/>
                <w:color w:val="000000"/>
                <w:sz w:val="24"/>
                <w:szCs w:val="24"/>
                <w:lang w:val="nl-NL" w:eastAsia="nl-NL"/>
              </w:rPr>
              <w:t xml:space="preserve"> &amp; </w:t>
            </w:r>
            <w:proofErr w:type="spellStart"/>
            <w:r w:rsidRPr="005205D3">
              <w:rPr>
                <w:rFonts w:ascii="Times New Roman" w:eastAsia="Times New Roman" w:hAnsi="Times New Roman" w:cs="Times New Roman"/>
                <w:color w:val="000000"/>
                <w:sz w:val="24"/>
                <w:szCs w:val="24"/>
                <w:lang w:val="nl-NL" w:eastAsia="nl-NL"/>
              </w:rPr>
              <w:t>Kashyap</w:t>
            </w:r>
            <w:proofErr w:type="spellEnd"/>
            <w:r w:rsidRPr="005205D3">
              <w:rPr>
                <w:rFonts w:ascii="Times New Roman" w:eastAsia="Times New Roman" w:hAnsi="Times New Roman" w:cs="Times New Roman"/>
                <w:color w:val="000000"/>
                <w:sz w:val="24"/>
                <w:szCs w:val="24"/>
                <w:lang w:val="nl-NL" w:eastAsia="nl-NL"/>
              </w:rPr>
              <w:t xml:space="preserve"> (2025, p.3)</w:t>
            </w:r>
          </w:p>
        </w:tc>
        <w:tc>
          <w:tcPr>
            <w:tcW w:w="0" w:type="auto"/>
          </w:tcPr>
          <w:p w14:paraId="04A9AADF" w14:textId="77777777"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Sustainable Food System is one that contributes to food security and nutrition for all in such a way</w:t>
            </w:r>
          </w:p>
          <w:p w14:paraId="7C0CEDD2" w14:textId="77777777"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that the economic, social, cultural, and environmental bases to generate food security and nutrition</w:t>
            </w:r>
          </w:p>
          <w:p w14:paraId="5BF6F62B" w14:textId="170C9611"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for future generations are safeguarded</w:t>
            </w:r>
          </w:p>
        </w:tc>
      </w:tr>
      <w:tr w:rsidR="009A4E0A" w:rsidRPr="0066686C" w14:paraId="44F89580" w14:textId="77777777" w:rsidTr="54F068BE">
        <w:trPr>
          <w:trHeight w:val="431"/>
        </w:trPr>
        <w:tc>
          <w:tcPr>
            <w:cnfStyle w:val="001000000000" w:firstRow="0" w:lastRow="0" w:firstColumn="1" w:lastColumn="0" w:oddVBand="0" w:evenVBand="0" w:oddHBand="0" w:evenHBand="0" w:firstRowFirstColumn="0" w:firstRowLastColumn="0" w:lastRowFirstColumn="0" w:lastRowLastColumn="0"/>
            <w:tcW w:w="0" w:type="auto"/>
            <w:noWrap/>
          </w:tcPr>
          <w:p w14:paraId="3B579DB3" w14:textId="51CD5807" w:rsidR="009A4E0A" w:rsidRPr="005205D3" w:rsidRDefault="2037921C" w:rsidP="009A4E0A">
            <w:pPr>
              <w:spacing w:before="60" w:after="60" w:line="264" w:lineRule="auto"/>
              <w:jc w:val="right"/>
              <w:rPr>
                <w:rFonts w:ascii="Times New Roman" w:eastAsia="Times New Roman" w:hAnsi="Times New Roman" w:cs="Times New Roman"/>
                <w:b w:val="0"/>
                <w:bCs w:val="0"/>
                <w:color w:val="000000"/>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t>62</w:t>
            </w:r>
          </w:p>
        </w:tc>
        <w:tc>
          <w:tcPr>
            <w:tcW w:w="0" w:type="auto"/>
          </w:tcPr>
          <w:p w14:paraId="2B49A742" w14:textId="672764C5"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r w:rsidRPr="005205D3">
              <w:rPr>
                <w:rFonts w:ascii="Times New Roman" w:eastAsia="Times New Roman" w:hAnsi="Times New Roman" w:cs="Times New Roman"/>
                <w:color w:val="000000"/>
                <w:sz w:val="24"/>
                <w:szCs w:val="24"/>
                <w:lang w:val="nl-NL" w:eastAsia="nl-NL"/>
              </w:rPr>
              <w:fldChar w:fldCharType="begin" w:fldLock="1"/>
            </w:r>
            <w:r w:rsidRPr="005205D3">
              <w:rPr>
                <w:rFonts w:ascii="Times New Roman" w:eastAsia="Times New Roman" w:hAnsi="Times New Roman" w:cs="Times New Roman"/>
                <w:color w:val="000000"/>
                <w:sz w:val="24"/>
                <w:szCs w:val="24"/>
                <w:lang w:val="nl-NL" w:eastAsia="nl-NL"/>
              </w:rPr>
              <w:instrText>ADDIN CSL_CITATION { "citationItems" : [ { "id" : "ITEM-1", "itemData" : { "DOI" : "10.1177/0309132514566342", "ISSN" : "0309-1325", "abstract" : "Heightened concerns about long-term sustainability have of late enlivened debates around the circular economy (CE). Defined as a series of restorative and regenerative industrial systems, parallel socio-cultural transformations have arguably received less consideration to date. In response, this paper examines the contributions human geographical scholarship can make to CE debates, focusing on \u2018generative spaces\u2019 of diverse CE practices. Concepts infrequently discussed within human geography such as product service systems and \u2018prosumption\u2019 are explored, to argue that productive potential exists in bringing these ideas into conversation with ongoing human geographical research into practices, materialities, emergent political spaces and \u2018everyday activism\u2019.", "author" : [ { "dropping-particle" : "", "family" : "Hobson", "given" : "Kersty", "non-dropping-particle" : "", "parse-names" : false, "suffix" : "" } ], "container-title" : "Progress in Human Geography", "id" : "ITEM-1", "issue" : "1", "issued" : { "date-parts" : [ [ "2016", "2" ] ] }, "page" : "88-104", "publisher" : "SAGE PublicationsSage UK: London, England", "title" : "Closing the loop or squaring the circle? Locating generative spaces for the circular economy", "type" : "article-journal", "volume" : "40" }, "locator" : "2", "uris" : [ "http://www.mendeley.com/documents/?uuid=cf342310-1257-338e-be6c-ca41427089a2" ] } ], "mendeley" : { "formattedCitation" : "(Hobson, 2016, p. 2)", "manualFormatting" : "Hobson (2016, p. 2)", "plainTextFormattedCitation" : "(Hobson, 2016, p. 2)", "previouslyFormattedCitation" : "(Hobson, 2016, p. 2)" }, "properties" : { "noteIndex" : 0 }, "schema" : "https://github.com/citation-style-language/schema/raw/master/csl-citation.json" }</w:instrText>
            </w:r>
            <w:r w:rsidRPr="005205D3">
              <w:rPr>
                <w:rFonts w:ascii="Times New Roman" w:eastAsia="Times New Roman" w:hAnsi="Times New Roman" w:cs="Times New Roman"/>
                <w:color w:val="000000"/>
                <w:sz w:val="24"/>
                <w:szCs w:val="24"/>
                <w:lang w:val="nl-NL" w:eastAsia="nl-NL"/>
              </w:rPr>
              <w:fldChar w:fldCharType="separate"/>
            </w:r>
            <w:r w:rsidRPr="005205D3">
              <w:rPr>
                <w:rFonts w:ascii="Times New Roman" w:eastAsia="Times New Roman" w:hAnsi="Times New Roman" w:cs="Times New Roman"/>
                <w:noProof/>
                <w:color w:val="000000"/>
                <w:sz w:val="24"/>
                <w:szCs w:val="24"/>
                <w:lang w:val="nl-NL" w:eastAsia="nl-NL"/>
              </w:rPr>
              <w:t>Summerhayes, Baker &amp; Vella (2024, p. 2)</w:t>
            </w:r>
            <w:r w:rsidRPr="005205D3">
              <w:rPr>
                <w:rFonts w:ascii="Times New Roman" w:eastAsia="Times New Roman" w:hAnsi="Times New Roman" w:cs="Times New Roman"/>
                <w:color w:val="000000"/>
                <w:sz w:val="24"/>
                <w:szCs w:val="24"/>
                <w:lang w:val="nl-NL" w:eastAsia="nl-NL"/>
              </w:rPr>
              <w:fldChar w:fldCharType="end"/>
            </w:r>
          </w:p>
        </w:tc>
        <w:tc>
          <w:tcPr>
            <w:tcW w:w="0" w:type="auto"/>
          </w:tcPr>
          <w:p w14:paraId="2A0E894F" w14:textId="77777777"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 xml:space="preserve">The framework of sustainable food consumption is conceptualized to distinguish food consumption as a demand issue but is more conditional on four socioeconomic factors embedded in urban environments. This framework embodies three layers at its core: a demand issue, conditional demand, and enabling factors. </w:t>
            </w:r>
          </w:p>
          <w:p w14:paraId="7BB11868" w14:textId="220FD438"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 xml:space="preserve">The first layer of the framework acknowledges food consumption as a demand issue in advanced economies. This issue, however, transcends securing and consuming healthy food as individual responsibilities (Howe, 2002; Martin </w:t>
            </w:r>
            <w:r w:rsidRPr="005205D3">
              <w:rPr>
                <w:rFonts w:ascii="Times New Roman" w:eastAsia="Times New Roman" w:hAnsi="Times New Roman" w:cs="Times New Roman"/>
                <w:color w:val="000000"/>
                <w:sz w:val="24"/>
                <w:szCs w:val="24"/>
                <w:lang w:eastAsia="nl-NL"/>
              </w:rPr>
              <w:lastRenderedPageBreak/>
              <w:t xml:space="preserve">and Marsden, 1999; Morgan, 2015). Consumption activities and outcomes often impact urban sustainability in health, social, economic, environmental, and many other domains (Morgan, 2013; Morgan and </w:t>
            </w:r>
            <w:proofErr w:type="spellStart"/>
            <w:r w:rsidRPr="005205D3">
              <w:rPr>
                <w:rFonts w:ascii="Times New Roman" w:eastAsia="Times New Roman" w:hAnsi="Times New Roman" w:cs="Times New Roman"/>
                <w:color w:val="000000"/>
                <w:sz w:val="24"/>
                <w:szCs w:val="24"/>
                <w:lang w:eastAsia="nl-NL"/>
              </w:rPr>
              <w:t>Sonnino</w:t>
            </w:r>
            <w:proofErr w:type="spellEnd"/>
            <w:r w:rsidRPr="005205D3">
              <w:rPr>
                <w:rFonts w:ascii="Times New Roman" w:eastAsia="Times New Roman" w:hAnsi="Times New Roman" w:cs="Times New Roman"/>
                <w:color w:val="000000"/>
                <w:sz w:val="24"/>
                <w:szCs w:val="24"/>
                <w:lang w:eastAsia="nl-NL"/>
              </w:rPr>
              <w:t xml:space="preserve">, 2010; </w:t>
            </w:r>
            <w:proofErr w:type="spellStart"/>
            <w:r w:rsidRPr="005205D3">
              <w:rPr>
                <w:rFonts w:ascii="Times New Roman" w:eastAsia="Times New Roman" w:hAnsi="Times New Roman" w:cs="Times New Roman"/>
                <w:color w:val="000000"/>
                <w:sz w:val="24"/>
                <w:szCs w:val="24"/>
                <w:lang w:eastAsia="nl-NL"/>
              </w:rPr>
              <w:t>Sonnino</w:t>
            </w:r>
            <w:proofErr w:type="spellEnd"/>
            <w:r w:rsidRPr="005205D3">
              <w:rPr>
                <w:rFonts w:ascii="Times New Roman" w:eastAsia="Times New Roman" w:hAnsi="Times New Roman" w:cs="Times New Roman"/>
                <w:color w:val="000000"/>
                <w:sz w:val="24"/>
                <w:szCs w:val="24"/>
                <w:lang w:eastAsia="nl-NL"/>
              </w:rPr>
              <w:t xml:space="preserve">, 2009). Notably, the increasing interactions between these domains impact food consumption at an unprecedented level. For example, the advent of the “new food equation” represents an interplay between rising food prices, food insecurity, national security, climate change, land conflicts and </w:t>
            </w:r>
            <w:proofErr w:type="spellStart"/>
            <w:r w:rsidRPr="005205D3">
              <w:rPr>
                <w:rFonts w:ascii="Times New Roman" w:eastAsia="Times New Roman" w:hAnsi="Times New Roman" w:cs="Times New Roman"/>
                <w:color w:val="000000"/>
                <w:sz w:val="24"/>
                <w:szCs w:val="24"/>
                <w:lang w:eastAsia="nl-NL"/>
              </w:rPr>
              <w:t>urbanisation</w:t>
            </w:r>
            <w:proofErr w:type="spellEnd"/>
            <w:r w:rsidRPr="005205D3">
              <w:rPr>
                <w:rFonts w:ascii="Times New Roman" w:eastAsia="Times New Roman" w:hAnsi="Times New Roman" w:cs="Times New Roman"/>
                <w:color w:val="000000"/>
                <w:sz w:val="24"/>
                <w:szCs w:val="24"/>
                <w:lang w:eastAsia="nl-NL"/>
              </w:rPr>
              <w:t xml:space="preserve"> (Morgan, 2009, 2015; Morgan and </w:t>
            </w:r>
            <w:proofErr w:type="spellStart"/>
            <w:r w:rsidRPr="005205D3">
              <w:rPr>
                <w:rFonts w:ascii="Times New Roman" w:eastAsia="Times New Roman" w:hAnsi="Times New Roman" w:cs="Times New Roman"/>
                <w:color w:val="000000"/>
                <w:sz w:val="24"/>
                <w:szCs w:val="24"/>
                <w:lang w:eastAsia="nl-NL"/>
              </w:rPr>
              <w:t>Sonnino</w:t>
            </w:r>
            <w:proofErr w:type="spellEnd"/>
            <w:r w:rsidRPr="005205D3">
              <w:rPr>
                <w:rFonts w:ascii="Times New Roman" w:eastAsia="Times New Roman" w:hAnsi="Times New Roman" w:cs="Times New Roman"/>
                <w:color w:val="000000"/>
                <w:sz w:val="24"/>
                <w:szCs w:val="24"/>
                <w:lang w:eastAsia="nl-NL"/>
              </w:rPr>
              <w:t>, 2010). The emerging issues of global inequity in food consumption (Bruckner et al., 2022; Hasegawa et al., 2019) and global carbon footprints (Chancel, 2022; Halpern et al., 2022) demand more responsible and sustainable food consumption from wealthy nations, given most food consumed and wasted is in developed countries (Hasegawa et al., 2019)…</w:t>
            </w:r>
          </w:p>
          <w:p w14:paraId="31E862A5" w14:textId="003CA4FE"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 xml:space="preserve">While featured as a demand issue, the sustainable food consumption framework also </w:t>
            </w:r>
            <w:proofErr w:type="spellStart"/>
            <w:r w:rsidRPr="005205D3">
              <w:rPr>
                <w:rFonts w:ascii="Times New Roman" w:eastAsia="Times New Roman" w:hAnsi="Times New Roman" w:cs="Times New Roman"/>
                <w:color w:val="000000"/>
                <w:sz w:val="24"/>
                <w:szCs w:val="24"/>
                <w:lang w:eastAsia="nl-NL"/>
              </w:rPr>
              <w:t>emphasises</w:t>
            </w:r>
            <w:proofErr w:type="spellEnd"/>
            <w:r w:rsidRPr="005205D3">
              <w:rPr>
                <w:rFonts w:ascii="Times New Roman" w:eastAsia="Times New Roman" w:hAnsi="Times New Roman" w:cs="Times New Roman"/>
                <w:color w:val="000000"/>
                <w:sz w:val="24"/>
                <w:szCs w:val="24"/>
                <w:lang w:eastAsia="nl-NL"/>
              </w:rPr>
              <w:t xml:space="preserve"> its conditional demand nature as the second layer. Markets dominate food provision significantly, featuring an economic policy supported and prevailing in many neo-liberal cities. The socio-spatial characteristics of urban environments in wealthy nations challenge food consumption caused by and as the result of multiple interactive market mechanisms. These urban conditions significantly determine what foods are available and how consumption can occur at the receiving end. A comprehensive review of the latest literature identifies that affordability, access to healthy food, variety of food retail options, and carbon footprint are strongly associated with socio-spatial urban conditions. Each of the four factors individually and collectively impacts sustainable food consumption in urban environments, relevant to and beyond the demand perspective.</w:t>
            </w:r>
          </w:p>
          <w:p w14:paraId="43A2508A" w14:textId="06F1CC38"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 xml:space="preserve">The framework of sustainable food consumption also underpins the third layer—the enabling factors. While highlighting four socioeconomic and environmental factors that challenge the overconsumption of unhealthy foods and the underconsumption of nutritious foods in urban environments, the complexity of their collective interactions represents and is the result of the socio-spatial characteristics of urban environments. Its core linkage to urban settings underscores the potential policy interventions of creating accessibility and diversity-conducive urban environments, holistically enabling enhanced access to affordable and healthy foods, diversified food retail options, and reduced food-related carbon emissions due to improved access and diversification. Both accessibility and diversity enablers can collectively address these four challenges to foster more sustainable food consumption. </w:t>
            </w:r>
          </w:p>
        </w:tc>
      </w:tr>
      <w:tr w:rsidR="009A4E0A" w:rsidRPr="0066686C" w14:paraId="3874B12D" w14:textId="77777777" w:rsidTr="54F068BE">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0" w:type="auto"/>
            <w:noWrap/>
          </w:tcPr>
          <w:p w14:paraId="61C009B5" w14:textId="6D5D67CD" w:rsidR="009A4E0A" w:rsidRPr="005205D3" w:rsidRDefault="001C59EC" w:rsidP="009A4E0A">
            <w:pPr>
              <w:spacing w:before="60" w:after="60" w:line="264" w:lineRule="auto"/>
              <w:jc w:val="right"/>
              <w:rPr>
                <w:rFonts w:ascii="Times New Roman" w:eastAsia="Times New Roman" w:hAnsi="Times New Roman" w:cs="Times New Roman"/>
                <w:b w:val="0"/>
                <w:bCs w:val="0"/>
                <w:color w:val="000000"/>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lastRenderedPageBreak/>
              <w:t>6</w:t>
            </w:r>
            <w:r w:rsidR="5BDD850D" w:rsidRPr="005205D3">
              <w:rPr>
                <w:rFonts w:ascii="Times New Roman" w:eastAsia="Times New Roman" w:hAnsi="Times New Roman" w:cs="Times New Roman"/>
                <w:b w:val="0"/>
                <w:bCs w:val="0"/>
                <w:color w:val="000000" w:themeColor="text1"/>
                <w:sz w:val="24"/>
                <w:szCs w:val="24"/>
                <w:lang w:val="nl-NL" w:eastAsia="nl-NL"/>
              </w:rPr>
              <w:t>3</w:t>
            </w:r>
          </w:p>
        </w:tc>
        <w:tc>
          <w:tcPr>
            <w:tcW w:w="0" w:type="auto"/>
          </w:tcPr>
          <w:p w14:paraId="1F41462A" w14:textId="5AF0E04E"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r w:rsidRPr="005205D3">
              <w:rPr>
                <w:rFonts w:ascii="Times New Roman" w:eastAsia="Times New Roman" w:hAnsi="Times New Roman" w:cs="Times New Roman"/>
                <w:color w:val="000000"/>
                <w:sz w:val="24"/>
                <w:szCs w:val="24"/>
                <w:lang w:val="nl-NL" w:eastAsia="nl-NL"/>
              </w:rPr>
              <w:fldChar w:fldCharType="begin" w:fldLock="1"/>
            </w:r>
            <w:r w:rsidRPr="005205D3">
              <w:rPr>
                <w:rFonts w:ascii="Times New Roman" w:eastAsia="Times New Roman" w:hAnsi="Times New Roman" w:cs="Times New Roman"/>
                <w:color w:val="000000"/>
                <w:sz w:val="24"/>
                <w:szCs w:val="24"/>
                <w:lang w:val="nl-NL" w:eastAsia="nl-NL"/>
              </w:rPr>
              <w:instrText>ADDIN CSL_CITATION { "citationItems" : [ { "id" : "ITEM-1", "itemData" : { "DOI" : "10.1068/a44668", "ISSN" : "0308-518X", "abstract" : "Municipal solid waste is a central concern for environmental policy, and the sociomateriality of waste\u2014the ways in which waste is socially defined and dealt with\u2014is an important issue for sustainability. We show how applying the European Union's waste policy through the European Waste Hierarchy (EWH) affects the sociomateriality of waste. The EWH ranks the desirability of different waste-management approaches according to their environmental impact. We investigate how the EWH has been acknowledged and interpreted in five different organizational contexts with relevance for Swedish waste management: EU environmental policy, the Swedish EPA, two municipal waste-management companies, and the trade organization Swedish Waste Management which represents the interests of municipal bodies involved with waste. In addition to preventing the production of waste, the EWH aims to disassemble, circulate, and reintroduce as much material as possible into production processes. We show how these aims shape paradoxical re...", "author" : [ { "dropping-particle" : "", "family" : "Hultman", "given" : "Johan", "non-dropping-particle" : "", "parse-names" : false, "suffix" : "" }, { "dropping-particle" : "", "family" : "Corvellec", "given" : "Herv\u00c3\u00a9", "non-dropping-particle" : "", "parse-names" : false, "suffix" : "" } ], "container-title" : "Environment and Planning A", "id" : "ITEM-1", "issue" : "10", "issued" : { "date-parts" : [ [ "2012" ] ] }, "page" : "2413-2427", "publisher" : "SAGE PublicationsSage UK: London, England", "title" : "The European Waste Hierarchy: from the sociomateriality of waste to a politics of consumption", "type" : "article-journal", "volume" : "44" }, "locator" : "2414", "uris" : [ "http://www.mendeley.com/documents/?uuid=ddb0b83d-398f-3a07-8d95-90450ba63015" ] } ], "mendeley" : { "formattedCitation" : "(Hultman &amp; Corvellec, 2012, p. 2414)", "manualFormatting" : "Hultman &amp; Corvellec (2012, p. 2414)", "plainTextFormattedCitation" : "(Hultman &amp; Corvellec, 2012, p. 2414)", "previouslyFormattedCitation" : "(Hultman &amp; Corvellec, 2012, p. 2414)" }, "properties" : { "noteIndex" : 0 }, "schema" : "https://github.com/citation-style-language/schema/raw/master/csl-citation.json" }</w:instrText>
            </w:r>
            <w:r w:rsidRPr="005205D3">
              <w:rPr>
                <w:rFonts w:ascii="Times New Roman" w:eastAsia="Times New Roman" w:hAnsi="Times New Roman" w:cs="Times New Roman"/>
                <w:color w:val="000000"/>
                <w:sz w:val="24"/>
                <w:szCs w:val="24"/>
                <w:lang w:val="nl-NL" w:eastAsia="nl-NL"/>
              </w:rPr>
              <w:fldChar w:fldCharType="separate"/>
            </w:r>
            <w:r w:rsidR="00922454" w:rsidRPr="00922454">
              <w:t xml:space="preserve"> </w:t>
            </w:r>
            <w:r w:rsidR="00922454" w:rsidRPr="00922454">
              <w:rPr>
                <w:rFonts w:ascii="Times New Roman" w:eastAsia="Times New Roman" w:hAnsi="Times New Roman" w:cs="Times New Roman"/>
                <w:noProof/>
                <w:color w:val="000000"/>
                <w:sz w:val="24"/>
                <w:szCs w:val="24"/>
                <w:lang w:eastAsia="nl-NL"/>
              </w:rPr>
              <w:t>Thøgersen</w:t>
            </w:r>
            <w:r w:rsidR="00922454" w:rsidRPr="00922454">
              <w:rPr>
                <w:rFonts w:ascii="Times New Roman" w:eastAsia="Times New Roman" w:hAnsi="Times New Roman" w:cs="Times New Roman"/>
                <w:noProof/>
                <w:color w:val="000000"/>
                <w:sz w:val="24"/>
                <w:szCs w:val="24"/>
                <w:lang w:val="nl-NL" w:eastAsia="nl-NL"/>
              </w:rPr>
              <w:t xml:space="preserve"> </w:t>
            </w:r>
            <w:r w:rsidRPr="005205D3">
              <w:rPr>
                <w:rFonts w:ascii="Times New Roman" w:eastAsia="Times New Roman" w:hAnsi="Times New Roman" w:cs="Times New Roman"/>
                <w:noProof/>
                <w:color w:val="000000"/>
                <w:sz w:val="24"/>
                <w:szCs w:val="24"/>
                <w:lang w:val="nl-NL" w:eastAsia="nl-NL"/>
              </w:rPr>
              <w:t>(2017, p. 18)</w:t>
            </w:r>
            <w:r w:rsidRPr="005205D3">
              <w:rPr>
                <w:rFonts w:ascii="Times New Roman" w:eastAsia="Times New Roman" w:hAnsi="Times New Roman" w:cs="Times New Roman"/>
                <w:color w:val="000000"/>
                <w:sz w:val="24"/>
                <w:szCs w:val="24"/>
                <w:lang w:val="nl-NL" w:eastAsia="nl-NL"/>
              </w:rPr>
              <w:fldChar w:fldCharType="end"/>
            </w:r>
          </w:p>
        </w:tc>
        <w:tc>
          <w:tcPr>
            <w:tcW w:w="0" w:type="auto"/>
          </w:tcPr>
          <w:p w14:paraId="262D71D5" w14:textId="065BA643"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05D3">
              <w:rPr>
                <w:rFonts w:ascii="Times New Roman" w:hAnsi="Times New Roman" w:cs="Times New Roman"/>
                <w:sz w:val="24"/>
                <w:szCs w:val="24"/>
              </w:rPr>
              <w:t xml:space="preserve">Reisch et al. (2013, p. 1) argue that the most effective ways of reducing the environmental impact of food consumption are ‘‘to reduce consumption of meat and dairy products (especially beef), to </w:t>
            </w:r>
            <w:proofErr w:type="spellStart"/>
            <w:r w:rsidRPr="005205D3">
              <w:rPr>
                <w:rFonts w:ascii="Times New Roman" w:hAnsi="Times New Roman" w:cs="Times New Roman"/>
                <w:sz w:val="24"/>
                <w:szCs w:val="24"/>
              </w:rPr>
              <w:t>favour</w:t>
            </w:r>
            <w:proofErr w:type="spellEnd"/>
            <w:r w:rsidRPr="005205D3">
              <w:rPr>
                <w:rFonts w:ascii="Times New Roman" w:hAnsi="Times New Roman" w:cs="Times New Roman"/>
                <w:sz w:val="24"/>
                <w:szCs w:val="24"/>
              </w:rPr>
              <w:t xml:space="preserve"> organic fruits and </w:t>
            </w:r>
            <w:r w:rsidRPr="005205D3">
              <w:rPr>
                <w:rFonts w:ascii="Times New Roman" w:hAnsi="Times New Roman" w:cs="Times New Roman"/>
                <w:sz w:val="24"/>
                <w:szCs w:val="24"/>
              </w:rPr>
              <w:lastRenderedPageBreak/>
              <w:t>vegetables, and to avoid goods that have been transported by air on both individual and institutional levels . . .” As a measure of their everyday sustainable food consumption, participants in the final part of the interview responded to five items capturing the two first of these (i.e., meat avoidance and organic food)</w:t>
            </w:r>
          </w:p>
        </w:tc>
      </w:tr>
      <w:tr w:rsidR="009A4E0A" w:rsidRPr="0066686C" w14:paraId="6E8F88C8" w14:textId="77777777" w:rsidTr="54F068BE">
        <w:trPr>
          <w:trHeight w:val="431"/>
        </w:trPr>
        <w:tc>
          <w:tcPr>
            <w:cnfStyle w:val="001000000000" w:firstRow="0" w:lastRow="0" w:firstColumn="1" w:lastColumn="0" w:oddVBand="0" w:evenVBand="0" w:oddHBand="0" w:evenHBand="0" w:firstRowFirstColumn="0" w:firstRowLastColumn="0" w:lastRowFirstColumn="0" w:lastRowLastColumn="0"/>
            <w:tcW w:w="0" w:type="auto"/>
            <w:noWrap/>
          </w:tcPr>
          <w:p w14:paraId="66E0A0FA" w14:textId="4AC8647A" w:rsidR="009A4E0A" w:rsidRPr="005205D3" w:rsidRDefault="001C59EC" w:rsidP="009A4E0A">
            <w:pPr>
              <w:spacing w:before="60" w:after="60" w:line="264" w:lineRule="auto"/>
              <w:jc w:val="right"/>
              <w:rPr>
                <w:rFonts w:ascii="Times New Roman" w:eastAsia="Times New Roman" w:hAnsi="Times New Roman" w:cs="Times New Roman"/>
                <w:b w:val="0"/>
                <w:bCs w:val="0"/>
                <w:color w:val="000000"/>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lastRenderedPageBreak/>
              <w:t>6</w:t>
            </w:r>
            <w:r w:rsidR="74599B87" w:rsidRPr="005205D3">
              <w:rPr>
                <w:rFonts w:ascii="Times New Roman" w:eastAsia="Times New Roman" w:hAnsi="Times New Roman" w:cs="Times New Roman"/>
                <w:b w:val="0"/>
                <w:bCs w:val="0"/>
                <w:color w:val="000000" w:themeColor="text1"/>
                <w:sz w:val="24"/>
                <w:szCs w:val="24"/>
                <w:lang w:val="nl-NL" w:eastAsia="nl-NL"/>
              </w:rPr>
              <w:t>4</w:t>
            </w:r>
          </w:p>
        </w:tc>
        <w:tc>
          <w:tcPr>
            <w:tcW w:w="0" w:type="auto"/>
          </w:tcPr>
          <w:p w14:paraId="528C9167" w14:textId="11A6638A" w:rsidR="009A4E0A" w:rsidRPr="005205D3" w:rsidRDefault="3A6FAA06" w:rsidP="54F068BE">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Aptos" w:hAnsi="Times New Roman" w:cs="Times New Roman"/>
                <w:sz w:val="24"/>
                <w:szCs w:val="24"/>
              </w:rPr>
              <w:t>United Nations Environment Programme (</w:t>
            </w:r>
            <w:r w:rsidR="63670EF1" w:rsidRPr="005205D3">
              <w:rPr>
                <w:rFonts w:ascii="Times New Roman" w:eastAsia="Times New Roman" w:hAnsi="Times New Roman" w:cs="Times New Roman"/>
                <w:color w:val="000000" w:themeColor="text1"/>
                <w:sz w:val="24"/>
                <w:szCs w:val="24"/>
                <w:lang w:eastAsia="nl-NL"/>
              </w:rPr>
              <w:t>UNEP</w:t>
            </w:r>
            <w:r w:rsidR="63033F59" w:rsidRPr="005205D3">
              <w:rPr>
                <w:rFonts w:ascii="Times New Roman" w:eastAsia="Times New Roman" w:hAnsi="Times New Roman" w:cs="Times New Roman"/>
                <w:color w:val="000000" w:themeColor="text1"/>
                <w:sz w:val="24"/>
                <w:szCs w:val="24"/>
                <w:lang w:eastAsia="nl-NL"/>
              </w:rPr>
              <w:t>)</w:t>
            </w:r>
            <w:r w:rsidR="63670EF1" w:rsidRPr="005205D3">
              <w:rPr>
                <w:rFonts w:ascii="Times New Roman" w:eastAsia="Times New Roman" w:hAnsi="Times New Roman" w:cs="Times New Roman"/>
                <w:color w:val="000000" w:themeColor="text1"/>
                <w:sz w:val="24"/>
                <w:szCs w:val="24"/>
                <w:lang w:eastAsia="nl-NL"/>
              </w:rPr>
              <w:t xml:space="preserve"> (n.d.)</w:t>
            </w:r>
          </w:p>
        </w:tc>
        <w:tc>
          <w:tcPr>
            <w:tcW w:w="0" w:type="auto"/>
          </w:tcPr>
          <w:p w14:paraId="75B2FC8C" w14:textId="3AD1A5BC"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05D3">
              <w:rPr>
                <w:rFonts w:ascii="Times New Roman" w:hAnsi="Times New Roman" w:cs="Times New Roman"/>
                <w:sz w:val="24"/>
                <w:szCs w:val="24"/>
              </w:rPr>
              <w:t>Sustainable diets: simultaneously addressing sustainability, food security and nutrition by linking consumption and production with food and nutrient requirements (https://www.unep.org/regions/asia-and-pacific/regional-initiatives/supporting-resource-efficiency/asia-pacific-roadmap-7)</w:t>
            </w:r>
          </w:p>
        </w:tc>
      </w:tr>
      <w:tr w:rsidR="00D2302D" w:rsidRPr="00D2302D" w14:paraId="302FA27E" w14:textId="77777777" w:rsidTr="54F068BE">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0" w:type="auto"/>
            <w:noWrap/>
          </w:tcPr>
          <w:p w14:paraId="4FE16197" w14:textId="01D6A861" w:rsidR="00D2302D" w:rsidRPr="005205D3" w:rsidRDefault="001C59EC" w:rsidP="009A4E0A">
            <w:pPr>
              <w:spacing w:before="60" w:after="60" w:line="264" w:lineRule="auto"/>
              <w:jc w:val="right"/>
              <w:rPr>
                <w:rFonts w:ascii="Times New Roman" w:eastAsia="Times New Roman" w:hAnsi="Times New Roman" w:cs="Times New Roman"/>
                <w:b w:val="0"/>
                <w:bCs w:val="0"/>
                <w:color w:val="000000"/>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t>6</w:t>
            </w:r>
            <w:r w:rsidR="06E28497" w:rsidRPr="005205D3">
              <w:rPr>
                <w:rFonts w:ascii="Times New Roman" w:eastAsia="Times New Roman" w:hAnsi="Times New Roman" w:cs="Times New Roman"/>
                <w:b w:val="0"/>
                <w:bCs w:val="0"/>
                <w:color w:val="000000" w:themeColor="text1"/>
                <w:sz w:val="24"/>
                <w:szCs w:val="24"/>
                <w:lang w:val="nl-NL" w:eastAsia="nl-NL"/>
              </w:rPr>
              <w:t>5</w:t>
            </w:r>
          </w:p>
        </w:tc>
        <w:tc>
          <w:tcPr>
            <w:tcW w:w="0" w:type="auto"/>
          </w:tcPr>
          <w:p w14:paraId="1469BB38" w14:textId="3320739C" w:rsidR="00D2302D" w:rsidRPr="005205D3" w:rsidRDefault="1A76E2A7" w:rsidP="54F068BE">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Aptos" w:hAnsi="Times New Roman" w:cs="Times New Roman"/>
                <w:sz w:val="24"/>
                <w:szCs w:val="24"/>
              </w:rPr>
              <w:t xml:space="preserve">United States Department of Agriculture </w:t>
            </w:r>
            <w:r w:rsidR="7E4F0D08" w:rsidRPr="005205D3">
              <w:rPr>
                <w:rFonts w:ascii="Times New Roman" w:eastAsia="Times New Roman" w:hAnsi="Times New Roman" w:cs="Times New Roman"/>
                <w:color w:val="000000" w:themeColor="text1"/>
                <w:sz w:val="24"/>
                <w:szCs w:val="24"/>
                <w:lang w:eastAsia="nl-NL"/>
              </w:rPr>
              <w:t>USDA (n.d.)</w:t>
            </w:r>
          </w:p>
        </w:tc>
        <w:tc>
          <w:tcPr>
            <w:tcW w:w="0" w:type="auto"/>
          </w:tcPr>
          <w:p w14:paraId="0CD8D4DA" w14:textId="77777777" w:rsidR="00D2302D" w:rsidRPr="005205D3" w:rsidRDefault="00D2302D" w:rsidP="00D2302D">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05D3">
              <w:rPr>
                <w:rFonts w:ascii="Times New Roman" w:hAnsi="Times New Roman" w:cs="Times New Roman"/>
                <w:sz w:val="24"/>
                <w:szCs w:val="24"/>
              </w:rPr>
              <w:t>There are many definitions of sustainable development, most of which incorporate the notion that true sustainability must balance economic, social and environmental dimensions.</w:t>
            </w:r>
          </w:p>
          <w:p w14:paraId="756A5A6D" w14:textId="77777777" w:rsidR="00D2302D" w:rsidRPr="005205D3" w:rsidRDefault="00D2302D" w:rsidP="00D2302D">
            <w:pPr>
              <w:numPr>
                <w:ilvl w:val="0"/>
                <w:numId w:val="14"/>
              </w:numPr>
              <w:tabs>
                <w:tab w:val="clear" w:pos="0"/>
                <w:tab w:val="num" w:pos="360"/>
              </w:tabs>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nl-NL"/>
              </w:rPr>
            </w:pPr>
            <w:proofErr w:type="spellStart"/>
            <w:r w:rsidRPr="005205D3">
              <w:rPr>
                <w:rFonts w:ascii="Times New Roman" w:hAnsi="Times New Roman" w:cs="Times New Roman"/>
                <w:sz w:val="24"/>
                <w:szCs w:val="24"/>
                <w:lang w:val="nl-NL"/>
              </w:rPr>
              <w:t>Sustainability</w:t>
            </w:r>
            <w:proofErr w:type="spellEnd"/>
          </w:p>
          <w:p w14:paraId="0C1C0063" w14:textId="77777777" w:rsidR="00D2302D" w:rsidRPr="005205D3" w:rsidRDefault="00D2302D" w:rsidP="00D2302D">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05D3">
              <w:rPr>
                <w:rFonts w:ascii="Times New Roman" w:hAnsi="Times New Roman" w:cs="Times New Roman"/>
                <w:sz w:val="24"/>
                <w:szCs w:val="24"/>
              </w:rPr>
              <w:t>USDA bases its approach to agricultural sustainability on two definitions, both of which incorporate the three dimensions of sustainability:</w:t>
            </w:r>
          </w:p>
          <w:p w14:paraId="294781F3" w14:textId="77777777" w:rsidR="00D2302D" w:rsidRPr="005205D3" w:rsidRDefault="00D2302D" w:rsidP="00D2302D">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05D3">
              <w:rPr>
                <w:rFonts w:ascii="Times New Roman" w:hAnsi="Times New Roman" w:cs="Times New Roman"/>
                <w:b/>
                <w:bCs/>
                <w:sz w:val="24"/>
                <w:szCs w:val="24"/>
              </w:rPr>
              <w:t>Farm Bills:</w:t>
            </w:r>
            <w:r w:rsidRPr="005205D3">
              <w:rPr>
                <w:rFonts w:ascii="Times New Roman" w:hAnsi="Times New Roman" w:cs="Times New Roman"/>
                <w:sz w:val="24"/>
                <w:szCs w:val="24"/>
              </w:rPr>
              <w:t> The 1977 and 1990 “Farm Bills” describe sustainable agriculture as an integrated system of plant and animal production practices having a site-specific application that will, over the long term:</w:t>
            </w:r>
          </w:p>
          <w:p w14:paraId="375112A8" w14:textId="77777777" w:rsidR="00D2302D" w:rsidRPr="005205D3" w:rsidRDefault="00D2302D" w:rsidP="00D2302D">
            <w:pPr>
              <w:numPr>
                <w:ilvl w:val="0"/>
                <w:numId w:val="15"/>
              </w:num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05D3">
              <w:rPr>
                <w:rFonts w:ascii="Times New Roman" w:hAnsi="Times New Roman" w:cs="Times New Roman"/>
                <w:sz w:val="24"/>
                <w:szCs w:val="24"/>
              </w:rPr>
              <w:t>satisfy human food and fiber needs;</w:t>
            </w:r>
          </w:p>
          <w:p w14:paraId="3C458688" w14:textId="77777777" w:rsidR="00D2302D" w:rsidRPr="005205D3" w:rsidRDefault="00D2302D" w:rsidP="00D2302D">
            <w:pPr>
              <w:numPr>
                <w:ilvl w:val="0"/>
                <w:numId w:val="15"/>
              </w:num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05D3">
              <w:rPr>
                <w:rFonts w:ascii="Times New Roman" w:hAnsi="Times New Roman" w:cs="Times New Roman"/>
                <w:sz w:val="24"/>
                <w:szCs w:val="24"/>
              </w:rPr>
              <w:t>enhance environmental quality and the natural resource base upon which the agricultural economy depends;</w:t>
            </w:r>
          </w:p>
          <w:p w14:paraId="5246DE88" w14:textId="77777777" w:rsidR="00D2302D" w:rsidRPr="005205D3" w:rsidRDefault="00D2302D" w:rsidP="00D2302D">
            <w:pPr>
              <w:numPr>
                <w:ilvl w:val="0"/>
                <w:numId w:val="15"/>
              </w:num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05D3">
              <w:rPr>
                <w:rFonts w:ascii="Times New Roman" w:hAnsi="Times New Roman" w:cs="Times New Roman"/>
                <w:sz w:val="24"/>
                <w:szCs w:val="24"/>
              </w:rPr>
              <w:t>make the most efficient use of nonrenewable resources and on-farm resources and integrate, where appropriate, natural biological cycles and controls;</w:t>
            </w:r>
          </w:p>
          <w:p w14:paraId="03D3DA0E" w14:textId="77777777" w:rsidR="00D2302D" w:rsidRPr="005205D3" w:rsidRDefault="00D2302D" w:rsidP="00D2302D">
            <w:pPr>
              <w:numPr>
                <w:ilvl w:val="0"/>
                <w:numId w:val="15"/>
              </w:num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05D3">
              <w:rPr>
                <w:rFonts w:ascii="Times New Roman" w:hAnsi="Times New Roman" w:cs="Times New Roman"/>
                <w:sz w:val="24"/>
                <w:szCs w:val="24"/>
              </w:rPr>
              <w:t>sustain the economic viability of farm operations;</w:t>
            </w:r>
          </w:p>
          <w:p w14:paraId="71610BF9" w14:textId="77777777" w:rsidR="00D2302D" w:rsidRPr="005205D3" w:rsidRDefault="00D2302D" w:rsidP="00D2302D">
            <w:pPr>
              <w:numPr>
                <w:ilvl w:val="0"/>
                <w:numId w:val="15"/>
              </w:num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05D3">
              <w:rPr>
                <w:rFonts w:ascii="Times New Roman" w:hAnsi="Times New Roman" w:cs="Times New Roman"/>
                <w:sz w:val="24"/>
                <w:szCs w:val="24"/>
              </w:rPr>
              <w:t>enhance the quality of life for farmers and society as a whole.</w:t>
            </w:r>
          </w:p>
          <w:p w14:paraId="331534D6" w14:textId="77777777" w:rsidR="00D2302D" w:rsidRPr="005205D3" w:rsidRDefault="00D2302D" w:rsidP="00D2302D">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05D3">
              <w:rPr>
                <w:rFonts w:ascii="Times New Roman" w:hAnsi="Times New Roman" w:cs="Times New Roman"/>
                <w:i/>
                <w:iCs/>
                <w:sz w:val="24"/>
                <w:szCs w:val="24"/>
              </w:rPr>
              <w:t>Section 1404(17) of the National Agricultural Research, Extension, and Teaching Policy Act of 1977 (7 U.S.C. 3103(17) and the Food, Agriculture, Conservation, and Trade Act of 1990 (FACTA), Public Law 101-624. Title XVI, Subtitle A, Section 1603, GPO, Washington, D.C., 1990 NAL Call#KF1692.A31 1990.</w:t>
            </w:r>
          </w:p>
          <w:p w14:paraId="4F98C670" w14:textId="77777777" w:rsidR="00D2302D" w:rsidRPr="005205D3" w:rsidRDefault="00D2302D" w:rsidP="00D2302D">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nl-NL"/>
              </w:rPr>
            </w:pPr>
            <w:r w:rsidRPr="005205D3">
              <w:rPr>
                <w:rFonts w:ascii="Times New Roman" w:hAnsi="Times New Roman" w:cs="Times New Roman"/>
                <w:b/>
                <w:bCs/>
                <w:sz w:val="24"/>
                <w:szCs w:val="24"/>
              </w:rPr>
              <w:t>USDA Consensus Statement (2011):</w:t>
            </w:r>
            <w:r w:rsidRPr="005205D3">
              <w:rPr>
                <w:rFonts w:ascii="Times New Roman" w:hAnsi="Times New Roman" w:cs="Times New Roman"/>
                <w:sz w:val="24"/>
                <w:szCs w:val="24"/>
              </w:rPr>
              <w:t xml:space="preserve"> The U.S. Department of Agriculture is committed to working with partners and stakeholders toward sustainability of diverse agricultural, forest and range systems. </w:t>
            </w:r>
            <w:r w:rsidRPr="005205D3">
              <w:rPr>
                <w:rFonts w:ascii="Times New Roman" w:hAnsi="Times New Roman" w:cs="Times New Roman"/>
                <w:sz w:val="24"/>
                <w:szCs w:val="24"/>
                <w:lang w:val="nl-NL"/>
              </w:rPr>
              <w:t xml:space="preserve">USDA </w:t>
            </w:r>
            <w:proofErr w:type="spellStart"/>
            <w:r w:rsidRPr="005205D3">
              <w:rPr>
                <w:rFonts w:ascii="Times New Roman" w:hAnsi="Times New Roman" w:cs="Times New Roman"/>
                <w:sz w:val="24"/>
                <w:szCs w:val="24"/>
                <w:lang w:val="nl-NL"/>
              </w:rPr>
              <w:t>seeks</w:t>
            </w:r>
            <w:proofErr w:type="spellEnd"/>
            <w:r w:rsidRPr="005205D3">
              <w:rPr>
                <w:rFonts w:ascii="Times New Roman" w:hAnsi="Times New Roman" w:cs="Times New Roman"/>
                <w:sz w:val="24"/>
                <w:szCs w:val="24"/>
                <w:lang w:val="nl-NL"/>
              </w:rPr>
              <w:t xml:space="preserve"> </w:t>
            </w:r>
            <w:proofErr w:type="spellStart"/>
            <w:r w:rsidRPr="005205D3">
              <w:rPr>
                <w:rFonts w:ascii="Times New Roman" w:hAnsi="Times New Roman" w:cs="Times New Roman"/>
                <w:sz w:val="24"/>
                <w:szCs w:val="24"/>
                <w:lang w:val="nl-NL"/>
              </w:rPr>
              <w:t>to</w:t>
            </w:r>
            <w:proofErr w:type="spellEnd"/>
            <w:r w:rsidRPr="005205D3">
              <w:rPr>
                <w:rFonts w:ascii="Times New Roman" w:hAnsi="Times New Roman" w:cs="Times New Roman"/>
                <w:sz w:val="24"/>
                <w:szCs w:val="24"/>
                <w:lang w:val="nl-NL"/>
              </w:rPr>
              <w:t xml:space="preserve"> </w:t>
            </w:r>
            <w:proofErr w:type="spellStart"/>
            <w:r w:rsidRPr="005205D3">
              <w:rPr>
                <w:rFonts w:ascii="Times New Roman" w:hAnsi="Times New Roman" w:cs="Times New Roman"/>
                <w:sz w:val="24"/>
                <w:szCs w:val="24"/>
                <w:lang w:val="nl-NL"/>
              </w:rPr>
              <w:t>balance</w:t>
            </w:r>
            <w:proofErr w:type="spellEnd"/>
            <w:r w:rsidRPr="005205D3">
              <w:rPr>
                <w:rFonts w:ascii="Times New Roman" w:hAnsi="Times New Roman" w:cs="Times New Roman"/>
                <w:sz w:val="24"/>
                <w:szCs w:val="24"/>
                <w:lang w:val="nl-NL"/>
              </w:rPr>
              <w:t xml:space="preserve"> </w:t>
            </w:r>
            <w:proofErr w:type="spellStart"/>
            <w:r w:rsidRPr="005205D3">
              <w:rPr>
                <w:rFonts w:ascii="Times New Roman" w:hAnsi="Times New Roman" w:cs="Times New Roman"/>
                <w:sz w:val="24"/>
                <w:szCs w:val="24"/>
                <w:lang w:val="nl-NL"/>
              </w:rPr>
              <w:t>the</w:t>
            </w:r>
            <w:proofErr w:type="spellEnd"/>
            <w:r w:rsidRPr="005205D3">
              <w:rPr>
                <w:rFonts w:ascii="Times New Roman" w:hAnsi="Times New Roman" w:cs="Times New Roman"/>
                <w:sz w:val="24"/>
                <w:szCs w:val="24"/>
                <w:lang w:val="nl-NL"/>
              </w:rPr>
              <w:t xml:space="preserve"> goals of:</w:t>
            </w:r>
          </w:p>
          <w:p w14:paraId="3301A894" w14:textId="77777777" w:rsidR="00D2302D" w:rsidRPr="005205D3" w:rsidRDefault="00D2302D" w:rsidP="00D2302D">
            <w:pPr>
              <w:numPr>
                <w:ilvl w:val="0"/>
                <w:numId w:val="16"/>
              </w:num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nl-NL"/>
              </w:rPr>
            </w:pPr>
            <w:proofErr w:type="spellStart"/>
            <w:r w:rsidRPr="005205D3">
              <w:rPr>
                <w:rFonts w:ascii="Times New Roman" w:hAnsi="Times New Roman" w:cs="Times New Roman"/>
                <w:sz w:val="24"/>
                <w:szCs w:val="24"/>
                <w:lang w:val="nl-NL"/>
              </w:rPr>
              <w:lastRenderedPageBreak/>
              <w:t>Satisfying</w:t>
            </w:r>
            <w:proofErr w:type="spellEnd"/>
            <w:r w:rsidRPr="005205D3">
              <w:rPr>
                <w:rFonts w:ascii="Times New Roman" w:hAnsi="Times New Roman" w:cs="Times New Roman"/>
                <w:sz w:val="24"/>
                <w:szCs w:val="24"/>
                <w:lang w:val="nl-NL"/>
              </w:rPr>
              <w:t xml:space="preserve"> human </w:t>
            </w:r>
            <w:proofErr w:type="spellStart"/>
            <w:r w:rsidRPr="005205D3">
              <w:rPr>
                <w:rFonts w:ascii="Times New Roman" w:hAnsi="Times New Roman" w:cs="Times New Roman"/>
                <w:sz w:val="24"/>
                <w:szCs w:val="24"/>
                <w:lang w:val="nl-NL"/>
              </w:rPr>
              <w:t>needs</w:t>
            </w:r>
            <w:proofErr w:type="spellEnd"/>
            <w:r w:rsidRPr="005205D3">
              <w:rPr>
                <w:rFonts w:ascii="Times New Roman" w:hAnsi="Times New Roman" w:cs="Times New Roman"/>
                <w:sz w:val="24"/>
                <w:szCs w:val="24"/>
                <w:lang w:val="nl-NL"/>
              </w:rPr>
              <w:t>;</w:t>
            </w:r>
          </w:p>
          <w:p w14:paraId="61AD1333" w14:textId="77777777" w:rsidR="00D2302D" w:rsidRPr="005205D3" w:rsidRDefault="00D2302D" w:rsidP="00D2302D">
            <w:pPr>
              <w:numPr>
                <w:ilvl w:val="0"/>
                <w:numId w:val="16"/>
              </w:num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05D3">
              <w:rPr>
                <w:rFonts w:ascii="Times New Roman" w:hAnsi="Times New Roman" w:cs="Times New Roman"/>
                <w:sz w:val="24"/>
                <w:szCs w:val="24"/>
              </w:rPr>
              <w:t>Enhancing environmental quality, the resource base, and ecosystem services;</w:t>
            </w:r>
          </w:p>
          <w:p w14:paraId="47C678C6" w14:textId="77777777" w:rsidR="00D2302D" w:rsidRPr="005205D3" w:rsidRDefault="00D2302D" w:rsidP="00D2302D">
            <w:pPr>
              <w:numPr>
                <w:ilvl w:val="0"/>
                <w:numId w:val="16"/>
              </w:num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05D3">
              <w:rPr>
                <w:rFonts w:ascii="Times New Roman" w:hAnsi="Times New Roman" w:cs="Times New Roman"/>
                <w:sz w:val="24"/>
                <w:szCs w:val="24"/>
              </w:rPr>
              <w:t>Sustaining the economic viability of agriculture;</w:t>
            </w:r>
          </w:p>
          <w:p w14:paraId="65A77431" w14:textId="08B0CA80" w:rsidR="00D2302D" w:rsidRPr="005205D3" w:rsidRDefault="00D2302D" w:rsidP="009A4E0A">
            <w:pPr>
              <w:numPr>
                <w:ilvl w:val="0"/>
                <w:numId w:val="16"/>
              </w:num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05D3">
              <w:rPr>
                <w:rFonts w:ascii="Times New Roman" w:hAnsi="Times New Roman" w:cs="Times New Roman"/>
                <w:sz w:val="24"/>
                <w:szCs w:val="24"/>
              </w:rPr>
              <w:t xml:space="preserve">Enhancing the quality of life for farmers, ranchers, forest </w:t>
            </w:r>
            <w:proofErr w:type="spellStart"/>
            <w:r w:rsidRPr="005205D3">
              <w:rPr>
                <w:rFonts w:ascii="Times New Roman" w:hAnsi="Times New Roman" w:cs="Times New Roman"/>
                <w:sz w:val="24"/>
                <w:szCs w:val="24"/>
              </w:rPr>
              <w:t>mangers</w:t>
            </w:r>
            <w:proofErr w:type="spellEnd"/>
            <w:r w:rsidRPr="005205D3">
              <w:rPr>
                <w:rFonts w:ascii="Times New Roman" w:hAnsi="Times New Roman" w:cs="Times New Roman"/>
                <w:sz w:val="24"/>
                <w:szCs w:val="24"/>
              </w:rPr>
              <w:t>, workers and society as a whole</w:t>
            </w:r>
            <w:r w:rsidRPr="005205D3">
              <w:rPr>
                <w:rFonts w:ascii="Times New Roman" w:hAnsi="Times New Roman" w:cs="Times New Roman"/>
                <w:b/>
                <w:bCs/>
                <w:sz w:val="24"/>
                <w:szCs w:val="24"/>
              </w:rPr>
              <w:t>.</w:t>
            </w:r>
          </w:p>
          <w:p w14:paraId="37401342" w14:textId="3DFB4C8E" w:rsidR="00D2302D" w:rsidRPr="005205D3" w:rsidRDefault="00D2302D"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05D3">
              <w:rPr>
                <w:rFonts w:ascii="Times New Roman" w:hAnsi="Times New Roman" w:cs="Times New Roman"/>
                <w:sz w:val="24"/>
                <w:szCs w:val="24"/>
              </w:rPr>
              <w:t>(https://www.usda.gov/about-usda/general-information/staff-offices/office-chief-economist/oce-sustainability/definitions-sustainability-and-food-systems)</w:t>
            </w:r>
          </w:p>
        </w:tc>
      </w:tr>
      <w:tr w:rsidR="009A4E0A" w:rsidRPr="00473500" w14:paraId="56E92BA5" w14:textId="77777777" w:rsidTr="54F068BE">
        <w:trPr>
          <w:trHeight w:val="431"/>
        </w:trPr>
        <w:tc>
          <w:tcPr>
            <w:cnfStyle w:val="001000000000" w:firstRow="0" w:lastRow="0" w:firstColumn="1" w:lastColumn="0" w:oddVBand="0" w:evenVBand="0" w:oddHBand="0" w:evenHBand="0" w:firstRowFirstColumn="0" w:firstRowLastColumn="0" w:lastRowFirstColumn="0" w:lastRowLastColumn="0"/>
            <w:tcW w:w="0" w:type="auto"/>
            <w:noWrap/>
          </w:tcPr>
          <w:p w14:paraId="0783C09B" w14:textId="06A3E73E" w:rsidR="009A4E0A" w:rsidRPr="005205D3" w:rsidRDefault="001C59EC" w:rsidP="009A4E0A">
            <w:pPr>
              <w:spacing w:before="60" w:after="60" w:line="264" w:lineRule="auto"/>
              <w:jc w:val="right"/>
              <w:rPr>
                <w:rFonts w:ascii="Times New Roman" w:eastAsia="Times New Roman" w:hAnsi="Times New Roman" w:cs="Times New Roman"/>
                <w:b w:val="0"/>
                <w:bCs w:val="0"/>
                <w:color w:val="000000"/>
                <w:sz w:val="24"/>
                <w:szCs w:val="24"/>
                <w:lang w:eastAsia="nl-NL"/>
              </w:rPr>
            </w:pPr>
            <w:r w:rsidRPr="005205D3">
              <w:rPr>
                <w:rFonts w:ascii="Times New Roman" w:eastAsia="Times New Roman" w:hAnsi="Times New Roman" w:cs="Times New Roman"/>
                <w:b w:val="0"/>
                <w:bCs w:val="0"/>
                <w:color w:val="000000" w:themeColor="text1"/>
                <w:sz w:val="24"/>
                <w:szCs w:val="24"/>
                <w:lang w:eastAsia="nl-NL"/>
              </w:rPr>
              <w:lastRenderedPageBreak/>
              <w:t>6</w:t>
            </w:r>
            <w:r w:rsidR="21FDC92C" w:rsidRPr="005205D3">
              <w:rPr>
                <w:rFonts w:ascii="Times New Roman" w:eastAsia="Times New Roman" w:hAnsi="Times New Roman" w:cs="Times New Roman"/>
                <w:b w:val="0"/>
                <w:bCs w:val="0"/>
                <w:color w:val="000000" w:themeColor="text1"/>
                <w:sz w:val="24"/>
                <w:szCs w:val="24"/>
                <w:lang w:eastAsia="nl-NL"/>
              </w:rPr>
              <w:t>6</w:t>
            </w:r>
          </w:p>
        </w:tc>
        <w:tc>
          <w:tcPr>
            <w:tcW w:w="0" w:type="auto"/>
          </w:tcPr>
          <w:p w14:paraId="6480B55A" w14:textId="3E98B7B0" w:rsidR="009A4E0A" w:rsidRPr="005205D3" w:rsidRDefault="63670EF1" w:rsidP="54F068BE">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r w:rsidRPr="005205D3">
              <w:rPr>
                <w:rFonts w:ascii="Times New Roman" w:eastAsia="Times New Roman" w:hAnsi="Times New Roman" w:cs="Times New Roman"/>
                <w:color w:val="000000" w:themeColor="text1"/>
                <w:sz w:val="24"/>
                <w:szCs w:val="24"/>
                <w:lang w:val="nl-NL" w:eastAsia="nl-NL"/>
              </w:rPr>
              <w:t>Unilever (</w:t>
            </w:r>
            <w:proofErr w:type="spellStart"/>
            <w:r w:rsidRPr="005205D3">
              <w:rPr>
                <w:rFonts w:ascii="Times New Roman" w:eastAsia="Times New Roman" w:hAnsi="Times New Roman" w:cs="Times New Roman"/>
                <w:color w:val="000000" w:themeColor="text1"/>
                <w:sz w:val="24"/>
                <w:szCs w:val="24"/>
                <w:lang w:val="nl-NL" w:eastAsia="nl-NL"/>
              </w:rPr>
              <w:t>n.d</w:t>
            </w:r>
            <w:proofErr w:type="spellEnd"/>
            <w:r w:rsidRPr="005205D3">
              <w:rPr>
                <w:rFonts w:ascii="Times New Roman" w:eastAsia="Times New Roman" w:hAnsi="Times New Roman" w:cs="Times New Roman"/>
                <w:color w:val="000000" w:themeColor="text1"/>
                <w:sz w:val="24"/>
                <w:szCs w:val="24"/>
                <w:lang w:val="nl-NL" w:eastAsia="nl-NL"/>
              </w:rPr>
              <w:t>.)</w:t>
            </w:r>
          </w:p>
        </w:tc>
        <w:tc>
          <w:tcPr>
            <w:tcW w:w="0" w:type="auto"/>
          </w:tcPr>
          <w:p w14:paraId="273CA561" w14:textId="6A5FB09D"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05D3">
              <w:rPr>
                <w:rFonts w:ascii="Times New Roman" w:hAnsi="Times New Roman" w:cs="Times New Roman"/>
                <w:sz w:val="24"/>
                <w:szCs w:val="24"/>
              </w:rPr>
              <w:t>We’re ensuring our products are Responsibly Delicious – with a focus on both taste and goodness. We want all consumers to have access to affordable products, and we encourage people to make nutritious choices through clear labelling and balanced portions. …We all want our food to be made in ways that are fair to others, and the planet. So at the same time as supporting consumers in choosing healthy, balanced diets, we strive to source our ingredients sustainably and support farmers and others who make their livelihood from working with us…</w:t>
            </w:r>
          </w:p>
          <w:p w14:paraId="77E08A55" w14:textId="77777777"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05D3">
              <w:rPr>
                <w:rFonts w:ascii="Times New Roman" w:hAnsi="Times New Roman" w:cs="Times New Roman"/>
                <w:sz w:val="24"/>
                <w:szCs w:val="24"/>
              </w:rPr>
              <w:t>We want to make sure that everyone can be part of the move towards plant-based foods and alternative proteins. Eating more plant-based choices can be better for all of us as consumers, and better for the planet.</w:t>
            </w:r>
          </w:p>
          <w:p w14:paraId="39C8FD9F" w14:textId="77777777"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05D3">
              <w:rPr>
                <w:rFonts w:ascii="Times New Roman" w:hAnsi="Times New Roman" w:cs="Times New Roman"/>
                <w:sz w:val="24"/>
                <w:szCs w:val="24"/>
              </w:rPr>
              <w:t xml:space="preserve">But if we want people to make the switch, we need plant-based options to be more accessible, affordable and </w:t>
            </w:r>
            <w:proofErr w:type="spellStart"/>
            <w:r w:rsidRPr="005205D3">
              <w:rPr>
                <w:rFonts w:ascii="Times New Roman" w:hAnsi="Times New Roman" w:cs="Times New Roman"/>
                <w:sz w:val="24"/>
                <w:szCs w:val="24"/>
              </w:rPr>
              <w:t>appetising</w:t>
            </w:r>
            <w:proofErr w:type="spellEnd"/>
            <w:r w:rsidRPr="005205D3">
              <w:rPr>
                <w:rFonts w:ascii="Times New Roman" w:hAnsi="Times New Roman" w:cs="Times New Roman"/>
                <w:sz w:val="24"/>
                <w:szCs w:val="24"/>
              </w:rPr>
              <w:t>. They need to be the easy, obvious choice.</w:t>
            </w:r>
          </w:p>
          <w:p w14:paraId="38BA1CA1" w14:textId="03786C0A"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05D3">
              <w:rPr>
                <w:rFonts w:ascii="Times New Roman" w:hAnsi="Times New Roman" w:cs="Times New Roman"/>
                <w:sz w:val="24"/>
                <w:szCs w:val="24"/>
              </w:rPr>
              <w:t>(https://www.unilever.com/brands/foods/the-worlds-food-system-needs-to-change/)</w:t>
            </w:r>
          </w:p>
        </w:tc>
      </w:tr>
      <w:tr w:rsidR="009A4E0A" w:rsidRPr="0066686C" w14:paraId="703574B0" w14:textId="77777777" w:rsidTr="54F068BE">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FBDD90C" w14:textId="0B6FA3E2" w:rsidR="009A4E0A" w:rsidRPr="005205D3" w:rsidRDefault="001C59EC" w:rsidP="009A4E0A">
            <w:pPr>
              <w:spacing w:before="60" w:after="60" w:line="264" w:lineRule="auto"/>
              <w:jc w:val="right"/>
              <w:rPr>
                <w:rFonts w:ascii="Times New Roman" w:eastAsia="Times New Roman" w:hAnsi="Times New Roman" w:cs="Times New Roman"/>
                <w:b w:val="0"/>
                <w:bCs w:val="0"/>
                <w:color w:val="000000"/>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t>6</w:t>
            </w:r>
            <w:r w:rsidR="343D3702" w:rsidRPr="005205D3">
              <w:rPr>
                <w:rFonts w:ascii="Times New Roman" w:eastAsia="Times New Roman" w:hAnsi="Times New Roman" w:cs="Times New Roman"/>
                <w:b w:val="0"/>
                <w:bCs w:val="0"/>
                <w:color w:val="000000" w:themeColor="text1"/>
                <w:sz w:val="24"/>
                <w:szCs w:val="24"/>
                <w:lang w:val="nl-NL" w:eastAsia="nl-NL"/>
              </w:rPr>
              <w:t>7</w:t>
            </w:r>
          </w:p>
        </w:tc>
        <w:tc>
          <w:tcPr>
            <w:tcW w:w="0" w:type="auto"/>
          </w:tcPr>
          <w:p w14:paraId="613C890F" w14:textId="32EC9678"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r w:rsidRPr="005205D3">
              <w:rPr>
                <w:rFonts w:ascii="Times New Roman" w:eastAsia="Times New Roman" w:hAnsi="Times New Roman" w:cs="Times New Roman"/>
                <w:color w:val="000000"/>
                <w:sz w:val="24"/>
                <w:szCs w:val="24"/>
                <w:lang w:val="nl-NL" w:eastAsia="nl-NL"/>
              </w:rPr>
              <w:fldChar w:fldCharType="begin" w:fldLock="1"/>
            </w:r>
            <w:r w:rsidRPr="005205D3">
              <w:rPr>
                <w:rFonts w:ascii="Times New Roman" w:eastAsia="Times New Roman" w:hAnsi="Times New Roman" w:cs="Times New Roman"/>
                <w:color w:val="000000"/>
                <w:sz w:val="24"/>
                <w:szCs w:val="24"/>
                <w:lang w:val="nl-NL" w:eastAsia="nl-NL"/>
              </w:rPr>
              <w:instrText>ADDIN CSL_CITATION { "citationItems" : [ { "id" : "ITEM-1", "itemData" : { "author" : [ { "dropping-particle" : "", "family" : "Ellen MacArthur Foundation", "given" : "", "non-dropping-particle" : "", "parse-names" : false, "suffix" : "" } ], "id" : "ITEM-1", "issued" : { "date-parts" : [ [ "2012" ] ] }, "title" : "Towards the circular economy: Economic and business rationale for an accelerated transition", "type" : "report" }, "locator" : "7", "uris" : [ "http://www.mendeley.com/documents/?uuid=178fa386-602e-49df-92ad-1e36da95374d" ] } ], "mendeley" : { "formattedCitation" : "(Ellen MacArthur Foundation, 2012, p. 7)", "manualFormatting" : "Ellen MacArthur Foundation (2012, p. 7)", "plainTextFormattedCitation" : "(Ellen MacArthur Foundation, 2012, p. 7)", "previouslyFormattedCitation" : "(Ellen MacArthur Foundation, 2012, p. 7)" }, "properties" : { "noteIndex" : 0 }, "schema" : "https://github.com/citation-style-language/schema/raw/master/csl-citation.json" }</w:instrText>
            </w:r>
            <w:r w:rsidRPr="005205D3">
              <w:rPr>
                <w:rFonts w:ascii="Times New Roman" w:eastAsia="Times New Roman" w:hAnsi="Times New Roman" w:cs="Times New Roman"/>
                <w:color w:val="000000"/>
                <w:sz w:val="24"/>
                <w:szCs w:val="24"/>
                <w:lang w:val="nl-NL" w:eastAsia="nl-NL"/>
              </w:rPr>
              <w:fldChar w:fldCharType="separate"/>
            </w:r>
            <w:r w:rsidRPr="005205D3">
              <w:rPr>
                <w:rFonts w:ascii="Times New Roman" w:eastAsia="Times New Roman" w:hAnsi="Times New Roman" w:cs="Times New Roman"/>
                <w:noProof/>
                <w:color w:val="000000"/>
                <w:sz w:val="24"/>
                <w:szCs w:val="24"/>
                <w:lang w:val="nl-NL" w:eastAsia="nl-NL"/>
              </w:rPr>
              <w:t>Vanhonacker et al. (2013, p. 7)</w:t>
            </w:r>
            <w:r w:rsidRPr="005205D3">
              <w:rPr>
                <w:rFonts w:ascii="Times New Roman" w:eastAsia="Times New Roman" w:hAnsi="Times New Roman" w:cs="Times New Roman"/>
                <w:color w:val="000000"/>
                <w:sz w:val="24"/>
                <w:szCs w:val="24"/>
                <w:lang w:val="nl-NL" w:eastAsia="nl-NL"/>
              </w:rPr>
              <w:fldChar w:fldCharType="end"/>
            </w:r>
          </w:p>
        </w:tc>
        <w:tc>
          <w:tcPr>
            <w:tcW w:w="0" w:type="auto"/>
          </w:tcPr>
          <w:p w14:paraId="6A62ED46" w14:textId="4921241A"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This study investigates opportunities and bottlenecks of some alternative and more sustainable food choices in terms of consumer evaluation. In this study sustainable food choices refer to more ecological-friendly food choices.</w:t>
            </w:r>
          </w:p>
        </w:tc>
      </w:tr>
      <w:tr w:rsidR="009A4E0A" w:rsidRPr="0066686C" w14:paraId="5498C6B1" w14:textId="77777777" w:rsidTr="54F068BE">
        <w:trPr>
          <w:trHeight w:val="530"/>
        </w:trPr>
        <w:tc>
          <w:tcPr>
            <w:cnfStyle w:val="001000000000" w:firstRow="0" w:lastRow="0" w:firstColumn="1" w:lastColumn="0" w:oddVBand="0" w:evenVBand="0" w:oddHBand="0" w:evenHBand="0" w:firstRowFirstColumn="0" w:firstRowLastColumn="0" w:lastRowFirstColumn="0" w:lastRowLastColumn="0"/>
            <w:tcW w:w="0" w:type="auto"/>
            <w:noWrap/>
          </w:tcPr>
          <w:p w14:paraId="4DCA711C" w14:textId="12D3EC71" w:rsidR="009A4E0A" w:rsidRPr="005205D3" w:rsidRDefault="001C59EC" w:rsidP="009A4E0A">
            <w:pPr>
              <w:spacing w:before="60" w:after="60" w:line="264" w:lineRule="auto"/>
              <w:jc w:val="right"/>
              <w:rPr>
                <w:rFonts w:ascii="Times New Roman" w:eastAsia="Times New Roman" w:hAnsi="Times New Roman" w:cs="Times New Roman"/>
                <w:b w:val="0"/>
                <w:bCs w:val="0"/>
                <w:color w:val="000000"/>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t>6</w:t>
            </w:r>
            <w:r w:rsidR="5FBF22D3" w:rsidRPr="005205D3">
              <w:rPr>
                <w:rFonts w:ascii="Times New Roman" w:eastAsia="Times New Roman" w:hAnsi="Times New Roman" w:cs="Times New Roman"/>
                <w:b w:val="0"/>
                <w:bCs w:val="0"/>
                <w:color w:val="000000" w:themeColor="text1"/>
                <w:sz w:val="24"/>
                <w:szCs w:val="24"/>
                <w:lang w:val="nl-NL" w:eastAsia="nl-NL"/>
              </w:rPr>
              <w:t>8</w:t>
            </w:r>
          </w:p>
        </w:tc>
        <w:tc>
          <w:tcPr>
            <w:tcW w:w="0" w:type="auto"/>
          </w:tcPr>
          <w:p w14:paraId="6A620BAC" w14:textId="72A0F80F"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r w:rsidRPr="005205D3">
              <w:rPr>
                <w:rFonts w:ascii="Times New Roman" w:eastAsia="Times New Roman" w:hAnsi="Times New Roman" w:cs="Times New Roman"/>
                <w:color w:val="000000"/>
                <w:sz w:val="24"/>
                <w:szCs w:val="24"/>
                <w:lang w:val="nl-NL" w:eastAsia="nl-NL"/>
              </w:rPr>
              <w:fldChar w:fldCharType="begin" w:fldLock="1"/>
            </w:r>
            <w:r w:rsidRPr="005205D3">
              <w:rPr>
                <w:rFonts w:ascii="Times New Roman" w:eastAsia="Times New Roman" w:hAnsi="Times New Roman" w:cs="Times New Roman"/>
                <w:color w:val="000000"/>
                <w:sz w:val="24"/>
                <w:szCs w:val="24"/>
                <w:lang w:val="nl-NL" w:eastAsia="nl-NL"/>
              </w:rPr>
              <w:instrText>ADDIN CSL_CITATION { "citationItems" : [ { "id" : "ITEM-1", "itemData" : { "DOI" : "10.1016/j.procir.2014.07.018", "ISSN" : "22128271", "author" : [ { "dropping-particle" : "", "family" : "Iung", "given" : "Benoit", "non-dropping-particle" : "", "parse-names" : false, "suffix" : "" }, { "dropping-particle" : "", "family" : "Levrat", "given" : "Eric", "non-dropping-particle" : "", "parse-names" : false, "suffix" : "" } ], "container-title" : "Procedia CIRP", "id" : "ITEM-1", "issued" : { "date-parts" : [ [ "2014" ] ] }, "page" : "15-22", "title" : "Advanced Maintenance Services for Promoting Sustainability", "type" : "article-journal", "volume" : "22" }, "locator" : "16", "uris" : [ "http://www.mendeley.com/documents/?uuid=9c2a9a82-bcea-3bad-858f-c6f1bc50c254" ] } ], "mendeley" : { "formattedCitation" : "(Iung &amp; Levrat, 2014, p. 16)", "manualFormatting" : "Iung &amp; Levrat (2014, p. 16)", "plainTextFormattedCitation" : "(Iung &amp; Levrat, 2014, p. 16)", "previouslyFormattedCitation" : "(Iung &amp; Levrat, 2014, p. 16)" }, "properties" : { "noteIndex" : 0 }, "schema" : "https://github.com/citation-style-language/schema/raw/master/csl-citation.json" }</w:instrText>
            </w:r>
            <w:r w:rsidRPr="005205D3">
              <w:rPr>
                <w:rFonts w:ascii="Times New Roman" w:eastAsia="Times New Roman" w:hAnsi="Times New Roman" w:cs="Times New Roman"/>
                <w:color w:val="000000"/>
                <w:sz w:val="24"/>
                <w:szCs w:val="24"/>
                <w:lang w:val="nl-NL" w:eastAsia="nl-NL"/>
              </w:rPr>
              <w:fldChar w:fldCharType="separate"/>
            </w:r>
            <w:r w:rsidRPr="005205D3">
              <w:rPr>
                <w:rFonts w:ascii="Times New Roman" w:eastAsia="Times New Roman" w:hAnsi="Times New Roman" w:cs="Times New Roman"/>
                <w:color w:val="000000"/>
                <w:sz w:val="24"/>
                <w:szCs w:val="24"/>
                <w:lang w:val="nl-NL" w:eastAsia="nl-NL"/>
              </w:rPr>
              <w:t>Van Bussel et al.</w:t>
            </w:r>
            <w:r w:rsidRPr="005205D3">
              <w:rPr>
                <w:rFonts w:ascii="Times New Roman" w:eastAsia="Times New Roman" w:hAnsi="Times New Roman" w:cs="Times New Roman"/>
                <w:noProof/>
                <w:color w:val="000000"/>
                <w:sz w:val="24"/>
                <w:szCs w:val="24"/>
                <w:lang w:val="nl-NL" w:eastAsia="nl-NL"/>
              </w:rPr>
              <w:t xml:space="preserve"> (2022, p. 1)</w:t>
            </w:r>
            <w:r w:rsidRPr="005205D3">
              <w:rPr>
                <w:rFonts w:ascii="Times New Roman" w:eastAsia="Times New Roman" w:hAnsi="Times New Roman" w:cs="Times New Roman"/>
                <w:color w:val="000000"/>
                <w:sz w:val="24"/>
                <w:szCs w:val="24"/>
                <w:lang w:val="nl-NL" w:eastAsia="nl-NL"/>
              </w:rPr>
              <w:fldChar w:fldCharType="end"/>
            </w:r>
          </w:p>
        </w:tc>
        <w:tc>
          <w:tcPr>
            <w:tcW w:w="0" w:type="auto"/>
          </w:tcPr>
          <w:p w14:paraId="4E66B0C8" w14:textId="14DA3A48"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The FAO defines sustainable diets as “diets with low environmental impacts which contribute to food and nutrition security and to healthy life for present and future generations. Sustainable diets are protective and respectful of biodiversity and ecosystems, culturally acceptable, accessible, economically fair and affordable; nutritionally adequate, safe and healthy; while optimizing natural and human resources” (FAO, 2010). This definition is highly complex, and includes environmental, social and economic considerations.</w:t>
            </w:r>
          </w:p>
        </w:tc>
      </w:tr>
      <w:tr w:rsidR="009A4E0A" w:rsidRPr="0066686C" w14:paraId="11DB4E0C" w14:textId="77777777" w:rsidTr="54F068BE">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0" w:type="auto"/>
            <w:noWrap/>
          </w:tcPr>
          <w:p w14:paraId="040B4C92" w14:textId="3EEBC82C" w:rsidR="009A4E0A" w:rsidRPr="005205D3" w:rsidRDefault="001C59EC" w:rsidP="009A4E0A">
            <w:pPr>
              <w:spacing w:before="60" w:after="60" w:line="264" w:lineRule="auto"/>
              <w:jc w:val="right"/>
              <w:rPr>
                <w:rFonts w:ascii="Times New Roman" w:eastAsia="Times New Roman" w:hAnsi="Times New Roman" w:cs="Times New Roman"/>
                <w:b w:val="0"/>
                <w:bCs w:val="0"/>
                <w:color w:val="000000"/>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lastRenderedPageBreak/>
              <w:t>6</w:t>
            </w:r>
            <w:r w:rsidR="47BC4AAE" w:rsidRPr="005205D3">
              <w:rPr>
                <w:rFonts w:ascii="Times New Roman" w:eastAsia="Times New Roman" w:hAnsi="Times New Roman" w:cs="Times New Roman"/>
                <w:b w:val="0"/>
                <w:bCs w:val="0"/>
                <w:color w:val="000000" w:themeColor="text1"/>
                <w:sz w:val="24"/>
                <w:szCs w:val="24"/>
                <w:lang w:val="nl-NL" w:eastAsia="nl-NL"/>
              </w:rPr>
              <w:t>9</w:t>
            </w:r>
          </w:p>
        </w:tc>
        <w:tc>
          <w:tcPr>
            <w:tcW w:w="0" w:type="auto"/>
          </w:tcPr>
          <w:p w14:paraId="40852F77" w14:textId="368A401E"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r w:rsidRPr="005205D3">
              <w:rPr>
                <w:rFonts w:ascii="Times New Roman" w:eastAsia="Times New Roman" w:hAnsi="Times New Roman" w:cs="Times New Roman"/>
                <w:color w:val="000000"/>
                <w:sz w:val="24"/>
                <w:szCs w:val="24"/>
                <w:lang w:val="nl-NL" w:eastAsia="nl-NL"/>
              </w:rPr>
              <w:fldChar w:fldCharType="begin" w:fldLock="1"/>
            </w:r>
            <w:r w:rsidRPr="005205D3">
              <w:rPr>
                <w:rFonts w:ascii="Times New Roman" w:eastAsia="Times New Roman" w:hAnsi="Times New Roman" w:cs="Times New Roman"/>
                <w:color w:val="000000"/>
                <w:sz w:val="24"/>
                <w:szCs w:val="24"/>
                <w:lang w:val="nl-NL" w:eastAsia="nl-NL"/>
              </w:rPr>
              <w:instrText>ADDIN CSL_CITATION { "citationItems" : [ { "id" : "ITEM-1", "itemData" : { "DOI" : "10.1016/j.jclepro.2013.12.050", "ISSN" : "09596526", "abstract" : "The normative question \u201cwhat role should governmental policy play to facilitate the development of industrial symbiosis?\u201d has received considerable attention of researchers. However, for several reasons the effects of governmental policy actions on industrial symbiosis are still not clear. This article proposes a research agenda to clarify the mechanisms of policy intervention and facilitation of industrial symbiosis based on a comprehensive review of industrial symbiosis literature, focusing on how policy is conceptualized and studied. The results show that existing research lacks an explicit definition of policy, and employs a static conceptualization of policy that is reinforced by comparative statics research methods. We argue that a dynamic process perspective is crucial to reveal the actual mechanisms through which policy intervention and facilitation affect the evolution of industrial symbiosis. Building on this view, industrial symbiosis research is connected with insights from policy sciences, and the case of policy translation of Circular Economy and Eco-industrial Park in China is investigated in order to illustrate that policy is at heart a dynamic process. We conclude with a research agenda proposing that the key to reveal the mechanisms is to identify the sequence of events connecting policy process and industrial symbiosis practices.", "author" : [ { "dropping-particle" : "", "family" : "Jiao", "given" : "Wenting", "non-dropping-particle" : "", "parse-names" : false, "suffix" : "" }, { "dropping-particle" : "", "family" : "Boons", "given" : "Frank", "non-dropping-particle" : "", "parse-names" : false, "suffix" : "" } ], "container-title" : "Journal of Cleaner Production", "id" : "ITEM-1", "issued" : { "date-parts" : [ [ "2014" ] ] }, "page" : "14-25", "title" : "Toward a research agenda for policy intervention and facilitation to enhance industrial symbiosis based on a comprehensive literature review", "type" : "article-journal", "volume" : "67" }, "locator" : "21", "uris" : [ "http://www.mendeley.com/documents/?uuid=8f0592b1-3d6a-3d53-9ed9-3abb64212083" ] } ], "mendeley" : { "formattedCitation" : "(Jiao &amp; Boons, 2014, p. 21)", "manualFormatting" : "Jiao &amp; Boons (2014, p. 21)", "plainTextFormattedCitation" : "(Jiao &amp; Boons, 2014, p. 21)", "previouslyFormattedCitation" : "(Jiao &amp; Boons, 2014, p. 21)" }, "properties" : { "noteIndex" : 0 }, "schema" : "https://github.com/citation-style-language/schema/raw/master/csl-citation.json" }</w:instrText>
            </w:r>
            <w:r w:rsidRPr="005205D3">
              <w:rPr>
                <w:rFonts w:ascii="Times New Roman" w:eastAsia="Times New Roman" w:hAnsi="Times New Roman" w:cs="Times New Roman"/>
                <w:color w:val="000000"/>
                <w:sz w:val="24"/>
                <w:szCs w:val="24"/>
                <w:lang w:val="nl-NL" w:eastAsia="nl-NL"/>
              </w:rPr>
              <w:fldChar w:fldCharType="separate"/>
            </w:r>
            <w:r w:rsidRPr="005205D3">
              <w:rPr>
                <w:rFonts w:ascii="Times New Roman" w:eastAsia="Times New Roman" w:hAnsi="Times New Roman" w:cs="Times New Roman"/>
                <w:noProof/>
                <w:color w:val="000000"/>
                <w:sz w:val="24"/>
                <w:szCs w:val="24"/>
                <w:lang w:val="nl-NL" w:eastAsia="nl-NL"/>
              </w:rPr>
              <w:t>Vargas et al. (2021, p. 2)</w:t>
            </w:r>
            <w:r w:rsidRPr="005205D3">
              <w:rPr>
                <w:rFonts w:ascii="Times New Roman" w:eastAsia="Times New Roman" w:hAnsi="Times New Roman" w:cs="Times New Roman"/>
                <w:color w:val="000000"/>
                <w:sz w:val="24"/>
                <w:szCs w:val="24"/>
                <w:lang w:val="nl-NL" w:eastAsia="nl-NL"/>
              </w:rPr>
              <w:fldChar w:fldCharType="end"/>
            </w:r>
          </w:p>
        </w:tc>
        <w:tc>
          <w:tcPr>
            <w:tcW w:w="0" w:type="auto"/>
          </w:tcPr>
          <w:p w14:paraId="58386AE2" w14:textId="779A85B5"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The relations between societal, environmental, and economic development are crucial to the integral concept of sustainability. These so-called three dimensions of sustainability need to be addressed in assessing a policy or project’s sustainability. Considering the multidimensions of seasonality, Seyfang [9] elaborated a theoretical framework, based on five dimensions, to analyze sustainable consumption: localization, community building, reducing the ecological footprint, collective action, and building new provisioning infrastructures. Some of the sustainable food practices presented by previous research that considered sustainability dimensions include selecting local, organic, and seasonal food [10–14]. Unlike organic food, which already has a more concrete and regulated concept in many countries, the interpretation of local and seasonal food can vary depending on the context that is being used, and who is using it. When exploring the other narratives that have been produced about local and seasonal foods, there are varied understandings. For example, many consumers associate seasonal with locally produced food, but by other definitions, local is not a necessary criterion for seasonal food [15].</w:t>
            </w:r>
          </w:p>
          <w:p w14:paraId="507ACB6F" w14:textId="5039D440"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p>
        </w:tc>
      </w:tr>
      <w:tr w:rsidR="009A4E0A" w:rsidRPr="0066686C" w14:paraId="59B182F9" w14:textId="77777777" w:rsidTr="54F068BE">
        <w:trPr>
          <w:trHeight w:val="530"/>
        </w:trPr>
        <w:tc>
          <w:tcPr>
            <w:cnfStyle w:val="001000000000" w:firstRow="0" w:lastRow="0" w:firstColumn="1" w:lastColumn="0" w:oddVBand="0" w:evenVBand="0" w:oddHBand="0" w:evenHBand="0" w:firstRowFirstColumn="0" w:firstRowLastColumn="0" w:lastRowFirstColumn="0" w:lastRowLastColumn="0"/>
            <w:tcW w:w="0" w:type="auto"/>
            <w:noWrap/>
          </w:tcPr>
          <w:p w14:paraId="254DEB57" w14:textId="575604F9" w:rsidR="009A4E0A" w:rsidRPr="005205D3" w:rsidRDefault="2F680C6A" w:rsidP="009A4E0A">
            <w:pPr>
              <w:spacing w:before="60" w:after="60" w:line="264" w:lineRule="auto"/>
              <w:jc w:val="right"/>
              <w:rPr>
                <w:rFonts w:ascii="Times New Roman" w:eastAsia="Times New Roman" w:hAnsi="Times New Roman" w:cs="Times New Roman"/>
                <w:b w:val="0"/>
                <w:bCs w:val="0"/>
                <w:color w:val="000000"/>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t>70</w:t>
            </w:r>
          </w:p>
        </w:tc>
        <w:tc>
          <w:tcPr>
            <w:tcW w:w="0" w:type="auto"/>
          </w:tcPr>
          <w:p w14:paraId="394A3F4C" w14:textId="132A0EFF"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val="nl-NL" w:eastAsia="nl-NL"/>
              </w:rPr>
              <w:fldChar w:fldCharType="begin" w:fldLock="1"/>
            </w:r>
            <w:r w:rsidRPr="005205D3">
              <w:rPr>
                <w:rFonts w:ascii="Times New Roman" w:eastAsia="Times New Roman" w:hAnsi="Times New Roman" w:cs="Times New Roman"/>
                <w:color w:val="000000"/>
                <w:sz w:val="24"/>
                <w:szCs w:val="24"/>
                <w:lang w:val="nl-NL" w:eastAsia="nl-NL"/>
              </w:rPr>
              <w:instrText>ADDIN CSL_CITATION { "citationItems" : [ { "id" : "ITEM-1", "itemData" : { "DOI" : "10.1016/j.jclepro.2012.05.021", "ISSN" : "09596526", "abstract" : "In a circular economy material loops are closed by recycling of pre-consumer manufacturing scrap/residues, urban mining of End-of-Life products and landfill mining of historic (and future) urban waste streams. However, in the past landfill mining was not performed with a focus on resource recovery. This paper addresses this gap by introducing the concept of Enhanced Landfill Mining, defined as the safe conditioning, excavation and integrated valorization of landfilled waste streams as both materials and energy, using innovative transformation technologies and respecting the most stringent social and ecological criteria. The feasibility of ELFM is studied by synthesizing the research on the Closing the Circle project, the first ELFM project targeting the 18 million metric ton landfill in Houthalen-Helchteren in the East of Belgium. It is argued that Environmental Impact Assessments of ELFM projects should be wide in scope and time. Embedded in a broad resource management perspective, the worldwide potential of ELFM is highlighted, in terms of climate gains, materials and energy utilization, job creation and land reclamation. The potential is quantified for the EU-27 with its 150,000\u2013500,000 landfills. However, for ELFM to reach its full potential, strategic policy decisions and tailored support systems, including combined incentives for material recycling, energy utilization and nature restoration, are required.", "author" : [ { "dropping-particle" : "", "family" : "Jones", "given" : "Peter Tom", "non-dropping-particle" : "", "parse-names" : false, "suffix" : "" }, { "dropping-particle" : "", "family" : "Geysen", "given" : "Daneel", "non-dropping-particle" : "", "parse-names" : false, "suffix" : "" }, { "dropping-particle" : "", "family" : "Tielemans", "given" : "Yves", "non-dropping-particle" : "", "parse-na</w:instrText>
            </w:r>
            <w:r w:rsidRPr="005205D3">
              <w:rPr>
                <w:rFonts w:ascii="Times New Roman" w:eastAsia="Times New Roman" w:hAnsi="Times New Roman" w:cs="Times New Roman"/>
                <w:color w:val="000000"/>
                <w:sz w:val="24"/>
                <w:szCs w:val="24"/>
                <w:lang w:eastAsia="nl-NL"/>
              </w:rPr>
              <w:instrText>mes" : false, "suffix" : "" }, { "dropping-particle" : "", "family" : "Passel", "given" : "Steven", "non-dropping-particle" : "Van", "parse-names" : false, "suffix" : "" }, { "dropping-particle" : "", "family" : "Pontikes", "given" : "Yiannis", "non-dropping-particle" : "", "parse-names" : false, "suffix" : "" }, { "dropping-particle" : "", "family" : "Blanpain", "given" : "Bart", "non-dropping-particle" : "", "parse-names" : false, "suffix" : "" }, { "dropping-particle" : "", "family" : "Quaghebeur", "given" : "Mieke", "non-dropping-particle" : "", "parse-names" : false, "suffix" : "" }, { "dropping-particle" : "", "family" : "Hoekstra", "given" : "Nanne", "non-dropping-particle" : "", "parse-names" : false, "suffix" : "" } ], "container-title" : "Journal of Cleaner Production", "id" : "ITEM-1", "issued" : { "date-parts" : [ [ "2013" ] ] }, "page" : "45-55", "title" : "Enhanced Landfill Mining in view of multiple resource recovery: a critical review", "type" : "article-journal", "volume" : "55" }, "locator" : "1", "uris" : [ "http://www.mendeley.com/documents/?uuid=4cae8127-5569-3bf0-a51e-affb5a39499c" ] } ], "mendeley" : { "formattedCitation" : "(Jones et al., 2013, p. 1)", "manualFormatting" : "Jones et al. (2013, p. 1)", "plainTextFormattedCitation" : "(Jones et al., 2013, p. 1)", "previouslyFormattedCitation" : "(Jones et al., 2013, p. 1)" }, "properties" : { "noteIndex" : 0 }, "schema" : "https://github.com/citation-style-language/schema/raw/master/csl-citation.json" }</w:instrText>
            </w:r>
            <w:r w:rsidRPr="005205D3">
              <w:rPr>
                <w:rFonts w:ascii="Times New Roman" w:eastAsia="Times New Roman" w:hAnsi="Times New Roman" w:cs="Times New Roman"/>
                <w:color w:val="000000"/>
                <w:sz w:val="24"/>
                <w:szCs w:val="24"/>
                <w:lang w:val="nl-NL" w:eastAsia="nl-NL"/>
              </w:rPr>
              <w:fldChar w:fldCharType="separate"/>
            </w:r>
            <w:r w:rsidRPr="005205D3">
              <w:rPr>
                <w:rFonts w:ascii="Times New Roman" w:eastAsia="Times New Roman" w:hAnsi="Times New Roman" w:cs="Times New Roman"/>
                <w:noProof/>
                <w:color w:val="000000"/>
                <w:sz w:val="24"/>
                <w:szCs w:val="24"/>
                <w:lang w:eastAsia="nl-NL"/>
              </w:rPr>
              <w:t>Vassallo, Scalvedi, &amp; Saba (2016, p. 423)</w:t>
            </w:r>
            <w:r w:rsidRPr="005205D3">
              <w:rPr>
                <w:rFonts w:ascii="Times New Roman" w:eastAsia="Times New Roman" w:hAnsi="Times New Roman" w:cs="Times New Roman"/>
                <w:color w:val="000000"/>
                <w:sz w:val="24"/>
                <w:szCs w:val="24"/>
                <w:lang w:val="nl-NL" w:eastAsia="nl-NL"/>
              </w:rPr>
              <w:fldChar w:fldCharType="end"/>
            </w:r>
          </w:p>
        </w:tc>
        <w:tc>
          <w:tcPr>
            <w:tcW w:w="0" w:type="auto"/>
          </w:tcPr>
          <w:p w14:paraId="706B2684" w14:textId="038D514B"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Sustainable food products encompass this new demand as they are produced taking into account sustainable development principles aimed at achieving economic, environmental and social goals in societies (Guido, 2009). From a marketing perspective, examples of sustainable food products are organic products (Thøgersen, 2010), those with a certification of origin (i.e. PDO, etc.) fair trade products and possibly local products (</w:t>
            </w:r>
            <w:proofErr w:type="spellStart"/>
            <w:r w:rsidRPr="005205D3">
              <w:rPr>
                <w:rFonts w:ascii="Times New Roman" w:eastAsia="Times New Roman" w:hAnsi="Times New Roman" w:cs="Times New Roman"/>
                <w:color w:val="000000"/>
                <w:sz w:val="24"/>
                <w:szCs w:val="24"/>
                <w:lang w:eastAsia="nl-NL"/>
              </w:rPr>
              <w:t>Briamonte</w:t>
            </w:r>
            <w:proofErr w:type="spellEnd"/>
            <w:r w:rsidRPr="005205D3">
              <w:rPr>
                <w:rFonts w:ascii="Times New Roman" w:eastAsia="Times New Roman" w:hAnsi="Times New Roman" w:cs="Times New Roman"/>
                <w:color w:val="000000"/>
                <w:sz w:val="24"/>
                <w:szCs w:val="24"/>
                <w:lang w:eastAsia="nl-NL"/>
              </w:rPr>
              <w:t xml:space="preserve"> and </w:t>
            </w:r>
            <w:proofErr w:type="spellStart"/>
            <w:r w:rsidRPr="005205D3">
              <w:rPr>
                <w:rFonts w:ascii="Times New Roman" w:eastAsia="Times New Roman" w:hAnsi="Times New Roman" w:cs="Times New Roman"/>
                <w:color w:val="000000"/>
                <w:sz w:val="24"/>
                <w:szCs w:val="24"/>
                <w:lang w:eastAsia="nl-NL"/>
              </w:rPr>
              <w:t>Giuca</w:t>
            </w:r>
            <w:proofErr w:type="spellEnd"/>
            <w:r w:rsidRPr="005205D3">
              <w:rPr>
                <w:rFonts w:ascii="Times New Roman" w:eastAsia="Times New Roman" w:hAnsi="Times New Roman" w:cs="Times New Roman"/>
                <w:color w:val="000000"/>
                <w:sz w:val="24"/>
                <w:szCs w:val="24"/>
                <w:lang w:eastAsia="nl-NL"/>
              </w:rPr>
              <w:t>, 2010).</w:t>
            </w:r>
          </w:p>
        </w:tc>
      </w:tr>
      <w:tr w:rsidR="009A4E0A" w:rsidRPr="00AE48B7" w14:paraId="492EEF18" w14:textId="77777777" w:rsidTr="54F068BE">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0" w:type="auto"/>
            <w:noWrap/>
          </w:tcPr>
          <w:p w14:paraId="09FA6F64" w14:textId="24260DD0" w:rsidR="009A4E0A" w:rsidRPr="005205D3" w:rsidRDefault="5477F0FA" w:rsidP="009A4E0A">
            <w:pPr>
              <w:spacing w:before="60" w:after="60" w:line="264" w:lineRule="auto"/>
              <w:jc w:val="right"/>
              <w:rPr>
                <w:rFonts w:ascii="Times New Roman" w:eastAsia="Times New Roman" w:hAnsi="Times New Roman" w:cs="Times New Roman"/>
                <w:b w:val="0"/>
                <w:bCs w:val="0"/>
                <w:color w:val="000000"/>
                <w:sz w:val="24"/>
                <w:szCs w:val="24"/>
                <w:lang w:eastAsia="nl-NL"/>
              </w:rPr>
            </w:pPr>
            <w:r w:rsidRPr="005205D3">
              <w:rPr>
                <w:rFonts w:ascii="Times New Roman" w:eastAsia="Times New Roman" w:hAnsi="Times New Roman" w:cs="Times New Roman"/>
                <w:b w:val="0"/>
                <w:bCs w:val="0"/>
                <w:color w:val="000000" w:themeColor="text1"/>
                <w:sz w:val="24"/>
                <w:szCs w:val="24"/>
                <w:lang w:eastAsia="nl-NL"/>
              </w:rPr>
              <w:t>71</w:t>
            </w:r>
          </w:p>
        </w:tc>
        <w:tc>
          <w:tcPr>
            <w:tcW w:w="0" w:type="auto"/>
          </w:tcPr>
          <w:p w14:paraId="678FF624" w14:textId="774F6FD4"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val="nl-NL" w:eastAsia="nl-NL"/>
              </w:rPr>
              <w:fldChar w:fldCharType="begin" w:fldLock="1"/>
            </w:r>
            <w:r w:rsidRPr="005205D3">
              <w:rPr>
                <w:rFonts w:ascii="Times New Roman" w:eastAsia="Times New Roman" w:hAnsi="Times New Roman" w:cs="Times New Roman"/>
                <w:color w:val="000000"/>
                <w:sz w:val="24"/>
                <w:szCs w:val="24"/>
                <w:lang w:eastAsia="nl-NL"/>
              </w:rPr>
              <w:instrText>ADDIN CSL_CITATION { "citationItems" : [ { "id" : "ITEM-1", "itemData" : { "DOI" : "10.1016/j.jclepro.2011.04.002", "ISSN" : "09596526", "abstract" : "Industrial symbioses (ISs) and eco-industrial parks (EIPs) are key concepts of industrial ecology (IE). The aim of ISs and EIPs is to minimise inefficient material and energy use by utilising local by-product and energy flows. Industrial symbioses tend to develop through spontaneous action of economic actors, for gaining of economic benefit, but these systems can be designed and promoted via policy instruments as well. A literature review showed that national programmes for eco-industrial parks can be found in different parts of the world. In the action programmes and other sustainable consumption and production (SCP) policy documents of the EU, on the other hand, industrial symbioses gain less recognition as a path to enhanced sustainable production. In this article, we consider this and also analyse how the evolution and environmental perf</w:instrText>
            </w:r>
            <w:r w:rsidRPr="005205D3">
              <w:rPr>
                <w:rFonts w:ascii="Times New Roman" w:eastAsia="Times New Roman" w:hAnsi="Times New Roman" w:cs="Times New Roman"/>
                <w:color w:val="000000"/>
                <w:sz w:val="24"/>
                <w:szCs w:val="24"/>
                <w:lang w:val="nl-NL" w:eastAsia="nl-NL"/>
              </w:rPr>
              <w:instrText>ormance of an industrial symbiosis system centred on a Finnish pulp and paper mill have been affected by SCP policy instruments. With regard to the system forming the subject of the case study, and Finnish industrial systems in general, policy instruments have succeeded in reducing emissions but not in systematically encouraging operators toward symbiosis-like activities. All in all, few studies exist on the overall impact of policy instruments promoting design of eco-industrial parks. It is not self-evident that symbiosis-like production systems would be sustainable in every case, as the background assumptions for political promotion of EIPs suggest. We concluded that industrial symbioses should be analysed and developed on a life cycle basis, with documentation of the real environmental benefits due to efficient resource use and decreased emissions in comparison to standalone production. ISs can then bring eco-competitiveness to companies in relation to SCP tools, such as environmental permits, ecolabels, and future product regulation based on the Ecodesign Directive in Europe. Indirect encouragement of symbiosis through land-use regulation and planning, in such a way that material fluxes between companies are pos</w:instrText>
            </w:r>
            <w:r w:rsidRPr="005205D3">
              <w:rPr>
                <w:rFonts w:ascii="Times New Roman" w:eastAsia="Times New Roman" w:hAnsi="Times New Roman" w:cs="Times New Roman"/>
                <w:color w:val="000000"/>
                <w:sz w:val="24"/>
                <w:szCs w:val="24"/>
                <w:lang w:eastAsia="nl-NL"/>
              </w:rPr>
              <w:instrText>sible both in operations and in financial terms, may prove effective. The same holds for waste policies that encourage increased reuse of a company\u2019s waste by other enterprises.", "author" : [ { "dropping-particle" : "", "family" : "Lehtoranta", "given" : "Suvi", "non-dropping-particle" : "", "parse-names" : false, "suffix" : "" }, { "dropping-particle" : "", "family" : "Nissinen", "given" : "Ari", "non-dropping-particle" : "", "parse-names" : false, "suffix" : "" }, { "dropping-particle" : "", "family" : "Mattila", "given" : "Tuomas", "non-dropping-particle" : "", "parse-names" : false, "suffix" : "" } ], "container-title" : "Journal of Cleaner Production", "id" : "ITEM-1", "issue" : "16", "issued" : { "date-parts" : [ [ "2011" ] ] }, "page" : "1865-1875", "title" : "Industrial symbiosis and the policy instruments of sustainable consumption and production", "type" : "article-journal", "volume" : "19" }, "locator" : "1868", "uris" : [ "http://www.mendeley.com/documents/?uuid=cfa8af06-9677-3947-bf4f-925f54222c35" ] } ], "mendeley" : { "formattedCitation" : "(Lehtoranta, Nissinen, &amp; Mattila, 2011, p. 1868)", "manualFormatting" : "Lehtoranta, Nissinen, &amp; Mattila (2011, p. 1868)", "plainTextFormattedCitation" : "(Lehtoranta, Nissinen, &amp; Mattila, 2011, p. 1868)", "previouslyFormattedCitation" : "(Lehtoranta, Nissinen, &amp; Mattila, 2011, p. 1868)" }, "properties" : { "noteIndex" : 0 }, "schema" : "https://github.com/citation-style-language/schema/raw/master/csl-citation.json" }</w:instrText>
            </w:r>
            <w:r w:rsidRPr="005205D3">
              <w:rPr>
                <w:rFonts w:ascii="Times New Roman" w:eastAsia="Times New Roman" w:hAnsi="Times New Roman" w:cs="Times New Roman"/>
                <w:color w:val="000000"/>
                <w:sz w:val="24"/>
                <w:szCs w:val="24"/>
                <w:lang w:val="nl-NL" w:eastAsia="nl-NL"/>
              </w:rPr>
              <w:fldChar w:fldCharType="separate"/>
            </w:r>
            <w:r w:rsidRPr="005205D3">
              <w:rPr>
                <w:rFonts w:ascii="Times New Roman" w:eastAsia="Times New Roman" w:hAnsi="Times New Roman" w:cs="Times New Roman"/>
                <w:noProof/>
                <w:color w:val="000000"/>
                <w:sz w:val="24"/>
                <w:szCs w:val="24"/>
                <w:lang w:eastAsia="nl-NL"/>
              </w:rPr>
              <w:t>Verain et al. (2012, p. 124)</w:t>
            </w:r>
            <w:r w:rsidRPr="005205D3">
              <w:rPr>
                <w:rFonts w:ascii="Times New Roman" w:eastAsia="Times New Roman" w:hAnsi="Times New Roman" w:cs="Times New Roman"/>
                <w:color w:val="000000"/>
                <w:sz w:val="24"/>
                <w:szCs w:val="24"/>
                <w:lang w:val="nl-NL" w:eastAsia="nl-NL"/>
              </w:rPr>
              <w:fldChar w:fldCharType="end"/>
            </w:r>
          </w:p>
        </w:tc>
        <w:tc>
          <w:tcPr>
            <w:tcW w:w="0" w:type="auto"/>
          </w:tcPr>
          <w:p w14:paraId="18E2A05E" w14:textId="48B805EA"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Sustainable food consumption covers a wide variety of topics, including the environment, animal welfare and fair trade (e.g. Grunert and Juhl, 1995; Lockie et al., 2002; Raynolds, 2002; Barr and Gilg, 2006). Studies regarding environmentally friendly food choices are especially conducted with a focus on organic food products (Grunert and Juhl, 1995; Saba and Messina, 2003; Janssen et al., 2009). Studies pertaining to animal welfare are particularly related to the living conditions and health of the animals (Verbeke et al., 1999; Hansen et al., 2003), whereas fair trade (Raynolds, 2002) focuses on fair prices for goods and services, decent working conditions and a commitment from buyers to ensure reasonable security for the producers (FLO, 2011).</w:t>
            </w:r>
          </w:p>
        </w:tc>
      </w:tr>
      <w:tr w:rsidR="009A4E0A" w:rsidRPr="0066686C" w14:paraId="277DD443" w14:textId="77777777" w:rsidTr="54F068BE">
        <w:trPr>
          <w:trHeight w:val="530"/>
        </w:trPr>
        <w:tc>
          <w:tcPr>
            <w:cnfStyle w:val="001000000000" w:firstRow="0" w:lastRow="0" w:firstColumn="1" w:lastColumn="0" w:oddVBand="0" w:evenVBand="0" w:oddHBand="0" w:evenHBand="0" w:firstRowFirstColumn="0" w:firstRowLastColumn="0" w:lastRowFirstColumn="0" w:lastRowLastColumn="0"/>
            <w:tcW w:w="0" w:type="auto"/>
            <w:noWrap/>
          </w:tcPr>
          <w:p w14:paraId="2897475C" w14:textId="28D74BE0" w:rsidR="009A4E0A" w:rsidRPr="005205D3" w:rsidRDefault="001C59EC" w:rsidP="009A4E0A">
            <w:pPr>
              <w:spacing w:before="60" w:after="60" w:line="264" w:lineRule="auto"/>
              <w:jc w:val="right"/>
              <w:rPr>
                <w:rFonts w:ascii="Times New Roman" w:eastAsia="Times New Roman" w:hAnsi="Times New Roman" w:cs="Times New Roman"/>
                <w:b w:val="0"/>
                <w:bCs w:val="0"/>
                <w:color w:val="000000"/>
                <w:sz w:val="24"/>
                <w:szCs w:val="24"/>
                <w:lang w:eastAsia="nl-NL"/>
              </w:rPr>
            </w:pPr>
            <w:r w:rsidRPr="005205D3">
              <w:rPr>
                <w:rFonts w:ascii="Times New Roman" w:eastAsia="Times New Roman" w:hAnsi="Times New Roman" w:cs="Times New Roman"/>
                <w:b w:val="0"/>
                <w:bCs w:val="0"/>
                <w:color w:val="000000" w:themeColor="text1"/>
                <w:sz w:val="24"/>
                <w:szCs w:val="24"/>
                <w:lang w:eastAsia="nl-NL"/>
              </w:rPr>
              <w:t>7</w:t>
            </w:r>
            <w:r w:rsidR="3EFC8BB8" w:rsidRPr="005205D3">
              <w:rPr>
                <w:rFonts w:ascii="Times New Roman" w:eastAsia="Times New Roman" w:hAnsi="Times New Roman" w:cs="Times New Roman"/>
                <w:b w:val="0"/>
                <w:bCs w:val="0"/>
                <w:color w:val="000000" w:themeColor="text1"/>
                <w:sz w:val="24"/>
                <w:szCs w:val="24"/>
                <w:lang w:eastAsia="nl-NL"/>
              </w:rPr>
              <w:t>2</w:t>
            </w:r>
          </w:p>
        </w:tc>
        <w:tc>
          <w:tcPr>
            <w:tcW w:w="0" w:type="auto"/>
          </w:tcPr>
          <w:p w14:paraId="4E994D84" w14:textId="092866E3"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r w:rsidRPr="005205D3">
              <w:rPr>
                <w:rFonts w:ascii="Times New Roman" w:eastAsia="Times New Roman" w:hAnsi="Times New Roman" w:cs="Times New Roman"/>
                <w:color w:val="000000"/>
                <w:sz w:val="24"/>
                <w:szCs w:val="24"/>
                <w:lang w:val="nl-NL" w:eastAsia="nl-NL"/>
              </w:rPr>
              <w:fldChar w:fldCharType="begin" w:fldLock="1"/>
            </w:r>
            <w:r w:rsidRPr="005205D3">
              <w:rPr>
                <w:rFonts w:ascii="Times New Roman" w:eastAsia="Times New Roman" w:hAnsi="Times New Roman" w:cs="Times New Roman"/>
                <w:color w:val="000000"/>
                <w:sz w:val="24"/>
                <w:szCs w:val="24"/>
                <w:lang w:eastAsia="nl-NL"/>
              </w:rPr>
              <w:instrText xml:space="preserve">ADDIN CSL_CITATION { "citationItems" : [ { "id" : "ITEM-1", "itemData" : { "DOI" : "10.1016/j.energy.2009.04.021", "ISSN" : "03605442", "author" : [ { "dropping-particle" : "", "family" : "Li", "given" : "Huiquan", "non-dropping-particle" : "", "parse-names" : false, "suffix" : "" }, { "dropping-particle" : "", "family" : "Bao", "given" : "Weijun", "non-dropping-particle" : "", "parse-names" : false, "suffix" : "" }, { "dropping-particle" : "", "family" : "Xiu", "given" : "Caihong", "non-dropping-particle" : "", "parse-names" : false, "suffix" : "" }, { "dropping-particle" : "", "family" : "Zhang", "given" : "Yi", "non-dropping-particle" : "", "parse-names" : false, "suffix" : "" }, { "dropping-particle" : "", "family" : "Xu", "given" : "Hongbin", "non-dropping-particle" : "", "parse-names" : false, "suffix" : "" } ], "container-title" : "Energy", "id" : "ITEM-1", "issue" : "11", "issued" : { "date-parts" : [ [ "2010", "11" ] ] }, "page" : "4273-4281", "title" : "Energy conservation and circular economy </w:instrText>
            </w:r>
            <w:r w:rsidRPr="005205D3">
              <w:rPr>
                <w:rFonts w:ascii="Times New Roman" w:eastAsia="Times New Roman" w:hAnsi="Times New Roman" w:cs="Times New Roman"/>
                <w:color w:val="000000"/>
                <w:sz w:val="24"/>
                <w:szCs w:val="24"/>
                <w:lang w:val="nl-NL" w:eastAsia="nl-NL"/>
              </w:rPr>
              <w:instrText>in China's process industries", "type" : "article-journal", "volume" : "35" }, "locator" : "4274", "uris" : [ "http://www.mendeley.com/documents/?uuid=2c9d7cca-47c2-3605-9857-5f8520d0b99b" ] } ], "mendeley" : { "formattedCitation" : "(Li, Bao, Xiu, Zhang, &amp; Xu, 2010, p. 4274)", "manualFormatting" : "Li, Bao, Xiu, Zhang, &amp; Xu (2010, p. 4274)", "plainTextFormattedCitation" : "(Li, Bao, Xiu, Zhang, &amp; Xu, 2010, p. 4274)", "previouslyFormattedCitation" : "(Li, Bao, Xiu, Zhang, &amp; Xu, 2010, p. 4274)" }, "properties" : { "noteIndex" : 0 }, "schema" : "https://github.com/citation-style-language/schema/raw/master/csl-citation.json" }</w:instrText>
            </w:r>
            <w:r w:rsidRPr="005205D3">
              <w:rPr>
                <w:rFonts w:ascii="Times New Roman" w:eastAsia="Times New Roman" w:hAnsi="Times New Roman" w:cs="Times New Roman"/>
                <w:color w:val="000000"/>
                <w:sz w:val="24"/>
                <w:szCs w:val="24"/>
                <w:lang w:val="nl-NL" w:eastAsia="nl-NL"/>
              </w:rPr>
              <w:fldChar w:fldCharType="separate"/>
            </w:r>
            <w:r w:rsidRPr="005205D3">
              <w:rPr>
                <w:rFonts w:ascii="Times New Roman" w:eastAsia="Times New Roman" w:hAnsi="Times New Roman" w:cs="Times New Roman"/>
                <w:noProof/>
                <w:color w:val="000000"/>
                <w:sz w:val="24"/>
                <w:szCs w:val="24"/>
                <w:lang w:val="nl-NL" w:eastAsia="nl-NL"/>
              </w:rPr>
              <w:t>Verain, Dagevos, &amp; Antonides (2015, p. 375)</w:t>
            </w:r>
            <w:r w:rsidRPr="005205D3">
              <w:rPr>
                <w:rFonts w:ascii="Times New Roman" w:eastAsia="Times New Roman" w:hAnsi="Times New Roman" w:cs="Times New Roman"/>
                <w:color w:val="000000"/>
                <w:sz w:val="24"/>
                <w:szCs w:val="24"/>
                <w:lang w:val="nl-NL" w:eastAsia="nl-NL"/>
              </w:rPr>
              <w:fldChar w:fldCharType="end"/>
            </w:r>
          </w:p>
        </w:tc>
        <w:tc>
          <w:tcPr>
            <w:tcW w:w="0" w:type="auto"/>
          </w:tcPr>
          <w:p w14:paraId="6A3FAA86" w14:textId="6887CE37"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 xml:space="preserve">Consumers can significantly improve the sustainability of their food consumption, for example by consuming organic products and reducing meat consumption (Jungbluth, Tietje, &amp; Scholz, 2000). Improvements can be achieved in several ways and should consider both sustainability of production and the quantity consumed </w:t>
            </w:r>
            <w:r w:rsidRPr="005205D3">
              <w:rPr>
                <w:rFonts w:ascii="Times New Roman" w:eastAsia="Times New Roman" w:hAnsi="Times New Roman" w:cs="Times New Roman"/>
                <w:color w:val="000000"/>
                <w:sz w:val="24"/>
                <w:szCs w:val="24"/>
                <w:lang w:eastAsia="nl-NL"/>
              </w:rPr>
              <w:lastRenderedPageBreak/>
              <w:t>(Hoogland, de Boer, &amp; Boersema, 2005). This paper’s focus is on the demand side of the food market. From this consumer perspective, two broad behavior strategies toward sustainable food consumption can be distinguished: sustainable product choices concerning the way the product is produced (e.g., organic, free range or Fair Trade products), and sustainable dietary patterns concerning dietary composition and consumption curtailment (reduced quantity) within product categories (e.g., little meat consumption).</w:t>
            </w:r>
          </w:p>
        </w:tc>
      </w:tr>
      <w:tr w:rsidR="009A4E0A" w:rsidRPr="0066686C" w14:paraId="14C8394B" w14:textId="77777777" w:rsidTr="54F068BE">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0" w:type="auto"/>
            <w:noWrap/>
          </w:tcPr>
          <w:p w14:paraId="2144D24D" w14:textId="3B9AD2F2" w:rsidR="009A4E0A" w:rsidRPr="005205D3" w:rsidRDefault="001C59EC" w:rsidP="009A4E0A">
            <w:pPr>
              <w:spacing w:before="60" w:after="60" w:line="264" w:lineRule="auto"/>
              <w:jc w:val="right"/>
              <w:rPr>
                <w:rFonts w:ascii="Times New Roman" w:eastAsia="Times New Roman" w:hAnsi="Times New Roman" w:cs="Times New Roman"/>
                <w:b w:val="0"/>
                <w:bCs w:val="0"/>
                <w:color w:val="000000"/>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lastRenderedPageBreak/>
              <w:t>7</w:t>
            </w:r>
            <w:r w:rsidR="73B53CBA" w:rsidRPr="005205D3">
              <w:rPr>
                <w:rFonts w:ascii="Times New Roman" w:eastAsia="Times New Roman" w:hAnsi="Times New Roman" w:cs="Times New Roman"/>
                <w:b w:val="0"/>
                <w:bCs w:val="0"/>
                <w:color w:val="000000" w:themeColor="text1"/>
                <w:sz w:val="24"/>
                <w:szCs w:val="24"/>
                <w:lang w:val="nl-NL" w:eastAsia="nl-NL"/>
              </w:rPr>
              <w:t>3</w:t>
            </w:r>
          </w:p>
        </w:tc>
        <w:tc>
          <w:tcPr>
            <w:tcW w:w="0" w:type="auto"/>
          </w:tcPr>
          <w:p w14:paraId="6844A425" w14:textId="1894C36D"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r w:rsidRPr="005205D3">
              <w:rPr>
                <w:rFonts w:ascii="Times New Roman" w:eastAsia="Times New Roman" w:hAnsi="Times New Roman" w:cs="Times New Roman"/>
                <w:color w:val="000000"/>
                <w:sz w:val="24"/>
                <w:szCs w:val="24"/>
                <w:lang w:val="nl-NL" w:eastAsia="nl-NL"/>
              </w:rPr>
              <w:fldChar w:fldCharType="begin" w:fldLock="1"/>
            </w:r>
            <w:r w:rsidRPr="005205D3">
              <w:rPr>
                <w:rFonts w:ascii="Times New Roman" w:eastAsia="Times New Roman" w:hAnsi="Times New Roman" w:cs="Times New Roman"/>
                <w:color w:val="000000"/>
                <w:sz w:val="24"/>
                <w:szCs w:val="24"/>
                <w:lang w:val="nl-NL" w:eastAsia="nl-NL"/>
              </w:rPr>
              <w:instrText>ADDIN CSL_CITATION { "citationItems" : [ { "id" : "ITEM-1", "itemData" : { "DOI" : "10.1016/j.jclepro.2015.12.042", "ISSN" : "09596526", "abstract" : "The concept of circular economy (CE) is to an increasing extent treated as a solution to series of challenges such as waste generation, resource scarcity and sustaining economic benefits. However the concept of circularity is not of novel as such. Specific circumstances and motivations have stimulated ideas relevant to circularity in the past through activities such as reuse, remanufacturing or recycling. Main objectives of this work are: to provide a comprehensive review of research efforts encompassing aspects of resources scarcity, waste generation and economic advantages; to explore the CE landscape in the context of these three aspects especially when they are considered simultaneously; based on an idea of a comprehensive CE framework, propose an implementation strategy using top-down and bottom-up approach in a concurrent manner. To fulfill this objective a comprehensive review of state-of-the-art research is carried out to understand different ideas relevant to CE, motivation for the research and context of their recurrence. Main contributions of this paper are a comprehensive CE framework and a practical implementation strategy for a regenerative economy and natural environment. The framework emphasizes on a combined view of three main aspects i.e. environment, resources and economic benefits. It also underlines that joint support of all stakeholders is necessary in order to successfully implement the CE concept at large scale. The proposed framework and implementation strategy also identify new avenues for future research and practice in the field of CE.", "author" : [ { "dropping-particle" : "", "family" : "Lieder", "given" : "Michael", "non-dropping-particle" : "", "parse-names" : false, "suffix" : "" }, { "dropping-particle" : "", "family" : "Rashid", "given" : "Amir", "non-dropping-particle" : "", "parse-names" : false, "suffix" : "" } ], "container-title" : "Journal of Cleaner Production", "id" : "ITEM-1", "issued" : { "date-parts" : [ [ "2016" ] ] }, "page" : "36-51", "title" : "Towards circular economy implementation: a comprehensive review in context of manufacturing industry", "type" : "article-journal", "volume" : "115" }, "locator" : "37", "uris" : [ "http://www.mendeley.com/documents/?uuid=ebfeae5b-91f7-3216-8b56-06b8f14b7cbf" ] } ], "mendeley" : { "formattedCitation" : "(Lieder &amp; Rashid, 2016, p. 37)", "manualFormatting" : "Lieder &amp; Rashid (2016, p. 37)", "plainTextFormattedCitation" : "(Lieder &amp; Rashid, 2016, p. 37)", "previouslyFormattedCitation" : "(Lieder &amp; Rashid, 2016, p. 37)" }, "properties" : { "noteIndex" : 0 }, "schema" : "https://github.com/citation-style-language/schema/raw/master/csl-citation.json" }</w:instrText>
            </w:r>
            <w:r w:rsidRPr="005205D3">
              <w:rPr>
                <w:rFonts w:ascii="Times New Roman" w:eastAsia="Times New Roman" w:hAnsi="Times New Roman" w:cs="Times New Roman"/>
                <w:color w:val="000000"/>
                <w:sz w:val="24"/>
                <w:szCs w:val="24"/>
                <w:lang w:val="nl-NL" w:eastAsia="nl-NL"/>
              </w:rPr>
              <w:fldChar w:fldCharType="separate"/>
            </w:r>
            <w:r w:rsidRPr="005205D3">
              <w:rPr>
                <w:rFonts w:ascii="Times New Roman" w:eastAsia="Times New Roman" w:hAnsi="Times New Roman" w:cs="Times New Roman"/>
                <w:noProof/>
                <w:color w:val="000000"/>
                <w:sz w:val="24"/>
                <w:szCs w:val="24"/>
                <w:lang w:val="nl-NL" w:eastAsia="nl-NL"/>
              </w:rPr>
              <w:t>Verain et al. (2016, p. 68)</w:t>
            </w:r>
            <w:r w:rsidRPr="005205D3">
              <w:rPr>
                <w:rFonts w:ascii="Times New Roman" w:eastAsia="Times New Roman" w:hAnsi="Times New Roman" w:cs="Times New Roman"/>
                <w:color w:val="000000"/>
                <w:sz w:val="24"/>
                <w:szCs w:val="24"/>
                <w:lang w:val="nl-NL" w:eastAsia="nl-NL"/>
              </w:rPr>
              <w:fldChar w:fldCharType="end"/>
            </w:r>
          </w:p>
        </w:tc>
        <w:tc>
          <w:tcPr>
            <w:tcW w:w="0" w:type="auto"/>
          </w:tcPr>
          <w:p w14:paraId="2C5A06EB" w14:textId="04B02E58"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In this paper, we define sustainable food consumption as food consumption were environmental welfare, animal welfare and social justice are respected (</w:t>
            </w:r>
            <w:proofErr w:type="spellStart"/>
            <w:r w:rsidRPr="005205D3">
              <w:rPr>
                <w:rFonts w:ascii="Times New Roman" w:eastAsia="Times New Roman" w:hAnsi="Times New Roman" w:cs="Times New Roman"/>
                <w:color w:val="000000"/>
                <w:sz w:val="24"/>
                <w:szCs w:val="24"/>
                <w:lang w:eastAsia="nl-NL"/>
              </w:rPr>
              <w:t>Aschemann</w:t>
            </w:r>
            <w:proofErr w:type="spellEnd"/>
            <w:r w:rsidRPr="005205D3">
              <w:rPr>
                <w:rFonts w:ascii="Times New Roman" w:eastAsia="Times New Roman" w:hAnsi="Times New Roman" w:cs="Times New Roman"/>
                <w:color w:val="000000"/>
                <w:sz w:val="24"/>
                <w:szCs w:val="24"/>
                <w:lang w:eastAsia="nl-NL"/>
              </w:rPr>
              <w:t xml:space="preserve">-Witzel, 2015; Van Dam &amp; van </w:t>
            </w:r>
            <w:proofErr w:type="spellStart"/>
            <w:r w:rsidRPr="005205D3">
              <w:rPr>
                <w:rFonts w:ascii="Times New Roman" w:eastAsia="Times New Roman" w:hAnsi="Times New Roman" w:cs="Times New Roman"/>
                <w:color w:val="000000"/>
                <w:sz w:val="24"/>
                <w:szCs w:val="24"/>
                <w:lang w:eastAsia="nl-NL"/>
              </w:rPr>
              <w:t>Trijp</w:t>
            </w:r>
            <w:proofErr w:type="spellEnd"/>
            <w:r w:rsidRPr="005205D3">
              <w:rPr>
                <w:rFonts w:ascii="Times New Roman" w:eastAsia="Times New Roman" w:hAnsi="Times New Roman" w:cs="Times New Roman"/>
                <w:color w:val="000000"/>
                <w:sz w:val="24"/>
                <w:szCs w:val="24"/>
                <w:lang w:eastAsia="nl-NL"/>
              </w:rPr>
              <w:t>, 2011).</w:t>
            </w:r>
          </w:p>
        </w:tc>
      </w:tr>
      <w:tr w:rsidR="009A4E0A" w:rsidRPr="0066686C" w14:paraId="2F5C2DA2" w14:textId="77777777" w:rsidTr="54F068BE">
        <w:trPr>
          <w:trHeight w:val="530"/>
        </w:trPr>
        <w:tc>
          <w:tcPr>
            <w:cnfStyle w:val="001000000000" w:firstRow="0" w:lastRow="0" w:firstColumn="1" w:lastColumn="0" w:oddVBand="0" w:evenVBand="0" w:oddHBand="0" w:evenHBand="0" w:firstRowFirstColumn="0" w:firstRowLastColumn="0" w:lastRowFirstColumn="0" w:lastRowLastColumn="0"/>
            <w:tcW w:w="0" w:type="auto"/>
            <w:noWrap/>
          </w:tcPr>
          <w:p w14:paraId="604AB681" w14:textId="74134FBD" w:rsidR="009A4E0A" w:rsidRPr="005205D3" w:rsidRDefault="001C59EC" w:rsidP="009A4E0A">
            <w:pPr>
              <w:spacing w:before="60" w:after="60" w:line="264" w:lineRule="auto"/>
              <w:jc w:val="right"/>
              <w:rPr>
                <w:rFonts w:ascii="Times New Roman" w:eastAsia="Times New Roman" w:hAnsi="Times New Roman" w:cs="Times New Roman"/>
                <w:b w:val="0"/>
                <w:bCs w:val="0"/>
                <w:color w:val="000000"/>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t>7</w:t>
            </w:r>
            <w:r w:rsidR="74E25D75" w:rsidRPr="005205D3">
              <w:rPr>
                <w:rFonts w:ascii="Times New Roman" w:eastAsia="Times New Roman" w:hAnsi="Times New Roman" w:cs="Times New Roman"/>
                <w:b w:val="0"/>
                <w:bCs w:val="0"/>
                <w:color w:val="000000" w:themeColor="text1"/>
                <w:sz w:val="24"/>
                <w:szCs w:val="24"/>
                <w:lang w:val="nl-NL" w:eastAsia="nl-NL"/>
              </w:rPr>
              <w:t>4</w:t>
            </w:r>
          </w:p>
        </w:tc>
        <w:tc>
          <w:tcPr>
            <w:tcW w:w="0" w:type="auto"/>
          </w:tcPr>
          <w:p w14:paraId="2D485EE9" w14:textId="717AA830"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r w:rsidRPr="005205D3">
              <w:rPr>
                <w:rFonts w:ascii="Times New Roman" w:eastAsia="Times New Roman" w:hAnsi="Times New Roman" w:cs="Times New Roman"/>
                <w:color w:val="000000"/>
                <w:sz w:val="24"/>
                <w:szCs w:val="24"/>
                <w:lang w:val="nl-NL" w:eastAsia="nl-NL"/>
              </w:rPr>
              <w:fldChar w:fldCharType="begin" w:fldLock="1"/>
            </w:r>
            <w:r w:rsidRPr="005205D3">
              <w:rPr>
                <w:rFonts w:ascii="Times New Roman" w:eastAsia="Times New Roman" w:hAnsi="Times New Roman" w:cs="Times New Roman"/>
                <w:color w:val="000000"/>
                <w:sz w:val="24"/>
                <w:szCs w:val="24"/>
                <w:lang w:val="nl-NL" w:eastAsia="nl-NL"/>
              </w:rPr>
              <w:instrText>ADDIN CSL_CITATION { "citationItems" : [ { "id" : "ITEM-1", "itemData" : { "DOI" : "10.1111/jiec.12552", "ISSN" : "10881980", "author" : [ { "dropping-particle" : "", "family" : "Linder", "given" : "Marcus", "non-dropping-particle" : "", "parse-names" : false, "suffix" : "" }, { "dropping-particle" : "", "family" : "Sarasini", "given" : "Steven", "non-dropping-particle" : "", "parse-names" : false, "suffix" : "" }, { "dropping-particle" : "", "family" : "Loon", "given" : "Patricia", "non-dropping-particle" : "van", "parse-names" : false, "suffix" : "" } ], "container-title" : "Journal of Industrial Ecology", "id" : "ITEM-1", "issue" : "3", "issued" : { "date-parts" : [ [ "2017", "6", "1" ] ] }, "page" : "545-558", "title" : "A Metric for Quantifying Product-Level Circularity", "type" : "article-journal", "volume" : "21" }, "uris" : [ "http://www.mendeley.com/documents/?uuid=d4215a72-625a-3ba7-9d0a-8d0152ea5e6b" ] } ], "mendeley" : { "formattedCitation" : "(Linder, Sarasini, &amp; van Loon, 2017)", "manualFormatting" : "Linder, Sarasini, &amp; van Loon (2017, p. 545 ff.)", "plainTextFormattedCitation" : "(Linder, Sarasini, &amp; van Loon, 2017)", "previouslyFormattedCitation" : "(Linder, Sarasini, &amp; van Loon, 2017)" }, "properties" : { "noteIndex" : 0 }, "schema" : "https://github.com/citation-style-language/schema/raw/master/csl-citation.json" }</w:instrText>
            </w:r>
            <w:r w:rsidRPr="005205D3">
              <w:rPr>
                <w:rFonts w:ascii="Times New Roman" w:eastAsia="Times New Roman" w:hAnsi="Times New Roman" w:cs="Times New Roman"/>
                <w:color w:val="000000"/>
                <w:sz w:val="24"/>
                <w:szCs w:val="24"/>
                <w:lang w:val="nl-NL" w:eastAsia="nl-NL"/>
              </w:rPr>
              <w:fldChar w:fldCharType="separate"/>
            </w:r>
            <w:r w:rsidRPr="005205D3">
              <w:rPr>
                <w:rFonts w:ascii="Times New Roman" w:eastAsia="Times New Roman" w:hAnsi="Times New Roman" w:cs="Times New Roman"/>
                <w:noProof/>
                <w:color w:val="000000"/>
                <w:sz w:val="24"/>
                <w:szCs w:val="24"/>
                <w:lang w:val="nl-NL" w:eastAsia="nl-NL"/>
              </w:rPr>
              <w:t>Verain et al. (2021, p. 2)</w:t>
            </w:r>
            <w:r w:rsidRPr="005205D3">
              <w:rPr>
                <w:rFonts w:ascii="Times New Roman" w:eastAsia="Times New Roman" w:hAnsi="Times New Roman" w:cs="Times New Roman"/>
                <w:color w:val="000000"/>
                <w:sz w:val="24"/>
                <w:szCs w:val="24"/>
                <w:lang w:val="nl-NL" w:eastAsia="nl-NL"/>
              </w:rPr>
              <w:fldChar w:fldCharType="end"/>
            </w:r>
          </w:p>
        </w:tc>
        <w:tc>
          <w:tcPr>
            <w:tcW w:w="0" w:type="auto"/>
          </w:tcPr>
          <w:p w14:paraId="09C05ED6" w14:textId="77777777"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 xml:space="preserve">A commonly agreed upon definition of sustainable food consumption is missing. The definition of sustainable diets given by the FAO is often cited: “diets protective and respectful of biodiversity and ecosystems, culturally acceptable, accessible, economically fair and affordable; nutritionally adequate, safe and healthy; while optimizing natural and human resources” (FAO, 2010). This is a broad definition that includes many sustainability aspects, but is still not all-encompassing as aspects that appear in other definitions, such as seasonal, local or regional production, are not represented (e.g. the definition given by the UK </w:t>
            </w:r>
            <w:proofErr w:type="spellStart"/>
            <w:r w:rsidRPr="005205D3">
              <w:rPr>
                <w:rFonts w:ascii="Times New Roman" w:eastAsia="Times New Roman" w:hAnsi="Times New Roman" w:cs="Times New Roman"/>
                <w:color w:val="000000"/>
                <w:sz w:val="24"/>
                <w:szCs w:val="24"/>
                <w:lang w:eastAsia="nl-NL"/>
              </w:rPr>
              <w:t>UK</w:t>
            </w:r>
            <w:proofErr w:type="spellEnd"/>
            <w:r w:rsidRPr="005205D3">
              <w:rPr>
                <w:rFonts w:ascii="Times New Roman" w:eastAsia="Times New Roman" w:hAnsi="Times New Roman" w:cs="Times New Roman"/>
                <w:color w:val="000000"/>
                <w:sz w:val="24"/>
                <w:szCs w:val="24"/>
                <w:lang w:eastAsia="nl-NL"/>
              </w:rPr>
              <w:t xml:space="preserve"> Sustainable Development Commission, 2005, 2009; Britain, 2008; De Boer, de Witt, &amp; </w:t>
            </w:r>
            <w:proofErr w:type="spellStart"/>
            <w:r w:rsidRPr="005205D3">
              <w:rPr>
                <w:rFonts w:ascii="Times New Roman" w:eastAsia="Times New Roman" w:hAnsi="Times New Roman" w:cs="Times New Roman"/>
                <w:color w:val="000000"/>
                <w:sz w:val="24"/>
                <w:szCs w:val="24"/>
                <w:lang w:eastAsia="nl-NL"/>
              </w:rPr>
              <w:t>Aiking</w:t>
            </w:r>
            <w:proofErr w:type="spellEnd"/>
            <w:r w:rsidRPr="005205D3">
              <w:rPr>
                <w:rFonts w:ascii="Times New Roman" w:eastAsia="Times New Roman" w:hAnsi="Times New Roman" w:cs="Times New Roman"/>
                <w:color w:val="000000"/>
                <w:sz w:val="24"/>
                <w:szCs w:val="24"/>
                <w:lang w:eastAsia="nl-NL"/>
              </w:rPr>
              <w:t xml:space="preserve">, 2016; </w:t>
            </w:r>
            <w:proofErr w:type="spellStart"/>
            <w:r w:rsidRPr="005205D3">
              <w:rPr>
                <w:rFonts w:ascii="Times New Roman" w:eastAsia="Times New Roman" w:hAnsi="Times New Roman" w:cs="Times New Roman"/>
                <w:color w:val="000000"/>
                <w:sz w:val="24"/>
                <w:szCs w:val="24"/>
                <w:lang w:eastAsia="nl-NL"/>
              </w:rPr>
              <w:t>Hoolohan</w:t>
            </w:r>
            <w:proofErr w:type="spellEnd"/>
            <w:r w:rsidRPr="005205D3">
              <w:rPr>
                <w:rFonts w:ascii="Times New Roman" w:eastAsia="Times New Roman" w:hAnsi="Times New Roman" w:cs="Times New Roman"/>
                <w:color w:val="000000"/>
                <w:sz w:val="24"/>
                <w:szCs w:val="24"/>
                <w:lang w:eastAsia="nl-NL"/>
              </w:rPr>
              <w:t>, Berners-Lee, McKinstry-West, &amp; Hewitt, 2013). In broad lines, sustainable food is often defined as a combination of environmental, animal welfare and ethical aspects (</w:t>
            </w:r>
            <w:proofErr w:type="spellStart"/>
            <w:r w:rsidRPr="005205D3">
              <w:rPr>
                <w:rFonts w:ascii="Times New Roman" w:eastAsia="Times New Roman" w:hAnsi="Times New Roman" w:cs="Times New Roman"/>
                <w:color w:val="000000"/>
                <w:sz w:val="24"/>
                <w:szCs w:val="24"/>
                <w:lang w:eastAsia="nl-NL"/>
              </w:rPr>
              <w:t>Aschemann</w:t>
            </w:r>
            <w:proofErr w:type="spellEnd"/>
            <w:r w:rsidRPr="005205D3">
              <w:rPr>
                <w:rFonts w:ascii="Times New Roman" w:eastAsia="Times New Roman" w:hAnsi="Times New Roman" w:cs="Times New Roman"/>
                <w:color w:val="000000"/>
                <w:sz w:val="24"/>
                <w:szCs w:val="24"/>
                <w:lang w:eastAsia="nl-NL"/>
              </w:rPr>
              <w:t xml:space="preserve">-Witzel, 2015; LNV, 2009; Reisch, </w:t>
            </w:r>
            <w:proofErr w:type="spellStart"/>
            <w:r w:rsidRPr="005205D3">
              <w:rPr>
                <w:rFonts w:ascii="Times New Roman" w:eastAsia="Times New Roman" w:hAnsi="Times New Roman" w:cs="Times New Roman"/>
                <w:color w:val="000000"/>
                <w:sz w:val="24"/>
                <w:szCs w:val="24"/>
                <w:lang w:eastAsia="nl-NL"/>
              </w:rPr>
              <w:t>Eberie</w:t>
            </w:r>
            <w:proofErr w:type="spellEnd"/>
            <w:r w:rsidRPr="005205D3">
              <w:rPr>
                <w:rFonts w:ascii="Times New Roman" w:eastAsia="Times New Roman" w:hAnsi="Times New Roman" w:cs="Times New Roman"/>
                <w:color w:val="000000"/>
                <w:sz w:val="24"/>
                <w:szCs w:val="24"/>
                <w:lang w:eastAsia="nl-NL"/>
              </w:rPr>
              <w:t xml:space="preserve">, &amp; Lorek, 2013; Van Dam &amp; van </w:t>
            </w:r>
            <w:proofErr w:type="spellStart"/>
            <w:r w:rsidRPr="005205D3">
              <w:rPr>
                <w:rFonts w:ascii="Times New Roman" w:eastAsia="Times New Roman" w:hAnsi="Times New Roman" w:cs="Times New Roman"/>
                <w:color w:val="000000"/>
                <w:sz w:val="24"/>
                <w:szCs w:val="24"/>
                <w:lang w:eastAsia="nl-NL"/>
              </w:rPr>
              <w:t>Trijp</w:t>
            </w:r>
            <w:proofErr w:type="spellEnd"/>
            <w:r w:rsidRPr="005205D3">
              <w:rPr>
                <w:rFonts w:ascii="Times New Roman" w:eastAsia="Times New Roman" w:hAnsi="Times New Roman" w:cs="Times New Roman"/>
                <w:color w:val="000000"/>
                <w:sz w:val="24"/>
                <w:szCs w:val="24"/>
                <w:lang w:eastAsia="nl-NL"/>
              </w:rPr>
              <w:t>, 2011). In the current study, we define sustainable food as food that is produced, processed, packaged, transported and traded with respect for people, animals and the environment, without compromising future generations.</w:t>
            </w:r>
          </w:p>
          <w:p w14:paraId="4C6DE7A3" w14:textId="23AD8EAA"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 xml:space="preserve">The multidimensional nature of the concept of sustainability, and a possible trade-off between these dimensions, makes it important to consider the different dimensions when investigating consumers’ sustainable food choices (Johnston et al., 2014). However, in research on sustainable diets, sustainability is often narrowed down to one of the dimensions, often the environmental dimension (Aleksandrowicz et al., 2016; Garnett, 2014; </w:t>
            </w:r>
            <w:proofErr w:type="spellStart"/>
            <w:r w:rsidRPr="005205D3">
              <w:rPr>
                <w:rFonts w:ascii="Times New Roman" w:eastAsia="Times New Roman" w:hAnsi="Times New Roman" w:cs="Times New Roman"/>
                <w:color w:val="000000"/>
                <w:sz w:val="24"/>
                <w:szCs w:val="24"/>
                <w:lang w:eastAsia="nl-NL"/>
              </w:rPr>
              <w:t>Sesini</w:t>
            </w:r>
            <w:proofErr w:type="spellEnd"/>
            <w:r w:rsidRPr="005205D3">
              <w:rPr>
                <w:rFonts w:ascii="Times New Roman" w:eastAsia="Times New Roman" w:hAnsi="Times New Roman" w:cs="Times New Roman"/>
                <w:color w:val="000000"/>
                <w:sz w:val="24"/>
                <w:szCs w:val="24"/>
                <w:lang w:eastAsia="nl-NL"/>
              </w:rPr>
              <w:t xml:space="preserve">, Castiglioni, &amp; </w:t>
            </w:r>
            <w:proofErr w:type="spellStart"/>
            <w:r w:rsidRPr="005205D3">
              <w:rPr>
                <w:rFonts w:ascii="Times New Roman" w:eastAsia="Times New Roman" w:hAnsi="Times New Roman" w:cs="Times New Roman"/>
                <w:color w:val="000000"/>
                <w:sz w:val="24"/>
                <w:szCs w:val="24"/>
                <w:lang w:eastAsia="nl-NL"/>
              </w:rPr>
              <w:t>Lozza</w:t>
            </w:r>
            <w:proofErr w:type="spellEnd"/>
            <w:r w:rsidRPr="005205D3">
              <w:rPr>
                <w:rFonts w:ascii="Times New Roman" w:eastAsia="Times New Roman" w:hAnsi="Times New Roman" w:cs="Times New Roman"/>
                <w:color w:val="000000"/>
                <w:sz w:val="24"/>
                <w:szCs w:val="24"/>
                <w:lang w:eastAsia="nl-NL"/>
              </w:rPr>
              <w:t>, 2020). Including multiple dimensions would enable to study trade-offs between different sustainability motives, across the dimensions, and between sustainability motives and other food choice motives, and therefore will increase our understanding of consumers’ sustainability considerations related to their food choices.</w:t>
            </w:r>
          </w:p>
        </w:tc>
      </w:tr>
      <w:tr w:rsidR="009A4E0A" w:rsidRPr="0066686C" w14:paraId="7470EB18" w14:textId="77777777" w:rsidTr="54F068BE">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0" w:type="auto"/>
            <w:noWrap/>
          </w:tcPr>
          <w:p w14:paraId="7E4F7C62" w14:textId="79BE7A22" w:rsidR="009A4E0A" w:rsidRPr="005205D3" w:rsidRDefault="001C59EC" w:rsidP="009A4E0A">
            <w:pPr>
              <w:spacing w:before="60" w:after="60" w:line="264" w:lineRule="auto"/>
              <w:jc w:val="right"/>
              <w:rPr>
                <w:rFonts w:ascii="Times New Roman" w:eastAsia="Times New Roman" w:hAnsi="Times New Roman" w:cs="Times New Roman"/>
                <w:b w:val="0"/>
                <w:bCs w:val="0"/>
                <w:color w:val="000000"/>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lastRenderedPageBreak/>
              <w:t>7</w:t>
            </w:r>
            <w:r w:rsidR="34413E37" w:rsidRPr="005205D3">
              <w:rPr>
                <w:rFonts w:ascii="Times New Roman" w:eastAsia="Times New Roman" w:hAnsi="Times New Roman" w:cs="Times New Roman"/>
                <w:b w:val="0"/>
                <w:bCs w:val="0"/>
                <w:color w:val="000000" w:themeColor="text1"/>
                <w:sz w:val="24"/>
                <w:szCs w:val="24"/>
                <w:lang w:val="nl-NL" w:eastAsia="nl-NL"/>
              </w:rPr>
              <w:t>5</w:t>
            </w:r>
          </w:p>
        </w:tc>
        <w:tc>
          <w:tcPr>
            <w:tcW w:w="0" w:type="auto"/>
          </w:tcPr>
          <w:p w14:paraId="4A63C851" w14:textId="2BA3AD00"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r w:rsidRPr="005205D3">
              <w:rPr>
                <w:rFonts w:ascii="Times New Roman" w:eastAsia="Times New Roman" w:hAnsi="Times New Roman" w:cs="Times New Roman"/>
                <w:color w:val="000000"/>
                <w:sz w:val="24"/>
                <w:szCs w:val="24"/>
                <w:lang w:val="nl-NL" w:eastAsia="nl-NL"/>
              </w:rPr>
              <w:fldChar w:fldCharType="begin" w:fldLock="1"/>
            </w:r>
            <w:r w:rsidRPr="005205D3">
              <w:rPr>
                <w:rFonts w:ascii="Times New Roman" w:eastAsia="Times New Roman" w:hAnsi="Times New Roman" w:cs="Times New Roman"/>
                <w:color w:val="000000"/>
                <w:sz w:val="24"/>
                <w:szCs w:val="24"/>
                <w:lang w:val="nl-NL" w:eastAsia="nl-NL"/>
              </w:rPr>
              <w:instrText>ADDIN CSL_CITATION { "citationItems" : [ { "id" : "ITEM-1", "itemData" : { "DOI" : "10.1016/j.resconrec.2014.04.002", "ISSN" : "09213449", "abstract" : "Despite the wealth of information concerning environmental awareness and the behavior of firms, there is little empirical research on the awareness and behavior of firms in developing the circular economy. The study employed a questionnaire survey and in-depth interviews with 157 firms from manufacturing clusters in China. Results indicated that the firms had a relatively good understanding about the circular economy and its values and had a strong willingness to operate a circular economy, but this was not indicative of enthusiastic behavior. A striking \u201cgap\u201d existed between a firm's awareness and its actual behavior in developing a circular economy. Reasons for the gap are explored mainly based on the results of interviews. Finally, recommendations for overcoming the gap between the awareness and behavior are suggested.", "author" : [ { "dropping-particle" : "", "family" : "Liu", "given" : "Yong", "non-dropping-particle" : "", "parse-names" : false, "suffix" : "" }, { "dropping-particle" : "", "family" : "Bai", "given" : "Yin", "non-dropping-particle" : "", "parse-names" : false, "suffix" : "" } ], "container-title" : "Resources, Conservation and Recycling", "id" : "ITEM-1", "issued" : { "date-parts" : [ [ "2014" ] ] }, "page" : "145-152", "title" : "An exploration of firms\u2019 awareness and behavior of developing circular economy: An empirical research in China", "type" : "article-journal", "volume" : "87" }, "locator" : "145", "uris" : [ "http://www.mendeley.com/documents/?uuid=22ae060a-f908-320d-ba3d-8c37b6e23f02" ] } ], "mendeley" : { "formattedCitation" : "(Y. Liu &amp; Bai, 2014, p. 145)", "manualFormatting" : "Liu &amp; Bai (2014, p. 145)", "plainTextFormattedCitation" : "(Y. Liu &amp; Bai, 2014, p. 145)", "previouslyFormattedCitation" : "(Y. Liu &amp; Bai, 2014, p. 145)" }, "properties" : { "noteIndex" : 0 }, "schema" : "https://github.com/citation-style-language/schema/raw/master/csl-citation.json" }</w:instrText>
            </w:r>
            <w:r w:rsidRPr="005205D3">
              <w:rPr>
                <w:rFonts w:ascii="Times New Roman" w:eastAsia="Times New Roman" w:hAnsi="Times New Roman" w:cs="Times New Roman"/>
                <w:color w:val="000000"/>
                <w:sz w:val="24"/>
                <w:szCs w:val="24"/>
                <w:lang w:val="nl-NL" w:eastAsia="nl-NL"/>
              </w:rPr>
              <w:fldChar w:fldCharType="separate"/>
            </w:r>
            <w:r w:rsidRPr="005205D3">
              <w:rPr>
                <w:rFonts w:ascii="Times New Roman" w:eastAsia="Times New Roman" w:hAnsi="Times New Roman" w:cs="Times New Roman"/>
                <w:noProof/>
                <w:color w:val="000000"/>
                <w:sz w:val="24"/>
                <w:szCs w:val="24"/>
                <w:lang w:val="nl-NL" w:eastAsia="nl-NL"/>
              </w:rPr>
              <w:t>Vermeir et al. (2020, p. 2)</w:t>
            </w:r>
            <w:r w:rsidRPr="005205D3">
              <w:rPr>
                <w:rFonts w:ascii="Times New Roman" w:eastAsia="Times New Roman" w:hAnsi="Times New Roman" w:cs="Times New Roman"/>
                <w:color w:val="000000"/>
                <w:sz w:val="24"/>
                <w:szCs w:val="24"/>
                <w:lang w:val="nl-NL" w:eastAsia="nl-NL"/>
              </w:rPr>
              <w:fldChar w:fldCharType="end"/>
            </w:r>
          </w:p>
        </w:tc>
        <w:tc>
          <w:tcPr>
            <w:tcW w:w="0" w:type="auto"/>
          </w:tcPr>
          <w:p w14:paraId="7108AA0F" w14:textId="0C24D955"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Environmentally Sustainable Food Consumption (ESFC) can be defined as the use of food products “that respond to basic needs and bring a better quality of life, while minimizing the use of natural resources, toxic materials and emissions of waste and pollutants over the life cycle, so as not to jeopardize the needs of future generations” (Oslo Roundtable on Sustainable Production and Consumption, 1994). Major examples of ESFC include increasing consumption of plant-based (Lea et al., 2006) or insect-based foods (</w:t>
            </w:r>
            <w:proofErr w:type="spellStart"/>
            <w:r w:rsidRPr="005205D3">
              <w:rPr>
                <w:rFonts w:ascii="Times New Roman" w:eastAsia="Times New Roman" w:hAnsi="Times New Roman" w:cs="Times New Roman"/>
                <w:color w:val="000000"/>
                <w:sz w:val="24"/>
                <w:szCs w:val="24"/>
                <w:lang w:eastAsia="nl-NL"/>
              </w:rPr>
              <w:t>Megido</w:t>
            </w:r>
            <w:proofErr w:type="spellEnd"/>
            <w:r w:rsidRPr="005205D3">
              <w:rPr>
                <w:rFonts w:ascii="Times New Roman" w:eastAsia="Times New Roman" w:hAnsi="Times New Roman" w:cs="Times New Roman"/>
                <w:color w:val="000000"/>
                <w:sz w:val="24"/>
                <w:szCs w:val="24"/>
                <w:lang w:eastAsia="nl-NL"/>
              </w:rPr>
              <w:t xml:space="preserve"> et al., 2016), while decreasing meat consumption (Hoek et al., 2004), and opting for seasonal products (Macdiarmid, 2014).</w:t>
            </w:r>
          </w:p>
        </w:tc>
      </w:tr>
      <w:tr w:rsidR="009A4E0A" w:rsidRPr="0066686C" w14:paraId="388C5047" w14:textId="77777777" w:rsidTr="54F068BE">
        <w:trPr>
          <w:trHeight w:val="530"/>
        </w:trPr>
        <w:tc>
          <w:tcPr>
            <w:cnfStyle w:val="001000000000" w:firstRow="0" w:lastRow="0" w:firstColumn="1" w:lastColumn="0" w:oddVBand="0" w:evenVBand="0" w:oddHBand="0" w:evenHBand="0" w:firstRowFirstColumn="0" w:firstRowLastColumn="0" w:lastRowFirstColumn="0" w:lastRowLastColumn="0"/>
            <w:tcW w:w="0" w:type="auto"/>
            <w:noWrap/>
          </w:tcPr>
          <w:p w14:paraId="35C78AA8" w14:textId="521FF069" w:rsidR="009A4E0A" w:rsidRPr="005205D3" w:rsidRDefault="001C59EC" w:rsidP="009A4E0A">
            <w:pPr>
              <w:spacing w:before="60" w:after="60" w:line="264" w:lineRule="auto"/>
              <w:jc w:val="right"/>
              <w:rPr>
                <w:rFonts w:ascii="Times New Roman" w:eastAsia="Times New Roman" w:hAnsi="Times New Roman" w:cs="Times New Roman"/>
                <w:b w:val="0"/>
                <w:bCs w:val="0"/>
                <w:color w:val="000000"/>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t>7</w:t>
            </w:r>
            <w:r w:rsidR="42ED651D" w:rsidRPr="005205D3">
              <w:rPr>
                <w:rFonts w:ascii="Times New Roman" w:eastAsia="Times New Roman" w:hAnsi="Times New Roman" w:cs="Times New Roman"/>
                <w:b w:val="0"/>
                <w:bCs w:val="0"/>
                <w:color w:val="000000" w:themeColor="text1"/>
                <w:sz w:val="24"/>
                <w:szCs w:val="24"/>
                <w:lang w:val="nl-NL" w:eastAsia="nl-NL"/>
              </w:rPr>
              <w:t>6</w:t>
            </w:r>
          </w:p>
        </w:tc>
        <w:tc>
          <w:tcPr>
            <w:tcW w:w="0" w:type="auto"/>
          </w:tcPr>
          <w:p w14:paraId="431F27F9" w14:textId="35A168CA"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proofErr w:type="spellStart"/>
            <w:r w:rsidRPr="005205D3">
              <w:rPr>
                <w:rFonts w:ascii="Times New Roman" w:eastAsia="Times New Roman" w:hAnsi="Times New Roman" w:cs="Times New Roman"/>
                <w:color w:val="000000"/>
                <w:sz w:val="24"/>
                <w:szCs w:val="24"/>
                <w:lang w:val="nl-NL" w:eastAsia="nl-NL"/>
              </w:rPr>
              <w:t>Vermeir</w:t>
            </w:r>
            <w:proofErr w:type="spellEnd"/>
            <w:r w:rsidRPr="005205D3">
              <w:rPr>
                <w:rFonts w:ascii="Times New Roman" w:eastAsia="Times New Roman" w:hAnsi="Times New Roman" w:cs="Times New Roman"/>
                <w:color w:val="000000"/>
                <w:sz w:val="24"/>
                <w:szCs w:val="24"/>
                <w:lang w:val="nl-NL" w:eastAsia="nl-NL"/>
              </w:rPr>
              <w:t xml:space="preserve"> &amp; Verbeke (2006, p. 170)</w:t>
            </w:r>
          </w:p>
        </w:tc>
        <w:tc>
          <w:tcPr>
            <w:tcW w:w="0" w:type="auto"/>
          </w:tcPr>
          <w:p w14:paraId="22425999" w14:textId="754DC4DE"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Sustainable consumption is based on a decision-making process that takes the consumer’s social responsibility into account in addition to individual needs and wants (Meulenberg, 2003). Everyday consumption practices</w:t>
            </w:r>
          </w:p>
          <w:p w14:paraId="1D4D463D" w14:textId="173B1882"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are still heavily driven by convenience, habit, value for money, personal health concerns, hedonism, and individual responses to social and institutional norms (FSA, 2000; IGD, 2002a, 2002b; SDC, 2003), and, most importantly, they are likely to be resistant to change. Yet, the diversity and complexity of the motivations involved means that in reality there is a considerable scope for change. An important driver for change, particularly with respect to sustainability concerns, is the tendency towards reflexivity within a post-modern society, whereby society and its individuals actively reflect upon existing cultural norms.</w:t>
            </w:r>
          </w:p>
        </w:tc>
      </w:tr>
      <w:tr w:rsidR="009A4E0A" w:rsidRPr="00E56950" w14:paraId="4AC01EA9" w14:textId="77777777" w:rsidTr="54F068BE">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0" w:type="auto"/>
            <w:noWrap/>
          </w:tcPr>
          <w:p w14:paraId="3FCBABC8" w14:textId="31DD0EC5" w:rsidR="009A4E0A" w:rsidRPr="005205D3" w:rsidRDefault="001C59EC" w:rsidP="009A4E0A">
            <w:pPr>
              <w:spacing w:before="60" w:after="60" w:line="264" w:lineRule="auto"/>
              <w:jc w:val="right"/>
              <w:rPr>
                <w:rFonts w:ascii="Times New Roman" w:eastAsia="Times New Roman" w:hAnsi="Times New Roman" w:cs="Times New Roman"/>
                <w:b w:val="0"/>
                <w:bCs w:val="0"/>
                <w:color w:val="000000"/>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t>7</w:t>
            </w:r>
            <w:r w:rsidR="2439FE79" w:rsidRPr="005205D3">
              <w:rPr>
                <w:rFonts w:ascii="Times New Roman" w:eastAsia="Times New Roman" w:hAnsi="Times New Roman" w:cs="Times New Roman"/>
                <w:b w:val="0"/>
                <w:bCs w:val="0"/>
                <w:color w:val="000000" w:themeColor="text1"/>
                <w:sz w:val="24"/>
                <w:szCs w:val="24"/>
                <w:lang w:val="nl-NL" w:eastAsia="nl-NL"/>
              </w:rPr>
              <w:t>7</w:t>
            </w:r>
          </w:p>
        </w:tc>
        <w:tc>
          <w:tcPr>
            <w:tcW w:w="0" w:type="auto"/>
          </w:tcPr>
          <w:p w14:paraId="7899E64B" w14:textId="77777777"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proofErr w:type="spellStart"/>
            <w:r w:rsidRPr="005205D3">
              <w:rPr>
                <w:rFonts w:ascii="Times New Roman" w:eastAsia="Times New Roman" w:hAnsi="Times New Roman" w:cs="Times New Roman"/>
                <w:color w:val="000000"/>
                <w:sz w:val="24"/>
                <w:szCs w:val="24"/>
                <w:lang w:val="nl-NL" w:eastAsia="nl-NL"/>
              </w:rPr>
              <w:t>von</w:t>
            </w:r>
            <w:proofErr w:type="spellEnd"/>
            <w:r w:rsidRPr="005205D3">
              <w:rPr>
                <w:rFonts w:ascii="Times New Roman" w:eastAsia="Times New Roman" w:hAnsi="Times New Roman" w:cs="Times New Roman"/>
                <w:color w:val="000000"/>
                <w:sz w:val="24"/>
                <w:szCs w:val="24"/>
                <w:lang w:val="nl-NL" w:eastAsia="nl-NL"/>
              </w:rPr>
              <w:t xml:space="preserve"> Braun et al. </w:t>
            </w:r>
          </w:p>
          <w:p w14:paraId="0389E67C" w14:textId="4324CB73"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r w:rsidRPr="005205D3">
              <w:rPr>
                <w:rFonts w:ascii="Times New Roman" w:eastAsia="Times New Roman" w:hAnsi="Times New Roman" w:cs="Times New Roman"/>
                <w:color w:val="000000"/>
                <w:sz w:val="24"/>
                <w:szCs w:val="24"/>
                <w:lang w:val="nl-NL" w:eastAsia="nl-NL"/>
              </w:rPr>
              <w:t>(2021, p. 5)</w:t>
            </w:r>
          </w:p>
        </w:tc>
        <w:tc>
          <w:tcPr>
            <w:tcW w:w="0" w:type="auto"/>
          </w:tcPr>
          <w:p w14:paraId="5C5BD9D1" w14:textId="390C8F3C"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A sustainable food system is one that contributes to food security and nutrition for all in such a way that the economic, social, cultural, and environmental bases to generate food security and nutrition for future generations are safeguarded”</w:t>
            </w:r>
          </w:p>
        </w:tc>
      </w:tr>
      <w:tr w:rsidR="009A4E0A" w:rsidRPr="0066686C" w14:paraId="0262A945" w14:textId="77777777" w:rsidTr="54F068BE">
        <w:trPr>
          <w:trHeight w:val="530"/>
        </w:trPr>
        <w:tc>
          <w:tcPr>
            <w:cnfStyle w:val="001000000000" w:firstRow="0" w:lastRow="0" w:firstColumn="1" w:lastColumn="0" w:oddVBand="0" w:evenVBand="0" w:oddHBand="0" w:evenHBand="0" w:firstRowFirstColumn="0" w:firstRowLastColumn="0" w:lastRowFirstColumn="0" w:lastRowLastColumn="0"/>
            <w:tcW w:w="0" w:type="auto"/>
            <w:noWrap/>
          </w:tcPr>
          <w:p w14:paraId="2AF7FC6B" w14:textId="7005675B" w:rsidR="009A4E0A" w:rsidRPr="005205D3" w:rsidRDefault="001C59EC" w:rsidP="009A4E0A">
            <w:pPr>
              <w:spacing w:before="60" w:after="60" w:line="264" w:lineRule="auto"/>
              <w:jc w:val="right"/>
              <w:rPr>
                <w:rFonts w:ascii="Times New Roman" w:eastAsia="Times New Roman" w:hAnsi="Times New Roman" w:cs="Times New Roman"/>
                <w:b w:val="0"/>
                <w:bCs w:val="0"/>
                <w:color w:val="000000"/>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t>7</w:t>
            </w:r>
            <w:r w:rsidR="2C1FEA65" w:rsidRPr="005205D3">
              <w:rPr>
                <w:rFonts w:ascii="Times New Roman" w:eastAsia="Times New Roman" w:hAnsi="Times New Roman" w:cs="Times New Roman"/>
                <w:b w:val="0"/>
                <w:bCs w:val="0"/>
                <w:color w:val="000000" w:themeColor="text1"/>
                <w:sz w:val="24"/>
                <w:szCs w:val="24"/>
                <w:lang w:val="nl-NL" w:eastAsia="nl-NL"/>
              </w:rPr>
              <w:t>8</w:t>
            </w:r>
          </w:p>
        </w:tc>
        <w:tc>
          <w:tcPr>
            <w:tcW w:w="0" w:type="auto"/>
          </w:tcPr>
          <w:p w14:paraId="41BC110A" w14:textId="77777777"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color w:val="000000"/>
                <w:sz w:val="24"/>
                <w:szCs w:val="24"/>
                <w:lang w:val="nl-NL" w:eastAsia="nl-NL"/>
              </w:rPr>
            </w:pPr>
            <w:r w:rsidRPr="005205D3">
              <w:rPr>
                <w:rFonts w:ascii="Times New Roman" w:eastAsia="Times New Roman" w:hAnsi="Times New Roman" w:cs="Times New Roman"/>
                <w:color w:val="000000"/>
                <w:sz w:val="24"/>
                <w:szCs w:val="24"/>
                <w:lang w:val="nl-NL" w:eastAsia="nl-NL"/>
              </w:rPr>
              <w:fldChar w:fldCharType="begin" w:fldLock="1"/>
            </w:r>
            <w:r w:rsidRPr="005205D3">
              <w:rPr>
                <w:rFonts w:ascii="Times New Roman" w:eastAsia="Times New Roman" w:hAnsi="Times New Roman" w:cs="Times New Roman"/>
                <w:color w:val="000000"/>
                <w:sz w:val="24"/>
                <w:szCs w:val="24"/>
                <w:lang w:val="nl-NL" w:eastAsia="nl-NL"/>
              </w:rPr>
              <w:instrText>ADDIN CSL_CITATION { "citationItems" : [ { "id" : "ITEM-1", "itemData" : { "DOI" : "10.1016/j.jclepro.2008.06.003", "ISSN" : "09596526", "author" : [ { "dropping-particle" : "", "family" : "Liu", "given" : "Qian", "non-dropping-particle" : "", "parse-names" : false, "suffix" : "" }, { "dropping-particle" : "", "family" : "Li", "given" : "Hui-ming", "non-dropping-particle" : "", "parse-names" : false, "suffix" : "" }, { "dropping-particle" : "", "family" : "Zuo", "given" : "Xiao-li", "non-dropping-particle" : "", "parse-names" : false, "suffix" : "" }, { "dropping-particle" : "", "family" : "Zhang", "given" : "Fei-fei", "non-dropping-particle" : "", "parse-names" : false, "suffix" : "" }, { "dropping-particle" : "", "family" : "Wang", "given" : "Lei", "non-dropping-particle" : "", "parse-names" : false, "suffix" : "" } ], "container-title" : "Journal of Cleaner Production", "id" : "ITEM-1", "issue" : "2", "issued" : { "date-parts" : [ [ "2009", "1" ] ] }, "page" : "265-270", "title" : "A survey and analysis on public awareness and performance for promoting circular economy in China: A case study from Tianjin", "type" : "article-journal", "volume" : "17" }, "locator" : "265", "uris" : [ "http://www.mendeley.com/documents/?uuid=d0467308-2ae2-3586-b9fe-77a8b6d5c314" ] } ], "mendeley" : { "formattedCitation" : "(Q. Liu, Li, Zuo, Zhang, &amp; Wang, 2009, p. 265)", "manualFormatting" : "Liu, Li, Zuo, Zhang, &amp; Wang (2009, p. 265)", "plainTextFormattedCitation" : "(Q. Liu, Li, Zuo, Zhang, &amp; Wang, 2009, p. 265)", "previouslyFormattedCitation" : "(Q. Liu, Li, Zuo, Zhang, &amp; Wang, 2009, p. 265)" }, "properties" : { "noteIndex" : 0 }, "schema" : "https://github.com/citation-style-language/schema/raw/master/csl-citation.json" }</w:instrText>
            </w:r>
            <w:r w:rsidRPr="005205D3">
              <w:rPr>
                <w:rFonts w:ascii="Times New Roman" w:eastAsia="Times New Roman" w:hAnsi="Times New Roman" w:cs="Times New Roman"/>
                <w:color w:val="000000"/>
                <w:sz w:val="24"/>
                <w:szCs w:val="24"/>
                <w:lang w:val="nl-NL" w:eastAsia="nl-NL"/>
              </w:rPr>
              <w:fldChar w:fldCharType="separate"/>
            </w:r>
            <w:r w:rsidRPr="005205D3">
              <w:rPr>
                <w:rFonts w:ascii="Times New Roman" w:eastAsia="Times New Roman" w:hAnsi="Times New Roman" w:cs="Times New Roman"/>
                <w:noProof/>
                <w:color w:val="000000"/>
                <w:sz w:val="24"/>
                <w:szCs w:val="24"/>
                <w:lang w:val="nl-NL" w:eastAsia="nl-NL"/>
              </w:rPr>
              <w:t xml:space="preserve">Voget-Kleschin </w:t>
            </w:r>
          </w:p>
          <w:p w14:paraId="069B62BA" w14:textId="759DCC85"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r w:rsidRPr="005205D3">
              <w:rPr>
                <w:rFonts w:ascii="Times New Roman" w:eastAsia="Times New Roman" w:hAnsi="Times New Roman" w:cs="Times New Roman"/>
                <w:noProof/>
                <w:color w:val="000000"/>
                <w:sz w:val="24"/>
                <w:szCs w:val="24"/>
                <w:lang w:val="nl-NL" w:eastAsia="nl-NL"/>
              </w:rPr>
              <w:t>(2015, p. 463)</w:t>
            </w:r>
            <w:r w:rsidRPr="005205D3">
              <w:rPr>
                <w:rFonts w:ascii="Times New Roman" w:eastAsia="Times New Roman" w:hAnsi="Times New Roman" w:cs="Times New Roman"/>
                <w:color w:val="000000"/>
                <w:sz w:val="24"/>
                <w:szCs w:val="24"/>
                <w:lang w:val="nl-NL" w:eastAsia="nl-NL"/>
              </w:rPr>
              <w:fldChar w:fldCharType="end"/>
            </w:r>
          </w:p>
        </w:tc>
        <w:tc>
          <w:tcPr>
            <w:tcW w:w="0" w:type="auto"/>
          </w:tcPr>
          <w:p w14:paraId="1227227C" w14:textId="49737D99"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If sustainability implies that food production should adhere to certain production methods then to qualify as more sustainable, food consumption should draw on products that were produced according to such techniques. Using fair trade and organic as a ‘proxy’, more sustainable food consumption is characterized by drawing increasingly, mainly or even exclusively on fair trade and organic produce. This is a necessary but not sufficient characterization of more sustainable food consumption. It is not sufficient because while this claim covers the issue of quality, it does not yet address issues of quantity.</w:t>
            </w:r>
          </w:p>
        </w:tc>
      </w:tr>
      <w:tr w:rsidR="009A4E0A" w:rsidRPr="0066686C" w14:paraId="60A24BDC" w14:textId="77777777" w:rsidTr="54F068BE">
        <w:trPr>
          <w:cnfStyle w:val="000000100000" w:firstRow="0" w:lastRow="0" w:firstColumn="0" w:lastColumn="0" w:oddVBand="0" w:evenVBand="0" w:oddHBand="1" w:evenHBand="0" w:firstRowFirstColumn="0" w:firstRowLastColumn="0" w:lastRowFirstColumn="0" w:lastRowLastColumn="0"/>
          <w:trHeight w:val="2505"/>
        </w:trPr>
        <w:tc>
          <w:tcPr>
            <w:cnfStyle w:val="001000000000" w:firstRow="0" w:lastRow="0" w:firstColumn="1" w:lastColumn="0" w:oddVBand="0" w:evenVBand="0" w:oddHBand="0" w:evenHBand="0" w:firstRowFirstColumn="0" w:firstRowLastColumn="0" w:lastRowFirstColumn="0" w:lastRowLastColumn="0"/>
            <w:tcW w:w="0" w:type="auto"/>
            <w:noWrap/>
          </w:tcPr>
          <w:p w14:paraId="55E4923A" w14:textId="360A843E" w:rsidR="009A4E0A" w:rsidRPr="005205D3" w:rsidRDefault="001C59EC" w:rsidP="009A4E0A">
            <w:pPr>
              <w:spacing w:before="60" w:after="60" w:line="264" w:lineRule="auto"/>
              <w:jc w:val="right"/>
              <w:rPr>
                <w:rFonts w:ascii="Times New Roman" w:eastAsia="Times New Roman" w:hAnsi="Times New Roman" w:cs="Times New Roman"/>
                <w:b w:val="0"/>
                <w:bCs w:val="0"/>
                <w:color w:val="000000"/>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lastRenderedPageBreak/>
              <w:t>7</w:t>
            </w:r>
            <w:r w:rsidR="2734D72D" w:rsidRPr="005205D3">
              <w:rPr>
                <w:rFonts w:ascii="Times New Roman" w:eastAsia="Times New Roman" w:hAnsi="Times New Roman" w:cs="Times New Roman"/>
                <w:b w:val="0"/>
                <w:bCs w:val="0"/>
                <w:color w:val="000000" w:themeColor="text1"/>
                <w:sz w:val="24"/>
                <w:szCs w:val="24"/>
                <w:lang w:val="nl-NL" w:eastAsia="nl-NL"/>
              </w:rPr>
              <w:t>9</w:t>
            </w:r>
          </w:p>
        </w:tc>
        <w:tc>
          <w:tcPr>
            <w:tcW w:w="0" w:type="auto"/>
          </w:tcPr>
          <w:p w14:paraId="3CCAAE3C" w14:textId="6C58BB6D" w:rsidR="009A4E0A" w:rsidRPr="005205D3" w:rsidRDefault="63670EF1"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r w:rsidRPr="005205D3">
              <w:rPr>
                <w:rFonts w:ascii="Times New Roman" w:eastAsia="Times New Roman" w:hAnsi="Times New Roman" w:cs="Times New Roman"/>
                <w:color w:val="000000" w:themeColor="text1"/>
                <w:sz w:val="24"/>
                <w:szCs w:val="24"/>
                <w:lang w:val="nl-NL" w:eastAsia="nl-NL"/>
              </w:rPr>
              <w:t>WHO (2019, p.11)</w:t>
            </w:r>
          </w:p>
        </w:tc>
        <w:tc>
          <w:tcPr>
            <w:tcW w:w="0" w:type="auto"/>
          </w:tcPr>
          <w:p w14:paraId="468B149B" w14:textId="31DFB043"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Sustainable Healthy Diets are dietary patterns that promote all dimensions of individuals’ health and wellbeing; have low environmental pressure and impact; are accessible, affordable, safe and equitable; and are culturally acceptable. The aims of Sustainable Healthy Diets are to achieve optimal growth and development of all individuals and support functioning and physical, mental, and social wellbeing at all life stages for present and future generations; contribute to preventing all forms of malnutrition (i.e. undernutrition, micronutrient deficiency, overweight and obesity); reduce the risk of diet-related NCDs; and support the preservation of biodiversity and planetary health. Sustainable healthy diets must combine all the dimensions of sustainability to avoid unintended consequences. (https://iris.who.int/bitstream/handle/10665/329409/9789241516648-eng.pdf?sequence=1)</w:t>
            </w:r>
          </w:p>
        </w:tc>
      </w:tr>
      <w:tr w:rsidR="6B219AF2" w14:paraId="4BD8FC0A" w14:textId="77777777" w:rsidTr="54F068BE">
        <w:trPr>
          <w:trHeight w:val="300"/>
        </w:trPr>
        <w:tc>
          <w:tcPr>
            <w:cnfStyle w:val="001000000000" w:firstRow="0" w:lastRow="0" w:firstColumn="1" w:lastColumn="0" w:oddVBand="0" w:evenVBand="0" w:oddHBand="0" w:evenHBand="0" w:firstRowFirstColumn="0" w:firstRowLastColumn="0" w:lastRowFirstColumn="0" w:lastRowLastColumn="0"/>
            <w:tcW w:w="456" w:type="dxa"/>
            <w:noWrap/>
          </w:tcPr>
          <w:p w14:paraId="0468AC59" w14:textId="46DCDC3C" w:rsidR="4B840648" w:rsidRPr="005205D3" w:rsidRDefault="6619C5B4" w:rsidP="6B219AF2">
            <w:pPr>
              <w:spacing w:line="264" w:lineRule="auto"/>
              <w:jc w:val="right"/>
              <w:rPr>
                <w:rFonts w:ascii="Times New Roman" w:eastAsia="Times New Roman" w:hAnsi="Times New Roman" w:cs="Times New Roman"/>
                <w:b w:val="0"/>
                <w:bCs w:val="0"/>
                <w:color w:val="000000" w:themeColor="text1"/>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t>80</w:t>
            </w:r>
          </w:p>
        </w:tc>
        <w:tc>
          <w:tcPr>
            <w:tcW w:w="1899" w:type="dxa"/>
          </w:tcPr>
          <w:p w14:paraId="3244811B" w14:textId="6FD97666" w:rsidR="6D39E946" w:rsidRPr="005205D3" w:rsidRDefault="6E9B8910" w:rsidP="54F068BE">
            <w:pPr>
              <w:spacing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val="nl-NL" w:eastAsia="nl-NL"/>
              </w:rPr>
            </w:pPr>
            <w:proofErr w:type="spellStart"/>
            <w:r w:rsidRPr="005205D3">
              <w:rPr>
                <w:rFonts w:ascii="Times New Roman" w:eastAsia="Times New Roman" w:hAnsi="Times New Roman" w:cs="Times New Roman"/>
                <w:color w:val="000000" w:themeColor="text1"/>
                <w:sz w:val="24"/>
                <w:szCs w:val="24"/>
                <w:lang w:val="nl-NL" w:eastAsia="nl-NL"/>
              </w:rPr>
              <w:t>Wille</w:t>
            </w:r>
            <w:r w:rsidR="008E015E">
              <w:rPr>
                <w:rFonts w:ascii="Times New Roman" w:eastAsia="Times New Roman" w:hAnsi="Times New Roman" w:cs="Times New Roman"/>
                <w:color w:val="000000" w:themeColor="text1"/>
                <w:sz w:val="24"/>
                <w:szCs w:val="24"/>
                <w:lang w:val="nl-NL" w:eastAsia="nl-NL"/>
              </w:rPr>
              <w:t>t</w:t>
            </w:r>
            <w:r w:rsidRPr="005205D3">
              <w:rPr>
                <w:rFonts w:ascii="Times New Roman" w:eastAsia="Times New Roman" w:hAnsi="Times New Roman" w:cs="Times New Roman"/>
                <w:color w:val="000000" w:themeColor="text1"/>
                <w:sz w:val="24"/>
                <w:szCs w:val="24"/>
                <w:lang w:val="nl-NL" w:eastAsia="nl-NL"/>
              </w:rPr>
              <w:t>t</w:t>
            </w:r>
            <w:proofErr w:type="spellEnd"/>
            <w:r w:rsidRPr="005205D3">
              <w:rPr>
                <w:rFonts w:ascii="Times New Roman" w:eastAsia="Times New Roman" w:hAnsi="Times New Roman" w:cs="Times New Roman"/>
                <w:color w:val="000000" w:themeColor="text1"/>
                <w:sz w:val="24"/>
                <w:szCs w:val="24"/>
                <w:lang w:val="nl-NL" w:eastAsia="nl-NL"/>
              </w:rPr>
              <w:t xml:space="preserve"> et al. (2019)</w:t>
            </w:r>
          </w:p>
        </w:tc>
        <w:tc>
          <w:tcPr>
            <w:tcW w:w="11603" w:type="dxa"/>
          </w:tcPr>
          <w:p w14:paraId="1F491FEF" w14:textId="28D72131" w:rsidR="6D39E946" w:rsidRPr="005205D3" w:rsidRDefault="5475C47F" w:rsidP="6B219AF2">
            <w:pPr>
              <w:spacing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05D3">
              <w:rPr>
                <w:rFonts w:ascii="Times New Roman" w:eastAsia="Times New Roman" w:hAnsi="Times New Roman" w:cs="Times New Roman"/>
                <w:sz w:val="24"/>
                <w:szCs w:val="24"/>
              </w:rPr>
              <w:t xml:space="preserve">...3. </w:t>
            </w:r>
            <w:r w:rsidR="6D39E946" w:rsidRPr="005205D3">
              <w:rPr>
                <w:rFonts w:ascii="Times New Roman" w:eastAsia="Times New Roman" w:hAnsi="Times New Roman" w:cs="Times New Roman"/>
                <w:sz w:val="24"/>
                <w:szCs w:val="24"/>
              </w:rPr>
              <w:t xml:space="preserve">A transformation to healthy diets from sustainable food systems is a prerequisite for attaining the UN Sustainable Development Goals and Paris Agreement, and scientific targets for healthy diets and sustainable food production are needed to guide a Great Food Transformation. 4. Healthy diets have an appropriate caloric intake and consist largely of a diversity of plant foods, low amounts of animal source foods, contain unsaturated rather than saturated fats, and limited amounts of refined grains, highly processed foods and added sugars. 5. Transformation to healthy diets by 2050 will require substantial dietary shifts, including a greater than 50% reduction in global consumption of unhealthy foods such as red meat and sugar, and a greater than 100% increase in the consumption of healthy foods such as nuts, fruits, vegetables and legumes. However, the changes needed differ greatly by region. 6. Dietary changes from current diets towards healthy diets are likely to result in significant health benefits that include averting approximately 7.4 to 10.8 million premature deaths per year, a reduction of between 18% to 28%. 7. With food production currently causing major global environmental risks, sustainable food production needs to operate within the safe operating space for food systems. This means that producing food for nearly 10 billion people should: use no additional land; safeguard existing biodiversity; reduce consumptive water use and manage water responsibly; drastically reduce nitrogen and phosphorus pollution; produce zero carbon dioxide emissions and cause no further increase in methane and nitrous oxide emissions. 8. Transformation to sustainable food production by 2050 will require at least: a 75% closing of yield gaps; a global redistribution of nitrogen and phosphorus fertilizer use; recycling of phosphorus; radical improvements in fertilizer and water use efficiency; rapid implementation of agricultural mitigation options to reduce greenhouse gas emissions and adoption of land management practices that shifts agriculture from carbon source to sink, and a fundamental shift in production priorities. 7 9. The scientific targets for healthy diets from sustainable food systems that we have described are intertwined across all UN Sustainable Development Goals (SDGs). In particular, this </w:t>
            </w:r>
            <w:r w:rsidR="6D39E946" w:rsidRPr="005205D3">
              <w:rPr>
                <w:rFonts w:ascii="Times New Roman" w:eastAsia="Times New Roman" w:hAnsi="Times New Roman" w:cs="Times New Roman"/>
                <w:sz w:val="24"/>
                <w:szCs w:val="24"/>
              </w:rPr>
              <w:lastRenderedPageBreak/>
              <w:t>includes eradicating hunger and universal access to high quality primary health care that integrates family planning and education on healthy diets, with the SDGs on freshwater, climate, land, oceans and biodiversity and achieved through a strong commitment to global partnerships and action. 10. Achieving healthy diets from sustainable food systems for everyone on the planet will require substantial shifts towards healthy dietary patterns together with large reductions in food losses and waste and major improvements in food production practices. This universal goal is within reach but will require adoption of scientific targets by all sectors to stimulate a broad spectrum of actions from individuals and organizations working in all sectors and at all scales.</w:t>
            </w:r>
          </w:p>
        </w:tc>
      </w:tr>
      <w:tr w:rsidR="009A4E0A" w:rsidRPr="0066686C" w14:paraId="449E80C3" w14:textId="77777777" w:rsidTr="54F068BE">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0" w:type="auto"/>
            <w:noWrap/>
          </w:tcPr>
          <w:p w14:paraId="2403BF28" w14:textId="551BD06F" w:rsidR="009A4E0A" w:rsidRPr="005205D3" w:rsidRDefault="54103F3D" w:rsidP="009A4E0A">
            <w:pPr>
              <w:spacing w:before="60" w:after="60" w:line="264" w:lineRule="auto"/>
              <w:jc w:val="right"/>
              <w:rPr>
                <w:rFonts w:ascii="Times New Roman" w:eastAsia="Times New Roman" w:hAnsi="Times New Roman" w:cs="Times New Roman"/>
                <w:b w:val="0"/>
                <w:bCs w:val="0"/>
                <w:color w:val="000000"/>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lastRenderedPageBreak/>
              <w:t>81</w:t>
            </w:r>
          </w:p>
        </w:tc>
        <w:tc>
          <w:tcPr>
            <w:tcW w:w="0" w:type="auto"/>
          </w:tcPr>
          <w:p w14:paraId="3EC91DB3" w14:textId="1B72F08F" w:rsidR="009A4E0A" w:rsidRPr="005205D3" w:rsidRDefault="600DD78E" w:rsidP="54F068BE">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Aptos" w:hAnsi="Times New Roman" w:cs="Times New Roman"/>
                <w:sz w:val="24"/>
                <w:szCs w:val="24"/>
              </w:rPr>
              <w:t>World Wide Fund for Nature (</w:t>
            </w:r>
            <w:r w:rsidR="63670EF1" w:rsidRPr="005205D3">
              <w:rPr>
                <w:rFonts w:ascii="Times New Roman" w:eastAsia="Times New Roman" w:hAnsi="Times New Roman" w:cs="Times New Roman"/>
                <w:color w:val="000000" w:themeColor="text1"/>
                <w:sz w:val="24"/>
                <w:szCs w:val="24"/>
                <w:lang w:eastAsia="nl-NL"/>
              </w:rPr>
              <w:t>WWF</w:t>
            </w:r>
            <w:r w:rsidR="6AD55231" w:rsidRPr="005205D3">
              <w:rPr>
                <w:rFonts w:ascii="Times New Roman" w:eastAsia="Times New Roman" w:hAnsi="Times New Roman" w:cs="Times New Roman"/>
                <w:color w:val="000000" w:themeColor="text1"/>
                <w:sz w:val="24"/>
                <w:szCs w:val="24"/>
                <w:lang w:eastAsia="nl-NL"/>
              </w:rPr>
              <w:t>)</w:t>
            </w:r>
            <w:r w:rsidR="63670EF1" w:rsidRPr="005205D3">
              <w:rPr>
                <w:rFonts w:ascii="Times New Roman" w:eastAsia="Times New Roman" w:hAnsi="Times New Roman" w:cs="Times New Roman"/>
                <w:color w:val="000000" w:themeColor="text1"/>
                <w:sz w:val="24"/>
                <w:szCs w:val="24"/>
                <w:lang w:eastAsia="nl-NL"/>
              </w:rPr>
              <w:t xml:space="preserve"> (2020)</w:t>
            </w:r>
          </w:p>
        </w:tc>
        <w:tc>
          <w:tcPr>
            <w:tcW w:w="0" w:type="auto"/>
          </w:tcPr>
          <w:p w14:paraId="5AF0A7C9" w14:textId="77777777"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 xml:space="preserve">WWF´s core Food goal: A food system which protects and conserves nature while ensuring there is enough nutritious food for all current and future generations. WWF aims to help build a global food system that operates within planetary boundaries and universally meets the fundamental human right to healthy food. To motivate our efforts, WWF has developed four guiding principles for healthy and sustainable diets. </w:t>
            </w:r>
          </w:p>
          <w:p w14:paraId="08D1BE53" w14:textId="77777777"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Guiding Principle 1: Promote food choices that reduce environmental impacts while improving human health.</w:t>
            </w:r>
          </w:p>
          <w:p w14:paraId="58883C2F" w14:textId="77777777"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Guiding Principle 2: Promote food choices that support production that protects, conserves and restores biodiversity and sustainably uses natural resources</w:t>
            </w:r>
          </w:p>
          <w:p w14:paraId="6250AF46" w14:textId="77777777"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Guiding Principle 3: Embrace flexible food choices that are healthy and sustainable and that embody rich and diverse diets and traditions globally.</w:t>
            </w:r>
          </w:p>
          <w:p w14:paraId="44853066" w14:textId="74058F83"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Guiding Principle 4: Support just transitions to healthy and sustainable diets for all, with fair and equitable sharing of the costs and benefits arising from these transitions.</w:t>
            </w:r>
            <w:r w:rsidRPr="005205D3">
              <w:rPr>
                <w:rFonts w:ascii="Times New Roman" w:eastAsia="Times New Roman" w:hAnsi="Times New Roman" w:cs="Times New Roman"/>
                <w:color w:val="000000"/>
                <w:sz w:val="24"/>
                <w:szCs w:val="24"/>
                <w:lang w:eastAsia="nl-NL"/>
              </w:rPr>
              <w:br/>
              <w:t>(https://wwfint.awsassets.panda.org/downloads/wwf_position_on_healthy_and_sustainable_diets.pdf)</w:t>
            </w:r>
          </w:p>
        </w:tc>
      </w:tr>
      <w:tr w:rsidR="0FBACB51" w14:paraId="562F0D44" w14:textId="77777777" w:rsidTr="54F068BE">
        <w:trPr>
          <w:trHeight w:val="300"/>
        </w:trPr>
        <w:tc>
          <w:tcPr>
            <w:cnfStyle w:val="001000000000" w:firstRow="0" w:lastRow="0" w:firstColumn="1" w:lastColumn="0" w:oddVBand="0" w:evenVBand="0" w:oddHBand="0" w:evenHBand="0" w:firstRowFirstColumn="0" w:firstRowLastColumn="0" w:lastRowFirstColumn="0" w:lastRowLastColumn="0"/>
            <w:tcW w:w="456" w:type="dxa"/>
            <w:noWrap/>
          </w:tcPr>
          <w:p w14:paraId="10156685" w14:textId="4CB7979A" w:rsidR="4DFB355D" w:rsidRPr="005205D3" w:rsidRDefault="4DFB355D" w:rsidP="0FBACB51">
            <w:pPr>
              <w:spacing w:line="264" w:lineRule="auto"/>
              <w:jc w:val="right"/>
              <w:rPr>
                <w:rFonts w:ascii="Times New Roman" w:eastAsia="Times New Roman" w:hAnsi="Times New Roman" w:cs="Times New Roman"/>
                <w:b w:val="0"/>
                <w:bCs w:val="0"/>
                <w:color w:val="000000" w:themeColor="text1"/>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t>8</w:t>
            </w:r>
            <w:r w:rsidR="00709C5F" w:rsidRPr="005205D3">
              <w:rPr>
                <w:rFonts w:ascii="Times New Roman" w:eastAsia="Times New Roman" w:hAnsi="Times New Roman" w:cs="Times New Roman"/>
                <w:b w:val="0"/>
                <w:bCs w:val="0"/>
                <w:color w:val="000000" w:themeColor="text1"/>
                <w:sz w:val="24"/>
                <w:szCs w:val="24"/>
                <w:lang w:val="nl-NL" w:eastAsia="nl-NL"/>
              </w:rPr>
              <w:t>2</w:t>
            </w:r>
          </w:p>
        </w:tc>
        <w:tc>
          <w:tcPr>
            <w:tcW w:w="1899" w:type="dxa"/>
          </w:tcPr>
          <w:p w14:paraId="7AC22065" w14:textId="5C6CD5BB" w:rsidR="4DFB355D" w:rsidRPr="005205D3" w:rsidRDefault="00270E20" w:rsidP="0FBACB51">
            <w:pPr>
              <w:spacing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270E20">
              <w:rPr>
                <w:rFonts w:ascii="Times New Roman" w:eastAsia="Times New Roman" w:hAnsi="Times New Roman" w:cs="Times New Roman"/>
                <w:noProof/>
                <w:sz w:val="24"/>
                <w:szCs w:val="24"/>
                <w:lang w:eastAsia="en-GB"/>
              </w:rPr>
              <w:t xml:space="preserve">Yang </w:t>
            </w:r>
            <w:r w:rsidR="4DFB355D" w:rsidRPr="005205D3">
              <w:rPr>
                <w:rFonts w:ascii="Times New Roman" w:eastAsia="Times New Roman" w:hAnsi="Times New Roman" w:cs="Times New Roman"/>
                <w:sz w:val="24"/>
                <w:szCs w:val="24"/>
              </w:rPr>
              <w:t>et al. (2025</w:t>
            </w:r>
            <w:r w:rsidR="17B598D2" w:rsidRPr="005205D3">
              <w:rPr>
                <w:rFonts w:ascii="Times New Roman" w:eastAsia="Times New Roman" w:hAnsi="Times New Roman" w:cs="Times New Roman"/>
                <w:sz w:val="24"/>
                <w:szCs w:val="24"/>
              </w:rPr>
              <w:t>, p. 2</w:t>
            </w:r>
            <w:r w:rsidR="4DFB355D" w:rsidRPr="005205D3">
              <w:rPr>
                <w:rFonts w:ascii="Times New Roman" w:eastAsia="Times New Roman" w:hAnsi="Times New Roman" w:cs="Times New Roman"/>
                <w:sz w:val="24"/>
                <w:szCs w:val="24"/>
              </w:rPr>
              <w:t>)</w:t>
            </w:r>
          </w:p>
        </w:tc>
        <w:tc>
          <w:tcPr>
            <w:tcW w:w="11603" w:type="dxa"/>
          </w:tcPr>
          <w:p w14:paraId="390AF41F" w14:textId="6446CE00" w:rsidR="4C06D275" w:rsidRPr="005205D3" w:rsidRDefault="4C06D275" w:rsidP="0FBACB51">
            <w:pPr>
              <w:spacing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nl-NL"/>
              </w:rPr>
            </w:pPr>
            <w:r w:rsidRPr="005205D3">
              <w:rPr>
                <w:rFonts w:ascii="Times New Roman" w:eastAsia="Times New Roman" w:hAnsi="Times New Roman" w:cs="Times New Roman"/>
                <w:color w:val="000000" w:themeColor="text1"/>
                <w:sz w:val="24"/>
                <w:szCs w:val="24"/>
                <w:lang w:eastAsia="nl-NL"/>
              </w:rPr>
              <w:t>Although past studies have addressed the issues of a food consumption transformation, most have focused on the nutritional aspect (Wertheim-Heck and Raneri, 2020). Some literature has explored sustainable food consumption behaviors. The behaviors in these studies are usually singular and targeted, such as reducing food waste (Aydin and Yildirim, 2021), increasing the proportion of sustainable food (</w:t>
            </w:r>
            <w:proofErr w:type="spellStart"/>
            <w:r w:rsidRPr="005205D3">
              <w:rPr>
                <w:rFonts w:ascii="Times New Roman" w:eastAsia="Times New Roman" w:hAnsi="Times New Roman" w:cs="Times New Roman"/>
                <w:color w:val="000000" w:themeColor="text1"/>
                <w:sz w:val="24"/>
                <w:szCs w:val="24"/>
                <w:lang w:eastAsia="nl-NL"/>
              </w:rPr>
              <w:t>Biresselioglu</w:t>
            </w:r>
            <w:proofErr w:type="spellEnd"/>
            <w:r w:rsidRPr="005205D3">
              <w:rPr>
                <w:rFonts w:ascii="Times New Roman" w:eastAsia="Times New Roman" w:hAnsi="Times New Roman" w:cs="Times New Roman"/>
                <w:color w:val="000000" w:themeColor="text1"/>
                <w:sz w:val="24"/>
                <w:szCs w:val="24"/>
                <w:lang w:eastAsia="nl-NL"/>
              </w:rPr>
              <w:t xml:space="preserve"> et al., 2023), consuming plant-based meat alternatives, decreasing red meat intake (Pang et al., 2023), and adjusting dietary structures (</w:t>
            </w:r>
            <w:proofErr w:type="spellStart"/>
            <w:r w:rsidRPr="005205D3">
              <w:rPr>
                <w:rFonts w:ascii="Times New Roman" w:eastAsia="Times New Roman" w:hAnsi="Times New Roman" w:cs="Times New Roman"/>
                <w:color w:val="000000" w:themeColor="text1"/>
                <w:sz w:val="24"/>
                <w:szCs w:val="24"/>
                <w:lang w:eastAsia="nl-NL"/>
              </w:rPr>
              <w:t>Grummon</w:t>
            </w:r>
            <w:proofErr w:type="spellEnd"/>
            <w:r w:rsidRPr="005205D3">
              <w:rPr>
                <w:rFonts w:ascii="Times New Roman" w:eastAsia="Times New Roman" w:hAnsi="Times New Roman" w:cs="Times New Roman"/>
                <w:color w:val="000000" w:themeColor="text1"/>
                <w:sz w:val="24"/>
                <w:szCs w:val="24"/>
                <w:lang w:eastAsia="nl-NL"/>
              </w:rPr>
              <w:t xml:space="preserve"> et al., 2024). However, the current lack of categorization and organization of these behaviors poses obstacles to further research and the design of intervention mechanisms.</w:t>
            </w:r>
          </w:p>
        </w:tc>
      </w:tr>
      <w:tr w:rsidR="009A4E0A" w:rsidRPr="0066686C" w14:paraId="3DFD179A" w14:textId="77777777" w:rsidTr="54F068BE">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0" w:type="auto"/>
            <w:noWrap/>
          </w:tcPr>
          <w:p w14:paraId="1E0474B7" w14:textId="0F8522A3" w:rsidR="009A4E0A" w:rsidRPr="005205D3" w:rsidRDefault="78B4AABF" w:rsidP="009A4E0A">
            <w:pPr>
              <w:spacing w:before="60" w:after="60" w:line="264" w:lineRule="auto"/>
              <w:jc w:val="right"/>
              <w:rPr>
                <w:rFonts w:ascii="Times New Roman" w:eastAsia="Times New Roman" w:hAnsi="Times New Roman" w:cs="Times New Roman"/>
                <w:b w:val="0"/>
                <w:bCs w:val="0"/>
                <w:color w:val="000000"/>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lastRenderedPageBreak/>
              <w:t>8</w:t>
            </w:r>
            <w:r w:rsidR="52D03733" w:rsidRPr="005205D3">
              <w:rPr>
                <w:rFonts w:ascii="Times New Roman" w:eastAsia="Times New Roman" w:hAnsi="Times New Roman" w:cs="Times New Roman"/>
                <w:b w:val="0"/>
                <w:bCs w:val="0"/>
                <w:color w:val="000000" w:themeColor="text1"/>
                <w:sz w:val="24"/>
                <w:szCs w:val="24"/>
                <w:lang w:val="nl-NL" w:eastAsia="nl-NL"/>
              </w:rPr>
              <w:t>3</w:t>
            </w:r>
          </w:p>
        </w:tc>
        <w:tc>
          <w:tcPr>
            <w:tcW w:w="0" w:type="auto"/>
          </w:tcPr>
          <w:p w14:paraId="2BFE5040" w14:textId="58970FD0"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r w:rsidRPr="005205D3">
              <w:rPr>
                <w:rFonts w:ascii="Times New Roman" w:eastAsia="Times New Roman" w:hAnsi="Times New Roman" w:cs="Times New Roman"/>
                <w:color w:val="000000" w:themeColor="text1"/>
                <w:sz w:val="24"/>
                <w:szCs w:val="24"/>
                <w:lang w:val="nl-NL" w:eastAsia="nl-NL"/>
              </w:rPr>
              <w:fldChar w:fldCharType="begin" w:fldLock="1"/>
            </w:r>
            <w:r w:rsidRPr="005205D3">
              <w:rPr>
                <w:rFonts w:ascii="Times New Roman" w:eastAsia="Times New Roman" w:hAnsi="Times New Roman" w:cs="Times New Roman"/>
                <w:color w:val="000000" w:themeColor="text1"/>
                <w:sz w:val="24"/>
                <w:szCs w:val="24"/>
                <w:lang w:val="nl-NL" w:eastAsia="nl-NL"/>
              </w:rPr>
              <w:instrText>ADDIN CSL_CITATION { "citationItems" : [ { "id" : "ITEM-1", "itemData" : { "DOI" : "10.1111/j.1530-9290.2011.00332.x", "ISSN" : "10881980", "author" : [ { "dropping-particle" : "", "family" : "Mathews", "given" : "John A.", "non-dropping-particle" : "", "parse-names" : false, "suffix" : "" }, { "dropping-particle" : "", "family" : "Tan", "given" : "Hao", "non-dropping-particle" : "", "parse-names" : false, "suffix" : "" } ], "container-title" : "Journal of Industrial Ecology", "id" : "ITEM-1", "issue" : "3", "issued" : { "date-parts" : [ [ "2011", "6" ] ] }, "page" : "435-457", "publisher" : "Blackwell Publishing Inc", "title" : "Progress Toward a Circular Economy in China", "type" : "article-journal", "volume" : "15" }, "locator" : "438", "uris" : [ "http://www.mendeley.com/documents/?uuid=f915bdd1-8a34-391f-b6fc-541eeaf39766" ] } ], "mendeley" : { "formattedCitation" : "(Mathews &amp; Tan, 2011, p. 438)", "manualFormatting" : "Mathews &amp; Tan (2011, p. 438)", "plainTextFormattedCitation" : "(Mathews &amp; Tan, 2011, p. 438)", "previouslyFormattedCitation" : "(Mathews &amp; Tan, 2011, p. 438)" }, "properties" : { "noteIndex" : 0 }, "schema" : "https://github.com/citation-style-language/schema/raw/master/csl-citation.json" }</w:instrText>
            </w:r>
            <w:r w:rsidRPr="005205D3">
              <w:rPr>
                <w:rFonts w:ascii="Times New Roman" w:eastAsia="Times New Roman" w:hAnsi="Times New Roman" w:cs="Times New Roman"/>
                <w:color w:val="000000" w:themeColor="text1"/>
                <w:sz w:val="24"/>
                <w:szCs w:val="24"/>
                <w:lang w:val="nl-NL" w:eastAsia="nl-NL"/>
              </w:rPr>
              <w:fldChar w:fldCharType="separate"/>
            </w:r>
            <w:r w:rsidRPr="005205D3">
              <w:rPr>
                <w:rFonts w:ascii="Times New Roman" w:eastAsia="Times New Roman" w:hAnsi="Times New Roman" w:cs="Times New Roman"/>
                <w:noProof/>
                <w:color w:val="000000" w:themeColor="text1"/>
                <w:sz w:val="24"/>
                <w:szCs w:val="24"/>
                <w:lang w:val="nl-NL" w:eastAsia="nl-NL"/>
              </w:rPr>
              <w:t>Yamoah &amp; Acquaye (20</w:t>
            </w:r>
            <w:r w:rsidR="5A6CC7C1" w:rsidRPr="005205D3">
              <w:rPr>
                <w:rFonts w:ascii="Times New Roman" w:eastAsia="Times New Roman" w:hAnsi="Times New Roman" w:cs="Times New Roman"/>
                <w:noProof/>
                <w:color w:val="000000" w:themeColor="text1"/>
                <w:sz w:val="24"/>
                <w:szCs w:val="24"/>
                <w:lang w:val="nl-NL" w:eastAsia="nl-NL"/>
              </w:rPr>
              <w:t>19</w:t>
            </w:r>
            <w:r w:rsidRPr="005205D3">
              <w:rPr>
                <w:rFonts w:ascii="Times New Roman" w:eastAsia="Times New Roman" w:hAnsi="Times New Roman" w:cs="Times New Roman"/>
                <w:noProof/>
                <w:color w:val="000000" w:themeColor="text1"/>
                <w:sz w:val="24"/>
                <w:szCs w:val="24"/>
                <w:lang w:val="nl-NL" w:eastAsia="nl-NL"/>
              </w:rPr>
              <w:t>, p. 438)</w:t>
            </w:r>
            <w:r w:rsidRPr="005205D3">
              <w:rPr>
                <w:rFonts w:ascii="Times New Roman" w:eastAsia="Times New Roman" w:hAnsi="Times New Roman" w:cs="Times New Roman"/>
                <w:color w:val="000000" w:themeColor="text1"/>
                <w:sz w:val="24"/>
                <w:szCs w:val="24"/>
                <w:lang w:val="nl-NL" w:eastAsia="nl-NL"/>
              </w:rPr>
              <w:fldChar w:fldCharType="end"/>
            </w:r>
          </w:p>
        </w:tc>
        <w:tc>
          <w:tcPr>
            <w:tcW w:w="0" w:type="auto"/>
          </w:tcPr>
          <w:p w14:paraId="56596178" w14:textId="1763FEC7"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sz w:val="24"/>
                <w:szCs w:val="24"/>
                <w:lang w:eastAsia="nl-NL"/>
              </w:rPr>
              <w:t>Sustainable food products are ‘products that contribute e through their attributes and consequences e to one or a combination of economic, ecological and social aspects’ (</w:t>
            </w:r>
            <w:proofErr w:type="spellStart"/>
            <w:r w:rsidRPr="005205D3">
              <w:rPr>
                <w:rFonts w:ascii="Times New Roman" w:eastAsia="Times New Roman" w:hAnsi="Times New Roman" w:cs="Times New Roman"/>
                <w:color w:val="000000"/>
                <w:sz w:val="24"/>
                <w:szCs w:val="24"/>
                <w:lang w:eastAsia="nl-NL"/>
              </w:rPr>
              <w:t>Reheul</w:t>
            </w:r>
            <w:proofErr w:type="spellEnd"/>
            <w:r w:rsidRPr="005205D3">
              <w:rPr>
                <w:rFonts w:ascii="Times New Roman" w:eastAsia="Times New Roman" w:hAnsi="Times New Roman" w:cs="Times New Roman"/>
                <w:color w:val="000000"/>
                <w:sz w:val="24"/>
                <w:szCs w:val="24"/>
                <w:lang w:eastAsia="nl-NL"/>
              </w:rPr>
              <w:t xml:space="preserve"> et al., 2001). Accordingly, </w:t>
            </w:r>
            <w:proofErr w:type="spellStart"/>
            <w:r w:rsidRPr="005205D3">
              <w:rPr>
                <w:rFonts w:ascii="Times New Roman" w:eastAsia="Times New Roman" w:hAnsi="Times New Roman" w:cs="Times New Roman"/>
                <w:color w:val="000000"/>
                <w:sz w:val="24"/>
                <w:szCs w:val="24"/>
                <w:lang w:eastAsia="nl-NL"/>
              </w:rPr>
              <w:t>Vermeir</w:t>
            </w:r>
            <w:proofErr w:type="spellEnd"/>
            <w:r w:rsidRPr="005205D3">
              <w:rPr>
                <w:rFonts w:ascii="Times New Roman" w:eastAsia="Times New Roman" w:hAnsi="Times New Roman" w:cs="Times New Roman"/>
                <w:color w:val="000000"/>
                <w:sz w:val="24"/>
                <w:szCs w:val="24"/>
                <w:lang w:eastAsia="nl-NL"/>
              </w:rPr>
              <w:t xml:space="preserve"> and Verbeke (2006) indicates that: 1) The economic dimension refers to ‘a fair price for the producers and affordable consumer prices; 2) The ecological component involves caring for the natural environment and livestock production conditions, the living environment in general, and the quality of life for humans, and 3) The social aspect concerns an integration of agriculture in the priorities and needs of the society/citizens and an appreciation and support for the </w:t>
            </w:r>
            <w:proofErr w:type="spellStart"/>
            <w:r w:rsidRPr="005205D3">
              <w:rPr>
                <w:rFonts w:ascii="Times New Roman" w:eastAsia="Times New Roman" w:hAnsi="Times New Roman" w:cs="Times New Roman"/>
                <w:color w:val="000000"/>
                <w:sz w:val="24"/>
                <w:szCs w:val="24"/>
                <w:lang w:eastAsia="nl-NL"/>
              </w:rPr>
              <w:t>agro</w:t>
            </w:r>
            <w:proofErr w:type="spellEnd"/>
            <w:r w:rsidRPr="005205D3">
              <w:rPr>
                <w:rFonts w:ascii="Times New Roman" w:eastAsia="Times New Roman" w:hAnsi="Times New Roman" w:cs="Times New Roman"/>
                <w:color w:val="000000"/>
                <w:sz w:val="24"/>
                <w:szCs w:val="24"/>
                <w:lang w:eastAsia="nl-NL"/>
              </w:rPr>
              <w:t>-food sector from the society as well as from government's sustainability-supporting policy’.</w:t>
            </w:r>
          </w:p>
        </w:tc>
      </w:tr>
      <w:tr w:rsidR="009A4E0A" w:rsidRPr="0066686C" w14:paraId="451510DB" w14:textId="77777777" w:rsidTr="54F068BE">
        <w:trPr>
          <w:trHeight w:val="530"/>
        </w:trPr>
        <w:tc>
          <w:tcPr>
            <w:cnfStyle w:val="001000000000" w:firstRow="0" w:lastRow="0" w:firstColumn="1" w:lastColumn="0" w:oddVBand="0" w:evenVBand="0" w:oddHBand="0" w:evenHBand="0" w:firstRowFirstColumn="0" w:firstRowLastColumn="0" w:lastRowFirstColumn="0" w:lastRowLastColumn="0"/>
            <w:tcW w:w="0" w:type="auto"/>
            <w:noWrap/>
          </w:tcPr>
          <w:p w14:paraId="317F5513" w14:textId="60836A35" w:rsidR="009A4E0A" w:rsidRPr="005205D3" w:rsidRDefault="001C59EC" w:rsidP="009A4E0A">
            <w:pPr>
              <w:spacing w:before="60" w:after="60" w:line="264" w:lineRule="auto"/>
              <w:jc w:val="right"/>
              <w:rPr>
                <w:rFonts w:ascii="Times New Roman" w:eastAsia="Times New Roman" w:hAnsi="Times New Roman" w:cs="Times New Roman"/>
                <w:b w:val="0"/>
                <w:bCs w:val="0"/>
                <w:color w:val="000000"/>
                <w:sz w:val="24"/>
                <w:szCs w:val="24"/>
                <w:lang w:val="nl-NL" w:eastAsia="nl-NL"/>
              </w:rPr>
            </w:pPr>
            <w:r w:rsidRPr="005205D3">
              <w:rPr>
                <w:rFonts w:ascii="Times New Roman" w:eastAsia="Times New Roman" w:hAnsi="Times New Roman" w:cs="Times New Roman"/>
                <w:b w:val="0"/>
                <w:bCs w:val="0"/>
                <w:color w:val="000000" w:themeColor="text1"/>
                <w:sz w:val="24"/>
                <w:szCs w:val="24"/>
                <w:lang w:val="nl-NL" w:eastAsia="nl-NL"/>
              </w:rPr>
              <w:t>8</w:t>
            </w:r>
            <w:r w:rsidR="1D243274" w:rsidRPr="005205D3">
              <w:rPr>
                <w:rFonts w:ascii="Times New Roman" w:eastAsia="Times New Roman" w:hAnsi="Times New Roman" w:cs="Times New Roman"/>
                <w:b w:val="0"/>
                <w:bCs w:val="0"/>
                <w:color w:val="000000" w:themeColor="text1"/>
                <w:sz w:val="24"/>
                <w:szCs w:val="24"/>
                <w:lang w:val="nl-NL" w:eastAsia="nl-NL"/>
              </w:rPr>
              <w:t>4</w:t>
            </w:r>
          </w:p>
        </w:tc>
        <w:tc>
          <w:tcPr>
            <w:tcW w:w="0" w:type="auto"/>
          </w:tcPr>
          <w:p w14:paraId="7CEF837B" w14:textId="0F39DA1F"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nl-NL" w:eastAsia="nl-NL"/>
              </w:rPr>
            </w:pPr>
            <w:r w:rsidRPr="005205D3">
              <w:rPr>
                <w:rFonts w:ascii="Times New Roman" w:eastAsia="Times New Roman" w:hAnsi="Times New Roman" w:cs="Times New Roman"/>
                <w:color w:val="000000"/>
                <w:sz w:val="24"/>
                <w:szCs w:val="24"/>
                <w:lang w:val="nl-NL" w:eastAsia="nl-NL"/>
              </w:rPr>
              <w:fldChar w:fldCharType="begin" w:fldLock="1"/>
            </w:r>
            <w:r w:rsidRPr="005205D3">
              <w:rPr>
                <w:rFonts w:ascii="Times New Roman" w:eastAsia="Times New Roman" w:hAnsi="Times New Roman" w:cs="Times New Roman"/>
                <w:color w:val="000000"/>
                <w:sz w:val="24"/>
                <w:szCs w:val="24"/>
                <w:lang w:val="nl-NL" w:eastAsia="nl-NL"/>
              </w:rPr>
              <w:instrText>ADDIN CSL_CITATION { "citationItems" : [ { "id" : "ITEM-1", "itemData" : { "DOI" : "10.1111/jiec.12597", "ISSN" : "10881980", "author" : [ { "dropping-particle" : "", "family" : "McDowall", "given" : "Will", "non-dropping-particle" : "", "parse-names" : false, "suffix" : "" }, { "dropping-particle" : "", "family" : "Geng", "given" : "Yong", "non-dropping-particle" : "", "parse-names" : false, "suffix" : "" }, { "dropping-particle" : "", "family" : "Huang", "given" : "Beijia", "non-dropping-particle" : "", "parse-names" : false, "suffix" : "" }, { "dropping-particle" : "", "family" : "Bartekov?", "given" : "Eva", "non-dropping-particle" : "", "parse-names" : false, "suffix" : "" }, { "dropping-particle" : "", "family" : "Bleischwitz", "given" : "Raimund", "non-dropping-particle" : "", "parse-names" : false, "suffix" : "" }, { "dropping-particle" : "", "family" : "T?rkeli", "given" : "Serdar", "non-dropping-particle" : "", "parse-names" : false, "suffix" : "" }, { "dropping-particle" : "", "family" : "Kemp", "given" : "Ren?", "non-dropping-particle" : "", "parse-names" : false, "suffix" : "" }, { "dropping-particle" : "", "family" : "Dom?nech", "given" : "Teresa", "non-dropping-particle" : "", "parse-names" : false, "suffix" : "" } ], "container-title" : "Journal of Industrial Ecology", "id" : "ITEM-1", "issue" : "3", "issued" : { "date-parts" : [ [ "2017", "6", "1" ] ] }, "page" : "651-661", "title" : "Circular Economy Policies in China and Europe", "type" : "article-journal", "volume" : "21" }, "uris" : [ "http://www.mendeley.com/documents/?uuid=26eec4b2-830f-3272-b963-589880d3f710" ] } ], "mendeley" : { "formattedCitation" : "(McDowall et al., 2017)", "manualFormatting" : "McDowall et al. (2017, p. 657-658)", "plainTextFormattedCitation" : "(McDowall et al., 2017)", "previouslyFormattedCitation" : "(McDowall et al., 2017)" }, "properties" : { "noteIndex" : 0 }, "schema" : "https://github.com/citation-style-language/schema/raw/master/csl-citation.json" }</w:instrText>
            </w:r>
            <w:r w:rsidRPr="005205D3">
              <w:rPr>
                <w:rFonts w:ascii="Times New Roman" w:eastAsia="Times New Roman" w:hAnsi="Times New Roman" w:cs="Times New Roman"/>
                <w:color w:val="000000"/>
                <w:sz w:val="24"/>
                <w:szCs w:val="24"/>
                <w:lang w:val="nl-NL" w:eastAsia="nl-NL"/>
              </w:rPr>
              <w:fldChar w:fldCharType="separate"/>
            </w:r>
            <w:r w:rsidRPr="005205D3">
              <w:rPr>
                <w:rFonts w:ascii="Times New Roman" w:eastAsia="Times New Roman" w:hAnsi="Times New Roman" w:cs="Times New Roman"/>
                <w:color w:val="000000"/>
                <w:sz w:val="24"/>
                <w:szCs w:val="24"/>
                <w:lang w:val="nl-NL" w:eastAsia="nl-NL"/>
              </w:rPr>
              <w:t>Zanatta</w:t>
            </w:r>
            <w:r w:rsidRPr="005205D3">
              <w:rPr>
                <w:rFonts w:ascii="Times New Roman" w:eastAsia="Times New Roman" w:hAnsi="Times New Roman" w:cs="Times New Roman"/>
                <w:noProof/>
                <w:color w:val="000000"/>
                <w:sz w:val="24"/>
                <w:szCs w:val="24"/>
                <w:lang w:val="nl-NL" w:eastAsia="nl-NL"/>
              </w:rPr>
              <w:t xml:space="preserve"> et al. (2022, p. 22)</w:t>
            </w:r>
            <w:r w:rsidRPr="005205D3">
              <w:rPr>
                <w:rFonts w:ascii="Times New Roman" w:eastAsia="Times New Roman" w:hAnsi="Times New Roman" w:cs="Times New Roman"/>
                <w:color w:val="000000"/>
                <w:sz w:val="24"/>
                <w:szCs w:val="24"/>
                <w:lang w:val="nl-NL" w:eastAsia="nl-NL"/>
              </w:rPr>
              <w:fldChar w:fldCharType="end"/>
            </w:r>
          </w:p>
        </w:tc>
        <w:tc>
          <w:tcPr>
            <w:tcW w:w="0" w:type="auto"/>
          </w:tcPr>
          <w:p w14:paraId="0B93EDC3" w14:textId="74A1EE56" w:rsidR="009A4E0A" w:rsidRPr="005205D3" w:rsidRDefault="009A4E0A" w:rsidP="009A4E0A">
            <w:pPr>
              <w:spacing w:before="60" w:after="60" w:line="264"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nl-NL"/>
              </w:rPr>
            </w:pPr>
            <w:r w:rsidRPr="005205D3">
              <w:rPr>
                <w:rFonts w:ascii="Times New Roman" w:eastAsia="Times New Roman" w:hAnsi="Times New Roman" w:cs="Times New Roman"/>
                <w:color w:val="000000" w:themeColor="text1"/>
                <w:sz w:val="24"/>
                <w:szCs w:val="24"/>
                <w:lang w:eastAsia="nl-NL"/>
              </w:rPr>
              <w:t>In 2019, the Food and Agriculture Organization of the United Nations (FAO) recognized sustainable diets to be crucial in promoting all dimensions of individual health and well-being. This allowed the optimization of the environmental costs of food production and the consumption and adaptability to local social, cultural and economic contexts. At the country level, the adoption of such guiding principles that take a holistic approach to diet not only embodies a valuable solution, but also represents a precious contribution towards the achievement of the well-known sustainable development goals (SDGs).</w:t>
            </w:r>
          </w:p>
        </w:tc>
      </w:tr>
      <w:tr w:rsidR="009A4E0A" w:rsidRPr="0066686C" w14:paraId="12284767" w14:textId="77777777" w:rsidTr="54F068BE">
        <w:trPr>
          <w:cnfStyle w:val="000000100000" w:firstRow="0" w:lastRow="0" w:firstColumn="0" w:lastColumn="0" w:oddVBand="0" w:evenVBand="0" w:oddHBand="1" w:evenHBand="0" w:firstRowFirstColumn="0" w:firstRowLastColumn="0" w:lastRowFirstColumn="0" w:lastRowLastColumn="0"/>
          <w:trHeight w:val="890"/>
        </w:trPr>
        <w:tc>
          <w:tcPr>
            <w:cnfStyle w:val="001000000000" w:firstRow="0" w:lastRow="0" w:firstColumn="1" w:lastColumn="0" w:oddVBand="0" w:evenVBand="0" w:oddHBand="0" w:evenHBand="0" w:firstRowFirstColumn="0" w:firstRowLastColumn="0" w:lastRowFirstColumn="0" w:lastRowLastColumn="0"/>
            <w:tcW w:w="0" w:type="auto"/>
            <w:noWrap/>
          </w:tcPr>
          <w:p w14:paraId="2BAA6F89" w14:textId="498064DC" w:rsidR="009A4E0A" w:rsidRPr="005205D3" w:rsidRDefault="001C59EC" w:rsidP="009A4E0A">
            <w:pPr>
              <w:spacing w:before="60" w:after="60" w:line="264" w:lineRule="auto"/>
              <w:jc w:val="right"/>
              <w:rPr>
                <w:rFonts w:ascii="Times New Roman" w:eastAsia="Times New Roman" w:hAnsi="Times New Roman" w:cs="Times New Roman"/>
                <w:b w:val="0"/>
                <w:color w:val="000000"/>
                <w:sz w:val="24"/>
                <w:szCs w:val="24"/>
                <w:lang w:eastAsia="nl-NL"/>
              </w:rPr>
            </w:pPr>
            <w:r w:rsidRPr="005205D3">
              <w:rPr>
                <w:rFonts w:ascii="Times New Roman" w:eastAsia="Times New Roman" w:hAnsi="Times New Roman" w:cs="Times New Roman"/>
                <w:b w:val="0"/>
                <w:color w:val="000000"/>
                <w:sz w:val="24"/>
                <w:szCs w:val="24"/>
                <w:lang w:eastAsia="nl-NL"/>
              </w:rPr>
              <w:t xml:space="preserve"> </w:t>
            </w:r>
          </w:p>
        </w:tc>
        <w:tc>
          <w:tcPr>
            <w:tcW w:w="0" w:type="auto"/>
          </w:tcPr>
          <w:p w14:paraId="4485A83F" w14:textId="6901FA9D" w:rsidR="009A4E0A" w:rsidRPr="005205D3"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fr-FR" w:eastAsia="nl-NL"/>
              </w:rPr>
            </w:pPr>
          </w:p>
        </w:tc>
        <w:tc>
          <w:tcPr>
            <w:tcW w:w="0" w:type="auto"/>
          </w:tcPr>
          <w:p w14:paraId="49B3370E" w14:textId="0C7332C5" w:rsidR="009A4E0A" w:rsidRDefault="009A4E0A"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171717"/>
                <w:sz w:val="24"/>
                <w:szCs w:val="24"/>
                <w:lang w:eastAsia="nl-NL"/>
              </w:rPr>
            </w:pPr>
            <w:r w:rsidRPr="005205D3">
              <w:rPr>
                <w:rFonts w:ascii="Times New Roman" w:eastAsia="Times New Roman" w:hAnsi="Times New Roman" w:cs="Times New Roman"/>
                <w:color w:val="171717"/>
                <w:sz w:val="24"/>
                <w:szCs w:val="24"/>
                <w:lang w:eastAsia="nl-NL"/>
              </w:rPr>
              <w:t xml:space="preserve"> </w:t>
            </w:r>
          </w:p>
          <w:p w14:paraId="56944BAE" w14:textId="78CA8592" w:rsidR="008016C2" w:rsidRPr="005205D3" w:rsidRDefault="008016C2" w:rsidP="009A4E0A">
            <w:pPr>
              <w:spacing w:before="60" w:after="60" w:line="264"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171717"/>
                <w:sz w:val="24"/>
                <w:szCs w:val="24"/>
                <w:lang w:eastAsia="nl-NL"/>
              </w:rPr>
            </w:pPr>
          </w:p>
        </w:tc>
      </w:tr>
    </w:tbl>
    <w:p w14:paraId="3FC948F8" w14:textId="4BD2464B" w:rsidR="54F068BE" w:rsidRDefault="54F068BE" w:rsidP="54F068BE">
      <w:pPr>
        <w:sectPr w:rsidR="54F068BE" w:rsidSect="0066686C">
          <w:headerReference w:type="default" r:id="rId13"/>
          <w:pgSz w:w="16838" w:h="11906" w:orient="landscape"/>
          <w:pgMar w:top="1440" w:right="1440" w:bottom="1440" w:left="1440" w:header="706" w:footer="706" w:gutter="0"/>
          <w:cols w:space="708"/>
          <w:docGrid w:linePitch="360"/>
        </w:sectPr>
      </w:pPr>
    </w:p>
    <w:p w14:paraId="03340986" w14:textId="77777777" w:rsidR="000837B0" w:rsidRPr="006F47EC" w:rsidRDefault="000837B0" w:rsidP="000837B0">
      <w:pPr>
        <w:rPr>
          <w:rFonts w:ascii="Times New Roman" w:hAnsi="Times New Roman" w:cs="Times New Roman"/>
          <w:sz w:val="24"/>
          <w:szCs w:val="24"/>
        </w:rPr>
      </w:pPr>
      <w:r w:rsidRPr="006F47EC">
        <w:rPr>
          <w:rFonts w:ascii="Times New Roman" w:eastAsia="Arial" w:hAnsi="Times New Roman" w:cs="Times New Roman"/>
          <w:sz w:val="24"/>
          <w:szCs w:val="24"/>
        </w:rPr>
        <w:lastRenderedPageBreak/>
        <w:t>Table 2</w:t>
      </w:r>
      <w:r w:rsidRPr="006F47EC">
        <w:rPr>
          <w:rFonts w:ascii="Times New Roman" w:eastAsia="Arial" w:hAnsi="Times New Roman" w:cs="Times New Roman"/>
          <w:b/>
          <w:bCs/>
          <w:sz w:val="24"/>
          <w:szCs w:val="24"/>
        </w:rPr>
        <w:t>.</w:t>
      </w:r>
      <w:r w:rsidRPr="006F47EC">
        <w:rPr>
          <w:rFonts w:ascii="Times New Roman" w:eastAsia="Arial" w:hAnsi="Times New Roman" w:cs="Times New Roman"/>
          <w:sz w:val="24"/>
          <w:szCs w:val="24"/>
        </w:rPr>
        <w:t xml:space="preserve"> </w:t>
      </w:r>
      <w:r w:rsidRPr="006F47EC">
        <w:rPr>
          <w:rFonts w:ascii="Times New Roman" w:eastAsia="Arial" w:hAnsi="Times New Roman" w:cs="Times New Roman"/>
          <w:i/>
          <w:iCs/>
          <w:sz w:val="24"/>
          <w:szCs w:val="24"/>
        </w:rPr>
        <w:t>Metadata for definitions of Sustainable Food Consumption (SFC) and neighbouring constructs.</w:t>
      </w:r>
    </w:p>
    <w:p w14:paraId="7E5DF8D9" w14:textId="0A3DFCEA" w:rsidR="000837B0" w:rsidRPr="006F47EC" w:rsidRDefault="000837B0" w:rsidP="006F47EC">
      <w:pPr>
        <w:jc w:val="both"/>
        <w:rPr>
          <w:rFonts w:ascii="Times New Roman" w:hAnsi="Times New Roman" w:cs="Times New Roman"/>
          <w:sz w:val="24"/>
          <w:szCs w:val="24"/>
        </w:rPr>
      </w:pPr>
      <w:r w:rsidRPr="006F47EC">
        <w:rPr>
          <w:rFonts w:ascii="Times New Roman" w:eastAsia="Arial" w:hAnsi="Times New Roman" w:cs="Times New Roman"/>
          <w:i/>
          <w:iCs/>
          <w:sz w:val="24"/>
          <w:szCs w:val="24"/>
        </w:rPr>
        <w:t xml:space="preserve">Note: </w:t>
      </w:r>
      <w:r w:rsidRPr="006F47EC">
        <w:rPr>
          <w:rFonts w:ascii="Times New Roman" w:eastAsia="Arial" w:hAnsi="Times New Roman" w:cs="Times New Roman"/>
          <w:sz w:val="24"/>
          <w:szCs w:val="24"/>
        </w:rPr>
        <w:t>Primary Construct indicates whether the definition is primarily framed as SFC, Sustainable Diets, or Sustainable Food Systems. Archetype classification follows the typology presented in Section 3.7</w:t>
      </w:r>
      <w:r w:rsidR="006F47EC">
        <w:rPr>
          <w:rFonts w:ascii="Times New Roman" w:eastAsia="Arial" w:hAnsi="Times New Roman" w:cs="Times New Roman"/>
          <w:sz w:val="24"/>
          <w:szCs w:val="24"/>
        </w:rPr>
        <w:t xml:space="preserve"> of the manuscript</w:t>
      </w:r>
      <w:r w:rsidRPr="006F47EC">
        <w:rPr>
          <w:rFonts w:ascii="Times New Roman" w:eastAsia="Arial" w:hAnsi="Times New Roman" w:cs="Times New Roman"/>
          <w:sz w:val="24"/>
          <w:szCs w:val="24"/>
        </w:rPr>
        <w:t>. Disciplinary Field for academic sources is based on the primary disciplinary scope; for grey literature sources, the organizational type is reported instead. Definition numbers correspond to those in Table 1.</w:t>
      </w:r>
    </w:p>
    <w:tbl>
      <w:tblPr>
        <w:tblW w:w="54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
        <w:gridCol w:w="1349"/>
        <w:gridCol w:w="1691"/>
        <w:gridCol w:w="994"/>
        <w:gridCol w:w="1144"/>
        <w:gridCol w:w="2060"/>
        <w:gridCol w:w="2182"/>
      </w:tblGrid>
      <w:tr w:rsidR="000837B0" w:rsidRPr="000837B0" w14:paraId="452439B2" w14:textId="77777777" w:rsidTr="000837B0">
        <w:trPr>
          <w:tblHeader/>
        </w:trPr>
        <w:tc>
          <w:tcPr>
            <w:tcW w:w="184" w:type="pct"/>
            <w:tcBorders>
              <w:top w:val="single" w:sz="1" w:space="0" w:color="999999"/>
              <w:left w:val="single" w:sz="1" w:space="0" w:color="999999"/>
              <w:bottom w:val="single" w:sz="1" w:space="0" w:color="999999"/>
              <w:right w:val="single" w:sz="1" w:space="0" w:color="999999"/>
            </w:tcBorders>
            <w:shd w:val="clear" w:color="auto" w:fill="FFFFFF" w:themeFill="background1"/>
            <w:tcMar>
              <w:top w:w="60" w:type="dxa"/>
              <w:left w:w="80" w:type="dxa"/>
              <w:bottom w:w="60" w:type="dxa"/>
              <w:right w:w="80" w:type="dxa"/>
            </w:tcMar>
            <w:vAlign w:val="center"/>
          </w:tcPr>
          <w:p w14:paraId="76208C40" w14:textId="77777777" w:rsidR="000837B0" w:rsidRPr="000837B0" w:rsidRDefault="000837B0" w:rsidP="00D00D73">
            <w:pPr>
              <w:jc w:val="center"/>
              <w:rPr>
                <w:rFonts w:ascii="Times New Roman" w:hAnsi="Times New Roman" w:cs="Times New Roman"/>
                <w:sz w:val="20"/>
                <w:szCs w:val="20"/>
              </w:rPr>
            </w:pPr>
            <w:r w:rsidRPr="000837B0">
              <w:rPr>
                <w:rFonts w:ascii="Times New Roman" w:eastAsia="Arial" w:hAnsi="Times New Roman" w:cs="Times New Roman"/>
                <w:b/>
                <w:bCs/>
                <w:sz w:val="20"/>
                <w:szCs w:val="20"/>
              </w:rPr>
              <w:t>#</w:t>
            </w:r>
          </w:p>
        </w:tc>
        <w:tc>
          <w:tcPr>
            <w:tcW w:w="690" w:type="pct"/>
            <w:tcBorders>
              <w:top w:val="single" w:sz="1" w:space="0" w:color="999999"/>
              <w:left w:val="single" w:sz="1" w:space="0" w:color="999999"/>
              <w:bottom w:val="single" w:sz="1" w:space="0" w:color="999999"/>
              <w:right w:val="single" w:sz="1" w:space="0" w:color="999999"/>
            </w:tcBorders>
            <w:shd w:val="clear" w:color="auto" w:fill="FFFFFF" w:themeFill="background1"/>
            <w:tcMar>
              <w:top w:w="60" w:type="dxa"/>
              <w:left w:w="80" w:type="dxa"/>
              <w:bottom w:w="60" w:type="dxa"/>
              <w:right w:w="80" w:type="dxa"/>
            </w:tcMar>
            <w:vAlign w:val="center"/>
          </w:tcPr>
          <w:p w14:paraId="59B167EA" w14:textId="77777777" w:rsidR="000837B0" w:rsidRPr="000837B0" w:rsidRDefault="000837B0" w:rsidP="00D00D73">
            <w:pPr>
              <w:jc w:val="center"/>
              <w:rPr>
                <w:rFonts w:ascii="Times New Roman" w:hAnsi="Times New Roman" w:cs="Times New Roman"/>
                <w:sz w:val="20"/>
                <w:szCs w:val="20"/>
              </w:rPr>
            </w:pPr>
            <w:r w:rsidRPr="000837B0">
              <w:rPr>
                <w:rFonts w:ascii="Times New Roman" w:eastAsia="Arial" w:hAnsi="Times New Roman" w:cs="Times New Roman"/>
                <w:b/>
                <w:bCs/>
                <w:sz w:val="20"/>
                <w:szCs w:val="20"/>
              </w:rPr>
              <w:t>Source</w:t>
            </w:r>
          </w:p>
        </w:tc>
        <w:tc>
          <w:tcPr>
            <w:tcW w:w="865" w:type="pct"/>
            <w:tcBorders>
              <w:top w:val="single" w:sz="1" w:space="0" w:color="999999"/>
              <w:left w:val="single" w:sz="1" w:space="0" w:color="999999"/>
              <w:bottom w:val="single" w:sz="1" w:space="0" w:color="999999"/>
              <w:right w:val="single" w:sz="1" w:space="0" w:color="999999"/>
            </w:tcBorders>
            <w:shd w:val="clear" w:color="auto" w:fill="FFFFFF" w:themeFill="background1"/>
            <w:tcMar>
              <w:top w:w="60" w:type="dxa"/>
              <w:left w:w="80" w:type="dxa"/>
              <w:bottom w:w="60" w:type="dxa"/>
              <w:right w:w="80" w:type="dxa"/>
            </w:tcMar>
            <w:vAlign w:val="center"/>
          </w:tcPr>
          <w:p w14:paraId="05EC4ECF" w14:textId="77777777" w:rsidR="000837B0" w:rsidRPr="000837B0" w:rsidRDefault="000837B0" w:rsidP="00D00D73">
            <w:pPr>
              <w:jc w:val="center"/>
              <w:rPr>
                <w:rFonts w:ascii="Times New Roman" w:hAnsi="Times New Roman" w:cs="Times New Roman"/>
                <w:sz w:val="20"/>
                <w:szCs w:val="20"/>
              </w:rPr>
            </w:pPr>
            <w:r w:rsidRPr="000837B0">
              <w:rPr>
                <w:rFonts w:ascii="Times New Roman" w:eastAsia="Arial" w:hAnsi="Times New Roman" w:cs="Times New Roman"/>
                <w:b/>
                <w:bCs/>
                <w:sz w:val="20"/>
                <w:szCs w:val="20"/>
              </w:rPr>
              <w:t>Publication Outlet</w:t>
            </w:r>
          </w:p>
        </w:tc>
        <w:tc>
          <w:tcPr>
            <w:tcW w:w="508" w:type="pct"/>
            <w:tcBorders>
              <w:top w:val="single" w:sz="1" w:space="0" w:color="999999"/>
              <w:left w:val="single" w:sz="1" w:space="0" w:color="999999"/>
              <w:bottom w:val="single" w:sz="1" w:space="0" w:color="999999"/>
              <w:right w:val="single" w:sz="1" w:space="0" w:color="999999"/>
            </w:tcBorders>
            <w:shd w:val="clear" w:color="auto" w:fill="FFFFFF" w:themeFill="background1"/>
            <w:tcMar>
              <w:top w:w="60" w:type="dxa"/>
              <w:left w:w="80" w:type="dxa"/>
              <w:bottom w:w="60" w:type="dxa"/>
              <w:right w:w="80" w:type="dxa"/>
            </w:tcMar>
            <w:vAlign w:val="center"/>
          </w:tcPr>
          <w:p w14:paraId="559803A9" w14:textId="77777777" w:rsidR="000837B0" w:rsidRPr="000837B0" w:rsidRDefault="000837B0" w:rsidP="00D00D73">
            <w:pPr>
              <w:jc w:val="center"/>
              <w:rPr>
                <w:rFonts w:ascii="Times New Roman" w:hAnsi="Times New Roman" w:cs="Times New Roman"/>
                <w:sz w:val="20"/>
                <w:szCs w:val="20"/>
              </w:rPr>
            </w:pPr>
            <w:r w:rsidRPr="000837B0">
              <w:rPr>
                <w:rFonts w:ascii="Times New Roman" w:eastAsia="Arial" w:hAnsi="Times New Roman" w:cs="Times New Roman"/>
                <w:b/>
                <w:bCs/>
                <w:sz w:val="20"/>
                <w:szCs w:val="20"/>
              </w:rPr>
              <w:t>Source Type</w:t>
            </w:r>
          </w:p>
        </w:tc>
        <w:tc>
          <w:tcPr>
            <w:tcW w:w="585" w:type="pct"/>
            <w:tcBorders>
              <w:top w:val="single" w:sz="1" w:space="0" w:color="999999"/>
              <w:left w:val="single" w:sz="1" w:space="0" w:color="999999"/>
              <w:bottom w:val="single" w:sz="1" w:space="0" w:color="999999"/>
              <w:right w:val="single" w:sz="1" w:space="0" w:color="999999"/>
            </w:tcBorders>
            <w:shd w:val="clear" w:color="auto" w:fill="FFFFFF" w:themeFill="background1"/>
            <w:tcMar>
              <w:top w:w="60" w:type="dxa"/>
              <w:left w:w="80" w:type="dxa"/>
              <w:bottom w:w="60" w:type="dxa"/>
              <w:right w:w="80" w:type="dxa"/>
            </w:tcMar>
            <w:vAlign w:val="center"/>
          </w:tcPr>
          <w:p w14:paraId="43D14788" w14:textId="77777777" w:rsidR="000837B0" w:rsidRPr="000837B0" w:rsidRDefault="000837B0" w:rsidP="00D00D73">
            <w:pPr>
              <w:jc w:val="center"/>
              <w:rPr>
                <w:rFonts w:ascii="Times New Roman" w:hAnsi="Times New Roman" w:cs="Times New Roman"/>
                <w:sz w:val="20"/>
                <w:szCs w:val="20"/>
              </w:rPr>
            </w:pPr>
            <w:r w:rsidRPr="000837B0">
              <w:rPr>
                <w:rFonts w:ascii="Times New Roman" w:eastAsia="Arial" w:hAnsi="Times New Roman" w:cs="Times New Roman"/>
                <w:b/>
                <w:bCs/>
                <w:sz w:val="20"/>
                <w:szCs w:val="20"/>
              </w:rPr>
              <w:t>Primary Construct</w:t>
            </w:r>
          </w:p>
        </w:tc>
        <w:tc>
          <w:tcPr>
            <w:tcW w:w="1053" w:type="pct"/>
            <w:tcBorders>
              <w:top w:val="single" w:sz="1" w:space="0" w:color="999999"/>
              <w:left w:val="single" w:sz="1" w:space="0" w:color="999999"/>
              <w:bottom w:val="single" w:sz="1" w:space="0" w:color="999999"/>
              <w:right w:val="single" w:sz="1" w:space="0" w:color="999999"/>
            </w:tcBorders>
            <w:shd w:val="clear" w:color="auto" w:fill="FFFFFF" w:themeFill="background1"/>
            <w:tcMar>
              <w:top w:w="60" w:type="dxa"/>
              <w:left w:w="80" w:type="dxa"/>
              <w:bottom w:w="60" w:type="dxa"/>
              <w:right w:w="80" w:type="dxa"/>
            </w:tcMar>
            <w:vAlign w:val="center"/>
          </w:tcPr>
          <w:p w14:paraId="4EB1FDC7" w14:textId="77777777" w:rsidR="000837B0" w:rsidRPr="000837B0" w:rsidRDefault="000837B0" w:rsidP="00D00D73">
            <w:pPr>
              <w:jc w:val="center"/>
              <w:rPr>
                <w:rFonts w:ascii="Times New Roman" w:hAnsi="Times New Roman" w:cs="Times New Roman"/>
                <w:sz w:val="20"/>
                <w:szCs w:val="20"/>
              </w:rPr>
            </w:pPr>
            <w:r w:rsidRPr="000837B0">
              <w:rPr>
                <w:rFonts w:ascii="Times New Roman" w:eastAsia="Arial" w:hAnsi="Times New Roman" w:cs="Times New Roman"/>
                <w:b/>
                <w:bCs/>
                <w:sz w:val="20"/>
                <w:szCs w:val="20"/>
              </w:rPr>
              <w:t>Archetype</w:t>
            </w:r>
          </w:p>
        </w:tc>
        <w:tc>
          <w:tcPr>
            <w:tcW w:w="1116" w:type="pct"/>
            <w:tcBorders>
              <w:top w:val="single" w:sz="1" w:space="0" w:color="999999"/>
              <w:left w:val="single" w:sz="1" w:space="0" w:color="999999"/>
              <w:bottom w:val="single" w:sz="1" w:space="0" w:color="999999"/>
              <w:right w:val="single" w:sz="1" w:space="0" w:color="999999"/>
            </w:tcBorders>
            <w:shd w:val="clear" w:color="auto" w:fill="FFFFFF" w:themeFill="background1"/>
            <w:tcMar>
              <w:top w:w="60" w:type="dxa"/>
              <w:left w:w="80" w:type="dxa"/>
              <w:bottom w:w="60" w:type="dxa"/>
              <w:right w:w="80" w:type="dxa"/>
            </w:tcMar>
            <w:vAlign w:val="center"/>
          </w:tcPr>
          <w:p w14:paraId="1D619F2D" w14:textId="77777777" w:rsidR="000837B0" w:rsidRPr="000837B0" w:rsidRDefault="000837B0" w:rsidP="00D00D73">
            <w:pPr>
              <w:jc w:val="center"/>
              <w:rPr>
                <w:rFonts w:ascii="Times New Roman" w:hAnsi="Times New Roman" w:cs="Times New Roman"/>
                <w:sz w:val="20"/>
                <w:szCs w:val="20"/>
              </w:rPr>
            </w:pPr>
            <w:r w:rsidRPr="000837B0">
              <w:rPr>
                <w:rFonts w:ascii="Times New Roman" w:eastAsia="Arial" w:hAnsi="Times New Roman" w:cs="Times New Roman"/>
                <w:b/>
                <w:bCs/>
                <w:sz w:val="20"/>
                <w:szCs w:val="20"/>
              </w:rPr>
              <w:t>Disciplinary Field</w:t>
            </w:r>
          </w:p>
        </w:tc>
      </w:tr>
      <w:tr w:rsidR="006F79F6" w:rsidRPr="000837B0" w14:paraId="10535DFC"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9C62BEC" w14:textId="77777777" w:rsidR="006F79F6" w:rsidRPr="000837B0" w:rsidRDefault="006F79F6" w:rsidP="006F79F6">
            <w:pPr>
              <w:rPr>
                <w:rFonts w:ascii="Times New Roman" w:hAnsi="Times New Roman" w:cs="Times New Roman"/>
                <w:sz w:val="20"/>
                <w:szCs w:val="20"/>
              </w:rPr>
            </w:pPr>
            <w:r w:rsidRPr="000837B0">
              <w:rPr>
                <w:rFonts w:ascii="Times New Roman" w:eastAsia="Arial" w:hAnsi="Times New Roman" w:cs="Times New Roman"/>
                <w:sz w:val="20"/>
                <w:szCs w:val="20"/>
              </w:rPr>
              <w:t>1</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28FB06F" w14:textId="77777777" w:rsidR="006F79F6" w:rsidRPr="000837B0" w:rsidRDefault="006F79F6" w:rsidP="006F79F6">
            <w:pPr>
              <w:rPr>
                <w:rFonts w:ascii="Times New Roman" w:hAnsi="Times New Roman" w:cs="Times New Roman"/>
                <w:sz w:val="20"/>
                <w:szCs w:val="20"/>
              </w:rPr>
            </w:pPr>
            <w:r w:rsidRPr="000837B0">
              <w:rPr>
                <w:rFonts w:ascii="Times New Roman" w:eastAsia="Arial" w:hAnsi="Times New Roman" w:cs="Times New Roman"/>
                <w:sz w:val="20"/>
                <w:szCs w:val="20"/>
              </w:rPr>
              <w:t>Aguirre Sanchez et al. (2021)</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D7078E7" w14:textId="77777777" w:rsidR="006F79F6" w:rsidRPr="000837B0" w:rsidRDefault="006F79F6" w:rsidP="006F79F6">
            <w:pPr>
              <w:rPr>
                <w:rFonts w:ascii="Times New Roman" w:hAnsi="Times New Roman" w:cs="Times New Roman"/>
                <w:sz w:val="20"/>
                <w:szCs w:val="20"/>
              </w:rPr>
            </w:pPr>
            <w:r w:rsidRPr="000837B0">
              <w:rPr>
                <w:rFonts w:ascii="Times New Roman" w:eastAsia="Arial" w:hAnsi="Times New Roman" w:cs="Times New Roman"/>
                <w:sz w:val="20"/>
                <w:szCs w:val="20"/>
              </w:rPr>
              <w:t>International Journal of Public Health</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EDB02F2" w14:textId="77777777" w:rsidR="006F79F6" w:rsidRPr="000837B0" w:rsidRDefault="006F79F6" w:rsidP="006F79F6">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30CCD43" w14:textId="471A18B4" w:rsidR="006F79F6" w:rsidRPr="000837B0" w:rsidRDefault="006F79F6" w:rsidP="006F79F6">
            <w:pPr>
              <w:rPr>
                <w:rFonts w:ascii="Times New Roman" w:hAnsi="Times New Roman" w:cs="Times New Roman"/>
                <w:sz w:val="20"/>
                <w:szCs w:val="20"/>
              </w:rPr>
            </w:pPr>
            <w:r w:rsidRPr="000837B0">
              <w:rPr>
                <w:rFonts w:ascii="Times New Roman" w:eastAsia="Arial" w:hAnsi="Times New Roman" w:cs="Times New Roman"/>
                <w:sz w:val="20"/>
                <w:szCs w:val="20"/>
              </w:rPr>
              <w:t>Sustainable Diets</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D2B6AE4" w14:textId="77777777" w:rsidR="006F79F6" w:rsidRPr="000837B0" w:rsidRDefault="006F79F6" w:rsidP="006F79F6">
            <w:pPr>
              <w:rPr>
                <w:rFonts w:ascii="Times New Roman" w:hAnsi="Times New Roman" w:cs="Times New Roman"/>
                <w:sz w:val="20"/>
                <w:szCs w:val="20"/>
              </w:rPr>
            </w:pPr>
            <w:r w:rsidRPr="000837B0">
              <w:rPr>
                <w:rFonts w:ascii="Times New Roman" w:eastAsia="Arial" w:hAnsi="Times New Roman" w:cs="Times New Roman"/>
                <w:sz w:val="20"/>
                <w:szCs w:val="20"/>
              </w:rPr>
              <w:t>Holistic SDG-Aligned</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5B087B7" w14:textId="77777777" w:rsidR="006F79F6" w:rsidRPr="000837B0" w:rsidRDefault="006F79F6" w:rsidP="006F79F6">
            <w:pPr>
              <w:rPr>
                <w:rFonts w:ascii="Times New Roman" w:hAnsi="Times New Roman" w:cs="Times New Roman"/>
                <w:sz w:val="20"/>
                <w:szCs w:val="20"/>
              </w:rPr>
            </w:pPr>
            <w:r w:rsidRPr="000837B0">
              <w:rPr>
                <w:rFonts w:ascii="Times New Roman" w:eastAsia="Arial" w:hAnsi="Times New Roman" w:cs="Times New Roman"/>
                <w:sz w:val="20"/>
                <w:szCs w:val="20"/>
              </w:rPr>
              <w:t>Public Health/Nutrition</w:t>
            </w:r>
          </w:p>
        </w:tc>
      </w:tr>
      <w:tr w:rsidR="000837B0" w:rsidRPr="000837B0" w14:paraId="47E3CCD4"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949529A"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2</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CF2D7C7"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Alam et al. (2020)</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B4CD478"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Sustainability</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D7FDE00"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D74A11C"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SFC</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E55735B"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Holistic SDG-Aligned</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F374F23" w14:textId="7BAF32FA" w:rsidR="000837B0" w:rsidRPr="000837B0" w:rsidRDefault="005625F2" w:rsidP="00D00D73">
            <w:pPr>
              <w:rPr>
                <w:rFonts w:ascii="Times New Roman" w:hAnsi="Times New Roman" w:cs="Times New Roman"/>
                <w:sz w:val="20"/>
                <w:szCs w:val="20"/>
              </w:rPr>
            </w:pPr>
            <w:r w:rsidRPr="000837B0">
              <w:rPr>
                <w:rFonts w:ascii="Times New Roman" w:eastAsia="Arial" w:hAnsi="Times New Roman" w:cs="Times New Roman"/>
                <w:sz w:val="20"/>
                <w:szCs w:val="20"/>
              </w:rPr>
              <w:t xml:space="preserve">Environmental </w:t>
            </w:r>
            <w:r w:rsidR="000837B0" w:rsidRPr="000837B0">
              <w:rPr>
                <w:rFonts w:ascii="Times New Roman" w:eastAsia="Arial" w:hAnsi="Times New Roman" w:cs="Times New Roman"/>
                <w:sz w:val="20"/>
                <w:szCs w:val="20"/>
              </w:rPr>
              <w:t>Sciences</w:t>
            </w:r>
          </w:p>
        </w:tc>
      </w:tr>
      <w:tr w:rsidR="000837B0" w:rsidRPr="000837B0" w14:paraId="733A9287"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935B610"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3</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C963D81"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Ammann et al. (2023)</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AC278D2"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Sustainable Production and Consumption</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1A1ECF9"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C0D00BE"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Sustainable Diets</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9E275A1"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Holistic SDG-Aligned</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FC77E07"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Environmental Sciences</w:t>
            </w:r>
          </w:p>
        </w:tc>
      </w:tr>
      <w:tr w:rsidR="000837B0" w:rsidRPr="000837B0" w14:paraId="5958EDF6"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91449E4"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4</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A638B9E"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Arya et al. (2024)</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7EFF36F"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Environment, Development and Sustainability</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B5AA44B"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F5DA937"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SFC</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7315FE5"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Normative/Aspirational</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C38C7E1"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Environmental Sciences</w:t>
            </w:r>
          </w:p>
        </w:tc>
      </w:tr>
      <w:tr w:rsidR="000837B0" w:rsidRPr="000837B0" w14:paraId="1A6202C4"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3ADCD82"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5</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DB1D794"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Azzurra et al. (2019)</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AA8436D"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Sustainable Production and Consumption</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42F6D6A"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A85338D"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SFC</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317A354"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Behavioral Minimalism</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CE1B824"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Environmental Sciences</w:t>
            </w:r>
          </w:p>
        </w:tc>
      </w:tr>
      <w:tr w:rsidR="000837B0" w:rsidRPr="000837B0" w14:paraId="22C55EC0"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D10C9D5"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6</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81BC5CC" w14:textId="08B9DABB"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 xml:space="preserve">Barrera-Verdugo &amp; </w:t>
            </w:r>
            <w:r w:rsidR="00D03037" w:rsidRPr="00D03037">
              <w:rPr>
                <w:rFonts w:ascii="Times New Roman" w:eastAsia="Arial" w:hAnsi="Times New Roman" w:cs="Times New Roman"/>
                <w:sz w:val="20"/>
                <w:szCs w:val="20"/>
              </w:rPr>
              <w:t>Durán</w:t>
            </w:r>
            <w:r w:rsidRPr="000837B0">
              <w:rPr>
                <w:rFonts w:ascii="Times New Roman" w:eastAsia="Arial" w:hAnsi="Times New Roman" w:cs="Times New Roman"/>
                <w:sz w:val="20"/>
                <w:szCs w:val="20"/>
              </w:rPr>
              <w:t>-Sandoval (2024)</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C7FFFA5"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Cleaner Waste Systems</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57F434C"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E4572E1"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SFC</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9550B63"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Behavioral Minimalism</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EA2B34C"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Environmental Sciences</w:t>
            </w:r>
          </w:p>
        </w:tc>
      </w:tr>
      <w:tr w:rsidR="000837B0" w:rsidRPr="000837B0" w14:paraId="64CE8C31"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8D0B40F"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7</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99861CA" w14:textId="77777777" w:rsidR="000837B0" w:rsidRPr="000837B0" w:rsidRDefault="000837B0" w:rsidP="00D00D73">
            <w:pPr>
              <w:rPr>
                <w:rFonts w:ascii="Times New Roman" w:hAnsi="Times New Roman" w:cs="Times New Roman"/>
                <w:sz w:val="20"/>
                <w:szCs w:val="20"/>
              </w:rPr>
            </w:pPr>
            <w:proofErr w:type="spellStart"/>
            <w:r w:rsidRPr="000837B0">
              <w:rPr>
                <w:rFonts w:ascii="Times New Roman" w:eastAsia="Arial" w:hAnsi="Times New Roman" w:cs="Times New Roman"/>
                <w:sz w:val="20"/>
                <w:szCs w:val="20"/>
              </w:rPr>
              <w:t>Biresselioglu</w:t>
            </w:r>
            <w:proofErr w:type="spellEnd"/>
            <w:r w:rsidRPr="000837B0">
              <w:rPr>
                <w:rFonts w:ascii="Times New Roman" w:eastAsia="Arial" w:hAnsi="Times New Roman" w:cs="Times New Roman"/>
                <w:sz w:val="20"/>
                <w:szCs w:val="20"/>
              </w:rPr>
              <w:t xml:space="preserve"> et al. (2023)</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5EC6104"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Sustainability</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852C01B"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9A083C7"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SFC</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DEC5D6E"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Behavioral Minimalism</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FC933A0" w14:textId="3999D68D" w:rsidR="000837B0" w:rsidRPr="000837B0" w:rsidRDefault="005625F2" w:rsidP="00D00D73">
            <w:pPr>
              <w:rPr>
                <w:rFonts w:ascii="Times New Roman" w:hAnsi="Times New Roman" w:cs="Times New Roman"/>
                <w:sz w:val="20"/>
                <w:szCs w:val="20"/>
              </w:rPr>
            </w:pPr>
            <w:r w:rsidRPr="000837B0">
              <w:rPr>
                <w:rFonts w:ascii="Times New Roman" w:eastAsia="Arial" w:hAnsi="Times New Roman" w:cs="Times New Roman"/>
                <w:sz w:val="20"/>
                <w:szCs w:val="20"/>
              </w:rPr>
              <w:t xml:space="preserve">Environmental </w:t>
            </w:r>
            <w:r w:rsidR="000837B0" w:rsidRPr="000837B0">
              <w:rPr>
                <w:rFonts w:ascii="Times New Roman" w:eastAsia="Arial" w:hAnsi="Times New Roman" w:cs="Times New Roman"/>
                <w:sz w:val="20"/>
                <w:szCs w:val="20"/>
              </w:rPr>
              <w:t>Sciences</w:t>
            </w:r>
          </w:p>
        </w:tc>
      </w:tr>
      <w:tr w:rsidR="000837B0" w:rsidRPr="000837B0" w14:paraId="6E218CD3"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2E5126F"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8</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90115FA"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Boston Consulting Group (2023)</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9B4CFA5"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BCG Report</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88EACC7"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Grey</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4874535"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SFC</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476BFEC"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Normative/Aspirational</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AAD8704"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Industry/Corporate</w:t>
            </w:r>
          </w:p>
        </w:tc>
      </w:tr>
      <w:tr w:rsidR="000837B0" w:rsidRPr="000837B0" w14:paraId="09D4DF3C"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8247BE8"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9</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AB2337F" w14:textId="77777777" w:rsidR="000837B0" w:rsidRPr="000837B0" w:rsidRDefault="000837B0" w:rsidP="00D00D73">
            <w:pPr>
              <w:rPr>
                <w:rFonts w:ascii="Times New Roman" w:hAnsi="Times New Roman" w:cs="Times New Roman"/>
                <w:sz w:val="20"/>
                <w:szCs w:val="20"/>
              </w:rPr>
            </w:pPr>
            <w:proofErr w:type="spellStart"/>
            <w:r w:rsidRPr="000837B0">
              <w:rPr>
                <w:rFonts w:ascii="Times New Roman" w:eastAsia="Arial" w:hAnsi="Times New Roman" w:cs="Times New Roman"/>
                <w:sz w:val="20"/>
                <w:szCs w:val="20"/>
              </w:rPr>
              <w:t>Broeks</w:t>
            </w:r>
            <w:proofErr w:type="spellEnd"/>
            <w:r w:rsidRPr="000837B0">
              <w:rPr>
                <w:rFonts w:ascii="Times New Roman" w:eastAsia="Arial" w:hAnsi="Times New Roman" w:cs="Times New Roman"/>
                <w:sz w:val="20"/>
                <w:szCs w:val="20"/>
              </w:rPr>
              <w:t xml:space="preserve"> et al. (2020)</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16E5C2A"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BMC Public Health</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1D2869B"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482CFDC"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SFC</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96D05F6"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Eco-Nutritional Core</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68A7C72"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Public Health/Nutrition</w:t>
            </w:r>
          </w:p>
        </w:tc>
      </w:tr>
      <w:tr w:rsidR="000837B0" w:rsidRPr="000837B0" w14:paraId="7F1E96A6"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684AEA7"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lastRenderedPageBreak/>
              <w:t>10</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B2D1CCC"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 xml:space="preserve">Burlingame &amp; </w:t>
            </w:r>
            <w:proofErr w:type="spellStart"/>
            <w:r w:rsidRPr="000837B0">
              <w:rPr>
                <w:rFonts w:ascii="Times New Roman" w:eastAsia="Arial" w:hAnsi="Times New Roman" w:cs="Times New Roman"/>
                <w:sz w:val="20"/>
                <w:szCs w:val="20"/>
              </w:rPr>
              <w:t>Dernini</w:t>
            </w:r>
            <w:proofErr w:type="spellEnd"/>
            <w:r w:rsidRPr="000837B0">
              <w:rPr>
                <w:rFonts w:ascii="Times New Roman" w:eastAsia="Arial" w:hAnsi="Times New Roman" w:cs="Times New Roman"/>
                <w:sz w:val="20"/>
                <w:szCs w:val="20"/>
              </w:rPr>
              <w:t xml:space="preserve"> (2012)</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CB6C009"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FAO Proceedings</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9F1F1E9"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Grey</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1DA4CE9"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Sustainable Diets</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EC57B9C"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Holistic SDG-Aligned</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923D7E7"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International Organization</w:t>
            </w:r>
          </w:p>
        </w:tc>
      </w:tr>
      <w:tr w:rsidR="000837B0" w:rsidRPr="000837B0" w14:paraId="1BDF3E6F"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386676C"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11</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63A83A8"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Castellini et al. (2021)</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DD9B3AC"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Frontiers in Nutrition</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3CEC00D"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DAA8239"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SFC</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15293D5"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Normative/Aspirational</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7FE2506"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Public Health/Nutrition</w:t>
            </w:r>
          </w:p>
        </w:tc>
      </w:tr>
      <w:tr w:rsidR="000837B0" w:rsidRPr="000837B0" w14:paraId="63BCE845"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E6AE756"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12</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639C53A"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Choudhary et al. (2019)</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1502CFF"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Technological Forecasting and Social Change</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BDAEDD4"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8E2CAE3"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SFC</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F8E3D75"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Behavioral Minimalism</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ED886EC"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Social Sciences</w:t>
            </w:r>
          </w:p>
        </w:tc>
      </w:tr>
      <w:tr w:rsidR="000837B0" w:rsidRPr="000837B0" w14:paraId="17088E8B"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127856B"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13</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436385B" w14:textId="4FE0401A"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Chu et al. (202</w:t>
            </w:r>
            <w:r w:rsidR="00AC6C78">
              <w:rPr>
                <w:rFonts w:ascii="Times New Roman" w:eastAsia="Arial" w:hAnsi="Times New Roman" w:cs="Times New Roman"/>
                <w:sz w:val="20"/>
                <w:szCs w:val="20"/>
              </w:rPr>
              <w:t>3</w:t>
            </w:r>
            <w:r w:rsidRPr="000837B0">
              <w:rPr>
                <w:rFonts w:ascii="Times New Roman" w:eastAsia="Arial" w:hAnsi="Times New Roman" w:cs="Times New Roman"/>
                <w:sz w:val="20"/>
                <w:szCs w:val="20"/>
              </w:rPr>
              <w:t>)</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F1CD6C5"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Food and Energy Security</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06829FE"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71FDACC"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SFC</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C19C909"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Eco-Nutritional Core</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4421ABD"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Food Science &amp; Technology</w:t>
            </w:r>
          </w:p>
        </w:tc>
      </w:tr>
      <w:tr w:rsidR="000837B0" w:rsidRPr="000837B0" w14:paraId="73ADC0E1"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E5121B8"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14</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98764AA"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Cleland et al. (2025)</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A2D98E9"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Appetite</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2500399"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2A70670"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Sustainable Diets</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CAEA1EB"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Holistic SDG-Aligned</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286AD29"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Public Health/Nutrition</w:t>
            </w:r>
          </w:p>
        </w:tc>
      </w:tr>
      <w:tr w:rsidR="000837B0" w:rsidRPr="000837B0" w14:paraId="5F488888"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BCD6069"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15</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0F892E8"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Danone (2023)</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B28A460"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Danone Climate Transition Plan</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136C567"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Grey</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D3FC1AF"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Sustainable Diets</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1F61213"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Behavioral Minimalism</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820040F"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Industry/Corporate</w:t>
            </w:r>
          </w:p>
        </w:tc>
      </w:tr>
      <w:tr w:rsidR="000837B0" w:rsidRPr="000837B0" w14:paraId="4AA21E9F"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CAAB0BB"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16</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B4AE248"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Deloitte (2024)</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2D7B0CF"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Deloitte Report</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7A6C811"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Grey</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4563056"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Sustainable Food Systems</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98905E4"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Eco-Nutritional Core</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8B3F3F1"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Industry/Corporate</w:t>
            </w:r>
          </w:p>
        </w:tc>
      </w:tr>
      <w:tr w:rsidR="000837B0" w:rsidRPr="000837B0" w14:paraId="35A2A6E8"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87D8AD5"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17</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343FBC0"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lang w:val="nl-NL"/>
              </w:rPr>
              <w:t xml:space="preserve">de </w:t>
            </w:r>
            <w:proofErr w:type="spellStart"/>
            <w:r w:rsidRPr="000837B0">
              <w:rPr>
                <w:rFonts w:ascii="Times New Roman" w:eastAsia="Arial" w:hAnsi="Times New Roman" w:cs="Times New Roman"/>
                <w:sz w:val="20"/>
                <w:szCs w:val="20"/>
                <w:lang w:val="nl-NL"/>
              </w:rPr>
              <w:t>Rocha</w:t>
            </w:r>
            <w:proofErr w:type="spellEnd"/>
            <w:r w:rsidRPr="000837B0">
              <w:rPr>
                <w:rFonts w:ascii="Times New Roman" w:eastAsia="Arial" w:hAnsi="Times New Roman" w:cs="Times New Roman"/>
                <w:sz w:val="20"/>
                <w:szCs w:val="20"/>
                <w:lang w:val="nl-NL"/>
              </w:rPr>
              <w:t xml:space="preserve"> Ramos et al. </w:t>
            </w:r>
            <w:r w:rsidRPr="000837B0">
              <w:rPr>
                <w:rFonts w:ascii="Times New Roman" w:eastAsia="Arial" w:hAnsi="Times New Roman" w:cs="Times New Roman"/>
                <w:sz w:val="20"/>
                <w:szCs w:val="20"/>
              </w:rPr>
              <w:t>(2022)</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21DBD95"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Sustainability</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9FEC5E3"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DFA5740"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SFC</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7F21E86"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Holistic SDG-Aligned</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E89C049" w14:textId="13C97AE6" w:rsidR="000837B0" w:rsidRPr="000837B0" w:rsidRDefault="005625F2" w:rsidP="00D00D73">
            <w:pPr>
              <w:rPr>
                <w:rFonts w:ascii="Times New Roman" w:hAnsi="Times New Roman" w:cs="Times New Roman"/>
                <w:sz w:val="20"/>
                <w:szCs w:val="20"/>
              </w:rPr>
            </w:pPr>
            <w:r w:rsidRPr="000837B0">
              <w:rPr>
                <w:rFonts w:ascii="Times New Roman" w:eastAsia="Arial" w:hAnsi="Times New Roman" w:cs="Times New Roman"/>
                <w:sz w:val="20"/>
                <w:szCs w:val="20"/>
              </w:rPr>
              <w:t>Environmental</w:t>
            </w:r>
            <w:r>
              <w:rPr>
                <w:rFonts w:ascii="Times New Roman" w:eastAsia="Arial" w:hAnsi="Times New Roman" w:cs="Times New Roman"/>
                <w:sz w:val="20"/>
                <w:szCs w:val="20"/>
              </w:rPr>
              <w:t xml:space="preserve"> Sciences</w:t>
            </w:r>
          </w:p>
        </w:tc>
      </w:tr>
      <w:tr w:rsidR="000837B0" w:rsidRPr="000837B0" w14:paraId="4E3F6941"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BE9EBD2"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18</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808B374" w14:textId="7B83EDF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Duchin (200</w:t>
            </w:r>
            <w:r w:rsidR="00D138CB">
              <w:rPr>
                <w:rFonts w:ascii="Times New Roman" w:eastAsia="Arial" w:hAnsi="Times New Roman" w:cs="Times New Roman"/>
                <w:sz w:val="20"/>
                <w:szCs w:val="20"/>
              </w:rPr>
              <w:t>8</w:t>
            </w:r>
            <w:r w:rsidRPr="000837B0">
              <w:rPr>
                <w:rFonts w:ascii="Times New Roman" w:eastAsia="Arial" w:hAnsi="Times New Roman" w:cs="Times New Roman"/>
                <w:sz w:val="20"/>
                <w:szCs w:val="20"/>
              </w:rPr>
              <w:t>)</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0D92CA7"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Journal of Industrial Ecology</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692CF65"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92B2F89"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Sustainable Diets</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8CB4614"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Eco-Nutritional Core</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94C46A9"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Environmental Sciences</w:t>
            </w:r>
          </w:p>
        </w:tc>
      </w:tr>
      <w:tr w:rsidR="000837B0" w:rsidRPr="000837B0" w14:paraId="0FED1996"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1B5D4BA"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19</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7AED5E9"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European Environmental Bureau (2022)</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9512CAD"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EEB Report</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A2BCB4D"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Grey</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D233CBC"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Sustainable Food Systems</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BDDEA90"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Holistic SDG-Aligned</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B7C704E"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NGO/Civil Society</w:t>
            </w:r>
          </w:p>
        </w:tc>
      </w:tr>
      <w:tr w:rsidR="000837B0" w:rsidRPr="000837B0" w14:paraId="621CD8AB"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5FB3A47"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20</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1F784C4"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FAO (2010)</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FAD3E46"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FAO Document</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43AF2EC"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Grey</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4862C5D"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Sustainable Diets</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A60C373"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Holistic SDG-Aligned</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D37008D"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International Organization</w:t>
            </w:r>
          </w:p>
        </w:tc>
      </w:tr>
      <w:tr w:rsidR="000837B0" w:rsidRPr="000837B0" w14:paraId="201A2449"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7B101D9"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21</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CA0A0A0"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FAO (2018)</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93ED5D8"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FAO Document</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A9E9064"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Grey</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0162CC2"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Sustainable Food Systems</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DC005E9"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Holistic SDG-Aligned</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AAFAA03"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International Organization</w:t>
            </w:r>
          </w:p>
        </w:tc>
      </w:tr>
      <w:tr w:rsidR="000837B0" w:rsidRPr="000837B0" w14:paraId="3D30CC7C"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5EECD47"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22</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545DE94"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Feil et al. (2020)</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478C009"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Journal of Cleaner Production</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76C052A"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60F0BAD"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SFC</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A3FC981"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Holistic SDG-Aligned</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C225C04"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Environmental Sciences</w:t>
            </w:r>
          </w:p>
        </w:tc>
      </w:tr>
      <w:tr w:rsidR="000837B0" w:rsidRPr="000837B0" w14:paraId="792C2B69"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4219262"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lastRenderedPageBreak/>
              <w:t>23</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6F96B34" w14:textId="76E38EA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Friel et al. (201</w:t>
            </w:r>
            <w:r w:rsidR="00811AF0">
              <w:rPr>
                <w:rFonts w:ascii="Times New Roman" w:eastAsia="Arial" w:hAnsi="Times New Roman" w:cs="Times New Roman"/>
                <w:sz w:val="20"/>
                <w:szCs w:val="20"/>
              </w:rPr>
              <w:t>4</w:t>
            </w:r>
            <w:r w:rsidRPr="000837B0">
              <w:rPr>
                <w:rFonts w:ascii="Times New Roman" w:eastAsia="Arial" w:hAnsi="Times New Roman" w:cs="Times New Roman"/>
                <w:sz w:val="20"/>
                <w:szCs w:val="20"/>
              </w:rPr>
              <w:t>)</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9928D2D"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Public Health Nutrition</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63E9E4F"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B4C27EC"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Sustainable Diets</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3A45FCC"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Holistic SDG-Aligned</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3FC17DD"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Public Health/Nutrition</w:t>
            </w:r>
          </w:p>
        </w:tc>
      </w:tr>
      <w:tr w:rsidR="000837B0" w:rsidRPr="000837B0" w14:paraId="5EDA4AB3"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E8A48D7"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24</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A1936F3"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Garnett (2014)</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45DCFC3"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FCRN Discussion Paper</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DF82A42"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479E537"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Sustainable Diets</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35B5482"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Holistic SDG-Aligned</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1C5DDC9"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Environmental Sciences</w:t>
            </w:r>
          </w:p>
        </w:tc>
      </w:tr>
      <w:tr w:rsidR="000837B0" w:rsidRPr="000837B0" w14:paraId="4993FED5"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7709755"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25</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56A7DB5"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Genova &amp; Allegretti (2024)</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1655CE6"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Sustainability</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8A9BCB8"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2B9BE86"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SFC</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ACF192A"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Holistic SDG-Aligned</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60504BF" w14:textId="493D146F" w:rsidR="000837B0" w:rsidRPr="000837B0" w:rsidRDefault="005625F2" w:rsidP="00D00D73">
            <w:pPr>
              <w:rPr>
                <w:rFonts w:ascii="Times New Roman" w:hAnsi="Times New Roman" w:cs="Times New Roman"/>
                <w:sz w:val="20"/>
                <w:szCs w:val="20"/>
              </w:rPr>
            </w:pPr>
            <w:r w:rsidRPr="000837B0">
              <w:rPr>
                <w:rFonts w:ascii="Times New Roman" w:eastAsia="Arial" w:hAnsi="Times New Roman" w:cs="Times New Roman"/>
                <w:sz w:val="20"/>
                <w:szCs w:val="20"/>
              </w:rPr>
              <w:t xml:space="preserve">Environmental </w:t>
            </w:r>
            <w:r w:rsidR="000837B0" w:rsidRPr="000837B0">
              <w:rPr>
                <w:rFonts w:ascii="Times New Roman" w:eastAsia="Arial" w:hAnsi="Times New Roman" w:cs="Times New Roman"/>
                <w:sz w:val="20"/>
                <w:szCs w:val="20"/>
              </w:rPr>
              <w:t>Sciences</w:t>
            </w:r>
          </w:p>
        </w:tc>
      </w:tr>
      <w:tr w:rsidR="000837B0" w:rsidRPr="000837B0" w14:paraId="626614A6"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DA41D5A"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26</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C06D5B8" w14:textId="77777777" w:rsidR="000837B0" w:rsidRPr="000837B0" w:rsidRDefault="000837B0" w:rsidP="00D00D73">
            <w:pPr>
              <w:rPr>
                <w:rFonts w:ascii="Times New Roman" w:hAnsi="Times New Roman" w:cs="Times New Roman"/>
                <w:sz w:val="20"/>
                <w:szCs w:val="20"/>
              </w:rPr>
            </w:pPr>
            <w:proofErr w:type="spellStart"/>
            <w:r w:rsidRPr="000837B0">
              <w:rPr>
                <w:rFonts w:ascii="Times New Roman" w:eastAsia="Arial" w:hAnsi="Times New Roman" w:cs="Times New Roman"/>
                <w:sz w:val="20"/>
                <w:szCs w:val="20"/>
              </w:rPr>
              <w:t>Gorgitano</w:t>
            </w:r>
            <w:proofErr w:type="spellEnd"/>
            <w:r w:rsidRPr="000837B0">
              <w:rPr>
                <w:rFonts w:ascii="Times New Roman" w:eastAsia="Arial" w:hAnsi="Times New Roman" w:cs="Times New Roman"/>
                <w:sz w:val="20"/>
                <w:szCs w:val="20"/>
              </w:rPr>
              <w:t xml:space="preserve"> &amp; Sodano (2014)</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D41CD63" w14:textId="77777777" w:rsidR="000837B0" w:rsidRPr="000837B0" w:rsidRDefault="000837B0" w:rsidP="00D00D73">
            <w:pPr>
              <w:rPr>
                <w:rFonts w:ascii="Times New Roman" w:hAnsi="Times New Roman" w:cs="Times New Roman"/>
                <w:sz w:val="20"/>
                <w:szCs w:val="20"/>
              </w:rPr>
            </w:pPr>
            <w:proofErr w:type="spellStart"/>
            <w:r w:rsidRPr="000837B0">
              <w:rPr>
                <w:rFonts w:ascii="Times New Roman" w:eastAsia="Arial" w:hAnsi="Times New Roman" w:cs="Times New Roman"/>
                <w:sz w:val="20"/>
                <w:szCs w:val="20"/>
              </w:rPr>
              <w:t>Calitatea</w:t>
            </w:r>
            <w:proofErr w:type="spellEnd"/>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07104C4"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AD096B8"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SFC</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F32B734"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Holistic SDG-Aligned</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7AB5198"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Social Sciences</w:t>
            </w:r>
          </w:p>
        </w:tc>
      </w:tr>
      <w:tr w:rsidR="000837B0" w:rsidRPr="000837B0" w14:paraId="17E06118"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1331BBF"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27</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0BC1008" w14:textId="77777777" w:rsidR="000837B0" w:rsidRPr="000837B0" w:rsidRDefault="000837B0" w:rsidP="00D00D73">
            <w:pPr>
              <w:rPr>
                <w:rFonts w:ascii="Times New Roman" w:hAnsi="Times New Roman" w:cs="Times New Roman"/>
                <w:sz w:val="20"/>
                <w:szCs w:val="20"/>
              </w:rPr>
            </w:pPr>
            <w:proofErr w:type="spellStart"/>
            <w:r w:rsidRPr="000837B0">
              <w:rPr>
                <w:rFonts w:ascii="Times New Roman" w:eastAsia="Arial" w:hAnsi="Times New Roman" w:cs="Times New Roman"/>
                <w:sz w:val="20"/>
                <w:szCs w:val="20"/>
              </w:rPr>
              <w:t>GreenerAge</w:t>
            </w:r>
            <w:proofErr w:type="spellEnd"/>
            <w:r w:rsidRPr="000837B0">
              <w:rPr>
                <w:rFonts w:ascii="Times New Roman" w:eastAsia="Arial" w:hAnsi="Times New Roman" w:cs="Times New Roman"/>
                <w:sz w:val="20"/>
                <w:szCs w:val="20"/>
              </w:rPr>
              <w:t xml:space="preserve"> (n.d.)</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9BFCBBC" w14:textId="77777777" w:rsidR="000837B0" w:rsidRPr="000837B0" w:rsidRDefault="000837B0" w:rsidP="00D00D73">
            <w:pPr>
              <w:rPr>
                <w:rFonts w:ascii="Times New Roman" w:hAnsi="Times New Roman" w:cs="Times New Roman"/>
                <w:sz w:val="20"/>
                <w:szCs w:val="20"/>
              </w:rPr>
            </w:pPr>
            <w:proofErr w:type="spellStart"/>
            <w:r w:rsidRPr="000837B0">
              <w:rPr>
                <w:rFonts w:ascii="Times New Roman" w:eastAsia="Arial" w:hAnsi="Times New Roman" w:cs="Times New Roman"/>
                <w:sz w:val="20"/>
                <w:szCs w:val="20"/>
              </w:rPr>
              <w:t>GreenerAge</w:t>
            </w:r>
            <w:proofErr w:type="spellEnd"/>
            <w:r w:rsidRPr="000837B0">
              <w:rPr>
                <w:rFonts w:ascii="Times New Roman" w:eastAsia="Arial" w:hAnsi="Times New Roman" w:cs="Times New Roman"/>
                <w:sz w:val="20"/>
                <w:szCs w:val="20"/>
              </w:rPr>
              <w:t xml:space="preserve"> website</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DF7E5EA"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Grey</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A3C38D9"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SFC</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35D939A"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Holistic SDG-Aligned</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7F472AF"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NGO/Civil Society</w:t>
            </w:r>
          </w:p>
        </w:tc>
      </w:tr>
      <w:tr w:rsidR="000837B0" w:rsidRPr="000837B0" w14:paraId="52B9C482"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5F98E11"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28</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1CBEC6F"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Hoek et al. (2017)</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73A1207"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Food Quality and Preference</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9D256C1"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5571D81"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Sustainable Diets</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A13AD36"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Holistic SDG-Aligned</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FE8D82A"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Food Science &amp; Technology</w:t>
            </w:r>
          </w:p>
        </w:tc>
      </w:tr>
      <w:tr w:rsidR="000837B0" w:rsidRPr="000837B0" w14:paraId="11ADBBEB"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BB495CE"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29</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9E3CCDD" w14:textId="77777777" w:rsidR="000837B0" w:rsidRPr="000837B0" w:rsidRDefault="000837B0" w:rsidP="00D00D73">
            <w:pPr>
              <w:rPr>
                <w:rFonts w:ascii="Times New Roman" w:hAnsi="Times New Roman" w:cs="Times New Roman"/>
                <w:sz w:val="20"/>
                <w:szCs w:val="20"/>
              </w:rPr>
            </w:pPr>
            <w:proofErr w:type="spellStart"/>
            <w:r w:rsidRPr="000837B0">
              <w:rPr>
                <w:rFonts w:ascii="Times New Roman" w:eastAsia="Arial" w:hAnsi="Times New Roman" w:cs="Times New Roman"/>
                <w:sz w:val="20"/>
                <w:szCs w:val="20"/>
              </w:rPr>
              <w:t>Holotova</w:t>
            </w:r>
            <w:proofErr w:type="spellEnd"/>
            <w:r w:rsidRPr="000837B0">
              <w:rPr>
                <w:rFonts w:ascii="Times New Roman" w:eastAsia="Arial" w:hAnsi="Times New Roman" w:cs="Times New Roman"/>
                <w:sz w:val="20"/>
                <w:szCs w:val="20"/>
              </w:rPr>
              <w:t xml:space="preserve"> et al. (2021)</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33709A2"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Frontiers in Sustainable Food Systems</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1797368"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B4D114F"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SFC</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69DC3D7"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Behavioral Minimalism</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D6EE0AB"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Food Science &amp; Technology</w:t>
            </w:r>
          </w:p>
        </w:tc>
      </w:tr>
      <w:tr w:rsidR="000837B0" w:rsidRPr="000837B0" w14:paraId="234A7335"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10ED7E6"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30</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17D6EDE"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House et al. (2024)</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4130C19"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Agriculture and Human Values</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9C3DF90"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A649844"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Sustainable Diets</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0323355"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Holistic SDG-Aligned</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0E81A6C"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Social Sciences</w:t>
            </w:r>
          </w:p>
        </w:tc>
      </w:tr>
      <w:tr w:rsidR="000837B0" w:rsidRPr="000837B0" w14:paraId="16DBC9F9"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A328726"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31</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F77C745" w14:textId="77777777" w:rsidR="000837B0" w:rsidRPr="000837B0" w:rsidRDefault="000837B0" w:rsidP="00D00D73">
            <w:pPr>
              <w:rPr>
                <w:rFonts w:ascii="Times New Roman" w:hAnsi="Times New Roman" w:cs="Times New Roman"/>
                <w:sz w:val="20"/>
                <w:szCs w:val="20"/>
              </w:rPr>
            </w:pPr>
            <w:proofErr w:type="spellStart"/>
            <w:r w:rsidRPr="000837B0">
              <w:rPr>
                <w:rFonts w:ascii="Times New Roman" w:eastAsia="Arial" w:hAnsi="Times New Roman" w:cs="Times New Roman"/>
                <w:sz w:val="20"/>
                <w:szCs w:val="20"/>
              </w:rPr>
              <w:t>Kamenidou</w:t>
            </w:r>
            <w:proofErr w:type="spellEnd"/>
            <w:r w:rsidRPr="000837B0">
              <w:rPr>
                <w:rFonts w:ascii="Times New Roman" w:eastAsia="Arial" w:hAnsi="Times New Roman" w:cs="Times New Roman"/>
                <w:sz w:val="20"/>
                <w:szCs w:val="20"/>
              </w:rPr>
              <w:t xml:space="preserve"> et al. (2019)</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12495AF"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Sustainability</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38F188A"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3AD484B"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SFC</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9BB16C6"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Behavioral Minimalism</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965863F" w14:textId="263709E1" w:rsidR="000837B0" w:rsidRPr="000837B0" w:rsidRDefault="00D96E34" w:rsidP="00D00D73">
            <w:pPr>
              <w:rPr>
                <w:rFonts w:ascii="Times New Roman" w:hAnsi="Times New Roman" w:cs="Times New Roman"/>
                <w:sz w:val="20"/>
                <w:szCs w:val="20"/>
              </w:rPr>
            </w:pPr>
            <w:r w:rsidRPr="000837B0">
              <w:rPr>
                <w:rFonts w:ascii="Times New Roman" w:eastAsia="Arial" w:hAnsi="Times New Roman" w:cs="Times New Roman"/>
                <w:sz w:val="20"/>
                <w:szCs w:val="20"/>
              </w:rPr>
              <w:t xml:space="preserve">Environmental </w:t>
            </w:r>
            <w:r w:rsidR="000837B0" w:rsidRPr="000837B0">
              <w:rPr>
                <w:rFonts w:ascii="Times New Roman" w:eastAsia="Arial" w:hAnsi="Times New Roman" w:cs="Times New Roman"/>
                <w:sz w:val="20"/>
                <w:szCs w:val="20"/>
              </w:rPr>
              <w:t>Sciences</w:t>
            </w:r>
          </w:p>
        </w:tc>
      </w:tr>
      <w:tr w:rsidR="000837B0" w:rsidRPr="000837B0" w14:paraId="0478FF8F"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8E019F2"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32</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8500D24" w14:textId="67AAC573"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Khan et al. (202</w:t>
            </w:r>
            <w:r w:rsidR="00811AF0">
              <w:rPr>
                <w:rFonts w:ascii="Times New Roman" w:eastAsia="Arial" w:hAnsi="Times New Roman" w:cs="Times New Roman"/>
                <w:sz w:val="20"/>
                <w:szCs w:val="20"/>
              </w:rPr>
              <w:t>5</w:t>
            </w:r>
            <w:r w:rsidRPr="000837B0">
              <w:rPr>
                <w:rFonts w:ascii="Times New Roman" w:eastAsia="Arial" w:hAnsi="Times New Roman" w:cs="Times New Roman"/>
                <w:sz w:val="20"/>
                <w:szCs w:val="20"/>
              </w:rPr>
              <w:t>)</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214E8B5"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Int. J. Sustainability in Higher Education</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7303E4D"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0D2BB94"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SFC</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F731208"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Normative/Aspirational</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C877AA6"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Social Sciences</w:t>
            </w:r>
          </w:p>
        </w:tc>
      </w:tr>
      <w:tr w:rsidR="000837B0" w:rsidRPr="000837B0" w14:paraId="1750D1A9"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0F0CED7"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33</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13BE94C"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Kristia et al. (2023)</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271BE43"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Sustainability</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09CC5EA"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96176FB"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SFC</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B1E2DE8"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Behavioral Minimalism</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FD41C5C" w14:textId="3C83338D" w:rsidR="000837B0" w:rsidRPr="000837B0" w:rsidRDefault="00D96E34" w:rsidP="00D00D73">
            <w:pPr>
              <w:rPr>
                <w:rFonts w:ascii="Times New Roman" w:hAnsi="Times New Roman" w:cs="Times New Roman"/>
                <w:sz w:val="20"/>
                <w:szCs w:val="20"/>
              </w:rPr>
            </w:pPr>
            <w:r w:rsidRPr="000837B0">
              <w:rPr>
                <w:rFonts w:ascii="Times New Roman" w:eastAsia="Arial" w:hAnsi="Times New Roman" w:cs="Times New Roman"/>
                <w:sz w:val="20"/>
                <w:szCs w:val="20"/>
              </w:rPr>
              <w:t xml:space="preserve">Environmental </w:t>
            </w:r>
            <w:r w:rsidR="000837B0" w:rsidRPr="000837B0">
              <w:rPr>
                <w:rFonts w:ascii="Times New Roman" w:eastAsia="Arial" w:hAnsi="Times New Roman" w:cs="Times New Roman"/>
                <w:sz w:val="20"/>
                <w:szCs w:val="20"/>
              </w:rPr>
              <w:t>Sciences</w:t>
            </w:r>
          </w:p>
        </w:tc>
      </w:tr>
      <w:tr w:rsidR="000837B0" w:rsidRPr="000837B0" w14:paraId="7DA55F17"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2880AE0"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34</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815FBFC"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Lang (2017)</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E70A666"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Friends of the Earth Report</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2AC6534"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Grey</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AB3670A"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Sustainable Diets</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F84BABC"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Holistic SDG-Aligned</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1FC7870"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NGO/Civil Society</w:t>
            </w:r>
          </w:p>
        </w:tc>
      </w:tr>
      <w:tr w:rsidR="000837B0" w:rsidRPr="000837B0" w14:paraId="2F4E786A"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C3DDFAE"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35</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CBAE675"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Li et al. (2023)</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92804F3"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Resources, Conservation and Recycling</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F52AE39"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1F2B9A5"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SFC</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7C8A902"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Holistic SDG-Aligned</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808A929"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Environmental Sciences</w:t>
            </w:r>
          </w:p>
        </w:tc>
      </w:tr>
      <w:tr w:rsidR="000837B0" w:rsidRPr="000837B0" w14:paraId="4F6820C4"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06E5146"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lastRenderedPageBreak/>
              <w:t>36</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330D14E"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Liu et al. (2021)</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2DA8650"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Sustainable Production and Consumption</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45F70E5"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C7AE61F"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SFC</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1DB0070"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Normative/Aspirational</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9ACA5F9"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Environmental Sciences</w:t>
            </w:r>
          </w:p>
        </w:tc>
      </w:tr>
      <w:tr w:rsidR="000837B0" w:rsidRPr="000837B0" w14:paraId="59759676"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8BDDAD7"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37</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6814990" w14:textId="1AB3212C"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Lorenz &amp; Langen (201</w:t>
            </w:r>
            <w:r w:rsidR="00444E21">
              <w:rPr>
                <w:rFonts w:ascii="Times New Roman" w:eastAsia="Arial" w:hAnsi="Times New Roman" w:cs="Times New Roman"/>
                <w:sz w:val="20"/>
                <w:szCs w:val="20"/>
              </w:rPr>
              <w:t>8</w:t>
            </w:r>
            <w:r w:rsidRPr="000837B0">
              <w:rPr>
                <w:rFonts w:ascii="Times New Roman" w:eastAsia="Arial" w:hAnsi="Times New Roman" w:cs="Times New Roman"/>
                <w:sz w:val="20"/>
                <w:szCs w:val="20"/>
              </w:rPr>
              <w:t>)</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8F002E3"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International Journal of Consumer Studies</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AAB95AE"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39A1E89"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SFC</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A923DF1" w14:textId="76760E40" w:rsidR="000837B0" w:rsidRPr="000837B0" w:rsidRDefault="002B5624" w:rsidP="00D00D73">
            <w:pPr>
              <w:rPr>
                <w:rFonts w:ascii="Times New Roman" w:hAnsi="Times New Roman" w:cs="Times New Roman"/>
                <w:sz w:val="20"/>
                <w:szCs w:val="20"/>
              </w:rPr>
            </w:pPr>
            <w:r w:rsidRPr="000837B0">
              <w:rPr>
                <w:rFonts w:ascii="Times New Roman" w:eastAsia="Arial" w:hAnsi="Times New Roman" w:cs="Times New Roman"/>
                <w:sz w:val="20"/>
                <w:szCs w:val="20"/>
              </w:rPr>
              <w:t>Policy/Institutional</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75F2E07"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Social Sciences</w:t>
            </w:r>
          </w:p>
        </w:tc>
      </w:tr>
      <w:tr w:rsidR="000837B0" w:rsidRPr="000837B0" w14:paraId="2E490B9A"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F1A177E"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38</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7040274"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Ludwig-Borycz et al. (2023)</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FDF197E"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Public Health Nutrition</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CE1F2A1"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325EE11"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Sustainable Food Systems</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12AEB60"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Holistic SDG-Aligned</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6949C9D"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Public Health/Nutrition</w:t>
            </w:r>
          </w:p>
        </w:tc>
      </w:tr>
      <w:tr w:rsidR="000837B0" w:rsidRPr="000837B0" w14:paraId="288D9ABD"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34EE13F"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39</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424009C"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Mancini et al. (2017)</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4382887"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British Food Journal</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977A44C"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DE6EEF9"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SFC</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F6A8780"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Holistic SDG-Aligned</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4DCE018"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Food Science &amp; Technology</w:t>
            </w:r>
          </w:p>
        </w:tc>
      </w:tr>
      <w:tr w:rsidR="000837B0" w:rsidRPr="000837B0" w14:paraId="3AB59146"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B7609F8"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40</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A69499B"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Mensah et al. (2024)</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439A956"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Sustainable Development</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321FC8C"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9E23218"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SFC</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5A89525"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Holistic SDG-Aligned</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F6E6F6E"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Environmental Sciences</w:t>
            </w:r>
          </w:p>
        </w:tc>
      </w:tr>
      <w:tr w:rsidR="000837B0" w:rsidRPr="000837B0" w14:paraId="410A08D5"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292FAC0"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41</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BAA8D2A" w14:textId="77777777" w:rsidR="000837B0" w:rsidRPr="000837B0" w:rsidRDefault="000837B0" w:rsidP="00D00D73">
            <w:pPr>
              <w:rPr>
                <w:rFonts w:ascii="Times New Roman" w:hAnsi="Times New Roman" w:cs="Times New Roman"/>
                <w:sz w:val="20"/>
                <w:szCs w:val="20"/>
              </w:rPr>
            </w:pPr>
            <w:proofErr w:type="spellStart"/>
            <w:r w:rsidRPr="000837B0">
              <w:rPr>
                <w:rFonts w:ascii="Times New Roman" w:eastAsia="Arial" w:hAnsi="Times New Roman" w:cs="Times New Roman"/>
                <w:sz w:val="20"/>
                <w:szCs w:val="20"/>
              </w:rPr>
              <w:t>Meybeck</w:t>
            </w:r>
            <w:proofErr w:type="spellEnd"/>
            <w:r w:rsidRPr="000837B0">
              <w:rPr>
                <w:rFonts w:ascii="Times New Roman" w:eastAsia="Arial" w:hAnsi="Times New Roman" w:cs="Times New Roman"/>
                <w:sz w:val="20"/>
                <w:szCs w:val="20"/>
              </w:rPr>
              <w:t xml:space="preserve"> &amp; Gitz (2017)</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8F64FF0"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Proceedings of the Nutrition Society</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C656F32"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A67B62C"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Sustainable Diets</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7C463C5"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Holistic SDG-Aligned</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4342F5E"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Public Health/Nutrition</w:t>
            </w:r>
          </w:p>
        </w:tc>
      </w:tr>
      <w:tr w:rsidR="000837B0" w:rsidRPr="000837B0" w14:paraId="611F21C4"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901AB7F"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42</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01CF1FE"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Meyer-Höfer et al. (2015)</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17C625C"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British Food Journal</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BD62907"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1F0E7EE"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SFC</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1FE6F00"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Holistic SDG-Aligned</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8F52F2A"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Food Science &amp; Technology</w:t>
            </w:r>
          </w:p>
        </w:tc>
      </w:tr>
      <w:tr w:rsidR="000837B0" w:rsidRPr="000837B0" w14:paraId="7877AA6A"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25F4F4C"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43</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D71CA16"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Molinario et al. (2020)</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1627FAB"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Environmental Education Research</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AC88D27"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ADBD653"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Sustainable Diets</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EBA2118"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Eco-Nutritional Core</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59461C6"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Environmental Sciences</w:t>
            </w:r>
          </w:p>
        </w:tc>
      </w:tr>
      <w:tr w:rsidR="000837B0" w:rsidRPr="000837B0" w14:paraId="54F06D34"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1D19B45"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44</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13E7C2A"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Nakajima (2022)</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52DFF6B"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Sustainability</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0AC937F"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7A35C75"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SFC</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11ECEDE"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Holistic SDG-Aligned</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5F2F6BD" w14:textId="706179D1" w:rsidR="000837B0" w:rsidRPr="000837B0" w:rsidRDefault="00D96E34" w:rsidP="00D00D73">
            <w:pPr>
              <w:rPr>
                <w:rFonts w:ascii="Times New Roman" w:hAnsi="Times New Roman" w:cs="Times New Roman"/>
                <w:sz w:val="20"/>
                <w:szCs w:val="20"/>
              </w:rPr>
            </w:pPr>
            <w:r w:rsidRPr="000837B0">
              <w:rPr>
                <w:rFonts w:ascii="Times New Roman" w:eastAsia="Arial" w:hAnsi="Times New Roman" w:cs="Times New Roman"/>
                <w:sz w:val="20"/>
                <w:szCs w:val="20"/>
              </w:rPr>
              <w:t xml:space="preserve">Environmental </w:t>
            </w:r>
            <w:r w:rsidR="000837B0" w:rsidRPr="000837B0">
              <w:rPr>
                <w:rFonts w:ascii="Times New Roman" w:eastAsia="Arial" w:hAnsi="Times New Roman" w:cs="Times New Roman"/>
                <w:sz w:val="20"/>
                <w:szCs w:val="20"/>
              </w:rPr>
              <w:t>Sciences</w:t>
            </w:r>
          </w:p>
        </w:tc>
      </w:tr>
      <w:tr w:rsidR="000837B0" w:rsidRPr="000837B0" w14:paraId="3ECAE3F9"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69A34BD"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45</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4E61021"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Nemeth et al. (2019)</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90570D2"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Sustainability</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0C5EFEC"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491FD16"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Sustainable Diets</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FA7125A"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Holistic SDG-Aligned</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777ECF9" w14:textId="045A9B06" w:rsidR="000837B0" w:rsidRPr="000837B0" w:rsidRDefault="00D96E34" w:rsidP="00D00D73">
            <w:pPr>
              <w:rPr>
                <w:rFonts w:ascii="Times New Roman" w:hAnsi="Times New Roman" w:cs="Times New Roman"/>
                <w:sz w:val="20"/>
                <w:szCs w:val="20"/>
              </w:rPr>
            </w:pPr>
            <w:r w:rsidRPr="000837B0">
              <w:rPr>
                <w:rFonts w:ascii="Times New Roman" w:eastAsia="Arial" w:hAnsi="Times New Roman" w:cs="Times New Roman"/>
                <w:sz w:val="20"/>
                <w:szCs w:val="20"/>
              </w:rPr>
              <w:t xml:space="preserve">Environmental </w:t>
            </w:r>
            <w:r w:rsidR="000837B0" w:rsidRPr="000837B0">
              <w:rPr>
                <w:rFonts w:ascii="Times New Roman" w:eastAsia="Arial" w:hAnsi="Times New Roman" w:cs="Times New Roman"/>
                <w:sz w:val="20"/>
                <w:szCs w:val="20"/>
              </w:rPr>
              <w:t>Sciences</w:t>
            </w:r>
          </w:p>
        </w:tc>
      </w:tr>
      <w:tr w:rsidR="000837B0" w:rsidRPr="000837B0" w14:paraId="6F21E690"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898A74B"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46</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356A7EF"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Nguyen et al. (2025)</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E7564CD"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Resources, Conservation and Recycling</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8A8D24E"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F98DF45"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SFC</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6BA00E0"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Holistic SDG-Aligned</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8C09506"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Environmental Sciences</w:t>
            </w:r>
          </w:p>
        </w:tc>
      </w:tr>
      <w:tr w:rsidR="000837B0" w:rsidRPr="000837B0" w14:paraId="45C2838E"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29704EC"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47</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6A486B5"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Norwegian Ministry (n.d.)</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0D0B7B5"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Government Report</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2245F2B"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Grey</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863A1E1"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Sustainable Food Systems</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146037E"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Policy/Institutional</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600BF94"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Government</w:t>
            </w:r>
          </w:p>
        </w:tc>
      </w:tr>
      <w:tr w:rsidR="000837B0" w:rsidRPr="000837B0" w14:paraId="1B6D7F05"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23DC2EA"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48</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66B6D2A"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Oxfam Ireland (2021)</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247BC27"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Oxfam Ireland Report</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509DA1F"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Grey</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6018259"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Sustainable Food Systems</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2F26BD1" w14:textId="47B65F7D" w:rsidR="000837B0" w:rsidRPr="000837B0" w:rsidRDefault="002B5624" w:rsidP="00D00D73">
            <w:pPr>
              <w:rPr>
                <w:rFonts w:ascii="Times New Roman" w:hAnsi="Times New Roman" w:cs="Times New Roman"/>
                <w:sz w:val="20"/>
                <w:szCs w:val="20"/>
              </w:rPr>
            </w:pPr>
            <w:r w:rsidRPr="000837B0">
              <w:rPr>
                <w:rFonts w:ascii="Times New Roman" w:eastAsia="Arial" w:hAnsi="Times New Roman" w:cs="Times New Roman"/>
                <w:sz w:val="20"/>
                <w:szCs w:val="20"/>
              </w:rPr>
              <w:t>Policy/Institutional</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91F28CF"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NGO/Civil Society</w:t>
            </w:r>
          </w:p>
        </w:tc>
      </w:tr>
      <w:tr w:rsidR="000837B0" w:rsidRPr="000837B0" w14:paraId="79624104"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2AE92EB"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lastRenderedPageBreak/>
              <w:t>49</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E4732BE"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Pakravan-</w:t>
            </w:r>
            <w:proofErr w:type="spellStart"/>
            <w:r w:rsidRPr="000837B0">
              <w:rPr>
                <w:rFonts w:ascii="Times New Roman" w:eastAsia="Arial" w:hAnsi="Times New Roman" w:cs="Times New Roman"/>
                <w:sz w:val="20"/>
                <w:szCs w:val="20"/>
              </w:rPr>
              <w:t>Charvadeh</w:t>
            </w:r>
            <w:proofErr w:type="spellEnd"/>
            <w:r w:rsidRPr="000837B0">
              <w:rPr>
                <w:rFonts w:ascii="Times New Roman" w:eastAsia="Arial" w:hAnsi="Times New Roman" w:cs="Times New Roman"/>
                <w:sz w:val="20"/>
                <w:szCs w:val="20"/>
              </w:rPr>
              <w:t xml:space="preserve"> &amp; Flora (2022)</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C724FAE"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Int. J. Environmental Science and Technology</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867A9F1"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BEF5353"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SFC</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75C69A7"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Behavioral Minimalism</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F4DDE9E"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Environmental Sciences</w:t>
            </w:r>
          </w:p>
        </w:tc>
      </w:tr>
      <w:tr w:rsidR="000837B0" w:rsidRPr="000837B0" w14:paraId="516C7AED"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9652CB1"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50</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9704E0E" w14:textId="77777777" w:rsidR="000837B0" w:rsidRPr="000837B0" w:rsidRDefault="000837B0" w:rsidP="00D00D73">
            <w:pPr>
              <w:rPr>
                <w:rFonts w:ascii="Times New Roman" w:hAnsi="Times New Roman" w:cs="Times New Roman"/>
                <w:sz w:val="20"/>
                <w:szCs w:val="20"/>
              </w:rPr>
            </w:pPr>
            <w:proofErr w:type="spellStart"/>
            <w:r w:rsidRPr="000837B0">
              <w:rPr>
                <w:rFonts w:ascii="Times New Roman" w:eastAsia="Arial" w:hAnsi="Times New Roman" w:cs="Times New Roman"/>
                <w:sz w:val="20"/>
                <w:szCs w:val="20"/>
              </w:rPr>
              <w:t>Panatsa</w:t>
            </w:r>
            <w:proofErr w:type="spellEnd"/>
            <w:r w:rsidRPr="000837B0">
              <w:rPr>
                <w:rFonts w:ascii="Times New Roman" w:eastAsia="Arial" w:hAnsi="Times New Roman" w:cs="Times New Roman"/>
                <w:sz w:val="20"/>
                <w:szCs w:val="20"/>
              </w:rPr>
              <w:t xml:space="preserve"> &amp; </w:t>
            </w:r>
            <w:proofErr w:type="spellStart"/>
            <w:r w:rsidRPr="000837B0">
              <w:rPr>
                <w:rFonts w:ascii="Times New Roman" w:eastAsia="Arial" w:hAnsi="Times New Roman" w:cs="Times New Roman"/>
                <w:sz w:val="20"/>
                <w:szCs w:val="20"/>
              </w:rPr>
              <w:t>Malandrakis</w:t>
            </w:r>
            <w:proofErr w:type="spellEnd"/>
            <w:r w:rsidRPr="000837B0">
              <w:rPr>
                <w:rFonts w:ascii="Times New Roman" w:eastAsia="Arial" w:hAnsi="Times New Roman" w:cs="Times New Roman"/>
                <w:sz w:val="20"/>
                <w:szCs w:val="20"/>
              </w:rPr>
              <w:t xml:space="preserve"> (2024)</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46F3B0F"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Cleaner and Responsible Consumption</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A39B5B1"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2FC4242"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SFC</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286BA96"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Holistic SDG-Aligned</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5B0F9D0"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Social Sciences</w:t>
            </w:r>
          </w:p>
        </w:tc>
      </w:tr>
      <w:tr w:rsidR="000837B0" w:rsidRPr="000837B0" w14:paraId="627C9031"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9B4B22F"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51</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42497FB"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Pandey et al. (2023)</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AE74907"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J. of Nutrition Education and Behavior</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5E99160"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C7ABEDB"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Sustainable Diets</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BF8AD20"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Eco-Nutritional Core</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E168F1A"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Public Health/Nutrition</w:t>
            </w:r>
          </w:p>
        </w:tc>
      </w:tr>
      <w:tr w:rsidR="000837B0" w:rsidRPr="000837B0" w14:paraId="1A290E53"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FB48708"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52</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BAD38F1"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Pfeiffer et al. (2017)</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F6E32C5"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Sustainability</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19E7267"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697B428"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SFC</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4E73B19"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Behavioral Minimalism</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5D2FC62" w14:textId="676AF1B2" w:rsidR="000837B0" w:rsidRPr="000837B0" w:rsidRDefault="00D96E34" w:rsidP="00D00D73">
            <w:pPr>
              <w:rPr>
                <w:rFonts w:ascii="Times New Roman" w:hAnsi="Times New Roman" w:cs="Times New Roman"/>
                <w:sz w:val="20"/>
                <w:szCs w:val="20"/>
              </w:rPr>
            </w:pPr>
            <w:r w:rsidRPr="000837B0">
              <w:rPr>
                <w:rFonts w:ascii="Times New Roman" w:eastAsia="Arial" w:hAnsi="Times New Roman" w:cs="Times New Roman"/>
                <w:sz w:val="20"/>
                <w:szCs w:val="20"/>
              </w:rPr>
              <w:t xml:space="preserve">Environmental </w:t>
            </w:r>
            <w:r w:rsidR="000837B0" w:rsidRPr="000837B0">
              <w:rPr>
                <w:rFonts w:ascii="Times New Roman" w:eastAsia="Arial" w:hAnsi="Times New Roman" w:cs="Times New Roman"/>
                <w:sz w:val="20"/>
                <w:szCs w:val="20"/>
              </w:rPr>
              <w:t>Sciences</w:t>
            </w:r>
          </w:p>
        </w:tc>
      </w:tr>
      <w:tr w:rsidR="000837B0" w:rsidRPr="000837B0" w14:paraId="2B692911"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4174E02"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53</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D1883FB"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Phan (2024)</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08C2B8C"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Cleaner and Responsible Consumption</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C6F5AFA"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701D661"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SFC</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C8A0B80"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Behavioral Minimalism</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6E7F32F"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Social Sciences</w:t>
            </w:r>
          </w:p>
        </w:tc>
      </w:tr>
      <w:tr w:rsidR="000837B0" w:rsidRPr="000837B0" w14:paraId="3D32F92E"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C594697"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54</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7F611C2"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Ran et al. (2024)</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613FF8B"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Environmental Evidence</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83F3696"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C1DF015"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SFC</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3903C6E"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Normative/Aspirational</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F6B29E5"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Environmental Sciences</w:t>
            </w:r>
          </w:p>
        </w:tc>
      </w:tr>
      <w:tr w:rsidR="000837B0" w:rsidRPr="000837B0" w14:paraId="083B496B"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78E1C05"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55</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1D5E281"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Randall et al. (2024)</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55F3DEA"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Food Quality and Preference</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1D705B1"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101F5F3"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Sustainable Diets</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34529EC"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Holistic SDG-Aligned</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F660784"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Food Science &amp; Technology</w:t>
            </w:r>
          </w:p>
        </w:tc>
      </w:tr>
      <w:tr w:rsidR="000837B0" w:rsidRPr="000837B0" w14:paraId="5CF28319"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57C4817"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56</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BE6795D"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Reisch et al. (2013)</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3CACAEB"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Sustainability: Science, Practice and Policy</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5D73CAA"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D3F0E6F"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SFC</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719BFDE"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Holistic SDG-Aligned</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1E2981E"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Environmental Sciences</w:t>
            </w:r>
          </w:p>
        </w:tc>
      </w:tr>
      <w:tr w:rsidR="000837B0" w:rsidRPr="000837B0" w14:paraId="72AD3448"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E9C4BDE"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57</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D17722B"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RIVM (n.d.)</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783B263"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RIVM website</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25F66D8"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Grey</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0F92F14"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SFC</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28FFE77"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Eco-Nutritional Core</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921D9CD"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Government</w:t>
            </w:r>
          </w:p>
        </w:tc>
      </w:tr>
      <w:tr w:rsidR="000837B0" w:rsidRPr="000837B0" w14:paraId="6B6FF479"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9BBB1CD"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58</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0A10B39"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Sargant (2014)</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D384607"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Dissertation, Wageningen University</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2E3367C"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1AE18E0"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SFC</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EFD1D72"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Eco-Nutritional Core</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F5F709C"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Social Sciences</w:t>
            </w:r>
          </w:p>
        </w:tc>
      </w:tr>
      <w:tr w:rsidR="000837B0" w:rsidRPr="000837B0" w14:paraId="339FE883"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102C410"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59</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2286844" w14:textId="77777777" w:rsidR="000837B0" w:rsidRPr="000837B0" w:rsidRDefault="000837B0" w:rsidP="00D00D73">
            <w:pPr>
              <w:rPr>
                <w:rFonts w:ascii="Times New Roman" w:hAnsi="Times New Roman" w:cs="Times New Roman"/>
                <w:sz w:val="20"/>
                <w:szCs w:val="20"/>
              </w:rPr>
            </w:pPr>
            <w:proofErr w:type="spellStart"/>
            <w:r w:rsidRPr="000837B0">
              <w:rPr>
                <w:rFonts w:ascii="Times New Roman" w:eastAsia="Arial" w:hAnsi="Times New Roman" w:cs="Times New Roman"/>
                <w:sz w:val="20"/>
                <w:szCs w:val="20"/>
              </w:rPr>
              <w:t>Scalvedi</w:t>
            </w:r>
            <w:proofErr w:type="spellEnd"/>
            <w:r w:rsidRPr="000837B0">
              <w:rPr>
                <w:rFonts w:ascii="Times New Roman" w:eastAsia="Arial" w:hAnsi="Times New Roman" w:cs="Times New Roman"/>
                <w:sz w:val="20"/>
                <w:szCs w:val="20"/>
              </w:rPr>
              <w:t xml:space="preserve"> &amp; Saba (2018)</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334B300"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British Food Journal</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7C3C69E"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CA7570B"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SFC</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AC321F4"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Normative/Aspirational</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AFA6921"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Food Science &amp; Technology</w:t>
            </w:r>
          </w:p>
        </w:tc>
      </w:tr>
      <w:tr w:rsidR="000837B0" w:rsidRPr="000837B0" w14:paraId="34E14D90"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8A7B50C"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60</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4D93D76" w14:textId="77777777" w:rsidR="000837B0" w:rsidRPr="000837B0" w:rsidRDefault="000837B0" w:rsidP="00D00D73">
            <w:pPr>
              <w:rPr>
                <w:rFonts w:ascii="Times New Roman" w:hAnsi="Times New Roman" w:cs="Times New Roman"/>
                <w:sz w:val="20"/>
                <w:szCs w:val="20"/>
              </w:rPr>
            </w:pPr>
            <w:proofErr w:type="spellStart"/>
            <w:r w:rsidRPr="000837B0">
              <w:rPr>
                <w:rFonts w:ascii="Times New Roman" w:eastAsia="Arial" w:hAnsi="Times New Roman" w:cs="Times New Roman"/>
                <w:sz w:val="20"/>
                <w:szCs w:val="20"/>
              </w:rPr>
              <w:t>Schäufele</w:t>
            </w:r>
            <w:proofErr w:type="spellEnd"/>
            <w:r w:rsidRPr="000837B0">
              <w:rPr>
                <w:rFonts w:ascii="Times New Roman" w:eastAsia="Arial" w:hAnsi="Times New Roman" w:cs="Times New Roman"/>
                <w:sz w:val="20"/>
                <w:szCs w:val="20"/>
              </w:rPr>
              <w:t>-Elbers &amp; Janssen (2023)</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D17C93C"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Frontiers in Nutrition</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48FD5E5"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D0D7687"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SFC</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888E5B2"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Behavioral Minimalism</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6E0B089"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Public Health/Nutrition</w:t>
            </w:r>
          </w:p>
        </w:tc>
      </w:tr>
      <w:tr w:rsidR="000837B0" w:rsidRPr="000837B0" w14:paraId="6C3E3E73"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2696654"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lastRenderedPageBreak/>
              <w:t>61</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0877643"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Srivastava &amp; Kashyap (2025)</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7D0C8B3"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J. of International Trade Law and Policy</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FB04522"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858F57B"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Sustainable Food Systems</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7CE3824"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Holistic SDG-Aligned</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D4C895B"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Economics/Development</w:t>
            </w:r>
          </w:p>
        </w:tc>
      </w:tr>
      <w:tr w:rsidR="000837B0" w:rsidRPr="000837B0" w14:paraId="6B13DB3E"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AEEAC2D"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62</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150117E"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Summerhayes et al. (2024)</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7BBCBC5"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Humanities and Social Sciences Communications</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A84F280"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957D93C"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SFC</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A35D09A"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Policy/Institutional</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D907CE3"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Social Sciences</w:t>
            </w:r>
          </w:p>
        </w:tc>
      </w:tr>
      <w:tr w:rsidR="000837B0" w:rsidRPr="000837B0" w14:paraId="1CEB852E"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3CEBE00"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63</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D5BF62B"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Thøgersen (2017)</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BFFA651"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Food Quality and Preference</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99C2AF9"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729591D"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SFC</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84C9264"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Behavioral Minimalism</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C98CC89"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Food Science &amp; Technology</w:t>
            </w:r>
          </w:p>
        </w:tc>
      </w:tr>
      <w:tr w:rsidR="000837B0" w:rsidRPr="000837B0" w14:paraId="7C030D30"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260EE49"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64</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BA21F51"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UNEP (n.d.)</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5983421"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UNEP website</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B149754"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Grey</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FFE33FB"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Sustainable Diets</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61CDC14"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Eco-Nutritional Core</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C33D870"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International Organization</w:t>
            </w:r>
          </w:p>
        </w:tc>
      </w:tr>
      <w:tr w:rsidR="000837B0" w:rsidRPr="000837B0" w14:paraId="2BBA732F"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C1DD5BD"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65</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F9D6B55"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USDA (n.d.)</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52B7426"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USDA website</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F13883B"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Grey</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B5E22A3"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Sustainable Food Systems</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563B3F0"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Policy/Institutional</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CFAC73E"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Government</w:t>
            </w:r>
          </w:p>
        </w:tc>
      </w:tr>
      <w:tr w:rsidR="000837B0" w:rsidRPr="000837B0" w14:paraId="7F61575C"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AE1ADDD"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66</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ED7BE52"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Unilever (n.d.)</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5AD0AC2"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Unilever website</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A828C70"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Grey</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D52AE54"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SFC</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7F6C047"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Holistic SDG-Aligned</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03B5610"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Industry/Corporate</w:t>
            </w:r>
          </w:p>
        </w:tc>
      </w:tr>
      <w:tr w:rsidR="000837B0" w:rsidRPr="000837B0" w14:paraId="5DA4DDB8"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461636D"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67</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7303054" w14:textId="77777777" w:rsidR="000837B0" w:rsidRPr="000837B0" w:rsidRDefault="000837B0" w:rsidP="00D00D73">
            <w:pPr>
              <w:rPr>
                <w:rFonts w:ascii="Times New Roman" w:hAnsi="Times New Roman" w:cs="Times New Roman"/>
                <w:sz w:val="20"/>
                <w:szCs w:val="20"/>
              </w:rPr>
            </w:pPr>
            <w:proofErr w:type="spellStart"/>
            <w:r w:rsidRPr="000837B0">
              <w:rPr>
                <w:rFonts w:ascii="Times New Roman" w:eastAsia="Arial" w:hAnsi="Times New Roman" w:cs="Times New Roman"/>
                <w:sz w:val="20"/>
                <w:szCs w:val="20"/>
              </w:rPr>
              <w:t>Vanhonacker</w:t>
            </w:r>
            <w:proofErr w:type="spellEnd"/>
            <w:r w:rsidRPr="000837B0">
              <w:rPr>
                <w:rFonts w:ascii="Times New Roman" w:eastAsia="Arial" w:hAnsi="Times New Roman" w:cs="Times New Roman"/>
                <w:sz w:val="20"/>
                <w:szCs w:val="20"/>
              </w:rPr>
              <w:t xml:space="preserve"> et al. (2013)</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EBAD74A"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Appetite</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0E20460"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9CED68E"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SFC</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F09CCD7"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Normative/Aspirational</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6044A58"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Public Health/Nutrition</w:t>
            </w:r>
          </w:p>
        </w:tc>
      </w:tr>
      <w:tr w:rsidR="000837B0" w:rsidRPr="000837B0" w14:paraId="2177F79E"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8DACE30"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68</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D24C1F5"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Van Bussel et al. (2022)</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631A886"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Journal of Cleaner Production</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A1AF252"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6CF253B"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Sustainable Diets</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3D4226C"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Holistic SDG-Aligned</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C3968D7"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Environmental Sciences</w:t>
            </w:r>
          </w:p>
        </w:tc>
      </w:tr>
      <w:tr w:rsidR="000837B0" w:rsidRPr="000837B0" w14:paraId="51A8ABCF"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2633760"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69</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3502297"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Vargas et al. (2021)</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44B9DA0"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Foods</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3EAC164"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00A07FF"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SFC</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BE1A657"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Holistic SDG-Aligned</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AB7363E"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Food Science &amp; Technology</w:t>
            </w:r>
          </w:p>
        </w:tc>
      </w:tr>
      <w:tr w:rsidR="000837B0" w:rsidRPr="000837B0" w14:paraId="63E4A7E9"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ED40262"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70</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66C4FCE"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Vassallo et al. (2016)</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43E6262"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International Journal of Consumer Studies</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8512D8F"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D4D8669"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SFC</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22A6494"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Behavioral Minimalism</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F61541C"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Social Sciences</w:t>
            </w:r>
          </w:p>
        </w:tc>
      </w:tr>
      <w:tr w:rsidR="000837B0" w:rsidRPr="000837B0" w14:paraId="6ABA0F2F"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60A8B81"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71</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D96C959" w14:textId="77777777" w:rsidR="000837B0" w:rsidRPr="000837B0" w:rsidRDefault="000837B0" w:rsidP="00D00D73">
            <w:pPr>
              <w:rPr>
                <w:rFonts w:ascii="Times New Roman" w:hAnsi="Times New Roman" w:cs="Times New Roman"/>
                <w:sz w:val="20"/>
                <w:szCs w:val="20"/>
              </w:rPr>
            </w:pPr>
            <w:proofErr w:type="spellStart"/>
            <w:r w:rsidRPr="000837B0">
              <w:rPr>
                <w:rFonts w:ascii="Times New Roman" w:eastAsia="Arial" w:hAnsi="Times New Roman" w:cs="Times New Roman"/>
                <w:sz w:val="20"/>
                <w:szCs w:val="20"/>
              </w:rPr>
              <w:t>Verain</w:t>
            </w:r>
            <w:proofErr w:type="spellEnd"/>
            <w:r w:rsidRPr="000837B0">
              <w:rPr>
                <w:rFonts w:ascii="Times New Roman" w:eastAsia="Arial" w:hAnsi="Times New Roman" w:cs="Times New Roman"/>
                <w:sz w:val="20"/>
                <w:szCs w:val="20"/>
              </w:rPr>
              <w:t xml:space="preserve"> et al. (2012)</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CB75457"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International Journal of Consumer Studies</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02B74EF"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E31BAD0"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SFC</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4D863B4"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Normative/Aspirational</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C75B554"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Social Sciences</w:t>
            </w:r>
          </w:p>
        </w:tc>
      </w:tr>
      <w:tr w:rsidR="000837B0" w:rsidRPr="000837B0" w14:paraId="375885C1"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EE57CB3"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72</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4EDDE2E" w14:textId="77777777" w:rsidR="000837B0" w:rsidRPr="000837B0" w:rsidRDefault="000837B0" w:rsidP="00D00D73">
            <w:pPr>
              <w:rPr>
                <w:rFonts w:ascii="Times New Roman" w:hAnsi="Times New Roman" w:cs="Times New Roman"/>
                <w:sz w:val="20"/>
                <w:szCs w:val="20"/>
              </w:rPr>
            </w:pPr>
            <w:proofErr w:type="spellStart"/>
            <w:r w:rsidRPr="000837B0">
              <w:rPr>
                <w:rFonts w:ascii="Times New Roman" w:eastAsia="Arial" w:hAnsi="Times New Roman" w:cs="Times New Roman"/>
                <w:sz w:val="20"/>
                <w:szCs w:val="20"/>
              </w:rPr>
              <w:t>Verain</w:t>
            </w:r>
            <w:proofErr w:type="spellEnd"/>
            <w:r w:rsidRPr="000837B0">
              <w:rPr>
                <w:rFonts w:ascii="Times New Roman" w:eastAsia="Arial" w:hAnsi="Times New Roman" w:cs="Times New Roman"/>
                <w:sz w:val="20"/>
                <w:szCs w:val="20"/>
              </w:rPr>
              <w:t xml:space="preserve"> et al. (2015)</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4716DFD"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Appetite</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E95769A"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6F3B6CF"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SFC</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EB8D3E7"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Behavioral Minimalism</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3A6214E"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Public Health/Nutrition</w:t>
            </w:r>
          </w:p>
        </w:tc>
      </w:tr>
      <w:tr w:rsidR="000837B0" w:rsidRPr="000837B0" w14:paraId="1185B1A5"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A0FFD7A"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73</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27C0C49" w14:textId="77777777" w:rsidR="000837B0" w:rsidRPr="000837B0" w:rsidRDefault="000837B0" w:rsidP="00D00D73">
            <w:pPr>
              <w:rPr>
                <w:rFonts w:ascii="Times New Roman" w:hAnsi="Times New Roman" w:cs="Times New Roman"/>
                <w:sz w:val="20"/>
                <w:szCs w:val="20"/>
              </w:rPr>
            </w:pPr>
            <w:proofErr w:type="spellStart"/>
            <w:r w:rsidRPr="000837B0">
              <w:rPr>
                <w:rFonts w:ascii="Times New Roman" w:eastAsia="Arial" w:hAnsi="Times New Roman" w:cs="Times New Roman"/>
                <w:sz w:val="20"/>
                <w:szCs w:val="20"/>
              </w:rPr>
              <w:t>Verain</w:t>
            </w:r>
            <w:proofErr w:type="spellEnd"/>
            <w:r w:rsidRPr="000837B0">
              <w:rPr>
                <w:rFonts w:ascii="Times New Roman" w:eastAsia="Arial" w:hAnsi="Times New Roman" w:cs="Times New Roman"/>
                <w:sz w:val="20"/>
                <w:szCs w:val="20"/>
              </w:rPr>
              <w:t xml:space="preserve"> et al. (2016)</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BF013A0" w14:textId="7B0A61A5"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APSTRACT</w:t>
            </w:r>
            <w:r w:rsidR="00BC4B59">
              <w:rPr>
                <w:rFonts w:ascii="Times New Roman" w:eastAsia="Arial" w:hAnsi="Times New Roman" w:cs="Times New Roman"/>
                <w:sz w:val="20"/>
                <w:szCs w:val="20"/>
              </w:rPr>
              <w:t xml:space="preserve">: </w:t>
            </w:r>
            <w:r w:rsidR="00BC4B59" w:rsidRPr="00BC4B59">
              <w:rPr>
                <w:rFonts w:ascii="Times New Roman" w:eastAsia="Arial" w:hAnsi="Times New Roman" w:cs="Times New Roman"/>
                <w:sz w:val="20"/>
                <w:szCs w:val="20"/>
              </w:rPr>
              <w:t>Applied Studies in Agribusiness and Commerce</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42DC96D"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B952E72"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SFC</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52388B4"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Normative/Aspirational</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F40518E"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Economics/Development</w:t>
            </w:r>
          </w:p>
        </w:tc>
      </w:tr>
      <w:tr w:rsidR="000837B0" w:rsidRPr="000837B0" w14:paraId="7EF05F18"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0FCC090"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lastRenderedPageBreak/>
              <w:t>74</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B7421F1" w14:textId="77777777" w:rsidR="000837B0" w:rsidRPr="000837B0" w:rsidRDefault="000837B0" w:rsidP="00D00D73">
            <w:pPr>
              <w:rPr>
                <w:rFonts w:ascii="Times New Roman" w:hAnsi="Times New Roman" w:cs="Times New Roman"/>
                <w:sz w:val="20"/>
                <w:szCs w:val="20"/>
              </w:rPr>
            </w:pPr>
            <w:proofErr w:type="spellStart"/>
            <w:r w:rsidRPr="000837B0">
              <w:rPr>
                <w:rFonts w:ascii="Times New Roman" w:eastAsia="Arial" w:hAnsi="Times New Roman" w:cs="Times New Roman"/>
                <w:sz w:val="20"/>
                <w:szCs w:val="20"/>
              </w:rPr>
              <w:t>Verain</w:t>
            </w:r>
            <w:proofErr w:type="spellEnd"/>
            <w:r w:rsidRPr="000837B0">
              <w:rPr>
                <w:rFonts w:ascii="Times New Roman" w:eastAsia="Arial" w:hAnsi="Times New Roman" w:cs="Times New Roman"/>
                <w:sz w:val="20"/>
                <w:szCs w:val="20"/>
              </w:rPr>
              <w:t xml:space="preserve"> et al. (2021)</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146D4ED"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Food Quality and Preference</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5632852"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80E8951"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SFC</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0B697E6"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Holistic SDG-Aligned</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7EDF581"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Food Science &amp; Technology</w:t>
            </w:r>
          </w:p>
        </w:tc>
      </w:tr>
      <w:tr w:rsidR="000837B0" w:rsidRPr="000837B0" w14:paraId="067D0488"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67D07D7"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75</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5A2A123" w14:textId="77777777" w:rsidR="000837B0" w:rsidRPr="000837B0" w:rsidRDefault="000837B0" w:rsidP="00D00D73">
            <w:pPr>
              <w:rPr>
                <w:rFonts w:ascii="Times New Roman" w:hAnsi="Times New Roman" w:cs="Times New Roman"/>
                <w:sz w:val="20"/>
                <w:szCs w:val="20"/>
              </w:rPr>
            </w:pPr>
            <w:proofErr w:type="spellStart"/>
            <w:r w:rsidRPr="000837B0">
              <w:rPr>
                <w:rFonts w:ascii="Times New Roman" w:eastAsia="Arial" w:hAnsi="Times New Roman" w:cs="Times New Roman"/>
                <w:sz w:val="20"/>
                <w:szCs w:val="20"/>
              </w:rPr>
              <w:t>Vermeir</w:t>
            </w:r>
            <w:proofErr w:type="spellEnd"/>
            <w:r w:rsidRPr="000837B0">
              <w:rPr>
                <w:rFonts w:ascii="Times New Roman" w:eastAsia="Arial" w:hAnsi="Times New Roman" w:cs="Times New Roman"/>
                <w:sz w:val="20"/>
                <w:szCs w:val="20"/>
              </w:rPr>
              <w:t xml:space="preserve"> et al. (2020)</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B0CBA58"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Frontiers in Psychology</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2559AC3"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91EE7AE"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SFC</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1AAEAEF"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Behavioral Minimalism</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5039BCE"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Social Sciences</w:t>
            </w:r>
          </w:p>
        </w:tc>
      </w:tr>
      <w:tr w:rsidR="000837B0" w:rsidRPr="000837B0" w14:paraId="2010BC97"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5238EF5"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76</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02FED4C" w14:textId="77777777" w:rsidR="000837B0" w:rsidRPr="000837B0" w:rsidRDefault="000837B0" w:rsidP="00D00D73">
            <w:pPr>
              <w:rPr>
                <w:rFonts w:ascii="Times New Roman" w:hAnsi="Times New Roman" w:cs="Times New Roman"/>
                <w:sz w:val="20"/>
                <w:szCs w:val="20"/>
              </w:rPr>
            </w:pPr>
            <w:proofErr w:type="spellStart"/>
            <w:r w:rsidRPr="000837B0">
              <w:rPr>
                <w:rFonts w:ascii="Times New Roman" w:eastAsia="Arial" w:hAnsi="Times New Roman" w:cs="Times New Roman"/>
                <w:sz w:val="20"/>
                <w:szCs w:val="20"/>
              </w:rPr>
              <w:t>Vermeir</w:t>
            </w:r>
            <w:proofErr w:type="spellEnd"/>
            <w:r w:rsidRPr="000837B0">
              <w:rPr>
                <w:rFonts w:ascii="Times New Roman" w:eastAsia="Arial" w:hAnsi="Times New Roman" w:cs="Times New Roman"/>
                <w:sz w:val="20"/>
                <w:szCs w:val="20"/>
              </w:rPr>
              <w:t xml:space="preserve"> &amp; Verbeke (2006)</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9AF6177"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J. of Agricultural and Environmental Ethics</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83AD871"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48E2217"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SFC</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BBED1A8"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Normative/Aspirational</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27DD2E7"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Social Sciences</w:t>
            </w:r>
          </w:p>
        </w:tc>
      </w:tr>
      <w:tr w:rsidR="000837B0" w:rsidRPr="000837B0" w14:paraId="7D48DDD5"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D1FAA13"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77</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2CC5DBE"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von Braun et al. (2021)</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534F665"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Springer Book</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BDD7FA0"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B75DC24"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Sustainable Food Systems</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38B21B4"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Holistic SDG-Aligned</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B98BAF4"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Food Science &amp; Technology</w:t>
            </w:r>
          </w:p>
        </w:tc>
      </w:tr>
      <w:tr w:rsidR="000837B0" w:rsidRPr="000837B0" w14:paraId="3F129F6B"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F73213F"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78</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ECF6B3E" w14:textId="77777777" w:rsidR="000837B0" w:rsidRPr="000837B0" w:rsidRDefault="000837B0" w:rsidP="00D00D73">
            <w:pPr>
              <w:rPr>
                <w:rFonts w:ascii="Times New Roman" w:hAnsi="Times New Roman" w:cs="Times New Roman"/>
                <w:sz w:val="20"/>
                <w:szCs w:val="20"/>
              </w:rPr>
            </w:pPr>
            <w:proofErr w:type="spellStart"/>
            <w:r w:rsidRPr="000837B0">
              <w:rPr>
                <w:rFonts w:ascii="Times New Roman" w:eastAsia="Arial" w:hAnsi="Times New Roman" w:cs="Times New Roman"/>
                <w:sz w:val="20"/>
                <w:szCs w:val="20"/>
              </w:rPr>
              <w:t>Voget-Kleschin</w:t>
            </w:r>
            <w:proofErr w:type="spellEnd"/>
            <w:r w:rsidRPr="000837B0">
              <w:rPr>
                <w:rFonts w:ascii="Times New Roman" w:eastAsia="Arial" w:hAnsi="Times New Roman" w:cs="Times New Roman"/>
                <w:sz w:val="20"/>
                <w:szCs w:val="20"/>
              </w:rPr>
              <w:t xml:space="preserve"> (2015)</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651FF04"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J. of Agricultural and Environmental Ethics</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2B11FF5"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023DC3D"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SFC</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AC4C8BB"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Behavioral Minimalism</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A558D17"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Social Sciences</w:t>
            </w:r>
          </w:p>
        </w:tc>
      </w:tr>
      <w:tr w:rsidR="000837B0" w:rsidRPr="000837B0" w14:paraId="2F86931C"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87AB3A6"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79</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64AB0BC"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WHO (2019)</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A6AF670"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WHO/FAO Guiding Principles</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47CEDDF"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Grey</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7BE4CEB"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Sustainable Diets</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A99A317"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Holistic SDG-Aligned</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312B3BF"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International Organization</w:t>
            </w:r>
          </w:p>
        </w:tc>
      </w:tr>
      <w:tr w:rsidR="000837B0" w:rsidRPr="000837B0" w14:paraId="2E7E3AE1"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8C6623A"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80</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DB328BB"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Willett et al. (2019)</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D2E69B8"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The Lancet</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289AA53E"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FC1F67E"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Sustainable Food Systems</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F1A17BD"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Holistic SDG-Aligned</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70D90F2"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Public Health/Nutrition</w:t>
            </w:r>
          </w:p>
        </w:tc>
      </w:tr>
      <w:tr w:rsidR="000837B0" w:rsidRPr="000837B0" w14:paraId="40DC2214"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BA58E99"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81</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95C5AA6"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WWF (2020)</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70E6EB1"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WWF Position Paper</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FB954B8"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Grey</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3F3D735"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Sustainable Diets</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C93E737"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Holistic SDG-Aligned</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11A1673"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NGO/Civil Society</w:t>
            </w:r>
          </w:p>
        </w:tc>
      </w:tr>
      <w:tr w:rsidR="000837B0" w:rsidRPr="000837B0" w14:paraId="3AF7A9C6"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8142D1C"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82</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9136ED4"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Yang et al. (2025)</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98F84D3"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Resources, Conservation and Recycling</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1E742E8"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FFE9739"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SFC</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4FC307D"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Behavioral Minimalism</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9DCE987"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Environmental Sciences</w:t>
            </w:r>
          </w:p>
        </w:tc>
      </w:tr>
      <w:tr w:rsidR="000837B0" w:rsidRPr="000837B0" w14:paraId="04BE8B47"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A38E094"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83</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30C6AD5"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Yamoah &amp; Acquaye (2019)</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E6B116C"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Journal of Cleaner Production</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C881DE0"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CEEE959"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SFC</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47AE669"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Normative/Aspirational</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9E5ECE8" w14:textId="77777777" w:rsidR="000837B0" w:rsidRPr="000837B0" w:rsidRDefault="000837B0" w:rsidP="00D00D73">
            <w:pPr>
              <w:rPr>
                <w:rFonts w:ascii="Times New Roman" w:hAnsi="Times New Roman" w:cs="Times New Roman"/>
                <w:sz w:val="20"/>
                <w:szCs w:val="20"/>
              </w:rPr>
            </w:pPr>
            <w:r w:rsidRPr="000837B0">
              <w:rPr>
                <w:rFonts w:ascii="Times New Roman" w:eastAsia="Arial" w:hAnsi="Times New Roman" w:cs="Times New Roman"/>
                <w:sz w:val="20"/>
                <w:szCs w:val="20"/>
              </w:rPr>
              <w:t>Environmental Sciences</w:t>
            </w:r>
          </w:p>
        </w:tc>
      </w:tr>
      <w:tr w:rsidR="0074259F" w:rsidRPr="000837B0" w14:paraId="54AF224B" w14:textId="77777777" w:rsidTr="000837B0">
        <w:tc>
          <w:tcPr>
            <w:tcW w:w="184"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1CF1D42C" w14:textId="77777777" w:rsidR="0074259F" w:rsidRPr="000837B0" w:rsidRDefault="0074259F" w:rsidP="0074259F">
            <w:pPr>
              <w:rPr>
                <w:rFonts w:ascii="Times New Roman" w:hAnsi="Times New Roman" w:cs="Times New Roman"/>
                <w:sz w:val="20"/>
                <w:szCs w:val="20"/>
              </w:rPr>
            </w:pPr>
            <w:r w:rsidRPr="000837B0">
              <w:rPr>
                <w:rFonts w:ascii="Times New Roman" w:eastAsia="Arial" w:hAnsi="Times New Roman" w:cs="Times New Roman"/>
                <w:sz w:val="20"/>
                <w:szCs w:val="20"/>
              </w:rPr>
              <w:t>84</w:t>
            </w:r>
          </w:p>
        </w:tc>
        <w:tc>
          <w:tcPr>
            <w:tcW w:w="690"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4656A5D" w14:textId="77777777" w:rsidR="0074259F" w:rsidRPr="000837B0" w:rsidRDefault="0074259F" w:rsidP="0074259F">
            <w:pPr>
              <w:rPr>
                <w:rFonts w:ascii="Times New Roman" w:hAnsi="Times New Roman" w:cs="Times New Roman"/>
                <w:sz w:val="20"/>
                <w:szCs w:val="20"/>
              </w:rPr>
            </w:pPr>
            <w:r w:rsidRPr="000837B0">
              <w:rPr>
                <w:rFonts w:ascii="Times New Roman" w:eastAsia="Arial" w:hAnsi="Times New Roman" w:cs="Times New Roman"/>
                <w:sz w:val="20"/>
                <w:szCs w:val="20"/>
              </w:rPr>
              <w:t>Zanatta et al. (2022)</w:t>
            </w:r>
          </w:p>
        </w:tc>
        <w:tc>
          <w:tcPr>
            <w:tcW w:w="86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1AE251C" w14:textId="77777777" w:rsidR="0074259F" w:rsidRPr="000837B0" w:rsidRDefault="0074259F" w:rsidP="0074259F">
            <w:pPr>
              <w:rPr>
                <w:rFonts w:ascii="Times New Roman" w:hAnsi="Times New Roman" w:cs="Times New Roman"/>
                <w:sz w:val="20"/>
                <w:szCs w:val="20"/>
              </w:rPr>
            </w:pPr>
            <w:r w:rsidRPr="000837B0">
              <w:rPr>
                <w:rFonts w:ascii="Times New Roman" w:eastAsia="Arial" w:hAnsi="Times New Roman" w:cs="Times New Roman"/>
                <w:sz w:val="20"/>
                <w:szCs w:val="20"/>
              </w:rPr>
              <w:t>Foods</w:t>
            </w:r>
          </w:p>
        </w:tc>
        <w:tc>
          <w:tcPr>
            <w:tcW w:w="508"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0D28D45" w14:textId="77777777" w:rsidR="0074259F" w:rsidRPr="000837B0" w:rsidRDefault="0074259F" w:rsidP="0074259F">
            <w:pPr>
              <w:rPr>
                <w:rFonts w:ascii="Times New Roman" w:hAnsi="Times New Roman" w:cs="Times New Roman"/>
                <w:sz w:val="20"/>
                <w:szCs w:val="20"/>
              </w:rPr>
            </w:pPr>
            <w:r w:rsidRPr="000837B0">
              <w:rPr>
                <w:rFonts w:ascii="Times New Roman" w:eastAsia="Arial" w:hAnsi="Times New Roman" w:cs="Times New Roman"/>
                <w:sz w:val="20"/>
                <w:szCs w:val="20"/>
              </w:rPr>
              <w:t>Academic</w:t>
            </w:r>
          </w:p>
        </w:tc>
        <w:tc>
          <w:tcPr>
            <w:tcW w:w="585"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88271B3" w14:textId="77777777" w:rsidR="0074259F" w:rsidRPr="000837B0" w:rsidRDefault="0074259F" w:rsidP="0074259F">
            <w:pPr>
              <w:rPr>
                <w:rFonts w:ascii="Times New Roman" w:hAnsi="Times New Roman" w:cs="Times New Roman"/>
                <w:sz w:val="20"/>
                <w:szCs w:val="20"/>
              </w:rPr>
            </w:pPr>
            <w:r w:rsidRPr="000837B0">
              <w:rPr>
                <w:rFonts w:ascii="Times New Roman" w:eastAsia="Arial" w:hAnsi="Times New Roman" w:cs="Times New Roman"/>
                <w:sz w:val="20"/>
                <w:szCs w:val="20"/>
              </w:rPr>
              <w:t>Sustainable Diets</w:t>
            </w:r>
          </w:p>
        </w:tc>
        <w:tc>
          <w:tcPr>
            <w:tcW w:w="1053"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F50AD80" w14:textId="77B75E4A" w:rsidR="0074259F" w:rsidRPr="000837B0" w:rsidRDefault="0074259F" w:rsidP="0074259F">
            <w:pPr>
              <w:rPr>
                <w:rFonts w:ascii="Times New Roman" w:hAnsi="Times New Roman" w:cs="Times New Roman"/>
                <w:sz w:val="20"/>
                <w:szCs w:val="20"/>
              </w:rPr>
            </w:pPr>
            <w:r w:rsidRPr="000837B0">
              <w:rPr>
                <w:rFonts w:ascii="Times New Roman" w:eastAsia="Arial" w:hAnsi="Times New Roman" w:cs="Times New Roman"/>
                <w:sz w:val="20"/>
                <w:szCs w:val="20"/>
              </w:rPr>
              <w:t>Holistic SDG-Aligned</w:t>
            </w:r>
          </w:p>
        </w:tc>
        <w:tc>
          <w:tcPr>
            <w:tcW w:w="1116" w:type="pct"/>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51D00A8" w14:textId="77777777" w:rsidR="0074259F" w:rsidRPr="000837B0" w:rsidRDefault="0074259F" w:rsidP="0074259F">
            <w:pPr>
              <w:rPr>
                <w:rFonts w:ascii="Times New Roman" w:hAnsi="Times New Roman" w:cs="Times New Roman"/>
                <w:sz w:val="20"/>
                <w:szCs w:val="20"/>
              </w:rPr>
            </w:pPr>
            <w:r w:rsidRPr="000837B0">
              <w:rPr>
                <w:rFonts w:ascii="Times New Roman" w:eastAsia="Arial" w:hAnsi="Times New Roman" w:cs="Times New Roman"/>
                <w:sz w:val="20"/>
                <w:szCs w:val="20"/>
              </w:rPr>
              <w:t>Food Science &amp; Technology</w:t>
            </w:r>
          </w:p>
        </w:tc>
      </w:tr>
    </w:tbl>
    <w:p w14:paraId="5DC37B59" w14:textId="77777777" w:rsidR="000837B0" w:rsidRPr="000837B0" w:rsidRDefault="000837B0" w:rsidP="000837B0">
      <w:pPr>
        <w:rPr>
          <w:rFonts w:ascii="Times New Roman" w:hAnsi="Times New Roman" w:cs="Times New Roman"/>
          <w:sz w:val="20"/>
          <w:szCs w:val="20"/>
        </w:rPr>
      </w:pPr>
    </w:p>
    <w:p w14:paraId="586AAC03" w14:textId="77777777" w:rsidR="000837B0" w:rsidRPr="000837B0" w:rsidRDefault="000837B0" w:rsidP="005205D3">
      <w:pPr>
        <w:widowControl w:val="0"/>
        <w:spacing w:before="360" w:after="60" w:line="360" w:lineRule="auto"/>
        <w:jc w:val="both"/>
        <w:rPr>
          <w:rFonts w:ascii="Times New Roman" w:eastAsia="Times New Roman" w:hAnsi="Times New Roman" w:cs="Times New Roman"/>
          <w:b/>
          <w:bCs/>
          <w:noProof/>
          <w:sz w:val="20"/>
          <w:szCs w:val="20"/>
          <w:lang w:val="en-GB" w:eastAsia="en-GB"/>
        </w:rPr>
      </w:pPr>
    </w:p>
    <w:p w14:paraId="6F5AD989" w14:textId="77777777" w:rsidR="000837B0" w:rsidRDefault="000837B0" w:rsidP="005205D3">
      <w:pPr>
        <w:widowControl w:val="0"/>
        <w:spacing w:before="360" w:after="60" w:line="360" w:lineRule="auto"/>
        <w:jc w:val="both"/>
        <w:rPr>
          <w:rFonts w:ascii="Times New Roman" w:eastAsia="Times New Roman" w:hAnsi="Times New Roman" w:cs="Times New Roman"/>
          <w:b/>
          <w:bCs/>
          <w:noProof/>
          <w:sz w:val="24"/>
          <w:szCs w:val="24"/>
          <w:lang w:val="en-GB" w:eastAsia="en-GB"/>
        </w:rPr>
      </w:pPr>
    </w:p>
    <w:p w14:paraId="40D5A4C4" w14:textId="2F194FEC" w:rsidR="22105851" w:rsidRDefault="22105851" w:rsidP="005205D3">
      <w:pPr>
        <w:widowControl w:val="0"/>
        <w:spacing w:before="360" w:after="60" w:line="360" w:lineRule="auto"/>
        <w:jc w:val="both"/>
        <w:rPr>
          <w:rFonts w:ascii="Times New Roman" w:eastAsia="Times New Roman" w:hAnsi="Times New Roman" w:cs="Times New Roman"/>
          <w:b/>
          <w:bCs/>
          <w:noProof/>
          <w:sz w:val="24"/>
          <w:szCs w:val="24"/>
          <w:lang w:val="en-GB" w:eastAsia="en-GB"/>
        </w:rPr>
      </w:pPr>
      <w:r w:rsidRPr="005205D3">
        <w:rPr>
          <w:rFonts w:ascii="Times New Roman" w:eastAsia="Times New Roman" w:hAnsi="Times New Roman" w:cs="Times New Roman"/>
          <w:b/>
          <w:bCs/>
          <w:noProof/>
          <w:sz w:val="24"/>
          <w:szCs w:val="24"/>
          <w:lang w:val="en-GB" w:eastAsia="en-GB"/>
        </w:rPr>
        <w:lastRenderedPageBreak/>
        <w:t>Reference list</w:t>
      </w:r>
      <w:r w:rsidR="34CA0B04" w:rsidRPr="005205D3">
        <w:rPr>
          <w:rFonts w:ascii="Times New Roman" w:eastAsia="Times New Roman" w:hAnsi="Times New Roman" w:cs="Times New Roman"/>
          <w:b/>
          <w:bCs/>
          <w:noProof/>
          <w:sz w:val="24"/>
          <w:szCs w:val="24"/>
          <w:lang w:val="en-GB" w:eastAsia="en-GB"/>
        </w:rPr>
        <w:t xml:space="preserve"> of </w:t>
      </w:r>
      <w:r w:rsidR="4AF20B9A" w:rsidRPr="005205D3">
        <w:rPr>
          <w:rFonts w:ascii="Times New Roman" w:eastAsia="Times New Roman" w:hAnsi="Times New Roman" w:cs="Times New Roman"/>
          <w:b/>
          <w:bCs/>
          <w:noProof/>
          <w:sz w:val="24"/>
          <w:szCs w:val="24"/>
          <w:lang w:val="en-GB" w:eastAsia="en-GB"/>
        </w:rPr>
        <w:t>analyzed</w:t>
      </w:r>
      <w:r w:rsidR="6898F354" w:rsidRPr="005205D3">
        <w:rPr>
          <w:rFonts w:ascii="Times New Roman" w:eastAsia="Times New Roman" w:hAnsi="Times New Roman" w:cs="Times New Roman"/>
          <w:b/>
          <w:bCs/>
          <w:noProof/>
          <w:sz w:val="24"/>
          <w:szCs w:val="24"/>
          <w:lang w:val="en-GB" w:eastAsia="en-GB"/>
        </w:rPr>
        <w:t xml:space="preserve"> definitions</w:t>
      </w:r>
      <w:r w:rsidR="00173802">
        <w:rPr>
          <w:rFonts w:ascii="Times New Roman" w:eastAsia="Times New Roman" w:hAnsi="Times New Roman" w:cs="Times New Roman"/>
          <w:b/>
          <w:bCs/>
          <w:noProof/>
          <w:sz w:val="24"/>
          <w:szCs w:val="24"/>
          <w:lang w:val="en-GB" w:eastAsia="en-GB"/>
        </w:rPr>
        <w:t xml:space="preserve"> (</w:t>
      </w:r>
      <w:r w:rsidR="00173802" w:rsidRPr="00E66267">
        <w:rPr>
          <w:rFonts w:ascii="Times New Roman" w:eastAsia="Times New Roman" w:hAnsi="Times New Roman" w:cs="Times New Roman"/>
          <w:b/>
          <w:bCs/>
          <w:noProof/>
          <w:sz w:val="24"/>
          <w:szCs w:val="24"/>
          <w:lang w:val="en-GB" w:eastAsia="en-GB"/>
        </w:rPr>
        <w:t>Online Resource 1</w:t>
      </w:r>
      <w:r w:rsidR="00173802">
        <w:rPr>
          <w:rFonts w:ascii="Times New Roman" w:eastAsia="Times New Roman" w:hAnsi="Times New Roman" w:cs="Times New Roman"/>
          <w:b/>
          <w:bCs/>
          <w:noProof/>
          <w:sz w:val="24"/>
          <w:szCs w:val="24"/>
          <w:lang w:val="en-GB" w:eastAsia="en-GB"/>
        </w:rPr>
        <w:t>)</w:t>
      </w:r>
      <w:r w:rsidR="34CA0B04" w:rsidRPr="005205D3">
        <w:rPr>
          <w:rFonts w:ascii="Times New Roman" w:eastAsia="Times New Roman" w:hAnsi="Times New Roman" w:cs="Times New Roman"/>
          <w:b/>
          <w:bCs/>
          <w:noProof/>
          <w:sz w:val="24"/>
          <w:szCs w:val="24"/>
          <w:lang w:val="en-GB" w:eastAsia="en-GB"/>
        </w:rPr>
        <w:t>.</w:t>
      </w:r>
    </w:p>
    <w:p w14:paraId="016D653F" w14:textId="79ECD40A"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Aguirre Sánchez L, Roa-Díaz ZM, Gamba M, Grisotto G, Moreno Londoño AM, Mantilla-Uribe BP et al (2021) What influences the sustainable food consumption behaviours of university students? A systematic review. International Journal of Public Health 66:1604149. </w:t>
      </w:r>
      <w:hyperlink r:id="rId14" w:tgtFrame="_new" w:history="1">
        <w:r w:rsidRPr="003855B1">
          <w:rPr>
            <w:rStyle w:val="Hyperlink"/>
            <w:rFonts w:ascii="Times New Roman" w:eastAsia="Times New Roman" w:hAnsi="Times New Roman" w:cs="Times New Roman"/>
            <w:noProof/>
            <w:sz w:val="24"/>
            <w:szCs w:val="24"/>
            <w:lang w:val="en-NL" w:eastAsia="en-GB"/>
          </w:rPr>
          <w:t>https://doi.org/10.3389/ijph.2021.1604149</w:t>
        </w:r>
      </w:hyperlink>
    </w:p>
    <w:p w14:paraId="5CD1DF1A"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Alam SS, Ahmad M, Ho YH, Omar NA, Lin CY (2020) Applying an extended theory of planned behavior to sustainable food consumption. Sustainability 12(20):8394. </w:t>
      </w:r>
      <w:hyperlink r:id="rId15" w:tgtFrame="_new" w:history="1">
        <w:r w:rsidRPr="003855B1">
          <w:rPr>
            <w:rStyle w:val="Hyperlink"/>
            <w:rFonts w:ascii="Times New Roman" w:eastAsia="Times New Roman" w:hAnsi="Times New Roman" w:cs="Times New Roman"/>
            <w:noProof/>
            <w:sz w:val="24"/>
            <w:szCs w:val="24"/>
            <w:lang w:val="en-NL" w:eastAsia="en-GB"/>
          </w:rPr>
          <w:t>https://doi.org/10.3390/su12208394</w:t>
        </w:r>
      </w:hyperlink>
    </w:p>
    <w:p w14:paraId="7A68D1A4"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Ammann J, Arbenz A, Mack G, Nemecek T, El Benni N (2023) A review on policy instruments for sustainable food consumption. Sustainable Production and Consumption 36:338-353. </w:t>
      </w:r>
      <w:hyperlink r:id="rId16" w:tgtFrame="_new" w:history="1">
        <w:r w:rsidRPr="003855B1">
          <w:rPr>
            <w:rStyle w:val="Hyperlink"/>
            <w:rFonts w:ascii="Times New Roman" w:eastAsia="Times New Roman" w:hAnsi="Times New Roman" w:cs="Times New Roman"/>
            <w:noProof/>
            <w:sz w:val="24"/>
            <w:szCs w:val="24"/>
            <w:lang w:val="en-NL" w:eastAsia="en-GB"/>
          </w:rPr>
          <w:t>https://doi.org/10.1016/j.spc.2023.01.012</w:t>
        </w:r>
      </w:hyperlink>
    </w:p>
    <w:p w14:paraId="223F8D25"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Arya B, Chaturvedi S, Bhati NS (2024) Extending the theory of planned behaviour to predict sustainable food consumption. Environment, Development and Sustainability 26(12):31277-31300. </w:t>
      </w:r>
      <w:hyperlink r:id="rId17" w:tgtFrame="_new" w:history="1">
        <w:r w:rsidRPr="003855B1">
          <w:rPr>
            <w:rStyle w:val="Hyperlink"/>
            <w:rFonts w:ascii="Times New Roman" w:eastAsia="Times New Roman" w:hAnsi="Times New Roman" w:cs="Times New Roman"/>
            <w:noProof/>
            <w:sz w:val="24"/>
            <w:szCs w:val="24"/>
            <w:lang w:val="en-NL" w:eastAsia="en-GB"/>
          </w:rPr>
          <w:t>https://doi.org/10.1007/s10668-024-04466-z</w:t>
        </w:r>
      </w:hyperlink>
    </w:p>
    <w:p w14:paraId="7B1694FC"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Azzurra A, Massimiliano A, Angela M (2019) Measuring sustainable food consumption: A case study on organic food. Sustainable Production and Consumption 17:95-107. </w:t>
      </w:r>
      <w:hyperlink r:id="rId18" w:tgtFrame="_new" w:history="1">
        <w:r w:rsidRPr="003855B1">
          <w:rPr>
            <w:rStyle w:val="Hyperlink"/>
            <w:rFonts w:ascii="Times New Roman" w:eastAsia="Times New Roman" w:hAnsi="Times New Roman" w:cs="Times New Roman"/>
            <w:noProof/>
            <w:sz w:val="24"/>
            <w:szCs w:val="24"/>
            <w:lang w:val="en-NL" w:eastAsia="en-GB"/>
          </w:rPr>
          <w:t>https://doi.org/10.1016/j.spc.2018.09.007</w:t>
        </w:r>
      </w:hyperlink>
    </w:p>
    <w:p w14:paraId="2C5E91DE"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Barrera-Verdugo G, Durán-Sandoval D (2024) Influence of moral reasoning and environmental concern on sustainable food consumption behaviors: A gender comparison among university students. Cleaner Waste Systems 9:100164. </w:t>
      </w:r>
      <w:hyperlink r:id="rId19" w:tgtFrame="_new" w:history="1">
        <w:r w:rsidRPr="003855B1">
          <w:rPr>
            <w:rStyle w:val="Hyperlink"/>
            <w:rFonts w:ascii="Times New Roman" w:eastAsia="Times New Roman" w:hAnsi="Times New Roman" w:cs="Times New Roman"/>
            <w:noProof/>
            <w:sz w:val="24"/>
            <w:szCs w:val="24"/>
            <w:lang w:val="en-NL" w:eastAsia="en-GB"/>
          </w:rPr>
          <w:t>https://doi.org/10.1016/j.clwas.2024.100164</w:t>
        </w:r>
      </w:hyperlink>
    </w:p>
    <w:p w14:paraId="430EB11D"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Biresselioglu ME, Kentmen-Cin C, Demir MH, Savas ZF, Solak B, Onder B et al (2023) How to exploit sustainable food consumption habits of individuals: evidence from a household survey in Izmir, Türkiye. Sustainability 15(10):8271. </w:t>
      </w:r>
      <w:hyperlink r:id="rId20" w:tgtFrame="_new" w:history="1">
        <w:r w:rsidRPr="003855B1">
          <w:rPr>
            <w:rStyle w:val="Hyperlink"/>
            <w:rFonts w:ascii="Times New Roman" w:eastAsia="Times New Roman" w:hAnsi="Times New Roman" w:cs="Times New Roman"/>
            <w:noProof/>
            <w:sz w:val="24"/>
            <w:szCs w:val="24"/>
            <w:lang w:val="en-NL" w:eastAsia="en-GB"/>
          </w:rPr>
          <w:t>https://doi.org/10.3390/su15108271</w:t>
        </w:r>
      </w:hyperlink>
    </w:p>
    <w:p w14:paraId="25AD799B"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Boston Consulting Group (2023) Whetting consumers’ appetite for sustainable foods. Boston Consulting Group. </w:t>
      </w:r>
      <w:hyperlink r:id="rId21" w:tgtFrame="_new" w:history="1">
        <w:r w:rsidRPr="003855B1">
          <w:rPr>
            <w:rStyle w:val="Hyperlink"/>
            <w:rFonts w:ascii="Times New Roman" w:eastAsia="Times New Roman" w:hAnsi="Times New Roman" w:cs="Times New Roman"/>
            <w:noProof/>
            <w:sz w:val="24"/>
            <w:szCs w:val="24"/>
            <w:lang w:val="en-NL" w:eastAsia="en-GB"/>
          </w:rPr>
          <w:t>https://www.bcg.com/publications/2023/whetting-consumers-appetite-for-sustainable-foods</w:t>
        </w:r>
      </w:hyperlink>
      <w:r w:rsidRPr="003855B1">
        <w:rPr>
          <w:rFonts w:ascii="Times New Roman" w:eastAsia="Times New Roman" w:hAnsi="Times New Roman" w:cs="Times New Roman"/>
          <w:noProof/>
          <w:sz w:val="24"/>
          <w:szCs w:val="24"/>
          <w:lang w:val="en-NL" w:eastAsia="en-GB"/>
        </w:rPr>
        <w:t>. Accessed 29 March 2025</w:t>
      </w:r>
    </w:p>
    <w:p w14:paraId="0B1F0182" w14:textId="668E2168"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lastRenderedPageBreak/>
        <w:t>Broeks MJ, Biesbroek S, Over EA, Van Gils PF, Toxopeus I, Beukers MH, Temme EH (2020) A social cost-benefit analysis of meat taxation and a fruit and vegetables subsidy for a healthy and sustainable food consumption in the Netherlands. BMC Public Health 20:</w:t>
      </w:r>
      <w:r w:rsidR="00182493">
        <w:rPr>
          <w:rFonts w:ascii="Times New Roman" w:eastAsia="Times New Roman" w:hAnsi="Times New Roman" w:cs="Times New Roman"/>
          <w:noProof/>
          <w:sz w:val="24"/>
          <w:szCs w:val="24"/>
          <w:lang w:val="en-NL" w:eastAsia="en-GB"/>
        </w:rPr>
        <w:t>643</w:t>
      </w:r>
      <w:r w:rsidRPr="003855B1">
        <w:rPr>
          <w:rFonts w:ascii="Times New Roman" w:eastAsia="Times New Roman" w:hAnsi="Times New Roman" w:cs="Times New Roman"/>
          <w:noProof/>
          <w:sz w:val="24"/>
          <w:szCs w:val="24"/>
          <w:lang w:val="en-NL" w:eastAsia="en-GB"/>
        </w:rPr>
        <w:t xml:space="preserve">. </w:t>
      </w:r>
      <w:hyperlink r:id="rId22" w:tgtFrame="_new" w:history="1">
        <w:r w:rsidRPr="003855B1">
          <w:rPr>
            <w:rStyle w:val="Hyperlink"/>
            <w:rFonts w:ascii="Times New Roman" w:eastAsia="Times New Roman" w:hAnsi="Times New Roman" w:cs="Times New Roman"/>
            <w:noProof/>
            <w:sz w:val="24"/>
            <w:szCs w:val="24"/>
            <w:lang w:val="en-NL" w:eastAsia="en-GB"/>
          </w:rPr>
          <w:t>https://doi.org/10.1186/s12889-020-08590-z</w:t>
        </w:r>
      </w:hyperlink>
    </w:p>
    <w:p w14:paraId="3F8995AB"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Burlingame B, Dernini S (2012) Sustainable diets and biodiversity: Directions and solutions for policy, research and action (Proceedings of the International Scientific Symposium, Biodiversity and Sustainable Diets United Against Hunger, 3–5 November 2010, FAO Headquarters, Rome). Food and Agriculture Organization of the United Nations (FAO). </w:t>
      </w:r>
      <w:hyperlink r:id="rId23" w:tgtFrame="_new" w:history="1">
        <w:r w:rsidRPr="003855B1">
          <w:rPr>
            <w:rStyle w:val="Hyperlink"/>
            <w:rFonts w:ascii="Times New Roman" w:eastAsia="Times New Roman" w:hAnsi="Times New Roman" w:cs="Times New Roman"/>
            <w:noProof/>
            <w:sz w:val="24"/>
            <w:szCs w:val="24"/>
            <w:lang w:val="en-NL" w:eastAsia="en-GB"/>
          </w:rPr>
          <w:t>https://cgspace.cgiar.org/server/api/core/bitstreams/5c0d9ff8-44e1-4db6-af10-ef9c61d5fa80/content</w:t>
        </w:r>
      </w:hyperlink>
      <w:r w:rsidRPr="003855B1">
        <w:rPr>
          <w:rFonts w:ascii="Times New Roman" w:eastAsia="Times New Roman" w:hAnsi="Times New Roman" w:cs="Times New Roman"/>
          <w:noProof/>
          <w:sz w:val="24"/>
          <w:szCs w:val="24"/>
          <w:lang w:val="en-NL" w:eastAsia="en-GB"/>
        </w:rPr>
        <w:t>. Accessed 29 March 2025</w:t>
      </w:r>
    </w:p>
    <w:p w14:paraId="1C3F98DD"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Castellini G, Savarese M, Graffigna G (2021) The impact of COVID-19 outbreak in Italy on the sustainable food consumption intention from a “one health” perspective. Frontiers in Nutrition 8:622122. </w:t>
      </w:r>
      <w:hyperlink r:id="rId24" w:tgtFrame="_new" w:history="1">
        <w:r w:rsidRPr="003855B1">
          <w:rPr>
            <w:rStyle w:val="Hyperlink"/>
            <w:rFonts w:ascii="Times New Roman" w:eastAsia="Times New Roman" w:hAnsi="Times New Roman" w:cs="Times New Roman"/>
            <w:noProof/>
            <w:sz w:val="24"/>
            <w:szCs w:val="24"/>
            <w:lang w:val="en-NL" w:eastAsia="en-GB"/>
          </w:rPr>
          <w:t>https://doi.org/10.3389/fnut.2021.622122</w:t>
        </w:r>
      </w:hyperlink>
    </w:p>
    <w:p w14:paraId="4ED824A9"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Choudhary S, Nayak R, Kumari S, Choudhury H (2019) Analysing acculturation to sustainable food consumption behaviour in the social media through the lens of information diffusion. Technological Forecasting and Social Change 145:481-492. </w:t>
      </w:r>
      <w:hyperlink r:id="rId25" w:tgtFrame="_new" w:history="1">
        <w:r w:rsidRPr="003855B1">
          <w:rPr>
            <w:rStyle w:val="Hyperlink"/>
            <w:rFonts w:ascii="Times New Roman" w:eastAsia="Times New Roman" w:hAnsi="Times New Roman" w:cs="Times New Roman"/>
            <w:noProof/>
            <w:sz w:val="24"/>
            <w:szCs w:val="24"/>
            <w:lang w:val="en-NL" w:eastAsia="en-GB"/>
          </w:rPr>
          <w:t>https://doi.org/10.1016/j.techfore.2018.10.009</w:t>
        </w:r>
      </w:hyperlink>
    </w:p>
    <w:p w14:paraId="55034115"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Chu M, Anders S, Deng Q, Contador CA, Cisternas F, Caine C et al (2023) The future of sustainable food consumption in China. Food and Energy Security 12(2):e405. </w:t>
      </w:r>
      <w:hyperlink r:id="rId26" w:tgtFrame="_new" w:history="1">
        <w:r w:rsidRPr="003855B1">
          <w:rPr>
            <w:rStyle w:val="Hyperlink"/>
            <w:rFonts w:ascii="Times New Roman" w:eastAsia="Times New Roman" w:hAnsi="Times New Roman" w:cs="Times New Roman"/>
            <w:noProof/>
            <w:sz w:val="24"/>
            <w:szCs w:val="24"/>
            <w:lang w:val="en-NL" w:eastAsia="en-GB"/>
          </w:rPr>
          <w:t>https://doi.org/10.1002/fes3.405</w:t>
        </w:r>
      </w:hyperlink>
    </w:p>
    <w:p w14:paraId="78E4ACB9" w14:textId="1E7D167D"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Cleland E, McBey D, Darlene V, McCormick </w:t>
      </w:r>
      <w:r w:rsidR="004D128F">
        <w:rPr>
          <w:rFonts w:ascii="Times New Roman" w:eastAsia="Times New Roman" w:hAnsi="Times New Roman" w:cs="Times New Roman"/>
          <w:noProof/>
          <w:sz w:val="24"/>
          <w:szCs w:val="24"/>
          <w:lang w:val="en-NL" w:eastAsia="en-GB"/>
        </w:rPr>
        <w:t>B</w:t>
      </w:r>
      <w:r w:rsidRPr="003855B1">
        <w:rPr>
          <w:rFonts w:ascii="Times New Roman" w:eastAsia="Times New Roman" w:hAnsi="Times New Roman" w:cs="Times New Roman"/>
          <w:noProof/>
          <w:sz w:val="24"/>
          <w:szCs w:val="24"/>
          <w:lang w:val="en-NL" w:eastAsia="en-GB"/>
        </w:rPr>
        <w:t xml:space="preserve">BJ, Macdiarmid JI (2025) Still eating like there's no tomorrow? A qualitative study to revisit attitudes and awareness around sustainable diets after 10 years. Appetite 206:107799. </w:t>
      </w:r>
      <w:hyperlink r:id="rId27" w:tgtFrame="_new" w:history="1">
        <w:r w:rsidRPr="003855B1">
          <w:rPr>
            <w:rStyle w:val="Hyperlink"/>
            <w:rFonts w:ascii="Times New Roman" w:eastAsia="Times New Roman" w:hAnsi="Times New Roman" w:cs="Times New Roman"/>
            <w:noProof/>
            <w:sz w:val="24"/>
            <w:szCs w:val="24"/>
            <w:lang w:val="en-NL" w:eastAsia="en-GB"/>
          </w:rPr>
          <w:t>https://doi.org/10.1016/j.appet.2024.107799</w:t>
        </w:r>
      </w:hyperlink>
    </w:p>
    <w:p w14:paraId="77C33D33"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Danone (2023) Danone climate transition plan 2023. Danone. </w:t>
      </w:r>
      <w:hyperlink r:id="rId28" w:tgtFrame="_new" w:history="1">
        <w:r w:rsidRPr="003855B1">
          <w:rPr>
            <w:rStyle w:val="Hyperlink"/>
            <w:rFonts w:ascii="Times New Roman" w:eastAsia="Times New Roman" w:hAnsi="Times New Roman" w:cs="Times New Roman"/>
            <w:noProof/>
            <w:sz w:val="24"/>
            <w:szCs w:val="24"/>
            <w:lang w:val="en-NL" w:eastAsia="en-GB"/>
          </w:rPr>
          <w:t>https://www.danone.com/content/dam/corp/global/danonecom/about-us-impact/policies-and-commitments/en/danone-climate-transition-plan-2023.pdf</w:t>
        </w:r>
      </w:hyperlink>
      <w:r w:rsidRPr="003855B1">
        <w:rPr>
          <w:rFonts w:ascii="Times New Roman" w:eastAsia="Times New Roman" w:hAnsi="Times New Roman" w:cs="Times New Roman"/>
          <w:noProof/>
          <w:sz w:val="24"/>
          <w:szCs w:val="24"/>
          <w:lang w:val="en-NL" w:eastAsia="en-GB"/>
        </w:rPr>
        <w:t>. Accessed 29 March 2025</w:t>
      </w:r>
    </w:p>
    <w:p w14:paraId="180FC172"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Deloitte (2024) Future of food: Regulatory outlook 2024. Deloitte. </w:t>
      </w:r>
      <w:hyperlink r:id="rId29" w:tgtFrame="_new" w:history="1">
        <w:r w:rsidRPr="003855B1">
          <w:rPr>
            <w:rStyle w:val="Hyperlink"/>
            <w:rFonts w:ascii="Times New Roman" w:eastAsia="Times New Roman" w:hAnsi="Times New Roman" w:cs="Times New Roman"/>
            <w:noProof/>
            <w:sz w:val="24"/>
            <w:szCs w:val="24"/>
            <w:lang w:val="en-NL" w:eastAsia="en-GB"/>
          </w:rPr>
          <w:t>https://www.deloitte.com/content/dam/assets-zone2/fi/fi/docs/industries/consumer/2024/fof-regulatory-outlook-final-external-version.pdf</w:t>
        </w:r>
      </w:hyperlink>
      <w:r w:rsidRPr="003855B1">
        <w:rPr>
          <w:rFonts w:ascii="Times New Roman" w:eastAsia="Times New Roman" w:hAnsi="Times New Roman" w:cs="Times New Roman"/>
          <w:noProof/>
          <w:sz w:val="24"/>
          <w:szCs w:val="24"/>
          <w:lang w:val="en-NL" w:eastAsia="en-GB"/>
        </w:rPr>
        <w:t>. Accessed 29 March 2025</w:t>
      </w:r>
    </w:p>
    <w:p w14:paraId="2F7CE5E4"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da Rocha Ramos LA, Zecca F, Del Regno C (2022) Needs of sustainable food consumption in the pandemic era: First results of case study. Sustainability 14(16):9852. </w:t>
      </w:r>
      <w:hyperlink r:id="rId30" w:tgtFrame="_new" w:history="1">
        <w:r w:rsidRPr="003855B1">
          <w:rPr>
            <w:rStyle w:val="Hyperlink"/>
            <w:rFonts w:ascii="Times New Roman" w:eastAsia="Times New Roman" w:hAnsi="Times New Roman" w:cs="Times New Roman"/>
            <w:noProof/>
            <w:sz w:val="24"/>
            <w:szCs w:val="24"/>
            <w:lang w:val="en-NL" w:eastAsia="en-GB"/>
          </w:rPr>
          <w:t>https://doi.org/10.3390/su14169852</w:t>
        </w:r>
      </w:hyperlink>
    </w:p>
    <w:p w14:paraId="658C2D7F" w14:textId="09199AC4"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Duchin F (200</w:t>
      </w:r>
      <w:r w:rsidR="00D138CB">
        <w:rPr>
          <w:rFonts w:ascii="Times New Roman" w:eastAsia="Times New Roman" w:hAnsi="Times New Roman" w:cs="Times New Roman"/>
          <w:noProof/>
          <w:sz w:val="24"/>
          <w:szCs w:val="24"/>
          <w:lang w:val="en-NL" w:eastAsia="en-GB"/>
        </w:rPr>
        <w:t>8</w:t>
      </w:r>
      <w:r w:rsidRPr="003855B1">
        <w:rPr>
          <w:rFonts w:ascii="Times New Roman" w:eastAsia="Times New Roman" w:hAnsi="Times New Roman" w:cs="Times New Roman"/>
          <w:noProof/>
          <w:sz w:val="24"/>
          <w:szCs w:val="24"/>
          <w:lang w:val="en-NL" w:eastAsia="en-GB"/>
        </w:rPr>
        <w:t xml:space="preserve">) Sustainable consumption of food: a framework for analyzing scenarios about changes in diets. Journal of Industrial Ecology 9(1-2):99-114. </w:t>
      </w:r>
      <w:hyperlink r:id="rId31" w:tgtFrame="_new" w:history="1">
        <w:r w:rsidRPr="003855B1">
          <w:rPr>
            <w:rStyle w:val="Hyperlink"/>
            <w:rFonts w:ascii="Times New Roman" w:eastAsia="Times New Roman" w:hAnsi="Times New Roman" w:cs="Times New Roman"/>
            <w:noProof/>
            <w:sz w:val="24"/>
            <w:szCs w:val="24"/>
            <w:lang w:val="en-NL" w:eastAsia="en-GB"/>
          </w:rPr>
          <w:t>https://doi.org/10.1162/1088198054084707</w:t>
        </w:r>
      </w:hyperlink>
    </w:p>
    <w:p w14:paraId="4DBA60E4"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European Environmental Bureau (2022) Hungry for change: An EU sustainable food systems law for people and nature. European Environmental Bureau. </w:t>
      </w:r>
      <w:hyperlink r:id="rId32" w:tgtFrame="_new" w:history="1">
        <w:r w:rsidRPr="003855B1">
          <w:rPr>
            <w:rStyle w:val="Hyperlink"/>
            <w:rFonts w:ascii="Times New Roman" w:eastAsia="Times New Roman" w:hAnsi="Times New Roman" w:cs="Times New Roman"/>
            <w:noProof/>
            <w:sz w:val="24"/>
            <w:szCs w:val="24"/>
            <w:lang w:val="en-NL" w:eastAsia="en-GB"/>
          </w:rPr>
          <w:t>https://acrobat.adobe.com/id/urn:aaid:sc:EU:11f400fe-c938-464f-b505-696c3314055c</w:t>
        </w:r>
      </w:hyperlink>
      <w:r w:rsidRPr="003855B1">
        <w:rPr>
          <w:rFonts w:ascii="Times New Roman" w:eastAsia="Times New Roman" w:hAnsi="Times New Roman" w:cs="Times New Roman"/>
          <w:noProof/>
          <w:sz w:val="24"/>
          <w:szCs w:val="24"/>
          <w:lang w:val="en-NL" w:eastAsia="en-GB"/>
        </w:rPr>
        <w:t>. Accessed 29 March 2025</w:t>
      </w:r>
    </w:p>
    <w:p w14:paraId="0223D90F"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Food and Agriculture Organization of the United Nations (2010) Final document – International scientific symposium: Biodiversity and sustainable diets, 3–5 November 2010 – Definition of sustainable diets. Food and Agriculture Organization of the United Nations. </w:t>
      </w:r>
      <w:hyperlink r:id="rId33" w:tgtFrame="_new" w:history="1">
        <w:r w:rsidRPr="003855B1">
          <w:rPr>
            <w:rStyle w:val="Hyperlink"/>
            <w:rFonts w:ascii="Times New Roman" w:eastAsia="Times New Roman" w:hAnsi="Times New Roman" w:cs="Times New Roman"/>
            <w:noProof/>
            <w:sz w:val="24"/>
            <w:szCs w:val="24"/>
            <w:lang w:val="en-NL" w:eastAsia="en-GB"/>
          </w:rPr>
          <w:t>https://www.fao.org/ag/humannutrition/23781-0e8d8dc364ee46865d5841c48976e9980.pdf</w:t>
        </w:r>
      </w:hyperlink>
      <w:r w:rsidRPr="003855B1">
        <w:rPr>
          <w:rFonts w:ascii="Times New Roman" w:eastAsia="Times New Roman" w:hAnsi="Times New Roman" w:cs="Times New Roman"/>
          <w:noProof/>
          <w:sz w:val="24"/>
          <w:szCs w:val="24"/>
          <w:lang w:val="en-NL" w:eastAsia="en-GB"/>
        </w:rPr>
        <w:t>. Accessed 29 March 2025</w:t>
      </w:r>
    </w:p>
    <w:p w14:paraId="344AB9D7"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Food and Agriculture Organization of the United Nations (2010) Dietary guidelines and sustainability. Food and Agriculture Organization of the United Nations. </w:t>
      </w:r>
      <w:hyperlink r:id="rId34" w:tgtFrame="_new" w:history="1">
        <w:r w:rsidRPr="003855B1">
          <w:rPr>
            <w:rStyle w:val="Hyperlink"/>
            <w:rFonts w:ascii="Times New Roman" w:eastAsia="Times New Roman" w:hAnsi="Times New Roman" w:cs="Times New Roman"/>
            <w:noProof/>
            <w:sz w:val="24"/>
            <w:szCs w:val="24"/>
            <w:lang w:val="en-NL" w:eastAsia="en-GB"/>
          </w:rPr>
          <w:t>https://www.fao.org/nutrition/education/dietary-guidelines/background/sustainable-dietary-guidelines/en/</w:t>
        </w:r>
      </w:hyperlink>
      <w:r w:rsidRPr="003855B1">
        <w:rPr>
          <w:rFonts w:ascii="Times New Roman" w:eastAsia="Times New Roman" w:hAnsi="Times New Roman" w:cs="Times New Roman"/>
          <w:noProof/>
          <w:sz w:val="24"/>
          <w:szCs w:val="24"/>
          <w:lang w:val="en-NL" w:eastAsia="en-GB"/>
        </w:rPr>
        <w:t>. Accessed 29 March 2025</w:t>
      </w:r>
    </w:p>
    <w:p w14:paraId="31C83916"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Food and Agriculture Organization of the United Nations (2018) Sustainable food systems: Concept and framework. Food and Agriculture Organization of the United Nations. </w:t>
      </w:r>
      <w:hyperlink r:id="rId35" w:tgtFrame="_new" w:history="1">
        <w:r w:rsidRPr="003855B1">
          <w:rPr>
            <w:rStyle w:val="Hyperlink"/>
            <w:rFonts w:ascii="Times New Roman" w:eastAsia="Times New Roman" w:hAnsi="Times New Roman" w:cs="Times New Roman"/>
            <w:noProof/>
            <w:sz w:val="24"/>
            <w:szCs w:val="24"/>
            <w:lang w:val="en-NL" w:eastAsia="en-GB"/>
          </w:rPr>
          <w:t>https://openknowledge.fao.org/server/api/core/bitstreams/b620989c-407b-4caf-a152-f790f55fec71/content</w:t>
        </w:r>
      </w:hyperlink>
      <w:r w:rsidRPr="003855B1">
        <w:rPr>
          <w:rFonts w:ascii="Times New Roman" w:eastAsia="Times New Roman" w:hAnsi="Times New Roman" w:cs="Times New Roman"/>
          <w:noProof/>
          <w:sz w:val="24"/>
          <w:szCs w:val="24"/>
          <w:lang w:val="en-NL" w:eastAsia="en-GB"/>
        </w:rPr>
        <w:t>. Accessed 29 March 2025</w:t>
      </w:r>
    </w:p>
    <w:p w14:paraId="6942D283"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Feil AA, da Silva Cyrne CC, Sindelar FCW, Barden JE, Dalmoro M (2020) Profiles of sustainable food consumption: Consumer behavior toward organic food in southern region of </w:t>
      </w:r>
      <w:r w:rsidRPr="003855B1">
        <w:rPr>
          <w:rFonts w:ascii="Times New Roman" w:eastAsia="Times New Roman" w:hAnsi="Times New Roman" w:cs="Times New Roman"/>
          <w:noProof/>
          <w:sz w:val="24"/>
          <w:szCs w:val="24"/>
          <w:lang w:val="en-NL" w:eastAsia="en-GB"/>
        </w:rPr>
        <w:lastRenderedPageBreak/>
        <w:t xml:space="preserve">Brazil. Journal of Cleaner Production 258:120690. </w:t>
      </w:r>
      <w:hyperlink r:id="rId36" w:tgtFrame="_new" w:history="1">
        <w:r w:rsidRPr="003855B1">
          <w:rPr>
            <w:rStyle w:val="Hyperlink"/>
            <w:rFonts w:ascii="Times New Roman" w:eastAsia="Times New Roman" w:hAnsi="Times New Roman" w:cs="Times New Roman"/>
            <w:noProof/>
            <w:sz w:val="24"/>
            <w:szCs w:val="24"/>
            <w:lang w:val="en-NL" w:eastAsia="en-GB"/>
          </w:rPr>
          <w:t>https://doi.org/10.1016/j.jclepro.2020.120690</w:t>
        </w:r>
      </w:hyperlink>
    </w:p>
    <w:p w14:paraId="4392DD68"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Friel S, Barosh LJ, Lawrence M (2014) Towards healthy and sustainable food consumption: an Australian case study. Public Health Nutrition 17(5):1156-1166. </w:t>
      </w:r>
      <w:hyperlink r:id="rId37" w:tgtFrame="_new" w:history="1">
        <w:r w:rsidRPr="003855B1">
          <w:rPr>
            <w:rStyle w:val="Hyperlink"/>
            <w:rFonts w:ascii="Times New Roman" w:eastAsia="Times New Roman" w:hAnsi="Times New Roman" w:cs="Times New Roman"/>
            <w:noProof/>
            <w:sz w:val="24"/>
            <w:szCs w:val="24"/>
            <w:lang w:val="en-NL" w:eastAsia="en-GB"/>
          </w:rPr>
          <w:t>https://doi.org/10.1017/S1368980013001523</w:t>
        </w:r>
      </w:hyperlink>
    </w:p>
    <w:p w14:paraId="7444B53F" w14:textId="49EC9B76"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Garnett T (2014) What is a sustainable healthy diet? A discussion paper. Food Climate Research Network (FCRN), Environmental Change Institute, University of Oxford. </w:t>
      </w:r>
      <w:hyperlink r:id="rId38" w:tgtFrame="_new" w:history="1">
        <w:r w:rsidRPr="003855B1">
          <w:rPr>
            <w:rStyle w:val="Hyperlink"/>
            <w:rFonts w:ascii="Times New Roman" w:eastAsia="Times New Roman" w:hAnsi="Times New Roman" w:cs="Times New Roman"/>
            <w:noProof/>
            <w:sz w:val="24"/>
            <w:szCs w:val="24"/>
            <w:lang w:val="en-NL" w:eastAsia="en-GB"/>
          </w:rPr>
          <w:t>https://cgspace.cgiar.org/server/api/core/bitstreams/4a7270b1-b917-42a1-a64c-266c1aa66b4d/content</w:t>
        </w:r>
      </w:hyperlink>
      <w:r w:rsidRPr="003855B1">
        <w:rPr>
          <w:rFonts w:ascii="Times New Roman" w:eastAsia="Times New Roman" w:hAnsi="Times New Roman" w:cs="Times New Roman"/>
          <w:noProof/>
          <w:sz w:val="24"/>
          <w:szCs w:val="24"/>
          <w:lang w:val="en-NL" w:eastAsia="en-GB"/>
        </w:rPr>
        <w:t xml:space="preserve">. Accessed 29 </w:t>
      </w:r>
      <w:r w:rsidR="0079068B">
        <w:rPr>
          <w:rFonts w:ascii="Times New Roman" w:eastAsia="Times New Roman" w:hAnsi="Times New Roman" w:cs="Times New Roman"/>
          <w:noProof/>
          <w:sz w:val="24"/>
          <w:szCs w:val="24"/>
          <w:lang w:val="en-NL" w:eastAsia="en-GB"/>
        </w:rPr>
        <w:t>March</w:t>
      </w:r>
      <w:r w:rsidRPr="003855B1">
        <w:rPr>
          <w:rFonts w:ascii="Times New Roman" w:eastAsia="Times New Roman" w:hAnsi="Times New Roman" w:cs="Times New Roman"/>
          <w:noProof/>
          <w:sz w:val="24"/>
          <w:szCs w:val="24"/>
          <w:lang w:val="en-NL" w:eastAsia="en-GB"/>
        </w:rPr>
        <w:t xml:space="preserve"> 2025</w:t>
      </w:r>
    </w:p>
    <w:p w14:paraId="0AEA2342"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Genova C, Allegretti V (2024) Sustainable food consumption: Social representations of definitions, drivers, and obstacles. Sustainability 16(4):1415. </w:t>
      </w:r>
      <w:hyperlink r:id="rId39" w:tgtFrame="_new" w:history="1">
        <w:r w:rsidRPr="003855B1">
          <w:rPr>
            <w:rStyle w:val="Hyperlink"/>
            <w:rFonts w:ascii="Times New Roman" w:eastAsia="Times New Roman" w:hAnsi="Times New Roman" w:cs="Times New Roman"/>
            <w:noProof/>
            <w:sz w:val="24"/>
            <w:szCs w:val="24"/>
            <w:lang w:val="en-NL" w:eastAsia="en-GB"/>
          </w:rPr>
          <w:t>https://doi.org/10.3390/su16041415</w:t>
        </w:r>
      </w:hyperlink>
    </w:p>
    <w:p w14:paraId="535747B5"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Gorgitano MT, Sodano V (2014) Sustainable food consumption: Concept and policies. Calitatea 15(S1):207-212. </w:t>
      </w:r>
      <w:hyperlink r:id="rId40" w:tgtFrame="_new" w:history="1">
        <w:r w:rsidRPr="003855B1">
          <w:rPr>
            <w:rStyle w:val="Hyperlink"/>
            <w:rFonts w:ascii="Times New Roman" w:eastAsia="Times New Roman" w:hAnsi="Times New Roman" w:cs="Times New Roman"/>
            <w:noProof/>
            <w:sz w:val="24"/>
            <w:szCs w:val="24"/>
            <w:lang w:val="en-NL" w:eastAsia="en-GB"/>
          </w:rPr>
          <w:t>https://hdl.handle.net/11588/597088</w:t>
        </w:r>
      </w:hyperlink>
    </w:p>
    <w:p w14:paraId="5666D573"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GreenerAge (n.d.) What is sustainable food consumption? GreenerAge. </w:t>
      </w:r>
      <w:hyperlink r:id="rId41" w:tgtFrame="_new" w:history="1">
        <w:r w:rsidRPr="003855B1">
          <w:rPr>
            <w:rStyle w:val="Hyperlink"/>
            <w:rFonts w:ascii="Times New Roman" w:eastAsia="Times New Roman" w:hAnsi="Times New Roman" w:cs="Times New Roman"/>
            <w:noProof/>
            <w:sz w:val="24"/>
            <w:szCs w:val="24"/>
            <w:lang w:val="en-NL" w:eastAsia="en-GB"/>
          </w:rPr>
          <w:t>https://greenerage.eu/courses/sustainable-food-consumption_/lesson/what-is-sustainable-food-consumption-2/</w:t>
        </w:r>
      </w:hyperlink>
      <w:r w:rsidRPr="003855B1">
        <w:rPr>
          <w:rFonts w:ascii="Times New Roman" w:eastAsia="Times New Roman" w:hAnsi="Times New Roman" w:cs="Times New Roman"/>
          <w:noProof/>
          <w:sz w:val="24"/>
          <w:szCs w:val="24"/>
          <w:lang w:val="en-NL" w:eastAsia="en-GB"/>
        </w:rPr>
        <w:t>. Accessed 29 March 2025</w:t>
      </w:r>
    </w:p>
    <w:p w14:paraId="42178FCB"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Hoek AC, Pearson D, James SW, Lawrence MA, Friel S (2017) Healthy and environmentally sustainable food choices: Consumer responses to point-of-purchase actions. Food Quality and Preference 58:94-106. </w:t>
      </w:r>
      <w:hyperlink r:id="rId42" w:tgtFrame="_new" w:history="1">
        <w:r w:rsidRPr="003855B1">
          <w:rPr>
            <w:rStyle w:val="Hyperlink"/>
            <w:rFonts w:ascii="Times New Roman" w:eastAsia="Times New Roman" w:hAnsi="Times New Roman" w:cs="Times New Roman"/>
            <w:noProof/>
            <w:sz w:val="24"/>
            <w:szCs w:val="24"/>
            <w:lang w:val="en-NL" w:eastAsia="en-GB"/>
          </w:rPr>
          <w:t>https://doi.org/10.1016/j.foodqual.2016.12.008</w:t>
        </w:r>
      </w:hyperlink>
    </w:p>
    <w:p w14:paraId="1CF4319F"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Holotová M, Horská E, Nagyová Ĺ (2021) Changing patterns of sustainable food consumption regarding environmental and social impact-insights from Slovakia. Frontiers in Sustainable Food Systems 5:703827. </w:t>
      </w:r>
      <w:hyperlink r:id="rId43" w:tgtFrame="_new" w:history="1">
        <w:r w:rsidRPr="003855B1">
          <w:rPr>
            <w:rStyle w:val="Hyperlink"/>
            <w:rFonts w:ascii="Times New Roman" w:eastAsia="Times New Roman" w:hAnsi="Times New Roman" w:cs="Times New Roman"/>
            <w:noProof/>
            <w:sz w:val="24"/>
            <w:szCs w:val="24"/>
            <w:lang w:val="en-NL" w:eastAsia="en-GB"/>
          </w:rPr>
          <w:t>https://doi.org/10.3389/fsufs.2021.703827</w:t>
        </w:r>
      </w:hyperlink>
    </w:p>
    <w:p w14:paraId="5F205031"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House J, Brons A, Wertheim-Heck S, van der Horst H (2024) What is culturally appropriate food consumption? A systematic literature review exploring six conceptual themes and their implications for sustainable food system transformation. Agriculture and Human Values 41(2):863-882. </w:t>
      </w:r>
      <w:hyperlink r:id="rId44" w:tgtFrame="_new" w:history="1">
        <w:r w:rsidRPr="003855B1">
          <w:rPr>
            <w:rStyle w:val="Hyperlink"/>
            <w:rFonts w:ascii="Times New Roman" w:eastAsia="Times New Roman" w:hAnsi="Times New Roman" w:cs="Times New Roman"/>
            <w:noProof/>
            <w:sz w:val="24"/>
            <w:szCs w:val="24"/>
            <w:lang w:val="en-NL" w:eastAsia="en-GB"/>
          </w:rPr>
          <w:t>https://doi.org/10.1007/s10460-023-10515-6</w:t>
        </w:r>
      </w:hyperlink>
    </w:p>
    <w:p w14:paraId="75B140D0"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lastRenderedPageBreak/>
        <w:t xml:space="preserve">Kamenidou IC, Mamalis SA, Pavlidis S, Bara EZG (2019) Segmenting the generation Z cohort university students based on sustainable food consumption behavior: A preliminary study. Sustainability 11(3):837. </w:t>
      </w:r>
      <w:hyperlink r:id="rId45" w:tgtFrame="_new" w:history="1">
        <w:r w:rsidRPr="003855B1">
          <w:rPr>
            <w:rStyle w:val="Hyperlink"/>
            <w:rFonts w:ascii="Times New Roman" w:eastAsia="Times New Roman" w:hAnsi="Times New Roman" w:cs="Times New Roman"/>
            <w:noProof/>
            <w:sz w:val="24"/>
            <w:szCs w:val="24"/>
            <w:lang w:val="en-NL" w:eastAsia="en-GB"/>
          </w:rPr>
          <w:t>https://doi.org/10.3390/su11030837</w:t>
        </w:r>
      </w:hyperlink>
    </w:p>
    <w:p w14:paraId="2C1063AD" w14:textId="77777777" w:rsidR="003855B1" w:rsidRDefault="003855B1" w:rsidP="003855B1">
      <w:pPr>
        <w:widowControl w:val="0"/>
        <w:spacing w:before="360" w:after="60" w:line="360" w:lineRule="auto"/>
        <w:jc w:val="both"/>
      </w:pPr>
      <w:r w:rsidRPr="003855B1">
        <w:rPr>
          <w:rFonts w:ascii="Times New Roman" w:eastAsia="Times New Roman" w:hAnsi="Times New Roman" w:cs="Times New Roman"/>
          <w:noProof/>
          <w:sz w:val="24"/>
          <w:szCs w:val="24"/>
          <w:lang w:val="en-NL" w:eastAsia="en-GB"/>
        </w:rPr>
        <w:t xml:space="preserve">Khan AN, Alotaibi HSS, Raza ZA (2025) Understanding the drivers of sustainable food consumption of Chinese university students: a moderated mediation model. International Journal of Sustainability in Higher Education 26(2):391-405. </w:t>
      </w:r>
      <w:hyperlink r:id="rId46" w:tgtFrame="_new" w:history="1">
        <w:r w:rsidRPr="003855B1">
          <w:rPr>
            <w:rStyle w:val="Hyperlink"/>
            <w:rFonts w:ascii="Times New Roman" w:eastAsia="Times New Roman" w:hAnsi="Times New Roman" w:cs="Times New Roman"/>
            <w:noProof/>
            <w:sz w:val="24"/>
            <w:szCs w:val="24"/>
            <w:lang w:val="en-NL" w:eastAsia="en-GB"/>
          </w:rPr>
          <w:t>https://doi.org/10.1108/IJSHE-06-2023-0225</w:t>
        </w:r>
      </w:hyperlink>
    </w:p>
    <w:p w14:paraId="5E58F22A" w14:textId="715100C5" w:rsidR="005F54BF" w:rsidRPr="003855B1" w:rsidRDefault="005F54BF"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5F54BF">
        <w:rPr>
          <w:rFonts w:ascii="Times New Roman" w:eastAsia="Times New Roman" w:hAnsi="Times New Roman" w:cs="Times New Roman"/>
          <w:noProof/>
          <w:sz w:val="24"/>
          <w:szCs w:val="24"/>
          <w:lang w:eastAsia="en-GB"/>
        </w:rPr>
        <w:t xml:space="preserve">Kristia K, Kovács S, Bács Z, Rabbi MF (2023) A bibliometric analysis of sustainable food consumption: historical evolution, dominant topics and trends. Sustainability 15(11):8998. </w:t>
      </w:r>
      <w:hyperlink r:id="rId47" w:tgtFrame="_new" w:history="1">
        <w:r w:rsidRPr="005F54BF">
          <w:rPr>
            <w:rStyle w:val="Hyperlink"/>
            <w:rFonts w:ascii="Times New Roman" w:eastAsia="Times New Roman" w:hAnsi="Times New Roman" w:cs="Times New Roman"/>
            <w:noProof/>
            <w:sz w:val="24"/>
            <w:szCs w:val="24"/>
            <w:lang w:eastAsia="en-GB"/>
          </w:rPr>
          <w:t>https://doi.org/10.3390/su15118998</w:t>
        </w:r>
      </w:hyperlink>
    </w:p>
    <w:p w14:paraId="0BCC9DEC"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Lang T (2017) Re-fashioning food systems with sustainable diet guidelines: towards a SDG2 strategy. Friends of the Earth. </w:t>
      </w:r>
      <w:hyperlink r:id="rId48" w:tgtFrame="_new" w:history="1">
        <w:r w:rsidRPr="003855B1">
          <w:rPr>
            <w:rStyle w:val="Hyperlink"/>
            <w:rFonts w:ascii="Times New Roman" w:eastAsia="Times New Roman" w:hAnsi="Times New Roman" w:cs="Times New Roman"/>
            <w:noProof/>
            <w:sz w:val="24"/>
            <w:szCs w:val="24"/>
            <w:lang w:val="en-NL" w:eastAsia="en-GB"/>
          </w:rPr>
          <w:t>https://friendsoftheearth.uk/sites/default/files/downloads/Sustainable_diets_January_2016_final.pdf</w:t>
        </w:r>
      </w:hyperlink>
      <w:r w:rsidRPr="003855B1">
        <w:rPr>
          <w:rFonts w:ascii="Times New Roman" w:eastAsia="Times New Roman" w:hAnsi="Times New Roman" w:cs="Times New Roman"/>
          <w:noProof/>
          <w:sz w:val="24"/>
          <w:szCs w:val="24"/>
          <w:lang w:val="en-NL" w:eastAsia="en-GB"/>
        </w:rPr>
        <w:t>. Accessed 29 March 2025</w:t>
      </w:r>
    </w:p>
    <w:p w14:paraId="43D31172"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Li Y, Filimonau V, Wang LE, Cheng S (2023) A set of preliminary indicators for holistic sustainability assessment of household food consumption in rural and urban China. Resources, Conservation and Recycling 188:106727. </w:t>
      </w:r>
      <w:hyperlink r:id="rId49" w:tgtFrame="_new" w:history="1">
        <w:r w:rsidRPr="003855B1">
          <w:rPr>
            <w:rStyle w:val="Hyperlink"/>
            <w:rFonts w:ascii="Times New Roman" w:eastAsia="Times New Roman" w:hAnsi="Times New Roman" w:cs="Times New Roman"/>
            <w:noProof/>
            <w:sz w:val="24"/>
            <w:szCs w:val="24"/>
            <w:lang w:val="en-NL" w:eastAsia="en-GB"/>
          </w:rPr>
          <w:t>https://doi.org/10.1016/j.resconrec.2022.106727</w:t>
        </w:r>
      </w:hyperlink>
    </w:p>
    <w:p w14:paraId="13510A6C"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Liu Y, Wood LC, Venkatesh VG, Zhang A, Farooque M (2021) Barriers to sustainable food consumption and production in China: A fuzzy DEMATEL analysis from a circular economy perspective. Sustainable Production and Consumption 28:1114-1129. </w:t>
      </w:r>
      <w:hyperlink r:id="rId50" w:tgtFrame="_new" w:history="1">
        <w:r w:rsidRPr="003855B1">
          <w:rPr>
            <w:rStyle w:val="Hyperlink"/>
            <w:rFonts w:ascii="Times New Roman" w:eastAsia="Times New Roman" w:hAnsi="Times New Roman" w:cs="Times New Roman"/>
            <w:noProof/>
            <w:sz w:val="24"/>
            <w:szCs w:val="24"/>
            <w:lang w:val="en-NL" w:eastAsia="en-GB"/>
          </w:rPr>
          <w:t>https://doi.org/10.1016/j.spc.2021.07.028</w:t>
        </w:r>
      </w:hyperlink>
    </w:p>
    <w:p w14:paraId="27099A11"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Lorenz BA, Langen N (2018) Determinants of how individuals choose, eat and waste: Providing common ground to enhance sustainable food consumption out-of-home. International Journal of Consumer Studies 42(1):35-75. </w:t>
      </w:r>
      <w:hyperlink r:id="rId51" w:tgtFrame="_new" w:history="1">
        <w:r w:rsidRPr="003855B1">
          <w:rPr>
            <w:rStyle w:val="Hyperlink"/>
            <w:rFonts w:ascii="Times New Roman" w:eastAsia="Times New Roman" w:hAnsi="Times New Roman" w:cs="Times New Roman"/>
            <w:noProof/>
            <w:sz w:val="24"/>
            <w:szCs w:val="24"/>
            <w:lang w:val="en-NL" w:eastAsia="en-GB"/>
          </w:rPr>
          <w:t>https://doi.org/10.1111/ijcs.12392</w:t>
        </w:r>
      </w:hyperlink>
    </w:p>
    <w:p w14:paraId="366846EF"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Ludwig-Borycz E, Neumark-Sztainer D, Larson N, Baylin A, Jones AD, Webster A, Bauer KW (2023) Personal, behavioural and socio-environmental correlates of emerging adults’ sustainable food consumption in a cross-sectional analysis. Public Health Nutrition </w:t>
      </w:r>
      <w:r w:rsidRPr="003855B1">
        <w:rPr>
          <w:rFonts w:ascii="Times New Roman" w:eastAsia="Times New Roman" w:hAnsi="Times New Roman" w:cs="Times New Roman"/>
          <w:noProof/>
          <w:sz w:val="24"/>
          <w:szCs w:val="24"/>
          <w:lang w:val="en-NL" w:eastAsia="en-GB"/>
        </w:rPr>
        <w:lastRenderedPageBreak/>
        <w:t xml:space="preserve">26(6):1306-1316. </w:t>
      </w:r>
      <w:hyperlink r:id="rId52" w:tgtFrame="_new" w:history="1">
        <w:r w:rsidRPr="003855B1">
          <w:rPr>
            <w:rStyle w:val="Hyperlink"/>
            <w:rFonts w:ascii="Times New Roman" w:eastAsia="Times New Roman" w:hAnsi="Times New Roman" w:cs="Times New Roman"/>
            <w:noProof/>
            <w:sz w:val="24"/>
            <w:szCs w:val="24"/>
            <w:lang w:val="en-NL" w:eastAsia="en-GB"/>
          </w:rPr>
          <w:t>https://doi.org/10.1017/S1368980023000654</w:t>
        </w:r>
      </w:hyperlink>
    </w:p>
    <w:p w14:paraId="5976009C"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Mancini P, Marchini A, Simeone M (2017) Which are the sustainable attributes affecting the real consumption behaviour? Consumer understanding and choices. British Food Journal 119(8):1839-1853. </w:t>
      </w:r>
      <w:hyperlink r:id="rId53" w:tgtFrame="_new" w:history="1">
        <w:r w:rsidRPr="003855B1">
          <w:rPr>
            <w:rStyle w:val="Hyperlink"/>
            <w:rFonts w:ascii="Times New Roman" w:eastAsia="Times New Roman" w:hAnsi="Times New Roman" w:cs="Times New Roman"/>
            <w:noProof/>
            <w:sz w:val="24"/>
            <w:szCs w:val="24"/>
            <w:lang w:val="en-NL" w:eastAsia="en-GB"/>
          </w:rPr>
          <w:t>https://doi.org/10.1108/BFJ-11-2016-0574</w:t>
        </w:r>
      </w:hyperlink>
    </w:p>
    <w:p w14:paraId="1F024CF2"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Mensah K, Wieck C, Rudloff B (2024) Sustainable food consumption and Sustainable Development Goal 12: Conceptual challenges for monitoring and implementation. Sustainable Development 32(1):1109-1119. </w:t>
      </w:r>
      <w:hyperlink r:id="rId54" w:tgtFrame="_new" w:history="1">
        <w:r w:rsidRPr="003855B1">
          <w:rPr>
            <w:rStyle w:val="Hyperlink"/>
            <w:rFonts w:ascii="Times New Roman" w:eastAsia="Times New Roman" w:hAnsi="Times New Roman" w:cs="Times New Roman"/>
            <w:noProof/>
            <w:sz w:val="24"/>
            <w:szCs w:val="24"/>
            <w:lang w:val="en-NL" w:eastAsia="en-GB"/>
          </w:rPr>
          <w:t>https://doi.org/10.1002/sd.2718</w:t>
        </w:r>
      </w:hyperlink>
    </w:p>
    <w:p w14:paraId="364EA573"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Meybeck A, Gitz V (2017) Sustainable diets within sustainable food systems. Proceedings of the Nutrition Society 76(1):1-11. </w:t>
      </w:r>
      <w:hyperlink r:id="rId55" w:tgtFrame="_new" w:history="1">
        <w:r w:rsidRPr="003855B1">
          <w:rPr>
            <w:rStyle w:val="Hyperlink"/>
            <w:rFonts w:ascii="Times New Roman" w:eastAsia="Times New Roman" w:hAnsi="Times New Roman" w:cs="Times New Roman"/>
            <w:noProof/>
            <w:sz w:val="24"/>
            <w:szCs w:val="24"/>
            <w:lang w:val="en-NL" w:eastAsia="en-GB"/>
          </w:rPr>
          <w:t>https://doi.org/10.1017/S0029665116000653</w:t>
        </w:r>
      </w:hyperlink>
    </w:p>
    <w:p w14:paraId="022DF5D6"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Meyer-Höfer von M, von der Wense V, Spiller A (2015) Characterising convinced sustainable food consumers. British Food Journal 117(3):1082-1104. </w:t>
      </w:r>
      <w:hyperlink r:id="rId56" w:tgtFrame="_new" w:history="1">
        <w:r w:rsidRPr="003855B1">
          <w:rPr>
            <w:rStyle w:val="Hyperlink"/>
            <w:rFonts w:ascii="Times New Roman" w:eastAsia="Times New Roman" w:hAnsi="Times New Roman" w:cs="Times New Roman"/>
            <w:noProof/>
            <w:sz w:val="24"/>
            <w:szCs w:val="24"/>
            <w:lang w:val="en-NL" w:eastAsia="en-GB"/>
          </w:rPr>
          <w:t>https://doi.org/10.1108/BFJ-01-2014-0003</w:t>
        </w:r>
      </w:hyperlink>
    </w:p>
    <w:p w14:paraId="383CCA0A"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Molinario E, Lorenzi C, Bartoccioni F, Perucchini P, Bobeth S, Colléony A et al (2020) From childhood nature experiences to adult pro-environmental behaviors: An explanatory model of sustainable food consumption. Environmental Education Research 26(8):1137-1163. </w:t>
      </w:r>
      <w:hyperlink r:id="rId57" w:tgtFrame="_new" w:history="1">
        <w:r w:rsidRPr="003855B1">
          <w:rPr>
            <w:rStyle w:val="Hyperlink"/>
            <w:rFonts w:ascii="Times New Roman" w:eastAsia="Times New Roman" w:hAnsi="Times New Roman" w:cs="Times New Roman"/>
            <w:noProof/>
            <w:sz w:val="24"/>
            <w:szCs w:val="24"/>
            <w:lang w:val="en-NL" w:eastAsia="en-GB"/>
          </w:rPr>
          <w:t>https://doi.org/10.1080/13504622.2020.1784851</w:t>
        </w:r>
      </w:hyperlink>
    </w:p>
    <w:p w14:paraId="0F1FBD6D"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Nakajima M (2022) Sustainable food consumption: demand for local produce in Singapore. Sustainability 14(19):12330. </w:t>
      </w:r>
      <w:hyperlink r:id="rId58" w:tgtFrame="_new" w:history="1">
        <w:r w:rsidRPr="003855B1">
          <w:rPr>
            <w:rStyle w:val="Hyperlink"/>
            <w:rFonts w:ascii="Times New Roman" w:eastAsia="Times New Roman" w:hAnsi="Times New Roman" w:cs="Times New Roman"/>
            <w:noProof/>
            <w:sz w:val="24"/>
            <w:szCs w:val="24"/>
            <w:lang w:val="en-NL" w:eastAsia="en-GB"/>
          </w:rPr>
          <w:t>https://doi.org/10.3390/su141912330</w:t>
        </w:r>
      </w:hyperlink>
    </w:p>
    <w:p w14:paraId="4FB2B645"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Nemeth N, Rudnak I, Ymeri P, Fogarassy C (2019) The role of cultural factors in sustainable food consumption—An investigation of the consumption habits among international students in Hungary. Sustainability 11(11):3052. </w:t>
      </w:r>
      <w:hyperlink r:id="rId59" w:tgtFrame="_new" w:history="1">
        <w:r w:rsidRPr="003855B1">
          <w:rPr>
            <w:rStyle w:val="Hyperlink"/>
            <w:rFonts w:ascii="Times New Roman" w:eastAsia="Times New Roman" w:hAnsi="Times New Roman" w:cs="Times New Roman"/>
            <w:noProof/>
            <w:sz w:val="24"/>
            <w:szCs w:val="24"/>
            <w:lang w:val="en-NL" w:eastAsia="en-GB"/>
          </w:rPr>
          <w:t>https://doi.org/10.3390/su11113052</w:t>
        </w:r>
      </w:hyperlink>
    </w:p>
    <w:p w14:paraId="16074D56"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Nguyen TTT, Hetherington JB, O'Connor PJ, Malek L (2025) Sustainable food consumption: Sustainability-conscious consumers do not reduce food waste but nutrition-conscious consumers do. Resources, Conservation and Recycling 219:108296. </w:t>
      </w:r>
      <w:hyperlink r:id="rId60" w:tgtFrame="_new" w:history="1">
        <w:r w:rsidRPr="003855B1">
          <w:rPr>
            <w:rStyle w:val="Hyperlink"/>
            <w:rFonts w:ascii="Times New Roman" w:eastAsia="Times New Roman" w:hAnsi="Times New Roman" w:cs="Times New Roman"/>
            <w:noProof/>
            <w:sz w:val="24"/>
            <w:szCs w:val="24"/>
            <w:lang w:val="en-NL" w:eastAsia="en-GB"/>
          </w:rPr>
          <w:t>https://doi.org/10.1016/j.resconrec.2025.108296</w:t>
        </w:r>
      </w:hyperlink>
    </w:p>
    <w:p w14:paraId="312E8EAC"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Norwegian Ministry of Agriculture and Food (n.d.) Norway’s path towards a sustainable food </w:t>
      </w:r>
      <w:r w:rsidRPr="003855B1">
        <w:rPr>
          <w:rFonts w:ascii="Times New Roman" w:eastAsia="Times New Roman" w:hAnsi="Times New Roman" w:cs="Times New Roman"/>
          <w:noProof/>
          <w:sz w:val="24"/>
          <w:szCs w:val="24"/>
          <w:lang w:val="en-NL" w:eastAsia="en-GB"/>
        </w:rPr>
        <w:lastRenderedPageBreak/>
        <w:t xml:space="preserve">system. Norwegian Ministry of Agriculture and Food. </w:t>
      </w:r>
      <w:hyperlink r:id="rId61" w:tgtFrame="_new" w:history="1">
        <w:r w:rsidRPr="003855B1">
          <w:rPr>
            <w:rStyle w:val="Hyperlink"/>
            <w:rFonts w:ascii="Times New Roman" w:eastAsia="Times New Roman" w:hAnsi="Times New Roman" w:cs="Times New Roman"/>
            <w:noProof/>
            <w:sz w:val="24"/>
            <w:szCs w:val="24"/>
            <w:lang w:val="en-NL" w:eastAsia="en-GB"/>
          </w:rPr>
          <w:t>https://www.regjeringen.no/contentassets/b0d37474b77f4ee9baa8f63eafd603f/en-gb/pdfs/norways-path-towards-a-sustainable-food-system.pdf</w:t>
        </w:r>
      </w:hyperlink>
      <w:r w:rsidRPr="003855B1">
        <w:rPr>
          <w:rFonts w:ascii="Times New Roman" w:eastAsia="Times New Roman" w:hAnsi="Times New Roman" w:cs="Times New Roman"/>
          <w:noProof/>
          <w:sz w:val="24"/>
          <w:szCs w:val="24"/>
          <w:lang w:val="en-NL" w:eastAsia="en-GB"/>
        </w:rPr>
        <w:t>. Accessed 11 April 2025</w:t>
      </w:r>
    </w:p>
    <w:p w14:paraId="62241953"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Oxfam Ireland (2021) Sustainable food systems: Steps Ireland can take to become a global leader. Oxfam Ireland. </w:t>
      </w:r>
      <w:hyperlink r:id="rId62" w:tgtFrame="_new" w:history="1">
        <w:r w:rsidRPr="003855B1">
          <w:rPr>
            <w:rStyle w:val="Hyperlink"/>
            <w:rFonts w:ascii="Times New Roman" w:eastAsia="Times New Roman" w:hAnsi="Times New Roman" w:cs="Times New Roman"/>
            <w:noProof/>
            <w:sz w:val="24"/>
            <w:szCs w:val="24"/>
            <w:lang w:val="en-NL" w:eastAsia="en-GB"/>
          </w:rPr>
          <w:t>https://www.oxfamireland.org/sites/default/files/sustainable_food_systems_aug_2021.pdf</w:t>
        </w:r>
      </w:hyperlink>
      <w:r w:rsidRPr="003855B1">
        <w:rPr>
          <w:rFonts w:ascii="Times New Roman" w:eastAsia="Times New Roman" w:hAnsi="Times New Roman" w:cs="Times New Roman"/>
          <w:noProof/>
          <w:sz w:val="24"/>
          <w:szCs w:val="24"/>
          <w:lang w:val="en-NL" w:eastAsia="en-GB"/>
        </w:rPr>
        <w:t>. Accessed 11 April 2025</w:t>
      </w:r>
    </w:p>
    <w:p w14:paraId="1DEC71E0"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Pakravan-Charvadeh MR, Flora C (2022) Sustainable food consumption pattern with emphasis on socioeconomic factors to reduce food waste. International Journal of Environmental Science and Technology 19(10):9929-9944. </w:t>
      </w:r>
      <w:hyperlink r:id="rId63" w:tgtFrame="_new" w:history="1">
        <w:r w:rsidRPr="003855B1">
          <w:rPr>
            <w:rStyle w:val="Hyperlink"/>
            <w:rFonts w:ascii="Times New Roman" w:eastAsia="Times New Roman" w:hAnsi="Times New Roman" w:cs="Times New Roman"/>
            <w:noProof/>
            <w:sz w:val="24"/>
            <w:szCs w:val="24"/>
            <w:lang w:val="en-NL" w:eastAsia="en-GB"/>
          </w:rPr>
          <w:t>https://doi.org/10.1007/s13762-022-04186-9</w:t>
        </w:r>
      </w:hyperlink>
    </w:p>
    <w:p w14:paraId="12D9675C"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Panatsa VM, Malandrakis G (2024) Greek primary school students’ moral judgments and motives about sustainable food consumption. Cleaner and Responsible Consumption 12:100173. </w:t>
      </w:r>
      <w:hyperlink r:id="rId64" w:tgtFrame="_new" w:history="1">
        <w:r w:rsidRPr="003855B1">
          <w:rPr>
            <w:rStyle w:val="Hyperlink"/>
            <w:rFonts w:ascii="Times New Roman" w:eastAsia="Times New Roman" w:hAnsi="Times New Roman" w:cs="Times New Roman"/>
            <w:noProof/>
            <w:sz w:val="24"/>
            <w:szCs w:val="24"/>
            <w:lang w:val="en-NL" w:eastAsia="en-GB"/>
          </w:rPr>
          <w:t>https://doi.org/10.1016/j.clrc.2024.100173</w:t>
        </w:r>
      </w:hyperlink>
    </w:p>
    <w:p w14:paraId="395EE4C0"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Pandey S, Olsen A, Perez-Cueto FJ, Thomsen M (2023) Nudging toward sustainable food consumption at university canteens: a systematic review and meta-analysis. Journal of Nutrition Education and Behavior 55(12):894-904. </w:t>
      </w:r>
      <w:hyperlink r:id="rId65" w:tgtFrame="_new" w:history="1">
        <w:r w:rsidRPr="003855B1">
          <w:rPr>
            <w:rStyle w:val="Hyperlink"/>
            <w:rFonts w:ascii="Times New Roman" w:eastAsia="Times New Roman" w:hAnsi="Times New Roman" w:cs="Times New Roman"/>
            <w:noProof/>
            <w:sz w:val="24"/>
            <w:szCs w:val="24"/>
            <w:lang w:val="en-NL" w:eastAsia="en-GB"/>
          </w:rPr>
          <w:t>https://doi.org/10.1016/j.jneb.2023.09.006</w:t>
        </w:r>
      </w:hyperlink>
    </w:p>
    <w:p w14:paraId="087A79A9"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Pfeiffer C, Speck M, Strassner C (2017) What leads to lunch—How social practices impact (non-) sustainable food consumption/eating habits. Sustainability 9(8):1437. </w:t>
      </w:r>
      <w:hyperlink r:id="rId66" w:tgtFrame="_new" w:history="1">
        <w:r w:rsidRPr="003855B1">
          <w:rPr>
            <w:rStyle w:val="Hyperlink"/>
            <w:rFonts w:ascii="Times New Roman" w:eastAsia="Times New Roman" w:hAnsi="Times New Roman" w:cs="Times New Roman"/>
            <w:noProof/>
            <w:sz w:val="24"/>
            <w:szCs w:val="24"/>
            <w:lang w:val="en-NL" w:eastAsia="en-GB"/>
          </w:rPr>
          <w:t>https://doi.org/10.3390/su9081437</w:t>
        </w:r>
      </w:hyperlink>
    </w:p>
    <w:p w14:paraId="5D9A0F0D"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Phan TXD (2024) Understanding the acquisition, usage, and disposal behaviours in sustainable food consumption: A framework for future studies. Cleaner and Responsible Consumption 12:100162. </w:t>
      </w:r>
      <w:hyperlink r:id="rId67" w:tgtFrame="_new" w:history="1">
        <w:r w:rsidRPr="003855B1">
          <w:rPr>
            <w:rStyle w:val="Hyperlink"/>
            <w:rFonts w:ascii="Times New Roman" w:eastAsia="Times New Roman" w:hAnsi="Times New Roman" w:cs="Times New Roman"/>
            <w:noProof/>
            <w:sz w:val="24"/>
            <w:szCs w:val="24"/>
            <w:lang w:val="en-NL" w:eastAsia="en-GB"/>
          </w:rPr>
          <w:t>https://doi.org/10.1016/j.clrc.2023.100162</w:t>
        </w:r>
      </w:hyperlink>
    </w:p>
    <w:p w14:paraId="7A404A93"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Ran Y, Van Rysselberge P, Macura B, Persson UM, Hatab AA, Jonell M et al (2024) Effects of public policy interventions for environmentally sustainable food consumption: a systematic map of available evidence. Environmental Evidence 13(1):10. </w:t>
      </w:r>
      <w:hyperlink r:id="rId68" w:tgtFrame="_new" w:history="1">
        <w:r w:rsidRPr="003855B1">
          <w:rPr>
            <w:rStyle w:val="Hyperlink"/>
            <w:rFonts w:ascii="Times New Roman" w:eastAsia="Times New Roman" w:hAnsi="Times New Roman" w:cs="Times New Roman"/>
            <w:noProof/>
            <w:sz w:val="24"/>
            <w:szCs w:val="24"/>
            <w:lang w:val="en-NL" w:eastAsia="en-GB"/>
          </w:rPr>
          <w:t>https://doi.org/10.1186/s13750-024-00333-6</w:t>
        </w:r>
      </w:hyperlink>
    </w:p>
    <w:p w14:paraId="0F79D5FA"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Randall T, Cousins AL, Neilson L, Price M, Hardman CA, Wilkinson LL (2024) Sustainable </w:t>
      </w:r>
      <w:r w:rsidRPr="003855B1">
        <w:rPr>
          <w:rFonts w:ascii="Times New Roman" w:eastAsia="Times New Roman" w:hAnsi="Times New Roman" w:cs="Times New Roman"/>
          <w:noProof/>
          <w:sz w:val="24"/>
          <w:szCs w:val="24"/>
          <w:lang w:val="en-NL" w:eastAsia="en-GB"/>
        </w:rPr>
        <w:lastRenderedPageBreak/>
        <w:t xml:space="preserve">food consumption across Western and Non-Western cultures: A scoping review considering the theory of planned behaviour. Food Quality and Preference 114:105086. </w:t>
      </w:r>
      <w:hyperlink r:id="rId69" w:tgtFrame="_new" w:history="1">
        <w:r w:rsidRPr="003855B1">
          <w:rPr>
            <w:rStyle w:val="Hyperlink"/>
            <w:rFonts w:ascii="Times New Roman" w:eastAsia="Times New Roman" w:hAnsi="Times New Roman" w:cs="Times New Roman"/>
            <w:noProof/>
            <w:sz w:val="24"/>
            <w:szCs w:val="24"/>
            <w:lang w:val="en-NL" w:eastAsia="en-GB"/>
          </w:rPr>
          <w:t>https://doi.org/10.1016/j.foodqual.2023.105086</w:t>
        </w:r>
      </w:hyperlink>
    </w:p>
    <w:p w14:paraId="501292F0"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Reisch L, Eberle U, Lorek S (2013) Sustainable food consumption: an overview of contemporary issues and policies. Sustainability: Science, Practice and Policy 9(2):7-25. </w:t>
      </w:r>
      <w:hyperlink r:id="rId70" w:tgtFrame="_new" w:history="1">
        <w:r w:rsidRPr="003855B1">
          <w:rPr>
            <w:rStyle w:val="Hyperlink"/>
            <w:rFonts w:ascii="Times New Roman" w:eastAsia="Times New Roman" w:hAnsi="Times New Roman" w:cs="Times New Roman"/>
            <w:noProof/>
            <w:sz w:val="24"/>
            <w:szCs w:val="24"/>
            <w:lang w:val="en-NL" w:eastAsia="en-GB"/>
          </w:rPr>
          <w:t>https://doi.org/10.1080/15487733.2013.11908111</w:t>
        </w:r>
      </w:hyperlink>
    </w:p>
    <w:p w14:paraId="739BE716"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Rijksinstituut voor Volksgezondheid en Milieu (RIVM) (n.d.) Sustainable food. Rijksinstituut voor Volksgezondheid en Milieu. </w:t>
      </w:r>
      <w:hyperlink r:id="rId71" w:tgtFrame="_new" w:history="1">
        <w:r w:rsidRPr="003855B1">
          <w:rPr>
            <w:rStyle w:val="Hyperlink"/>
            <w:rFonts w:ascii="Times New Roman" w:eastAsia="Times New Roman" w:hAnsi="Times New Roman" w:cs="Times New Roman"/>
            <w:noProof/>
            <w:sz w:val="24"/>
            <w:szCs w:val="24"/>
            <w:lang w:val="en-NL" w:eastAsia="en-GB"/>
          </w:rPr>
          <w:t>https://www.rivm.nl/en/food-and-nutrition/sustainable-food</w:t>
        </w:r>
      </w:hyperlink>
      <w:r w:rsidRPr="003855B1">
        <w:rPr>
          <w:rFonts w:ascii="Times New Roman" w:eastAsia="Times New Roman" w:hAnsi="Times New Roman" w:cs="Times New Roman"/>
          <w:noProof/>
          <w:sz w:val="24"/>
          <w:szCs w:val="24"/>
          <w:lang w:val="en-NL" w:eastAsia="en-GB"/>
        </w:rPr>
        <w:t>. Accessed 11 April 2025</w:t>
      </w:r>
    </w:p>
    <w:p w14:paraId="3EFD3865"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Sargant E (2014) Sustainable food consumption: A practice based approach. Dissertation, Wageningen University. https://www.proquest.com/docview/2522351420?pq-origsite=gscholar&amp;fromopenview=true&amp;sourcetype=Dissertations%20%26%20Theses. Accessed 29 March 2025</w:t>
      </w:r>
    </w:p>
    <w:p w14:paraId="136948D8"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Scalvedi ML, Saba A (2018) Exploring local and organic food consumption in a holistic sustainability view. British Food Journal 120(4):749-762. </w:t>
      </w:r>
      <w:hyperlink r:id="rId72" w:tgtFrame="_new" w:history="1">
        <w:r w:rsidRPr="003855B1">
          <w:rPr>
            <w:rStyle w:val="Hyperlink"/>
            <w:rFonts w:ascii="Times New Roman" w:eastAsia="Times New Roman" w:hAnsi="Times New Roman" w:cs="Times New Roman"/>
            <w:noProof/>
            <w:sz w:val="24"/>
            <w:szCs w:val="24"/>
            <w:lang w:val="en-NL" w:eastAsia="en-GB"/>
          </w:rPr>
          <w:t>https://doi.org/10.1108/BFJ-03-2017-0141</w:t>
        </w:r>
      </w:hyperlink>
    </w:p>
    <w:p w14:paraId="491C4B41"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Schäufele-Elbers I, Janssen M (2023) Consumer segmentation based on three dimensions of sustainable food consumption: a simultaneous analysis of meat, organic food, and sweet snack purchases based on household panel data in Germany. Frontiers in Nutrition 10:1140636. </w:t>
      </w:r>
      <w:hyperlink r:id="rId73" w:tgtFrame="_new" w:history="1">
        <w:r w:rsidRPr="003855B1">
          <w:rPr>
            <w:rStyle w:val="Hyperlink"/>
            <w:rFonts w:ascii="Times New Roman" w:eastAsia="Times New Roman" w:hAnsi="Times New Roman" w:cs="Times New Roman"/>
            <w:noProof/>
            <w:sz w:val="24"/>
            <w:szCs w:val="24"/>
            <w:lang w:val="en-NL" w:eastAsia="en-GB"/>
          </w:rPr>
          <w:t>https://doi.org/10.3389/fnut.2023.1140636</w:t>
        </w:r>
      </w:hyperlink>
    </w:p>
    <w:p w14:paraId="5D7FCCB6"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Srivastava V, Kashyap A (2025) Situating sustainable food systems within the international trading regime: what is at stake for developing countries? Journal of International Trade Law and Policy. </w:t>
      </w:r>
      <w:hyperlink r:id="rId74" w:tgtFrame="_new" w:history="1">
        <w:r w:rsidRPr="003855B1">
          <w:rPr>
            <w:rStyle w:val="Hyperlink"/>
            <w:rFonts w:ascii="Times New Roman" w:eastAsia="Times New Roman" w:hAnsi="Times New Roman" w:cs="Times New Roman"/>
            <w:noProof/>
            <w:sz w:val="24"/>
            <w:szCs w:val="24"/>
            <w:lang w:val="en-NL" w:eastAsia="en-GB"/>
          </w:rPr>
          <w:t>https://doi.org/10.1108/JITLP-08-2024-0053</w:t>
        </w:r>
      </w:hyperlink>
    </w:p>
    <w:p w14:paraId="0ADD42A1"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Summerhayes L, Baker D, Vella K (2024) Food diversity and accessibility enabled urban environments for sustainable food consumption: a case study of Brisbane, Australia. Humanities and Social Sciences Communications 11(1):1-14. </w:t>
      </w:r>
      <w:hyperlink r:id="rId75" w:tgtFrame="_new" w:history="1">
        <w:r w:rsidRPr="003855B1">
          <w:rPr>
            <w:rStyle w:val="Hyperlink"/>
            <w:rFonts w:ascii="Times New Roman" w:eastAsia="Times New Roman" w:hAnsi="Times New Roman" w:cs="Times New Roman"/>
            <w:noProof/>
            <w:sz w:val="24"/>
            <w:szCs w:val="24"/>
            <w:lang w:val="en-NL" w:eastAsia="en-GB"/>
          </w:rPr>
          <w:t>https://doi.org/10.1057/s41599-024-03724-9</w:t>
        </w:r>
      </w:hyperlink>
    </w:p>
    <w:p w14:paraId="6551CC2A"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lastRenderedPageBreak/>
        <w:t xml:space="preserve">Thøgersen J (2017) Sustainable food consumption in the nexus between national context and private lifestyle: A multi-level study. Food Quality and Preference 55:16-25. </w:t>
      </w:r>
      <w:hyperlink r:id="rId76" w:tgtFrame="_new" w:history="1">
        <w:r w:rsidRPr="003855B1">
          <w:rPr>
            <w:rStyle w:val="Hyperlink"/>
            <w:rFonts w:ascii="Times New Roman" w:eastAsia="Times New Roman" w:hAnsi="Times New Roman" w:cs="Times New Roman"/>
            <w:noProof/>
            <w:sz w:val="24"/>
            <w:szCs w:val="24"/>
            <w:lang w:val="en-NL" w:eastAsia="en-GB"/>
          </w:rPr>
          <w:t>https://doi.org/10.1016/j.foodqual.2016.08.006</w:t>
        </w:r>
      </w:hyperlink>
    </w:p>
    <w:p w14:paraId="0E125182"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United Nations Environment Programme (UNEP) (n.d.) Sustainable Food Systems. United Nations Environment Programme. </w:t>
      </w:r>
      <w:hyperlink r:id="rId77" w:tgtFrame="_new" w:history="1">
        <w:r w:rsidRPr="003855B1">
          <w:rPr>
            <w:rStyle w:val="Hyperlink"/>
            <w:rFonts w:ascii="Times New Roman" w:eastAsia="Times New Roman" w:hAnsi="Times New Roman" w:cs="Times New Roman"/>
            <w:noProof/>
            <w:sz w:val="24"/>
            <w:szCs w:val="24"/>
            <w:lang w:val="en-NL" w:eastAsia="en-GB"/>
          </w:rPr>
          <w:t>https://www.unep.org/regions/asia-and-pacific/regional-initiatives/supporting-resource-efficiency/asia-pacific-roadmap-7</w:t>
        </w:r>
      </w:hyperlink>
      <w:r w:rsidRPr="003855B1">
        <w:rPr>
          <w:rFonts w:ascii="Times New Roman" w:eastAsia="Times New Roman" w:hAnsi="Times New Roman" w:cs="Times New Roman"/>
          <w:noProof/>
          <w:sz w:val="24"/>
          <w:szCs w:val="24"/>
          <w:lang w:val="en-NL" w:eastAsia="en-GB"/>
        </w:rPr>
        <w:t>. Accessed 11 April 2025</w:t>
      </w:r>
    </w:p>
    <w:p w14:paraId="6FCDB16E"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United States Department of Agriculture (USDA) (n.d.) Definitions: Sustainability and food systems. United States Department of Agriculture. </w:t>
      </w:r>
      <w:hyperlink r:id="rId78" w:tgtFrame="_new" w:history="1">
        <w:r w:rsidRPr="003855B1">
          <w:rPr>
            <w:rStyle w:val="Hyperlink"/>
            <w:rFonts w:ascii="Times New Roman" w:eastAsia="Times New Roman" w:hAnsi="Times New Roman" w:cs="Times New Roman"/>
            <w:noProof/>
            <w:sz w:val="24"/>
            <w:szCs w:val="24"/>
            <w:lang w:val="en-NL" w:eastAsia="en-GB"/>
          </w:rPr>
          <w:t>https://www.usda.gov/about-usda/general-information/staff-offices/office-chief-economist/oce-sustainability/definitions-sustainability-and-food-systems</w:t>
        </w:r>
      </w:hyperlink>
      <w:r w:rsidRPr="003855B1">
        <w:rPr>
          <w:rFonts w:ascii="Times New Roman" w:eastAsia="Times New Roman" w:hAnsi="Times New Roman" w:cs="Times New Roman"/>
          <w:noProof/>
          <w:sz w:val="24"/>
          <w:szCs w:val="24"/>
          <w:lang w:val="en-NL" w:eastAsia="en-GB"/>
        </w:rPr>
        <w:t>. Accessed 11 April 2025</w:t>
      </w:r>
    </w:p>
    <w:p w14:paraId="411CB48F"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Unilever (n.d.) The world’s food system needs to change. Unilever. </w:t>
      </w:r>
      <w:hyperlink r:id="rId79" w:tgtFrame="_new" w:history="1">
        <w:r w:rsidRPr="003855B1">
          <w:rPr>
            <w:rStyle w:val="Hyperlink"/>
            <w:rFonts w:ascii="Times New Roman" w:eastAsia="Times New Roman" w:hAnsi="Times New Roman" w:cs="Times New Roman"/>
            <w:noProof/>
            <w:sz w:val="24"/>
            <w:szCs w:val="24"/>
            <w:lang w:val="en-NL" w:eastAsia="en-GB"/>
          </w:rPr>
          <w:t>https://www.unilever.com/brands/foods/the-worlds-food-system-needs-to-change</w:t>
        </w:r>
      </w:hyperlink>
      <w:r w:rsidRPr="003855B1">
        <w:rPr>
          <w:rFonts w:ascii="Times New Roman" w:eastAsia="Times New Roman" w:hAnsi="Times New Roman" w:cs="Times New Roman"/>
          <w:noProof/>
          <w:sz w:val="24"/>
          <w:szCs w:val="24"/>
          <w:lang w:val="en-NL" w:eastAsia="en-GB"/>
        </w:rPr>
        <w:t>. Accessed 29 March 2025</w:t>
      </w:r>
    </w:p>
    <w:p w14:paraId="0547A580"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Vanhonacker F, Van Loo EJ, Gellynck X, Verbeke W (2013) Flemish consumer attitudes towards more sustainable food choices. Appetite 62:7-16. </w:t>
      </w:r>
      <w:hyperlink r:id="rId80" w:tgtFrame="_new" w:history="1">
        <w:r w:rsidRPr="003855B1">
          <w:rPr>
            <w:rStyle w:val="Hyperlink"/>
            <w:rFonts w:ascii="Times New Roman" w:eastAsia="Times New Roman" w:hAnsi="Times New Roman" w:cs="Times New Roman"/>
            <w:noProof/>
            <w:sz w:val="24"/>
            <w:szCs w:val="24"/>
            <w:lang w:val="en-NL" w:eastAsia="en-GB"/>
          </w:rPr>
          <w:t>https://doi.org/10.1016/j.appet.2012.11.003</w:t>
        </w:r>
      </w:hyperlink>
    </w:p>
    <w:p w14:paraId="28A4C0EB"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Van Bussel LM, Kuijsten A, Mars M, Van’t Veer P (2022) Consumers’ perceptions on food-related sustainability: A systematic review. Journal of Cleaner Production 341:130904. </w:t>
      </w:r>
      <w:hyperlink r:id="rId81" w:tgtFrame="_new" w:history="1">
        <w:r w:rsidRPr="003855B1">
          <w:rPr>
            <w:rStyle w:val="Hyperlink"/>
            <w:rFonts w:ascii="Times New Roman" w:eastAsia="Times New Roman" w:hAnsi="Times New Roman" w:cs="Times New Roman"/>
            <w:noProof/>
            <w:sz w:val="24"/>
            <w:szCs w:val="24"/>
            <w:lang w:val="en-NL" w:eastAsia="en-GB"/>
          </w:rPr>
          <w:t>https://doi.org/10.1016/j.jclepro.2022.130904</w:t>
        </w:r>
      </w:hyperlink>
    </w:p>
    <w:p w14:paraId="5389D1A9"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Vargas AM, de Moura AP, Deliza R, Cunha LM (2021) The role of local seasonal foods in enhancing sustainable food consumption: A systematic literature review. Foods 10(9):2206. </w:t>
      </w:r>
      <w:hyperlink r:id="rId82" w:tgtFrame="_new" w:history="1">
        <w:r w:rsidRPr="003855B1">
          <w:rPr>
            <w:rStyle w:val="Hyperlink"/>
            <w:rFonts w:ascii="Times New Roman" w:eastAsia="Times New Roman" w:hAnsi="Times New Roman" w:cs="Times New Roman"/>
            <w:noProof/>
            <w:sz w:val="24"/>
            <w:szCs w:val="24"/>
            <w:lang w:val="en-NL" w:eastAsia="en-GB"/>
          </w:rPr>
          <w:t>https://doi.org/10.3390/foods10092206</w:t>
        </w:r>
      </w:hyperlink>
    </w:p>
    <w:p w14:paraId="693D1583"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Vassallo M, Scalvedi ML, Saba A (2016) Investigating psychosocial determinants in influencing sustainable food consumption in Italy. International Journal of Consumer Studies 40(4):422-434. </w:t>
      </w:r>
      <w:hyperlink r:id="rId83" w:tgtFrame="_new" w:history="1">
        <w:r w:rsidRPr="003855B1">
          <w:rPr>
            <w:rStyle w:val="Hyperlink"/>
            <w:rFonts w:ascii="Times New Roman" w:eastAsia="Times New Roman" w:hAnsi="Times New Roman" w:cs="Times New Roman"/>
            <w:noProof/>
            <w:sz w:val="24"/>
            <w:szCs w:val="24"/>
            <w:lang w:val="en-NL" w:eastAsia="en-GB"/>
          </w:rPr>
          <w:t>https://doi.org/10.1111/ijcs.12268</w:t>
        </w:r>
      </w:hyperlink>
    </w:p>
    <w:p w14:paraId="676F299D"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Verain MCD, Bartels J, Dagevos H, Sijtsema SJ, Onwezen MC, Antonides G (2012) Segments of sustainable food consumers: a literature review. International Journal of Consumer Studies </w:t>
      </w:r>
      <w:r w:rsidRPr="003855B1">
        <w:rPr>
          <w:rFonts w:ascii="Times New Roman" w:eastAsia="Times New Roman" w:hAnsi="Times New Roman" w:cs="Times New Roman"/>
          <w:noProof/>
          <w:sz w:val="24"/>
          <w:szCs w:val="24"/>
          <w:lang w:val="en-NL" w:eastAsia="en-GB"/>
        </w:rPr>
        <w:lastRenderedPageBreak/>
        <w:t xml:space="preserve">36(2):123-132. </w:t>
      </w:r>
      <w:hyperlink r:id="rId84" w:tgtFrame="_new" w:history="1">
        <w:r w:rsidRPr="003855B1">
          <w:rPr>
            <w:rStyle w:val="Hyperlink"/>
            <w:rFonts w:ascii="Times New Roman" w:eastAsia="Times New Roman" w:hAnsi="Times New Roman" w:cs="Times New Roman"/>
            <w:noProof/>
            <w:sz w:val="24"/>
            <w:szCs w:val="24"/>
            <w:lang w:val="en-NL" w:eastAsia="en-GB"/>
          </w:rPr>
          <w:t>https://doi.org/10.1111/j.1470-6431.2011.01082.x</w:t>
        </w:r>
      </w:hyperlink>
    </w:p>
    <w:p w14:paraId="2E9C62DF"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Verain MCD, Dagevos H, Antonides G (2015) Sustainable food consumption. Product choice or curtailment? Appetite 91:375-384. </w:t>
      </w:r>
      <w:hyperlink r:id="rId85" w:tgtFrame="_new" w:history="1">
        <w:r w:rsidRPr="003855B1">
          <w:rPr>
            <w:rStyle w:val="Hyperlink"/>
            <w:rFonts w:ascii="Times New Roman" w:eastAsia="Times New Roman" w:hAnsi="Times New Roman" w:cs="Times New Roman"/>
            <w:noProof/>
            <w:sz w:val="24"/>
            <w:szCs w:val="24"/>
            <w:lang w:val="en-NL" w:eastAsia="en-GB"/>
          </w:rPr>
          <w:t>https://doi.org/10.1016/j.appet.2015.04.055</w:t>
        </w:r>
      </w:hyperlink>
    </w:p>
    <w:p w14:paraId="4089E1FF"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Verain MCD, Onwezen MC, Sijtsema SJ, Dagevos H (2016) The added value of sustainability motivations in understanding sustainable food choices. APSTRACT: Applied Studies in Agribusiness and Commerce 10:67-76. </w:t>
      </w:r>
      <w:hyperlink r:id="rId86" w:tgtFrame="_new" w:history="1">
        <w:r w:rsidRPr="003855B1">
          <w:rPr>
            <w:rStyle w:val="Hyperlink"/>
            <w:rFonts w:ascii="Times New Roman" w:eastAsia="Times New Roman" w:hAnsi="Times New Roman" w:cs="Times New Roman"/>
            <w:noProof/>
            <w:sz w:val="24"/>
            <w:szCs w:val="24"/>
            <w:lang w:val="en-NL" w:eastAsia="en-GB"/>
          </w:rPr>
          <w:t>https://doi.org/10.19041/APSTRACT/2016/2-3/8</w:t>
        </w:r>
      </w:hyperlink>
    </w:p>
    <w:p w14:paraId="04AFDD70"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Verain MCD, Snoek HM, Onwezen MC, Reinders MJ, Bouwman EP (2021) Sustainable food choice motives: The development and cross-country validation of the Sustainable Food Choice Questionnaire (SUS-FCQ). Food Quality and Preference 93:104267. </w:t>
      </w:r>
      <w:hyperlink r:id="rId87" w:tgtFrame="_new" w:history="1">
        <w:r w:rsidRPr="003855B1">
          <w:rPr>
            <w:rStyle w:val="Hyperlink"/>
            <w:rFonts w:ascii="Times New Roman" w:eastAsia="Times New Roman" w:hAnsi="Times New Roman" w:cs="Times New Roman"/>
            <w:noProof/>
            <w:sz w:val="24"/>
            <w:szCs w:val="24"/>
            <w:lang w:val="en-NL" w:eastAsia="en-GB"/>
          </w:rPr>
          <w:t>https://doi.org/10.1016/j.foodqual.2021.104267</w:t>
        </w:r>
      </w:hyperlink>
    </w:p>
    <w:p w14:paraId="69CED772"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Vermeir I, Weijters B, De Houwer J, Geuens M, Slabbinck H, Spruyt A et al (2020) Environmentally sustainable food consumption: A review and research agenda from a goal-directed perspective. Frontiers in Psychology 11:1603. </w:t>
      </w:r>
      <w:hyperlink r:id="rId88" w:tgtFrame="_new" w:history="1">
        <w:r w:rsidRPr="003855B1">
          <w:rPr>
            <w:rStyle w:val="Hyperlink"/>
            <w:rFonts w:ascii="Times New Roman" w:eastAsia="Times New Roman" w:hAnsi="Times New Roman" w:cs="Times New Roman"/>
            <w:noProof/>
            <w:sz w:val="24"/>
            <w:szCs w:val="24"/>
            <w:lang w:val="en-NL" w:eastAsia="en-GB"/>
          </w:rPr>
          <w:t>https://doi.org/10.3389/fpsyg.2020.01603</w:t>
        </w:r>
      </w:hyperlink>
    </w:p>
    <w:p w14:paraId="3F2C0E60"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Vermeir I, Verbeke W (2006) Sustainable food consumption: Exploring the consumer “attitude–behavioral intention” gap. Journal of Agricultural and Environmental Ethics 19:169-194. </w:t>
      </w:r>
      <w:hyperlink r:id="rId89" w:tgtFrame="_new" w:history="1">
        <w:r w:rsidRPr="003855B1">
          <w:rPr>
            <w:rStyle w:val="Hyperlink"/>
            <w:rFonts w:ascii="Times New Roman" w:eastAsia="Times New Roman" w:hAnsi="Times New Roman" w:cs="Times New Roman"/>
            <w:noProof/>
            <w:sz w:val="24"/>
            <w:szCs w:val="24"/>
            <w:lang w:val="en-NL" w:eastAsia="en-GB"/>
          </w:rPr>
          <w:t>https://doi.org/10.1007/s10806-005-5485-3</w:t>
        </w:r>
      </w:hyperlink>
    </w:p>
    <w:p w14:paraId="18304A2D"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von Braun J, Afsana K, Fresco LO, Hassan M (eds) (2021) Science and innovations for food systems transformation and summit actions. Scientific Group for the UN Food Systems Summit. </w:t>
      </w:r>
      <w:hyperlink r:id="rId90" w:tgtFrame="_new" w:history="1">
        <w:r w:rsidRPr="003855B1">
          <w:rPr>
            <w:rStyle w:val="Hyperlink"/>
            <w:rFonts w:ascii="Times New Roman" w:eastAsia="Times New Roman" w:hAnsi="Times New Roman" w:cs="Times New Roman"/>
            <w:noProof/>
            <w:sz w:val="24"/>
            <w:szCs w:val="24"/>
            <w:lang w:val="en-NL" w:eastAsia="en-GB"/>
          </w:rPr>
          <w:t>https://doi.org/10.1007/978-3-031-15703-5</w:t>
        </w:r>
      </w:hyperlink>
    </w:p>
    <w:p w14:paraId="0F9A56E6"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Voget-Kleschin L (2015) Reasoning claims for more sustainable food consumption: A capabilities perspective. Journal of Agricultural and Environmental Ethics 28:455-477. </w:t>
      </w:r>
      <w:hyperlink r:id="rId91" w:tgtFrame="_new" w:history="1">
        <w:r w:rsidRPr="003855B1">
          <w:rPr>
            <w:rStyle w:val="Hyperlink"/>
            <w:rFonts w:ascii="Times New Roman" w:eastAsia="Times New Roman" w:hAnsi="Times New Roman" w:cs="Times New Roman"/>
            <w:noProof/>
            <w:sz w:val="24"/>
            <w:szCs w:val="24"/>
            <w:lang w:val="en-NL" w:eastAsia="en-GB"/>
          </w:rPr>
          <w:t>https://doi.org/10.1007/s10806-014-9503-1</w:t>
        </w:r>
      </w:hyperlink>
    </w:p>
    <w:p w14:paraId="2F047206"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World Health Organization (WHO) (2019) Sustainable healthy diets. Guiding principles. World Health Organization. </w:t>
      </w:r>
      <w:hyperlink r:id="rId92" w:tgtFrame="_new" w:history="1">
        <w:r w:rsidRPr="003855B1">
          <w:rPr>
            <w:rStyle w:val="Hyperlink"/>
            <w:rFonts w:ascii="Times New Roman" w:eastAsia="Times New Roman" w:hAnsi="Times New Roman" w:cs="Times New Roman"/>
            <w:noProof/>
            <w:sz w:val="24"/>
            <w:szCs w:val="24"/>
            <w:lang w:val="en-NL" w:eastAsia="en-GB"/>
          </w:rPr>
          <w:t>https://iris.who.int/bitstream/handle/10665/329409/9789241516648-eng.pdf?sequence=1</w:t>
        </w:r>
      </w:hyperlink>
      <w:r w:rsidRPr="003855B1">
        <w:rPr>
          <w:rFonts w:ascii="Times New Roman" w:eastAsia="Times New Roman" w:hAnsi="Times New Roman" w:cs="Times New Roman"/>
          <w:noProof/>
          <w:sz w:val="24"/>
          <w:szCs w:val="24"/>
          <w:lang w:val="en-NL" w:eastAsia="en-GB"/>
        </w:rPr>
        <w:t>. Accessed 11 April 2025</w:t>
      </w:r>
    </w:p>
    <w:p w14:paraId="58971A0F"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lastRenderedPageBreak/>
        <w:t xml:space="preserve">Willett W, Rockström J, Loken B, Springmann M, Lang T, Vermeulen S et al (2019) Food in the Anthropocene: the EAT–Lancet Commission on healthy diets from sustainable food systems. The Lancet 393(10170):447-492. </w:t>
      </w:r>
      <w:hyperlink r:id="rId93" w:tgtFrame="_new" w:history="1">
        <w:r w:rsidRPr="003855B1">
          <w:rPr>
            <w:rStyle w:val="Hyperlink"/>
            <w:rFonts w:ascii="Times New Roman" w:eastAsia="Times New Roman" w:hAnsi="Times New Roman" w:cs="Times New Roman"/>
            <w:noProof/>
            <w:sz w:val="24"/>
            <w:szCs w:val="24"/>
            <w:lang w:val="en-NL" w:eastAsia="en-GB"/>
          </w:rPr>
          <w:t>https://doi.org/10.1016/S0140-6736(18)31788-4</w:t>
        </w:r>
      </w:hyperlink>
    </w:p>
    <w:p w14:paraId="37CF8F09"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World Wide Fund for Nature (WWF) (2020) WWF position on healthy and sustainable diets. World Wide Fund for Nature. </w:t>
      </w:r>
      <w:hyperlink r:id="rId94" w:tgtFrame="_new" w:history="1">
        <w:r w:rsidRPr="003855B1">
          <w:rPr>
            <w:rStyle w:val="Hyperlink"/>
            <w:rFonts w:ascii="Times New Roman" w:eastAsia="Times New Roman" w:hAnsi="Times New Roman" w:cs="Times New Roman"/>
            <w:noProof/>
            <w:sz w:val="24"/>
            <w:szCs w:val="24"/>
            <w:lang w:val="en-NL" w:eastAsia="en-GB"/>
          </w:rPr>
          <w:t>https://wwfint.awsassets.panda.org/downloads/wwf_position_on_healthy_and_sustainable_diets.pdf</w:t>
        </w:r>
      </w:hyperlink>
      <w:r w:rsidRPr="003855B1">
        <w:rPr>
          <w:rFonts w:ascii="Times New Roman" w:eastAsia="Times New Roman" w:hAnsi="Times New Roman" w:cs="Times New Roman"/>
          <w:noProof/>
          <w:sz w:val="24"/>
          <w:szCs w:val="24"/>
          <w:lang w:val="en-NL" w:eastAsia="en-GB"/>
        </w:rPr>
        <w:t>. Accessed 11 April 2025</w:t>
      </w:r>
    </w:p>
    <w:p w14:paraId="45BA291C" w14:textId="50E2855C" w:rsidR="00270E20" w:rsidRDefault="00270E20" w:rsidP="003855B1">
      <w:pPr>
        <w:widowControl w:val="0"/>
        <w:spacing w:before="360" w:after="60" w:line="360" w:lineRule="auto"/>
        <w:jc w:val="both"/>
        <w:rPr>
          <w:rFonts w:ascii="Times New Roman" w:eastAsia="Times New Roman" w:hAnsi="Times New Roman" w:cs="Times New Roman"/>
          <w:noProof/>
          <w:sz w:val="24"/>
          <w:szCs w:val="24"/>
          <w:lang w:eastAsia="en-GB"/>
        </w:rPr>
      </w:pPr>
      <w:r w:rsidRPr="00270E20">
        <w:rPr>
          <w:rFonts w:ascii="Times New Roman" w:eastAsia="Times New Roman" w:hAnsi="Times New Roman" w:cs="Times New Roman"/>
          <w:noProof/>
          <w:sz w:val="24"/>
          <w:szCs w:val="24"/>
          <w:lang w:eastAsia="en-GB"/>
        </w:rPr>
        <w:t xml:space="preserve">Yang X, Zou J, Gao J, Yang S (2025) Reducing carbon emissions through sustainable food consumption: Applying an A-S-I framework on Beijing residents. Resources, Conservation and Recycling 219:108301. </w:t>
      </w:r>
      <w:hyperlink r:id="rId95" w:history="1">
        <w:r w:rsidRPr="00B75660">
          <w:rPr>
            <w:rStyle w:val="Hyperlink"/>
            <w:rFonts w:ascii="Times New Roman" w:eastAsia="Times New Roman" w:hAnsi="Times New Roman" w:cs="Times New Roman"/>
            <w:noProof/>
            <w:sz w:val="24"/>
            <w:szCs w:val="24"/>
            <w:lang w:eastAsia="en-GB"/>
          </w:rPr>
          <w:t>https://doi.org/10.1016/j.resconrec.2025.108301</w:t>
        </w:r>
      </w:hyperlink>
    </w:p>
    <w:p w14:paraId="49953A82" w14:textId="75950E8C" w:rsidR="003855B1" w:rsidRPr="00270E20" w:rsidRDefault="00270E20" w:rsidP="003855B1">
      <w:pPr>
        <w:widowControl w:val="0"/>
        <w:spacing w:before="360" w:after="60" w:line="360" w:lineRule="auto"/>
        <w:jc w:val="both"/>
        <w:rPr>
          <w:rFonts w:ascii="Times New Roman" w:eastAsia="Times New Roman" w:hAnsi="Times New Roman" w:cs="Times New Roman"/>
          <w:noProof/>
          <w:sz w:val="24"/>
          <w:szCs w:val="24"/>
          <w:lang w:eastAsia="en-GB"/>
        </w:rPr>
      </w:pPr>
      <w:r w:rsidRPr="00270E20">
        <w:rPr>
          <w:rFonts w:ascii="Times New Roman" w:eastAsia="Times New Roman" w:hAnsi="Times New Roman" w:cs="Times New Roman"/>
          <w:noProof/>
          <w:sz w:val="24"/>
          <w:szCs w:val="24"/>
          <w:lang w:eastAsia="en-GB"/>
        </w:rPr>
        <w:t xml:space="preserve"> </w:t>
      </w:r>
      <w:r w:rsidR="003855B1" w:rsidRPr="003855B1">
        <w:rPr>
          <w:rFonts w:ascii="Times New Roman" w:eastAsia="Times New Roman" w:hAnsi="Times New Roman" w:cs="Times New Roman"/>
          <w:noProof/>
          <w:sz w:val="24"/>
          <w:szCs w:val="24"/>
          <w:lang w:val="en-NL" w:eastAsia="en-GB"/>
        </w:rPr>
        <w:t xml:space="preserve">Yamoah FA, Acquaye A (2019) Unravelling the attitude-behaviour gap paradox for sustainable food consumption: Insight from the UK apple market. Journal of Cleaner Production 217:172-184. </w:t>
      </w:r>
      <w:hyperlink r:id="rId96" w:tgtFrame="_new" w:history="1">
        <w:r w:rsidR="003855B1" w:rsidRPr="003855B1">
          <w:rPr>
            <w:rStyle w:val="Hyperlink"/>
            <w:rFonts w:ascii="Times New Roman" w:eastAsia="Times New Roman" w:hAnsi="Times New Roman" w:cs="Times New Roman"/>
            <w:noProof/>
            <w:sz w:val="24"/>
            <w:szCs w:val="24"/>
            <w:lang w:val="en-NL" w:eastAsia="en-GB"/>
          </w:rPr>
          <w:t>https://doi.org/10.1016/j.jclepro.2019.01.094</w:t>
        </w:r>
      </w:hyperlink>
    </w:p>
    <w:p w14:paraId="7CF26E2E" w14:textId="77777777" w:rsidR="003855B1" w:rsidRPr="003855B1" w:rsidRDefault="003855B1" w:rsidP="003855B1">
      <w:pPr>
        <w:widowControl w:val="0"/>
        <w:spacing w:before="360" w:after="60" w:line="360" w:lineRule="auto"/>
        <w:jc w:val="both"/>
        <w:rPr>
          <w:rFonts w:ascii="Times New Roman" w:eastAsia="Times New Roman" w:hAnsi="Times New Roman" w:cs="Times New Roman"/>
          <w:noProof/>
          <w:sz w:val="24"/>
          <w:szCs w:val="24"/>
          <w:lang w:val="en-NL" w:eastAsia="en-GB"/>
        </w:rPr>
      </w:pPr>
      <w:r w:rsidRPr="003855B1">
        <w:rPr>
          <w:rFonts w:ascii="Times New Roman" w:eastAsia="Times New Roman" w:hAnsi="Times New Roman" w:cs="Times New Roman"/>
          <w:noProof/>
          <w:sz w:val="24"/>
          <w:szCs w:val="24"/>
          <w:lang w:val="en-NL" w:eastAsia="en-GB"/>
        </w:rPr>
        <w:t xml:space="preserve">Zanatta F, Mari S, Adorni R, Labra M, Matacena R, Zenga M, D’Addario M (2022) The role of selected psychological factors in healthy-sustainable food consumption behaviors during the COVID-19 pandemic. Foods 11(13):1944. </w:t>
      </w:r>
      <w:hyperlink r:id="rId97" w:tgtFrame="_new" w:history="1">
        <w:r w:rsidRPr="003855B1">
          <w:rPr>
            <w:rStyle w:val="Hyperlink"/>
            <w:rFonts w:ascii="Times New Roman" w:eastAsia="Times New Roman" w:hAnsi="Times New Roman" w:cs="Times New Roman"/>
            <w:noProof/>
            <w:sz w:val="24"/>
            <w:szCs w:val="24"/>
            <w:lang w:val="en-NL" w:eastAsia="en-GB"/>
          </w:rPr>
          <w:t>https://doi.org/10.3390/foods11131944</w:t>
        </w:r>
      </w:hyperlink>
    </w:p>
    <w:p w14:paraId="0D0E9EDB" w14:textId="486A4EF2" w:rsidR="0FBACB51" w:rsidRPr="005205D3" w:rsidRDefault="0FBACB51" w:rsidP="005205D3">
      <w:pPr>
        <w:spacing w:after="160" w:line="257" w:lineRule="auto"/>
        <w:jc w:val="both"/>
        <w:rPr>
          <w:rFonts w:ascii="Times New Roman" w:eastAsia="Times New Roman" w:hAnsi="Times New Roman" w:cs="Times New Roman"/>
          <w:noProof/>
          <w:sz w:val="24"/>
          <w:szCs w:val="24"/>
        </w:rPr>
      </w:pPr>
    </w:p>
    <w:p w14:paraId="5B57F7C3" w14:textId="7EA70EC8" w:rsidR="0FBACB51" w:rsidRDefault="0FBACB51" w:rsidP="0FBACB51">
      <w:pPr>
        <w:widowControl w:val="0"/>
        <w:spacing w:before="360" w:after="60" w:line="360" w:lineRule="auto"/>
        <w:rPr>
          <w:rFonts w:ascii="Times New Roman" w:eastAsia="Times New Roman" w:hAnsi="Times New Roman" w:cs="Times New Roman"/>
          <w:noProof/>
          <w:sz w:val="24"/>
          <w:szCs w:val="24"/>
          <w:lang w:val="en-GB" w:eastAsia="en-GB"/>
        </w:rPr>
      </w:pPr>
    </w:p>
    <w:sectPr w:rsidR="0FBACB51" w:rsidSect="002F34D9">
      <w:headerReference w:type="default" r:id="rId98"/>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69FE8" w14:textId="77777777" w:rsidR="00B27118" w:rsidRDefault="00B27118" w:rsidP="00026566">
      <w:pPr>
        <w:spacing w:after="0" w:line="240" w:lineRule="auto"/>
      </w:pPr>
      <w:r>
        <w:separator/>
      </w:r>
    </w:p>
  </w:endnote>
  <w:endnote w:type="continuationSeparator" w:id="0">
    <w:p w14:paraId="22A7E599" w14:textId="77777777" w:rsidR="00B27118" w:rsidRDefault="00B27118" w:rsidP="000265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364213"/>
      <w:docPartObj>
        <w:docPartGallery w:val="Page Numbers (Bottom of Page)"/>
        <w:docPartUnique/>
      </w:docPartObj>
    </w:sdtPr>
    <w:sdtEndPr>
      <w:rPr>
        <w:rFonts w:ascii="Times New Roman" w:hAnsi="Times New Roman" w:cs="Times New Roman"/>
        <w:noProof/>
        <w:sz w:val="24"/>
        <w:szCs w:val="24"/>
      </w:rPr>
    </w:sdtEndPr>
    <w:sdtContent>
      <w:p w14:paraId="303E546C" w14:textId="77777777" w:rsidR="003D0F90" w:rsidRPr="00026566" w:rsidRDefault="003D0F90">
        <w:pPr>
          <w:pStyle w:val="Footer"/>
          <w:jc w:val="center"/>
          <w:rPr>
            <w:rFonts w:ascii="Times New Roman" w:hAnsi="Times New Roman" w:cs="Times New Roman"/>
            <w:sz w:val="24"/>
            <w:szCs w:val="24"/>
          </w:rPr>
        </w:pPr>
        <w:r w:rsidRPr="00026566">
          <w:rPr>
            <w:rFonts w:ascii="Times New Roman" w:hAnsi="Times New Roman" w:cs="Times New Roman"/>
            <w:sz w:val="24"/>
            <w:szCs w:val="24"/>
          </w:rPr>
          <w:fldChar w:fldCharType="begin"/>
        </w:r>
        <w:r w:rsidRPr="00026566">
          <w:rPr>
            <w:rFonts w:ascii="Times New Roman" w:hAnsi="Times New Roman" w:cs="Times New Roman"/>
            <w:sz w:val="24"/>
            <w:szCs w:val="24"/>
          </w:rPr>
          <w:instrText xml:space="preserve"> PAGE   \* MERGEFORMAT </w:instrText>
        </w:r>
        <w:r w:rsidRPr="00026566">
          <w:rPr>
            <w:rFonts w:ascii="Times New Roman" w:hAnsi="Times New Roman" w:cs="Times New Roman"/>
            <w:sz w:val="24"/>
            <w:szCs w:val="24"/>
          </w:rPr>
          <w:fldChar w:fldCharType="separate"/>
        </w:r>
        <w:r w:rsidR="009F555D">
          <w:rPr>
            <w:rFonts w:ascii="Times New Roman" w:hAnsi="Times New Roman" w:cs="Times New Roman"/>
            <w:noProof/>
            <w:sz w:val="24"/>
            <w:szCs w:val="24"/>
          </w:rPr>
          <w:t>39</w:t>
        </w:r>
        <w:r w:rsidRPr="00026566">
          <w:rPr>
            <w:rFonts w:ascii="Times New Roman" w:hAnsi="Times New Roman" w:cs="Times New Roman"/>
            <w:noProof/>
            <w:sz w:val="24"/>
            <w:szCs w:val="24"/>
          </w:rPr>
          <w:fldChar w:fldCharType="end"/>
        </w:r>
      </w:p>
    </w:sdtContent>
  </w:sdt>
  <w:p w14:paraId="6239771E" w14:textId="77777777" w:rsidR="003D0F90" w:rsidRDefault="003D0F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20845" w14:textId="77777777" w:rsidR="00B27118" w:rsidRDefault="00B27118" w:rsidP="00026566">
      <w:pPr>
        <w:spacing w:after="0" w:line="240" w:lineRule="auto"/>
      </w:pPr>
      <w:r>
        <w:separator/>
      </w:r>
    </w:p>
  </w:footnote>
  <w:footnote w:type="continuationSeparator" w:id="0">
    <w:p w14:paraId="00A5BAE4" w14:textId="77777777" w:rsidR="00B27118" w:rsidRDefault="00B27118" w:rsidP="000265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0FBACB51" w14:paraId="49D214B3" w14:textId="77777777" w:rsidTr="0FBACB51">
      <w:trPr>
        <w:trHeight w:val="300"/>
      </w:trPr>
      <w:tc>
        <w:tcPr>
          <w:tcW w:w="4650" w:type="dxa"/>
        </w:tcPr>
        <w:p w14:paraId="304C915D" w14:textId="3E8C468E" w:rsidR="0FBACB51" w:rsidRDefault="0FBACB51" w:rsidP="0FBACB51">
          <w:pPr>
            <w:pStyle w:val="Header"/>
            <w:ind w:left="-115"/>
          </w:pPr>
        </w:p>
      </w:tc>
      <w:tc>
        <w:tcPr>
          <w:tcW w:w="4650" w:type="dxa"/>
        </w:tcPr>
        <w:p w14:paraId="68990142" w14:textId="5C254087" w:rsidR="0FBACB51" w:rsidRDefault="0FBACB51" w:rsidP="0FBACB51">
          <w:pPr>
            <w:pStyle w:val="Header"/>
            <w:jc w:val="center"/>
          </w:pPr>
        </w:p>
      </w:tc>
      <w:tc>
        <w:tcPr>
          <w:tcW w:w="4650" w:type="dxa"/>
        </w:tcPr>
        <w:p w14:paraId="0CCA314E" w14:textId="660A0339" w:rsidR="0FBACB51" w:rsidRDefault="0FBACB51" w:rsidP="0FBACB51">
          <w:pPr>
            <w:pStyle w:val="Header"/>
            <w:ind w:right="-115"/>
            <w:jc w:val="right"/>
          </w:pPr>
        </w:p>
      </w:tc>
    </w:tr>
  </w:tbl>
  <w:p w14:paraId="0AE0C8C7" w14:textId="0F90A916" w:rsidR="0FBACB51" w:rsidRDefault="0FBACB51" w:rsidP="0FBACB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0FBACB51" w14:paraId="5CE71086" w14:textId="77777777" w:rsidTr="0FBACB51">
      <w:trPr>
        <w:trHeight w:val="300"/>
      </w:trPr>
      <w:tc>
        <w:tcPr>
          <w:tcW w:w="4650" w:type="dxa"/>
        </w:tcPr>
        <w:p w14:paraId="0BB2CC8F" w14:textId="5C5FCA16" w:rsidR="0FBACB51" w:rsidRDefault="0FBACB51" w:rsidP="0FBACB51">
          <w:pPr>
            <w:pStyle w:val="Header"/>
            <w:ind w:left="-115"/>
          </w:pPr>
        </w:p>
      </w:tc>
      <w:tc>
        <w:tcPr>
          <w:tcW w:w="4650" w:type="dxa"/>
        </w:tcPr>
        <w:p w14:paraId="39D2BEE1" w14:textId="14D72272" w:rsidR="0FBACB51" w:rsidRDefault="0FBACB51" w:rsidP="0FBACB51">
          <w:pPr>
            <w:pStyle w:val="Header"/>
            <w:jc w:val="center"/>
          </w:pPr>
        </w:p>
      </w:tc>
      <w:tc>
        <w:tcPr>
          <w:tcW w:w="4650" w:type="dxa"/>
        </w:tcPr>
        <w:p w14:paraId="0C3BBD22" w14:textId="10617129" w:rsidR="0FBACB51" w:rsidRDefault="0FBACB51" w:rsidP="0FBACB51">
          <w:pPr>
            <w:pStyle w:val="Header"/>
            <w:ind w:right="-115"/>
            <w:jc w:val="right"/>
          </w:pPr>
        </w:p>
      </w:tc>
    </w:tr>
  </w:tbl>
  <w:p w14:paraId="3A771342" w14:textId="4A06E9F7" w:rsidR="0FBACB51" w:rsidRDefault="0FBACB51" w:rsidP="0FBACB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FBACB51" w14:paraId="30DC4AC7" w14:textId="77777777" w:rsidTr="0FBACB51">
      <w:trPr>
        <w:trHeight w:val="300"/>
      </w:trPr>
      <w:tc>
        <w:tcPr>
          <w:tcW w:w="3005" w:type="dxa"/>
        </w:tcPr>
        <w:p w14:paraId="7BE7FCA4" w14:textId="75C11C7E" w:rsidR="0FBACB51" w:rsidRDefault="0FBACB51" w:rsidP="0FBACB51">
          <w:pPr>
            <w:pStyle w:val="Header"/>
            <w:ind w:left="-115"/>
          </w:pPr>
        </w:p>
      </w:tc>
      <w:tc>
        <w:tcPr>
          <w:tcW w:w="3005" w:type="dxa"/>
        </w:tcPr>
        <w:p w14:paraId="3A3E97F6" w14:textId="2218E05B" w:rsidR="0FBACB51" w:rsidRDefault="0FBACB51" w:rsidP="0FBACB51">
          <w:pPr>
            <w:pStyle w:val="Header"/>
            <w:jc w:val="center"/>
          </w:pPr>
        </w:p>
      </w:tc>
      <w:tc>
        <w:tcPr>
          <w:tcW w:w="3005" w:type="dxa"/>
        </w:tcPr>
        <w:p w14:paraId="5C42A079" w14:textId="3B64A87B" w:rsidR="0FBACB51" w:rsidRDefault="0FBACB51" w:rsidP="0FBACB51">
          <w:pPr>
            <w:pStyle w:val="Header"/>
            <w:ind w:right="-115"/>
            <w:jc w:val="right"/>
          </w:pPr>
        </w:p>
      </w:tc>
    </w:tr>
  </w:tbl>
  <w:p w14:paraId="7444052E" w14:textId="3BE99630" w:rsidR="0FBACB51" w:rsidRDefault="0FBACB51" w:rsidP="0FBACB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F7AF9"/>
    <w:multiLevelType w:val="multilevel"/>
    <w:tmpl w:val="28E67E3C"/>
    <w:lvl w:ilvl="0">
      <w:start w:val="1"/>
      <w:numFmt w:val="decimal"/>
      <w:lvlText w:val="%1."/>
      <w:lvlJc w:val="left"/>
      <w:pPr>
        <w:tabs>
          <w:tab w:val="num" w:pos="0"/>
        </w:tabs>
        <w:ind w:left="0" w:firstLine="0"/>
      </w:pPr>
    </w:lvl>
    <w:lvl w:ilvl="1">
      <w:start w:val="1"/>
      <w:numFmt w:val="decimal"/>
      <w:pStyle w:val="Heading2"/>
      <w:lvlText w:val="%1.%2"/>
      <w:lvlJc w:val="left"/>
      <w:pPr>
        <w:tabs>
          <w:tab w:val="num" w:pos="0"/>
        </w:tabs>
        <w:ind w:left="0" w:firstLine="0"/>
      </w:pPr>
    </w:lvl>
    <w:lvl w:ilvl="2">
      <w:start w:val="1"/>
      <w:numFmt w:val="decimal"/>
      <w:pStyle w:val="Heading3"/>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 w15:restartNumberingAfterBreak="0">
    <w:nsid w:val="14F93A2E"/>
    <w:multiLevelType w:val="multilevel"/>
    <w:tmpl w:val="73F86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CA7FA7"/>
    <w:multiLevelType w:val="multilevel"/>
    <w:tmpl w:val="E5D00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E852AB"/>
    <w:multiLevelType w:val="hybridMultilevel"/>
    <w:tmpl w:val="3C20123E"/>
    <w:lvl w:ilvl="0" w:tplc="FA5A0972">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13233505">
    <w:abstractNumId w:val="3"/>
  </w:num>
  <w:num w:numId="2" w16cid:durableId="601570578">
    <w:abstractNumId w:val="3"/>
  </w:num>
  <w:num w:numId="3" w16cid:durableId="449739907">
    <w:abstractNumId w:val="3"/>
  </w:num>
  <w:num w:numId="4" w16cid:durableId="2013679810">
    <w:abstractNumId w:val="3"/>
  </w:num>
  <w:num w:numId="5" w16cid:durableId="2031057310">
    <w:abstractNumId w:val="0"/>
  </w:num>
  <w:num w:numId="6" w16cid:durableId="308443534">
    <w:abstractNumId w:val="0"/>
  </w:num>
  <w:num w:numId="7" w16cid:durableId="114718216">
    <w:abstractNumId w:val="0"/>
  </w:num>
  <w:num w:numId="8" w16cid:durableId="1324434679">
    <w:abstractNumId w:val="0"/>
  </w:num>
  <w:num w:numId="9" w16cid:durableId="1367216764">
    <w:abstractNumId w:val="0"/>
  </w:num>
  <w:num w:numId="10" w16cid:durableId="1847475747">
    <w:abstractNumId w:val="0"/>
  </w:num>
  <w:num w:numId="11" w16cid:durableId="389157440">
    <w:abstractNumId w:val="0"/>
  </w:num>
  <w:num w:numId="12" w16cid:durableId="1297644156">
    <w:abstractNumId w:val="0"/>
  </w:num>
  <w:num w:numId="13" w16cid:durableId="839123723">
    <w:abstractNumId w:val="0"/>
  </w:num>
  <w:num w:numId="14" w16cid:durableId="1813670762">
    <w:abstractNumId w:val="0"/>
  </w:num>
  <w:num w:numId="15" w16cid:durableId="1231577305">
    <w:abstractNumId w:val="1"/>
  </w:num>
  <w:num w:numId="16" w16cid:durableId="13762752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0FB"/>
    <w:rsid w:val="00002676"/>
    <w:rsid w:val="000042F7"/>
    <w:rsid w:val="000050B8"/>
    <w:rsid w:val="000058CA"/>
    <w:rsid w:val="00005EA1"/>
    <w:rsid w:val="00023D9C"/>
    <w:rsid w:val="00025C66"/>
    <w:rsid w:val="00026566"/>
    <w:rsid w:val="000310FB"/>
    <w:rsid w:val="00034400"/>
    <w:rsid w:val="0003531D"/>
    <w:rsid w:val="00043979"/>
    <w:rsid w:val="0005452E"/>
    <w:rsid w:val="00064A17"/>
    <w:rsid w:val="00065770"/>
    <w:rsid w:val="00066D1C"/>
    <w:rsid w:val="00070D13"/>
    <w:rsid w:val="00072971"/>
    <w:rsid w:val="000732EA"/>
    <w:rsid w:val="00077223"/>
    <w:rsid w:val="000837B0"/>
    <w:rsid w:val="0008387E"/>
    <w:rsid w:val="000845CD"/>
    <w:rsid w:val="00087583"/>
    <w:rsid w:val="000928C0"/>
    <w:rsid w:val="000A2525"/>
    <w:rsid w:val="000B45CA"/>
    <w:rsid w:val="000B5ED4"/>
    <w:rsid w:val="000B7806"/>
    <w:rsid w:val="000C2C76"/>
    <w:rsid w:val="000C625B"/>
    <w:rsid w:val="000C6800"/>
    <w:rsid w:val="000D41C1"/>
    <w:rsid w:val="000F2AAF"/>
    <w:rsid w:val="00105712"/>
    <w:rsid w:val="00105A73"/>
    <w:rsid w:val="0012304C"/>
    <w:rsid w:val="00123293"/>
    <w:rsid w:val="0014012D"/>
    <w:rsid w:val="00141F56"/>
    <w:rsid w:val="001421DC"/>
    <w:rsid w:val="001476F6"/>
    <w:rsid w:val="00150B41"/>
    <w:rsid w:val="00155A8B"/>
    <w:rsid w:val="00156DAC"/>
    <w:rsid w:val="0016167A"/>
    <w:rsid w:val="00173802"/>
    <w:rsid w:val="00182493"/>
    <w:rsid w:val="00183BF9"/>
    <w:rsid w:val="00197556"/>
    <w:rsid w:val="001C0A7E"/>
    <w:rsid w:val="001C59EC"/>
    <w:rsid w:val="001E4CE6"/>
    <w:rsid w:val="001E4E75"/>
    <w:rsid w:val="001F683E"/>
    <w:rsid w:val="00204193"/>
    <w:rsid w:val="00210441"/>
    <w:rsid w:val="00210B23"/>
    <w:rsid w:val="00213C44"/>
    <w:rsid w:val="00222B2C"/>
    <w:rsid w:val="00230316"/>
    <w:rsid w:val="0024001F"/>
    <w:rsid w:val="0024015D"/>
    <w:rsid w:val="00254717"/>
    <w:rsid w:val="00256BA7"/>
    <w:rsid w:val="00264D4E"/>
    <w:rsid w:val="002706A3"/>
    <w:rsid w:val="00270E20"/>
    <w:rsid w:val="002715BF"/>
    <w:rsid w:val="00272D22"/>
    <w:rsid w:val="002801A8"/>
    <w:rsid w:val="0029274F"/>
    <w:rsid w:val="002A5BC2"/>
    <w:rsid w:val="002A7484"/>
    <w:rsid w:val="002A7582"/>
    <w:rsid w:val="002B5624"/>
    <w:rsid w:val="002C5ADC"/>
    <w:rsid w:val="002C6E8E"/>
    <w:rsid w:val="002D2228"/>
    <w:rsid w:val="002D2E0E"/>
    <w:rsid w:val="002D76C0"/>
    <w:rsid w:val="002E48F6"/>
    <w:rsid w:val="002F34D9"/>
    <w:rsid w:val="003003EF"/>
    <w:rsid w:val="00301C8F"/>
    <w:rsid w:val="003076FD"/>
    <w:rsid w:val="00311479"/>
    <w:rsid w:val="00312C03"/>
    <w:rsid w:val="00321D49"/>
    <w:rsid w:val="003256CE"/>
    <w:rsid w:val="0033221A"/>
    <w:rsid w:val="00335036"/>
    <w:rsid w:val="00343257"/>
    <w:rsid w:val="00343E9A"/>
    <w:rsid w:val="00346F4E"/>
    <w:rsid w:val="00355347"/>
    <w:rsid w:val="00356981"/>
    <w:rsid w:val="00382F31"/>
    <w:rsid w:val="003855B1"/>
    <w:rsid w:val="00393420"/>
    <w:rsid w:val="00395F07"/>
    <w:rsid w:val="003B07D2"/>
    <w:rsid w:val="003B083D"/>
    <w:rsid w:val="003B6682"/>
    <w:rsid w:val="003C0064"/>
    <w:rsid w:val="003C0643"/>
    <w:rsid w:val="003C21F0"/>
    <w:rsid w:val="003C4169"/>
    <w:rsid w:val="003D0F90"/>
    <w:rsid w:val="003E0D7D"/>
    <w:rsid w:val="003E1481"/>
    <w:rsid w:val="003E3A83"/>
    <w:rsid w:val="003E499A"/>
    <w:rsid w:val="003E658F"/>
    <w:rsid w:val="00401CD7"/>
    <w:rsid w:val="004026B5"/>
    <w:rsid w:val="00407864"/>
    <w:rsid w:val="00413572"/>
    <w:rsid w:val="00417EBB"/>
    <w:rsid w:val="00423382"/>
    <w:rsid w:val="0042629D"/>
    <w:rsid w:val="00430450"/>
    <w:rsid w:val="004309C0"/>
    <w:rsid w:val="004320C8"/>
    <w:rsid w:val="00440067"/>
    <w:rsid w:val="00444E21"/>
    <w:rsid w:val="0045163A"/>
    <w:rsid w:val="00473500"/>
    <w:rsid w:val="00476119"/>
    <w:rsid w:val="0048114A"/>
    <w:rsid w:val="004816C1"/>
    <w:rsid w:val="00486197"/>
    <w:rsid w:val="004867B7"/>
    <w:rsid w:val="00492CE3"/>
    <w:rsid w:val="00497364"/>
    <w:rsid w:val="004B226C"/>
    <w:rsid w:val="004C0136"/>
    <w:rsid w:val="004C2EA2"/>
    <w:rsid w:val="004C735D"/>
    <w:rsid w:val="004C7F3B"/>
    <w:rsid w:val="004D128F"/>
    <w:rsid w:val="004D7279"/>
    <w:rsid w:val="004E1634"/>
    <w:rsid w:val="004E1C15"/>
    <w:rsid w:val="004E5E18"/>
    <w:rsid w:val="004F1793"/>
    <w:rsid w:val="004F5046"/>
    <w:rsid w:val="004F7421"/>
    <w:rsid w:val="00501EEC"/>
    <w:rsid w:val="00504858"/>
    <w:rsid w:val="00507115"/>
    <w:rsid w:val="005141A2"/>
    <w:rsid w:val="00520011"/>
    <w:rsid w:val="005205D3"/>
    <w:rsid w:val="00524BA5"/>
    <w:rsid w:val="005255E0"/>
    <w:rsid w:val="0054162E"/>
    <w:rsid w:val="00543320"/>
    <w:rsid w:val="00543C8F"/>
    <w:rsid w:val="005506E1"/>
    <w:rsid w:val="0055100F"/>
    <w:rsid w:val="0056200F"/>
    <w:rsid w:val="005625F2"/>
    <w:rsid w:val="00563926"/>
    <w:rsid w:val="005655CC"/>
    <w:rsid w:val="005673A6"/>
    <w:rsid w:val="005810F1"/>
    <w:rsid w:val="00585FF8"/>
    <w:rsid w:val="0059109A"/>
    <w:rsid w:val="005A1F1A"/>
    <w:rsid w:val="005A51AB"/>
    <w:rsid w:val="005A55FD"/>
    <w:rsid w:val="005A6F2C"/>
    <w:rsid w:val="005D19FC"/>
    <w:rsid w:val="005D7C05"/>
    <w:rsid w:val="005D7C29"/>
    <w:rsid w:val="005E01D7"/>
    <w:rsid w:val="005E020D"/>
    <w:rsid w:val="005E3DE2"/>
    <w:rsid w:val="005E73B9"/>
    <w:rsid w:val="005F54BF"/>
    <w:rsid w:val="00602CE8"/>
    <w:rsid w:val="006062A7"/>
    <w:rsid w:val="00606B72"/>
    <w:rsid w:val="006128C0"/>
    <w:rsid w:val="00613D35"/>
    <w:rsid w:val="00631701"/>
    <w:rsid w:val="00636D31"/>
    <w:rsid w:val="00642D26"/>
    <w:rsid w:val="00644557"/>
    <w:rsid w:val="00653187"/>
    <w:rsid w:val="006618ED"/>
    <w:rsid w:val="0066686C"/>
    <w:rsid w:val="00670823"/>
    <w:rsid w:val="00670980"/>
    <w:rsid w:val="00671888"/>
    <w:rsid w:val="00681034"/>
    <w:rsid w:val="00690268"/>
    <w:rsid w:val="006910D2"/>
    <w:rsid w:val="00693FCA"/>
    <w:rsid w:val="006A1034"/>
    <w:rsid w:val="006B1499"/>
    <w:rsid w:val="006C6FD4"/>
    <w:rsid w:val="006D19FE"/>
    <w:rsid w:val="006D7C65"/>
    <w:rsid w:val="006E3C5D"/>
    <w:rsid w:val="006E4711"/>
    <w:rsid w:val="006F0386"/>
    <w:rsid w:val="006F448C"/>
    <w:rsid w:val="006F47EC"/>
    <w:rsid w:val="006F6CCC"/>
    <w:rsid w:val="006F79F6"/>
    <w:rsid w:val="007008AC"/>
    <w:rsid w:val="00709C5F"/>
    <w:rsid w:val="0072377C"/>
    <w:rsid w:val="007353D0"/>
    <w:rsid w:val="0073567D"/>
    <w:rsid w:val="0074259F"/>
    <w:rsid w:val="00752BE6"/>
    <w:rsid w:val="00754D94"/>
    <w:rsid w:val="007609DF"/>
    <w:rsid w:val="007659E4"/>
    <w:rsid w:val="00766CB1"/>
    <w:rsid w:val="00767DD1"/>
    <w:rsid w:val="00772F26"/>
    <w:rsid w:val="00776B23"/>
    <w:rsid w:val="00784849"/>
    <w:rsid w:val="00786598"/>
    <w:rsid w:val="00786ADE"/>
    <w:rsid w:val="0079068B"/>
    <w:rsid w:val="00790CBD"/>
    <w:rsid w:val="00790FB5"/>
    <w:rsid w:val="007A1510"/>
    <w:rsid w:val="007A3FF2"/>
    <w:rsid w:val="007B0670"/>
    <w:rsid w:val="007B1C34"/>
    <w:rsid w:val="007B6372"/>
    <w:rsid w:val="007B73DA"/>
    <w:rsid w:val="007C147B"/>
    <w:rsid w:val="007C412A"/>
    <w:rsid w:val="007D79A6"/>
    <w:rsid w:val="007E08DD"/>
    <w:rsid w:val="007E58A8"/>
    <w:rsid w:val="007F08F9"/>
    <w:rsid w:val="007F6FD7"/>
    <w:rsid w:val="007F7958"/>
    <w:rsid w:val="00800F20"/>
    <w:rsid w:val="008016C2"/>
    <w:rsid w:val="00805E09"/>
    <w:rsid w:val="00811AF0"/>
    <w:rsid w:val="0081268D"/>
    <w:rsid w:val="00813ADB"/>
    <w:rsid w:val="00813FE0"/>
    <w:rsid w:val="00815721"/>
    <w:rsid w:val="008320E8"/>
    <w:rsid w:val="00834DE0"/>
    <w:rsid w:val="00835C39"/>
    <w:rsid w:val="00843C3E"/>
    <w:rsid w:val="0086228B"/>
    <w:rsid w:val="00870A60"/>
    <w:rsid w:val="00870BE1"/>
    <w:rsid w:val="00872696"/>
    <w:rsid w:val="0087271F"/>
    <w:rsid w:val="00874F37"/>
    <w:rsid w:val="00880934"/>
    <w:rsid w:val="00881D79"/>
    <w:rsid w:val="0088560F"/>
    <w:rsid w:val="008975F2"/>
    <w:rsid w:val="008A4A57"/>
    <w:rsid w:val="008A74EE"/>
    <w:rsid w:val="008B76A2"/>
    <w:rsid w:val="008C01DA"/>
    <w:rsid w:val="008D2DE3"/>
    <w:rsid w:val="008D48A5"/>
    <w:rsid w:val="008E015E"/>
    <w:rsid w:val="00916E8B"/>
    <w:rsid w:val="00917504"/>
    <w:rsid w:val="00922454"/>
    <w:rsid w:val="00926F95"/>
    <w:rsid w:val="00930F58"/>
    <w:rsid w:val="009355C8"/>
    <w:rsid w:val="00940D77"/>
    <w:rsid w:val="00945F62"/>
    <w:rsid w:val="00953202"/>
    <w:rsid w:val="00956558"/>
    <w:rsid w:val="00956A47"/>
    <w:rsid w:val="00964865"/>
    <w:rsid w:val="009650B4"/>
    <w:rsid w:val="00970F77"/>
    <w:rsid w:val="00971559"/>
    <w:rsid w:val="00983B05"/>
    <w:rsid w:val="00984A98"/>
    <w:rsid w:val="00994E93"/>
    <w:rsid w:val="009A261C"/>
    <w:rsid w:val="009A34FA"/>
    <w:rsid w:val="009A4E0A"/>
    <w:rsid w:val="009A619A"/>
    <w:rsid w:val="009B2604"/>
    <w:rsid w:val="009B2EC4"/>
    <w:rsid w:val="009B45D7"/>
    <w:rsid w:val="009B598C"/>
    <w:rsid w:val="009B7E8E"/>
    <w:rsid w:val="009D26E5"/>
    <w:rsid w:val="009E625B"/>
    <w:rsid w:val="009F3A5E"/>
    <w:rsid w:val="009F4F00"/>
    <w:rsid w:val="009F555D"/>
    <w:rsid w:val="009F5BEC"/>
    <w:rsid w:val="00A00617"/>
    <w:rsid w:val="00A015AD"/>
    <w:rsid w:val="00A03C15"/>
    <w:rsid w:val="00A055E0"/>
    <w:rsid w:val="00A12907"/>
    <w:rsid w:val="00A16964"/>
    <w:rsid w:val="00A22370"/>
    <w:rsid w:val="00A23B54"/>
    <w:rsid w:val="00A242DC"/>
    <w:rsid w:val="00A268EB"/>
    <w:rsid w:val="00A27038"/>
    <w:rsid w:val="00A34D7C"/>
    <w:rsid w:val="00A53523"/>
    <w:rsid w:val="00A65F60"/>
    <w:rsid w:val="00A75656"/>
    <w:rsid w:val="00A858B6"/>
    <w:rsid w:val="00A86169"/>
    <w:rsid w:val="00A8753F"/>
    <w:rsid w:val="00A925D1"/>
    <w:rsid w:val="00A93AB2"/>
    <w:rsid w:val="00AA044E"/>
    <w:rsid w:val="00AA3029"/>
    <w:rsid w:val="00AA3CA5"/>
    <w:rsid w:val="00AA49F8"/>
    <w:rsid w:val="00AB7A34"/>
    <w:rsid w:val="00AC6C78"/>
    <w:rsid w:val="00AD02BC"/>
    <w:rsid w:val="00AD2C21"/>
    <w:rsid w:val="00AD4342"/>
    <w:rsid w:val="00AD71FC"/>
    <w:rsid w:val="00AE2CA4"/>
    <w:rsid w:val="00AE48B7"/>
    <w:rsid w:val="00AE5D3A"/>
    <w:rsid w:val="00AE6274"/>
    <w:rsid w:val="00AF1F79"/>
    <w:rsid w:val="00AF26D7"/>
    <w:rsid w:val="00AF6A10"/>
    <w:rsid w:val="00B05449"/>
    <w:rsid w:val="00B125A1"/>
    <w:rsid w:val="00B23490"/>
    <w:rsid w:val="00B27118"/>
    <w:rsid w:val="00B43DD1"/>
    <w:rsid w:val="00B43F82"/>
    <w:rsid w:val="00B5008A"/>
    <w:rsid w:val="00B55CDE"/>
    <w:rsid w:val="00B61648"/>
    <w:rsid w:val="00B65087"/>
    <w:rsid w:val="00B76A12"/>
    <w:rsid w:val="00B80DB4"/>
    <w:rsid w:val="00B87D6D"/>
    <w:rsid w:val="00B913CE"/>
    <w:rsid w:val="00B91CFA"/>
    <w:rsid w:val="00BA72E9"/>
    <w:rsid w:val="00BB0E6F"/>
    <w:rsid w:val="00BC09BC"/>
    <w:rsid w:val="00BC1437"/>
    <w:rsid w:val="00BC4B59"/>
    <w:rsid w:val="00C012DF"/>
    <w:rsid w:val="00C02C40"/>
    <w:rsid w:val="00C119E7"/>
    <w:rsid w:val="00C22109"/>
    <w:rsid w:val="00C263BF"/>
    <w:rsid w:val="00C41164"/>
    <w:rsid w:val="00C458B7"/>
    <w:rsid w:val="00C459D3"/>
    <w:rsid w:val="00C54A79"/>
    <w:rsid w:val="00C70822"/>
    <w:rsid w:val="00C71555"/>
    <w:rsid w:val="00C84CF0"/>
    <w:rsid w:val="00C86276"/>
    <w:rsid w:val="00C86B7A"/>
    <w:rsid w:val="00C95648"/>
    <w:rsid w:val="00C9774F"/>
    <w:rsid w:val="00CA069E"/>
    <w:rsid w:val="00CA1AD4"/>
    <w:rsid w:val="00CA316B"/>
    <w:rsid w:val="00CB20CA"/>
    <w:rsid w:val="00CB28FE"/>
    <w:rsid w:val="00CC303E"/>
    <w:rsid w:val="00CC31A8"/>
    <w:rsid w:val="00CD26C0"/>
    <w:rsid w:val="00CD468B"/>
    <w:rsid w:val="00CD6980"/>
    <w:rsid w:val="00CE1279"/>
    <w:rsid w:val="00CF049C"/>
    <w:rsid w:val="00CF31C0"/>
    <w:rsid w:val="00CF34ED"/>
    <w:rsid w:val="00D029F4"/>
    <w:rsid w:val="00D03037"/>
    <w:rsid w:val="00D138CB"/>
    <w:rsid w:val="00D13DBB"/>
    <w:rsid w:val="00D145EF"/>
    <w:rsid w:val="00D17701"/>
    <w:rsid w:val="00D2302D"/>
    <w:rsid w:val="00D233BE"/>
    <w:rsid w:val="00D620C2"/>
    <w:rsid w:val="00D67590"/>
    <w:rsid w:val="00D71AA2"/>
    <w:rsid w:val="00D93CE0"/>
    <w:rsid w:val="00D96E34"/>
    <w:rsid w:val="00D97D61"/>
    <w:rsid w:val="00DA3830"/>
    <w:rsid w:val="00DA6785"/>
    <w:rsid w:val="00DB1CE1"/>
    <w:rsid w:val="00DB45CF"/>
    <w:rsid w:val="00DB636E"/>
    <w:rsid w:val="00DB6FD3"/>
    <w:rsid w:val="00DC1334"/>
    <w:rsid w:val="00DC2457"/>
    <w:rsid w:val="00DF4A8F"/>
    <w:rsid w:val="00DF5FBE"/>
    <w:rsid w:val="00E00BA7"/>
    <w:rsid w:val="00E078E9"/>
    <w:rsid w:val="00E20595"/>
    <w:rsid w:val="00E27295"/>
    <w:rsid w:val="00E31B68"/>
    <w:rsid w:val="00E34135"/>
    <w:rsid w:val="00E44E89"/>
    <w:rsid w:val="00E45FF2"/>
    <w:rsid w:val="00E56950"/>
    <w:rsid w:val="00E5798C"/>
    <w:rsid w:val="00E6072B"/>
    <w:rsid w:val="00E63366"/>
    <w:rsid w:val="00E66267"/>
    <w:rsid w:val="00E6775E"/>
    <w:rsid w:val="00E806C6"/>
    <w:rsid w:val="00E8213A"/>
    <w:rsid w:val="00E83584"/>
    <w:rsid w:val="00E84E33"/>
    <w:rsid w:val="00E85FBA"/>
    <w:rsid w:val="00E86790"/>
    <w:rsid w:val="00E923A7"/>
    <w:rsid w:val="00E9486F"/>
    <w:rsid w:val="00E95376"/>
    <w:rsid w:val="00EB5885"/>
    <w:rsid w:val="00EB77E8"/>
    <w:rsid w:val="00EC4EE7"/>
    <w:rsid w:val="00EE189A"/>
    <w:rsid w:val="00EE7C37"/>
    <w:rsid w:val="00EF53CC"/>
    <w:rsid w:val="00F050C2"/>
    <w:rsid w:val="00F10656"/>
    <w:rsid w:val="00F10F3C"/>
    <w:rsid w:val="00F1139C"/>
    <w:rsid w:val="00F22A5B"/>
    <w:rsid w:val="00F243B1"/>
    <w:rsid w:val="00F274F9"/>
    <w:rsid w:val="00F305DE"/>
    <w:rsid w:val="00F330B9"/>
    <w:rsid w:val="00F34289"/>
    <w:rsid w:val="00F4197C"/>
    <w:rsid w:val="00F41EDC"/>
    <w:rsid w:val="00F4607D"/>
    <w:rsid w:val="00F543C2"/>
    <w:rsid w:val="00F63D39"/>
    <w:rsid w:val="00F725F1"/>
    <w:rsid w:val="00F76991"/>
    <w:rsid w:val="00F82C2D"/>
    <w:rsid w:val="00F93D22"/>
    <w:rsid w:val="00F9564F"/>
    <w:rsid w:val="00F97675"/>
    <w:rsid w:val="00FA0D0C"/>
    <w:rsid w:val="00FA4FE1"/>
    <w:rsid w:val="00FB0ABF"/>
    <w:rsid w:val="00FC2CF1"/>
    <w:rsid w:val="00FD1FE0"/>
    <w:rsid w:val="00FD3C1F"/>
    <w:rsid w:val="00FD7532"/>
    <w:rsid w:val="00FE63F0"/>
    <w:rsid w:val="00FE70C7"/>
    <w:rsid w:val="00FF14A1"/>
    <w:rsid w:val="00FF1621"/>
    <w:rsid w:val="00FF6F8E"/>
    <w:rsid w:val="0229BBA7"/>
    <w:rsid w:val="047B92D6"/>
    <w:rsid w:val="04FB6AC2"/>
    <w:rsid w:val="05CB64CD"/>
    <w:rsid w:val="065BA525"/>
    <w:rsid w:val="06E28497"/>
    <w:rsid w:val="07C99DC7"/>
    <w:rsid w:val="07EB6980"/>
    <w:rsid w:val="080F9D41"/>
    <w:rsid w:val="09A50015"/>
    <w:rsid w:val="0A2660D4"/>
    <w:rsid w:val="0B749453"/>
    <w:rsid w:val="0C1C436C"/>
    <w:rsid w:val="0C47A5A7"/>
    <w:rsid w:val="0C632F98"/>
    <w:rsid w:val="0C72108F"/>
    <w:rsid w:val="0C8C1DE5"/>
    <w:rsid w:val="0F0D4822"/>
    <w:rsid w:val="0F83A2C6"/>
    <w:rsid w:val="0FBACB51"/>
    <w:rsid w:val="0FF12C54"/>
    <w:rsid w:val="1072098D"/>
    <w:rsid w:val="10F224D2"/>
    <w:rsid w:val="112B83EF"/>
    <w:rsid w:val="11C066A6"/>
    <w:rsid w:val="12529216"/>
    <w:rsid w:val="13AF53A9"/>
    <w:rsid w:val="13DDF0F4"/>
    <w:rsid w:val="1493D7A4"/>
    <w:rsid w:val="1567CEF4"/>
    <w:rsid w:val="17B598D2"/>
    <w:rsid w:val="17EB5582"/>
    <w:rsid w:val="1836EA85"/>
    <w:rsid w:val="18D086F0"/>
    <w:rsid w:val="198CCB8F"/>
    <w:rsid w:val="1A76E2A7"/>
    <w:rsid w:val="1A988CA8"/>
    <w:rsid w:val="1A9D3FB4"/>
    <w:rsid w:val="1BB49BFD"/>
    <w:rsid w:val="1CB23F16"/>
    <w:rsid w:val="1CD70F2E"/>
    <w:rsid w:val="1D243274"/>
    <w:rsid w:val="1DD67AEF"/>
    <w:rsid w:val="1DD74843"/>
    <w:rsid w:val="1FCF3709"/>
    <w:rsid w:val="2037921C"/>
    <w:rsid w:val="20CDBC65"/>
    <w:rsid w:val="21FDC92C"/>
    <w:rsid w:val="22105851"/>
    <w:rsid w:val="22414B9E"/>
    <w:rsid w:val="23739B81"/>
    <w:rsid w:val="2439FE79"/>
    <w:rsid w:val="24810E58"/>
    <w:rsid w:val="2525B25A"/>
    <w:rsid w:val="25DADD20"/>
    <w:rsid w:val="2734D72D"/>
    <w:rsid w:val="27623CDA"/>
    <w:rsid w:val="2798B9FF"/>
    <w:rsid w:val="2B193EC5"/>
    <w:rsid w:val="2C1FEA65"/>
    <w:rsid w:val="2D1D1CCB"/>
    <w:rsid w:val="2D40F5FF"/>
    <w:rsid w:val="2D7650BA"/>
    <w:rsid w:val="2E2FBBBB"/>
    <w:rsid w:val="2E832234"/>
    <w:rsid w:val="2F680C6A"/>
    <w:rsid w:val="2FBF368F"/>
    <w:rsid w:val="2FFE0D15"/>
    <w:rsid w:val="30010435"/>
    <w:rsid w:val="32A379D1"/>
    <w:rsid w:val="32B0D95A"/>
    <w:rsid w:val="343D3702"/>
    <w:rsid w:val="34413E37"/>
    <w:rsid w:val="3454143F"/>
    <w:rsid w:val="34CA0B04"/>
    <w:rsid w:val="3527CF9F"/>
    <w:rsid w:val="372ACEFC"/>
    <w:rsid w:val="374910CD"/>
    <w:rsid w:val="39759517"/>
    <w:rsid w:val="3A6FAA06"/>
    <w:rsid w:val="3AC1773F"/>
    <w:rsid w:val="3C5298C2"/>
    <w:rsid w:val="3DBF30C1"/>
    <w:rsid w:val="3DC0B2E3"/>
    <w:rsid w:val="3E8CCE44"/>
    <w:rsid w:val="3EFC8BB8"/>
    <w:rsid w:val="40162671"/>
    <w:rsid w:val="41507840"/>
    <w:rsid w:val="42ED651D"/>
    <w:rsid w:val="4327DAEF"/>
    <w:rsid w:val="4454680A"/>
    <w:rsid w:val="44A4EE9A"/>
    <w:rsid w:val="47210AEA"/>
    <w:rsid w:val="47507E20"/>
    <w:rsid w:val="479D188A"/>
    <w:rsid w:val="47A5010A"/>
    <w:rsid w:val="47BC4AAE"/>
    <w:rsid w:val="47E3686E"/>
    <w:rsid w:val="48BA6568"/>
    <w:rsid w:val="4969F4D3"/>
    <w:rsid w:val="49BEC903"/>
    <w:rsid w:val="49E0871C"/>
    <w:rsid w:val="49E4E0C3"/>
    <w:rsid w:val="4AE725AA"/>
    <w:rsid w:val="4AF20B9A"/>
    <w:rsid w:val="4B840648"/>
    <w:rsid w:val="4C06D275"/>
    <w:rsid w:val="4C3CF909"/>
    <w:rsid w:val="4DFB355D"/>
    <w:rsid w:val="4E752F8C"/>
    <w:rsid w:val="4EDBE4F2"/>
    <w:rsid w:val="4EE1A5E7"/>
    <w:rsid w:val="4FDF7EFC"/>
    <w:rsid w:val="505ED2ED"/>
    <w:rsid w:val="5062DD5F"/>
    <w:rsid w:val="50A2C4F3"/>
    <w:rsid w:val="5216FE2F"/>
    <w:rsid w:val="529A76A3"/>
    <w:rsid w:val="52D03733"/>
    <w:rsid w:val="5321F1C7"/>
    <w:rsid w:val="53349201"/>
    <w:rsid w:val="539123AE"/>
    <w:rsid w:val="53DDE464"/>
    <w:rsid w:val="53ED14B2"/>
    <w:rsid w:val="54103F3D"/>
    <w:rsid w:val="547148D7"/>
    <w:rsid w:val="5475C47F"/>
    <w:rsid w:val="5477F0FA"/>
    <w:rsid w:val="54F068BE"/>
    <w:rsid w:val="554196F0"/>
    <w:rsid w:val="556E109D"/>
    <w:rsid w:val="55AED8B1"/>
    <w:rsid w:val="55BD14F3"/>
    <w:rsid w:val="55F0679B"/>
    <w:rsid w:val="560D230D"/>
    <w:rsid w:val="57BBE9D1"/>
    <w:rsid w:val="57D0490F"/>
    <w:rsid w:val="58909F37"/>
    <w:rsid w:val="592B06B8"/>
    <w:rsid w:val="5A6CC7C1"/>
    <w:rsid w:val="5B56EB57"/>
    <w:rsid w:val="5B976785"/>
    <w:rsid w:val="5BDD850D"/>
    <w:rsid w:val="5CE38BB2"/>
    <w:rsid w:val="5DDFF82D"/>
    <w:rsid w:val="5E997B8A"/>
    <w:rsid w:val="5F357F74"/>
    <w:rsid w:val="5F9CF954"/>
    <w:rsid w:val="5FBF22D3"/>
    <w:rsid w:val="600DD78E"/>
    <w:rsid w:val="613883A0"/>
    <w:rsid w:val="613D60BC"/>
    <w:rsid w:val="61DC59D1"/>
    <w:rsid w:val="61DCED3C"/>
    <w:rsid w:val="63033F59"/>
    <w:rsid w:val="63670EF1"/>
    <w:rsid w:val="63C82190"/>
    <w:rsid w:val="640FB5B3"/>
    <w:rsid w:val="64730184"/>
    <w:rsid w:val="64D69C6A"/>
    <w:rsid w:val="65520FE0"/>
    <w:rsid w:val="6619C5B4"/>
    <w:rsid w:val="672CEF75"/>
    <w:rsid w:val="6898F354"/>
    <w:rsid w:val="69779F91"/>
    <w:rsid w:val="6AD55231"/>
    <w:rsid w:val="6B16AD47"/>
    <w:rsid w:val="6B219AF2"/>
    <w:rsid w:val="6B881CED"/>
    <w:rsid w:val="6D39E946"/>
    <w:rsid w:val="6D5E97AC"/>
    <w:rsid w:val="6E9B8910"/>
    <w:rsid w:val="70914C6D"/>
    <w:rsid w:val="70B0270F"/>
    <w:rsid w:val="70DAF8D7"/>
    <w:rsid w:val="724D542B"/>
    <w:rsid w:val="737E01F0"/>
    <w:rsid w:val="73B53CBA"/>
    <w:rsid w:val="74599B87"/>
    <w:rsid w:val="74E25D75"/>
    <w:rsid w:val="75B0BE6A"/>
    <w:rsid w:val="76628326"/>
    <w:rsid w:val="76F5429F"/>
    <w:rsid w:val="776BF365"/>
    <w:rsid w:val="78006558"/>
    <w:rsid w:val="78B4AABF"/>
    <w:rsid w:val="796BA871"/>
    <w:rsid w:val="7E4F0D08"/>
    <w:rsid w:val="7FCCA3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3051D9"/>
  <w15:docId w15:val="{D1737041-9D3C-42B1-BBF6-288928C95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1"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0DB4"/>
    <w:rPr>
      <w:sz w:val="18"/>
      <w:lang w:val="en-US"/>
    </w:rPr>
  </w:style>
  <w:style w:type="paragraph" w:styleId="Heading1">
    <w:name w:val="heading 1"/>
    <w:basedOn w:val="Normal"/>
    <w:next w:val="Normal"/>
    <w:link w:val="Heading1Char"/>
    <w:qFormat/>
    <w:rsid w:val="00B80DB4"/>
    <w:pPr>
      <w:keepNext/>
      <w:tabs>
        <w:tab w:val="left" w:pos="680"/>
        <w:tab w:val="left" w:pos="7371"/>
      </w:tabs>
      <w:spacing w:after="120" w:line="240" w:lineRule="atLeast"/>
      <w:outlineLvl w:val="0"/>
    </w:pPr>
    <w:rPr>
      <w:rFonts w:asciiTheme="majorHAnsi" w:eastAsia="Times" w:hAnsiTheme="majorHAnsi" w:cs="Times New Roman"/>
      <w:b/>
      <w:kern w:val="28"/>
      <w:sz w:val="26"/>
      <w:szCs w:val="20"/>
      <w:lang w:val="nl-NL" w:eastAsia="nl-NL"/>
    </w:rPr>
  </w:style>
  <w:style w:type="paragraph" w:styleId="Heading2">
    <w:name w:val="heading 2"/>
    <w:basedOn w:val="Normal"/>
    <w:next w:val="Normal"/>
    <w:link w:val="Heading2Char"/>
    <w:uiPriority w:val="1"/>
    <w:qFormat/>
    <w:rsid w:val="00B80DB4"/>
    <w:pPr>
      <w:keepNext/>
      <w:numPr>
        <w:ilvl w:val="1"/>
        <w:numId w:val="14"/>
      </w:numPr>
      <w:tabs>
        <w:tab w:val="left" w:pos="680"/>
        <w:tab w:val="left" w:pos="7371"/>
      </w:tabs>
      <w:spacing w:after="120" w:line="240" w:lineRule="atLeast"/>
      <w:outlineLvl w:val="1"/>
    </w:pPr>
    <w:rPr>
      <w:rFonts w:asciiTheme="majorHAnsi" w:eastAsia="Times" w:hAnsiTheme="majorHAnsi" w:cs="Times New Roman"/>
      <w:b/>
      <w:sz w:val="22"/>
      <w:szCs w:val="20"/>
      <w:lang w:val="nl-NL" w:eastAsia="nl-NL"/>
    </w:rPr>
  </w:style>
  <w:style w:type="paragraph" w:styleId="Heading3">
    <w:name w:val="heading 3"/>
    <w:basedOn w:val="Normal"/>
    <w:next w:val="Normal"/>
    <w:link w:val="Heading3Char"/>
    <w:uiPriority w:val="1"/>
    <w:qFormat/>
    <w:rsid w:val="00B80DB4"/>
    <w:pPr>
      <w:keepNext/>
      <w:numPr>
        <w:ilvl w:val="2"/>
        <w:numId w:val="11"/>
      </w:numPr>
      <w:tabs>
        <w:tab w:val="left" w:pos="680"/>
        <w:tab w:val="left" w:pos="7371"/>
      </w:tabs>
      <w:spacing w:after="120" w:line="240" w:lineRule="atLeast"/>
      <w:outlineLvl w:val="2"/>
    </w:pPr>
    <w:rPr>
      <w:rFonts w:asciiTheme="majorHAnsi" w:eastAsia="Times" w:hAnsiTheme="majorHAnsi" w:cs="Times New Roman"/>
      <w:b/>
      <w:sz w:val="16"/>
      <w:szCs w:val="20"/>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80DB4"/>
    <w:rPr>
      <w:rFonts w:asciiTheme="majorHAnsi" w:eastAsia="Times" w:hAnsiTheme="majorHAnsi" w:cs="Times New Roman"/>
      <w:b/>
      <w:kern w:val="28"/>
      <w:sz w:val="26"/>
      <w:szCs w:val="20"/>
      <w:lang w:eastAsia="nl-NL"/>
    </w:rPr>
  </w:style>
  <w:style w:type="character" w:customStyle="1" w:styleId="Heading2Char">
    <w:name w:val="Heading 2 Char"/>
    <w:basedOn w:val="DefaultParagraphFont"/>
    <w:link w:val="Heading2"/>
    <w:uiPriority w:val="1"/>
    <w:rsid w:val="00B80DB4"/>
    <w:rPr>
      <w:rFonts w:asciiTheme="majorHAnsi" w:eastAsia="Times" w:hAnsiTheme="majorHAnsi" w:cs="Times New Roman"/>
      <w:b/>
      <w:szCs w:val="20"/>
      <w:lang w:eastAsia="nl-NL"/>
    </w:rPr>
  </w:style>
  <w:style w:type="character" w:customStyle="1" w:styleId="Heading3Char">
    <w:name w:val="Heading 3 Char"/>
    <w:basedOn w:val="DefaultParagraphFont"/>
    <w:link w:val="Heading3"/>
    <w:uiPriority w:val="1"/>
    <w:rsid w:val="00B80DB4"/>
    <w:rPr>
      <w:rFonts w:asciiTheme="majorHAnsi" w:eastAsia="Times" w:hAnsiTheme="majorHAnsi" w:cs="Times New Roman"/>
      <w:b/>
      <w:sz w:val="16"/>
      <w:szCs w:val="20"/>
      <w:lang w:eastAsia="nl-NL"/>
    </w:rPr>
  </w:style>
  <w:style w:type="paragraph" w:customStyle="1" w:styleId="Alineakop">
    <w:name w:val="Alineakop"/>
    <w:basedOn w:val="Normal"/>
    <w:next w:val="Normal"/>
    <w:uiPriority w:val="4"/>
    <w:qFormat/>
    <w:rsid w:val="00B80DB4"/>
    <w:pPr>
      <w:tabs>
        <w:tab w:val="left" w:pos="680"/>
        <w:tab w:val="left" w:pos="7371"/>
      </w:tabs>
      <w:spacing w:after="0" w:line="260" w:lineRule="exact"/>
    </w:pPr>
    <w:rPr>
      <w:rFonts w:asciiTheme="majorHAnsi" w:eastAsia="Times" w:hAnsiTheme="majorHAnsi" w:cs="Times New Roman"/>
      <w:b/>
      <w:i/>
      <w:sz w:val="16"/>
      <w:szCs w:val="20"/>
    </w:rPr>
  </w:style>
  <w:style w:type="paragraph" w:styleId="ListParagraph">
    <w:name w:val="List Paragraph"/>
    <w:basedOn w:val="Normal"/>
    <w:uiPriority w:val="5"/>
    <w:qFormat/>
    <w:rsid w:val="00B80DB4"/>
    <w:pPr>
      <w:tabs>
        <w:tab w:val="left" w:pos="680"/>
        <w:tab w:val="left" w:pos="7371"/>
      </w:tabs>
      <w:spacing w:after="0" w:line="260" w:lineRule="exact"/>
      <w:ind w:left="720"/>
      <w:contextualSpacing/>
    </w:pPr>
    <w:rPr>
      <w:rFonts w:eastAsia="Times" w:cs="Times New Roman"/>
      <w:szCs w:val="20"/>
    </w:rPr>
  </w:style>
  <w:style w:type="paragraph" w:styleId="Subtitle">
    <w:name w:val="Subtitle"/>
    <w:basedOn w:val="Normal"/>
    <w:next w:val="Normal"/>
    <w:link w:val="SubtitleChar"/>
    <w:uiPriority w:val="3"/>
    <w:qFormat/>
    <w:rsid w:val="00B80DB4"/>
    <w:pPr>
      <w:keepNext/>
      <w:tabs>
        <w:tab w:val="left" w:pos="680"/>
        <w:tab w:val="left" w:pos="7371"/>
      </w:tabs>
      <w:spacing w:after="0" w:line="390" w:lineRule="exact"/>
      <w:ind w:left="1928"/>
      <w:outlineLvl w:val="1"/>
    </w:pPr>
    <w:rPr>
      <w:rFonts w:asciiTheme="majorHAnsi" w:eastAsia="Times" w:hAnsiTheme="majorHAnsi" w:cs="Times New Roman"/>
      <w:b/>
      <w:szCs w:val="20"/>
      <w:lang w:val="nl-NL"/>
    </w:rPr>
  </w:style>
  <w:style w:type="character" w:customStyle="1" w:styleId="SubtitleChar">
    <w:name w:val="Subtitle Char"/>
    <w:basedOn w:val="DefaultParagraphFont"/>
    <w:link w:val="Subtitle"/>
    <w:uiPriority w:val="3"/>
    <w:rsid w:val="00B80DB4"/>
    <w:rPr>
      <w:rFonts w:asciiTheme="majorHAnsi" w:eastAsia="Times" w:hAnsiTheme="majorHAnsi" w:cs="Times New Roman"/>
      <w:b/>
      <w:sz w:val="18"/>
      <w:szCs w:val="20"/>
    </w:rPr>
  </w:style>
  <w:style w:type="paragraph" w:styleId="Title">
    <w:name w:val="Title"/>
    <w:basedOn w:val="Normal"/>
    <w:next w:val="Normal"/>
    <w:link w:val="TitleChar"/>
    <w:uiPriority w:val="2"/>
    <w:qFormat/>
    <w:rsid w:val="00B80DB4"/>
    <w:pPr>
      <w:keepNext/>
      <w:tabs>
        <w:tab w:val="left" w:pos="680"/>
        <w:tab w:val="left" w:pos="7371"/>
      </w:tabs>
      <w:spacing w:after="0" w:line="390" w:lineRule="exact"/>
      <w:ind w:left="1928"/>
      <w:outlineLvl w:val="0"/>
    </w:pPr>
    <w:rPr>
      <w:rFonts w:asciiTheme="majorHAnsi" w:eastAsia="Times" w:hAnsiTheme="majorHAnsi" w:cs="Times New Roman"/>
      <w:b/>
      <w:sz w:val="26"/>
      <w:szCs w:val="20"/>
      <w:lang w:val="nl-NL"/>
    </w:rPr>
  </w:style>
  <w:style w:type="character" w:customStyle="1" w:styleId="TitleChar">
    <w:name w:val="Title Char"/>
    <w:basedOn w:val="DefaultParagraphFont"/>
    <w:link w:val="Title"/>
    <w:uiPriority w:val="2"/>
    <w:rsid w:val="00B80DB4"/>
    <w:rPr>
      <w:rFonts w:asciiTheme="majorHAnsi" w:eastAsia="Times" w:hAnsiTheme="majorHAnsi" w:cs="Times New Roman"/>
      <w:b/>
      <w:sz w:val="26"/>
      <w:szCs w:val="20"/>
    </w:rPr>
  </w:style>
  <w:style w:type="table" w:styleId="PlainTable2">
    <w:name w:val="Plain Table 2"/>
    <w:basedOn w:val="TableNormal"/>
    <w:uiPriority w:val="42"/>
    <w:rsid w:val="0066686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current-selection">
    <w:name w:val="current-selection"/>
    <w:basedOn w:val="DefaultParagraphFont"/>
    <w:rsid w:val="007C147B"/>
  </w:style>
  <w:style w:type="character" w:customStyle="1" w:styleId="a">
    <w:name w:val="_"/>
    <w:basedOn w:val="DefaultParagraphFont"/>
    <w:rsid w:val="007C147B"/>
  </w:style>
  <w:style w:type="character" w:customStyle="1" w:styleId="ff7">
    <w:name w:val="ff7"/>
    <w:basedOn w:val="DefaultParagraphFont"/>
    <w:rsid w:val="007C147B"/>
  </w:style>
  <w:style w:type="character" w:customStyle="1" w:styleId="enhanced-reference">
    <w:name w:val="enhanced-reference"/>
    <w:basedOn w:val="DefaultParagraphFont"/>
    <w:rsid w:val="007C147B"/>
  </w:style>
  <w:style w:type="character" w:styleId="CommentReference">
    <w:name w:val="annotation reference"/>
    <w:basedOn w:val="DefaultParagraphFont"/>
    <w:uiPriority w:val="99"/>
    <w:semiHidden/>
    <w:unhideWhenUsed/>
    <w:rsid w:val="0024001F"/>
    <w:rPr>
      <w:sz w:val="16"/>
      <w:szCs w:val="16"/>
    </w:rPr>
  </w:style>
  <w:style w:type="paragraph" w:styleId="CommentText">
    <w:name w:val="annotation text"/>
    <w:basedOn w:val="Normal"/>
    <w:link w:val="CommentTextChar"/>
    <w:uiPriority w:val="99"/>
    <w:semiHidden/>
    <w:unhideWhenUsed/>
    <w:rsid w:val="0024001F"/>
    <w:pPr>
      <w:spacing w:line="240" w:lineRule="auto"/>
    </w:pPr>
    <w:rPr>
      <w:sz w:val="20"/>
      <w:szCs w:val="20"/>
    </w:rPr>
  </w:style>
  <w:style w:type="character" w:customStyle="1" w:styleId="CommentTextChar">
    <w:name w:val="Comment Text Char"/>
    <w:basedOn w:val="DefaultParagraphFont"/>
    <w:link w:val="CommentText"/>
    <w:uiPriority w:val="99"/>
    <w:semiHidden/>
    <w:rsid w:val="0024001F"/>
    <w:rPr>
      <w:sz w:val="20"/>
      <w:szCs w:val="20"/>
      <w:lang w:val="en-US"/>
    </w:rPr>
  </w:style>
  <w:style w:type="paragraph" w:styleId="CommentSubject">
    <w:name w:val="annotation subject"/>
    <w:basedOn w:val="CommentText"/>
    <w:next w:val="CommentText"/>
    <w:link w:val="CommentSubjectChar"/>
    <w:uiPriority w:val="99"/>
    <w:semiHidden/>
    <w:unhideWhenUsed/>
    <w:rsid w:val="0024001F"/>
    <w:rPr>
      <w:b/>
      <w:bCs/>
    </w:rPr>
  </w:style>
  <w:style w:type="character" w:customStyle="1" w:styleId="CommentSubjectChar">
    <w:name w:val="Comment Subject Char"/>
    <w:basedOn w:val="CommentTextChar"/>
    <w:link w:val="CommentSubject"/>
    <w:uiPriority w:val="99"/>
    <w:semiHidden/>
    <w:rsid w:val="0024001F"/>
    <w:rPr>
      <w:b/>
      <w:bCs/>
      <w:sz w:val="20"/>
      <w:szCs w:val="20"/>
      <w:lang w:val="en-US"/>
    </w:rPr>
  </w:style>
  <w:style w:type="paragraph" w:styleId="BalloonText">
    <w:name w:val="Balloon Text"/>
    <w:basedOn w:val="Normal"/>
    <w:link w:val="BalloonTextChar"/>
    <w:uiPriority w:val="99"/>
    <w:semiHidden/>
    <w:unhideWhenUsed/>
    <w:rsid w:val="0024001F"/>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24001F"/>
    <w:rPr>
      <w:rFonts w:ascii="Segoe UI" w:hAnsi="Segoe UI" w:cs="Segoe UI"/>
      <w:sz w:val="18"/>
      <w:szCs w:val="18"/>
      <w:lang w:val="en-US"/>
    </w:rPr>
  </w:style>
  <w:style w:type="paragraph" w:styleId="Header">
    <w:name w:val="header"/>
    <w:basedOn w:val="Normal"/>
    <w:link w:val="HeaderChar"/>
    <w:uiPriority w:val="99"/>
    <w:unhideWhenUsed/>
    <w:rsid w:val="000265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6566"/>
    <w:rPr>
      <w:sz w:val="18"/>
      <w:lang w:val="en-US"/>
    </w:rPr>
  </w:style>
  <w:style w:type="paragraph" w:styleId="Footer">
    <w:name w:val="footer"/>
    <w:basedOn w:val="Normal"/>
    <w:link w:val="FooterChar"/>
    <w:uiPriority w:val="99"/>
    <w:unhideWhenUsed/>
    <w:rsid w:val="000265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6566"/>
    <w:rPr>
      <w:sz w:val="18"/>
      <w:lang w:val="en-US"/>
    </w:rPr>
  </w:style>
  <w:style w:type="paragraph" w:styleId="FootnoteText">
    <w:name w:val="footnote text"/>
    <w:basedOn w:val="Normal"/>
    <w:link w:val="FootnoteTextChar"/>
    <w:uiPriority w:val="99"/>
    <w:semiHidden/>
    <w:unhideWhenUsed/>
    <w:rsid w:val="006B14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1499"/>
    <w:rPr>
      <w:sz w:val="20"/>
      <w:szCs w:val="20"/>
      <w:lang w:val="en-US"/>
    </w:rPr>
  </w:style>
  <w:style w:type="character" w:styleId="FootnoteReference">
    <w:name w:val="footnote reference"/>
    <w:basedOn w:val="DefaultParagraphFont"/>
    <w:uiPriority w:val="99"/>
    <w:semiHidden/>
    <w:unhideWhenUsed/>
    <w:rsid w:val="006B1499"/>
    <w:rPr>
      <w:vertAlign w:val="superscript"/>
    </w:rPr>
  </w:style>
  <w:style w:type="paragraph" w:customStyle="1" w:styleId="Newparagraph">
    <w:name w:val="New paragraph"/>
    <w:basedOn w:val="Normal"/>
    <w:qFormat/>
    <w:rsid w:val="00670823"/>
    <w:pPr>
      <w:spacing w:after="0" w:line="480" w:lineRule="auto"/>
      <w:ind w:firstLine="720"/>
    </w:pPr>
    <w:rPr>
      <w:rFonts w:ascii="Times New Roman" w:eastAsia="Times New Roman" w:hAnsi="Times New Roman" w:cs="Times New Roman"/>
      <w:sz w:val="24"/>
      <w:szCs w:val="24"/>
      <w:lang w:val="en-GB" w:eastAsia="en-GB"/>
    </w:rPr>
  </w:style>
  <w:style w:type="table" w:customStyle="1" w:styleId="PlainTable23">
    <w:name w:val="Plain Table 23"/>
    <w:basedOn w:val="TableNormal"/>
    <w:uiPriority w:val="42"/>
    <w:rsid w:val="00670823"/>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EndnoteReference">
    <w:name w:val="endnote reference"/>
    <w:basedOn w:val="DefaultParagraphFont"/>
    <w:uiPriority w:val="99"/>
    <w:semiHidden/>
    <w:unhideWhenUsed/>
    <w:rsid w:val="00E34135"/>
    <w:rPr>
      <w:vertAlign w:val="superscript"/>
    </w:rPr>
  </w:style>
  <w:style w:type="paragraph" w:styleId="EndnoteText">
    <w:name w:val="endnote text"/>
    <w:basedOn w:val="Normal"/>
    <w:link w:val="EndnoteTextChar"/>
    <w:autoRedefine/>
    <w:rsid w:val="00E34135"/>
    <w:pPr>
      <w:spacing w:after="0" w:line="480" w:lineRule="auto"/>
      <w:ind w:left="284" w:hanging="284"/>
    </w:pPr>
    <w:rPr>
      <w:rFonts w:ascii="Times New Roman" w:eastAsia="Times New Roman" w:hAnsi="Times New Roman" w:cs="Times New Roman"/>
      <w:sz w:val="22"/>
      <w:szCs w:val="20"/>
      <w:lang w:val="en-GB" w:eastAsia="en-GB"/>
    </w:rPr>
  </w:style>
  <w:style w:type="character" w:customStyle="1" w:styleId="EndnoteTextChar">
    <w:name w:val="Endnote Text Char"/>
    <w:basedOn w:val="DefaultParagraphFont"/>
    <w:link w:val="EndnoteText"/>
    <w:rsid w:val="00E34135"/>
    <w:rPr>
      <w:rFonts w:ascii="Times New Roman" w:eastAsia="Times New Roman" w:hAnsi="Times New Roman" w:cs="Times New Roman"/>
      <w:szCs w:val="20"/>
      <w:lang w:val="en-GB" w:eastAsia="en-GB"/>
    </w:rPr>
  </w:style>
  <w:style w:type="character" w:styleId="Hyperlink">
    <w:name w:val="Hyperlink"/>
    <w:basedOn w:val="DefaultParagraphFont"/>
    <w:uiPriority w:val="99"/>
    <w:unhideWhenUsed/>
    <w:rsid w:val="00254717"/>
    <w:rPr>
      <w:color w:val="0000FF" w:themeColor="hyperlink"/>
      <w:u w:val="single"/>
    </w:rPr>
  </w:style>
  <w:style w:type="character" w:styleId="UnresolvedMention">
    <w:name w:val="Unresolved Mention"/>
    <w:basedOn w:val="DefaultParagraphFont"/>
    <w:uiPriority w:val="99"/>
    <w:semiHidden/>
    <w:unhideWhenUsed/>
    <w:rsid w:val="00254717"/>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2B562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56021">
      <w:bodyDiv w:val="1"/>
      <w:marLeft w:val="0"/>
      <w:marRight w:val="0"/>
      <w:marTop w:val="0"/>
      <w:marBottom w:val="0"/>
      <w:divBdr>
        <w:top w:val="none" w:sz="0" w:space="0" w:color="auto"/>
        <w:left w:val="none" w:sz="0" w:space="0" w:color="auto"/>
        <w:bottom w:val="none" w:sz="0" w:space="0" w:color="auto"/>
        <w:right w:val="none" w:sz="0" w:space="0" w:color="auto"/>
      </w:divBdr>
      <w:divsChild>
        <w:div w:id="755787873">
          <w:marLeft w:val="0"/>
          <w:marRight w:val="0"/>
          <w:marTop w:val="0"/>
          <w:marBottom w:val="0"/>
          <w:divBdr>
            <w:top w:val="none" w:sz="0" w:space="0" w:color="auto"/>
            <w:left w:val="none" w:sz="0" w:space="0" w:color="auto"/>
            <w:bottom w:val="none" w:sz="0" w:space="0" w:color="auto"/>
            <w:right w:val="none" w:sz="0" w:space="0" w:color="auto"/>
          </w:divBdr>
        </w:div>
      </w:divsChild>
    </w:div>
    <w:div w:id="25642594">
      <w:bodyDiv w:val="1"/>
      <w:marLeft w:val="0"/>
      <w:marRight w:val="0"/>
      <w:marTop w:val="0"/>
      <w:marBottom w:val="0"/>
      <w:divBdr>
        <w:top w:val="none" w:sz="0" w:space="0" w:color="auto"/>
        <w:left w:val="none" w:sz="0" w:space="0" w:color="auto"/>
        <w:bottom w:val="none" w:sz="0" w:space="0" w:color="auto"/>
        <w:right w:val="none" w:sz="0" w:space="0" w:color="auto"/>
      </w:divBdr>
    </w:div>
    <w:div w:id="151340465">
      <w:bodyDiv w:val="1"/>
      <w:marLeft w:val="0"/>
      <w:marRight w:val="0"/>
      <w:marTop w:val="0"/>
      <w:marBottom w:val="0"/>
      <w:divBdr>
        <w:top w:val="none" w:sz="0" w:space="0" w:color="auto"/>
        <w:left w:val="none" w:sz="0" w:space="0" w:color="auto"/>
        <w:bottom w:val="none" w:sz="0" w:space="0" w:color="auto"/>
        <w:right w:val="none" w:sz="0" w:space="0" w:color="auto"/>
      </w:divBdr>
      <w:divsChild>
        <w:div w:id="765034255">
          <w:marLeft w:val="0"/>
          <w:marRight w:val="0"/>
          <w:marTop w:val="0"/>
          <w:marBottom w:val="0"/>
          <w:divBdr>
            <w:top w:val="none" w:sz="0" w:space="0" w:color="auto"/>
            <w:left w:val="none" w:sz="0" w:space="0" w:color="auto"/>
            <w:bottom w:val="none" w:sz="0" w:space="0" w:color="auto"/>
            <w:right w:val="none" w:sz="0" w:space="0" w:color="auto"/>
          </w:divBdr>
        </w:div>
        <w:div w:id="62676909">
          <w:marLeft w:val="0"/>
          <w:marRight w:val="0"/>
          <w:marTop w:val="0"/>
          <w:marBottom w:val="0"/>
          <w:divBdr>
            <w:top w:val="none" w:sz="0" w:space="0" w:color="auto"/>
            <w:left w:val="none" w:sz="0" w:space="0" w:color="auto"/>
            <w:bottom w:val="none" w:sz="0" w:space="0" w:color="auto"/>
            <w:right w:val="none" w:sz="0" w:space="0" w:color="auto"/>
          </w:divBdr>
        </w:div>
        <w:div w:id="578488497">
          <w:marLeft w:val="0"/>
          <w:marRight w:val="0"/>
          <w:marTop w:val="0"/>
          <w:marBottom w:val="0"/>
          <w:divBdr>
            <w:top w:val="none" w:sz="0" w:space="0" w:color="auto"/>
            <w:left w:val="none" w:sz="0" w:space="0" w:color="auto"/>
            <w:bottom w:val="none" w:sz="0" w:space="0" w:color="auto"/>
            <w:right w:val="none" w:sz="0" w:space="0" w:color="auto"/>
          </w:divBdr>
        </w:div>
      </w:divsChild>
    </w:div>
    <w:div w:id="302076389">
      <w:bodyDiv w:val="1"/>
      <w:marLeft w:val="0"/>
      <w:marRight w:val="0"/>
      <w:marTop w:val="0"/>
      <w:marBottom w:val="0"/>
      <w:divBdr>
        <w:top w:val="none" w:sz="0" w:space="0" w:color="auto"/>
        <w:left w:val="none" w:sz="0" w:space="0" w:color="auto"/>
        <w:bottom w:val="none" w:sz="0" w:space="0" w:color="auto"/>
        <w:right w:val="none" w:sz="0" w:space="0" w:color="auto"/>
      </w:divBdr>
      <w:divsChild>
        <w:div w:id="533814502">
          <w:marLeft w:val="0"/>
          <w:marRight w:val="0"/>
          <w:marTop w:val="0"/>
          <w:marBottom w:val="0"/>
          <w:divBdr>
            <w:top w:val="none" w:sz="0" w:space="0" w:color="auto"/>
            <w:left w:val="none" w:sz="0" w:space="0" w:color="auto"/>
            <w:bottom w:val="none" w:sz="0" w:space="0" w:color="auto"/>
            <w:right w:val="none" w:sz="0" w:space="0" w:color="auto"/>
          </w:divBdr>
        </w:div>
      </w:divsChild>
    </w:div>
    <w:div w:id="377828318">
      <w:bodyDiv w:val="1"/>
      <w:marLeft w:val="0"/>
      <w:marRight w:val="0"/>
      <w:marTop w:val="0"/>
      <w:marBottom w:val="0"/>
      <w:divBdr>
        <w:top w:val="none" w:sz="0" w:space="0" w:color="auto"/>
        <w:left w:val="none" w:sz="0" w:space="0" w:color="auto"/>
        <w:bottom w:val="none" w:sz="0" w:space="0" w:color="auto"/>
        <w:right w:val="none" w:sz="0" w:space="0" w:color="auto"/>
      </w:divBdr>
    </w:div>
    <w:div w:id="506748966">
      <w:bodyDiv w:val="1"/>
      <w:marLeft w:val="0"/>
      <w:marRight w:val="0"/>
      <w:marTop w:val="0"/>
      <w:marBottom w:val="0"/>
      <w:divBdr>
        <w:top w:val="none" w:sz="0" w:space="0" w:color="auto"/>
        <w:left w:val="none" w:sz="0" w:space="0" w:color="auto"/>
        <w:bottom w:val="none" w:sz="0" w:space="0" w:color="auto"/>
        <w:right w:val="none" w:sz="0" w:space="0" w:color="auto"/>
      </w:divBdr>
    </w:div>
    <w:div w:id="531576869">
      <w:bodyDiv w:val="1"/>
      <w:marLeft w:val="0"/>
      <w:marRight w:val="0"/>
      <w:marTop w:val="0"/>
      <w:marBottom w:val="0"/>
      <w:divBdr>
        <w:top w:val="none" w:sz="0" w:space="0" w:color="auto"/>
        <w:left w:val="none" w:sz="0" w:space="0" w:color="auto"/>
        <w:bottom w:val="none" w:sz="0" w:space="0" w:color="auto"/>
        <w:right w:val="none" w:sz="0" w:space="0" w:color="auto"/>
      </w:divBdr>
    </w:div>
    <w:div w:id="594553134">
      <w:bodyDiv w:val="1"/>
      <w:marLeft w:val="0"/>
      <w:marRight w:val="0"/>
      <w:marTop w:val="0"/>
      <w:marBottom w:val="0"/>
      <w:divBdr>
        <w:top w:val="none" w:sz="0" w:space="0" w:color="auto"/>
        <w:left w:val="none" w:sz="0" w:space="0" w:color="auto"/>
        <w:bottom w:val="none" w:sz="0" w:space="0" w:color="auto"/>
        <w:right w:val="none" w:sz="0" w:space="0" w:color="auto"/>
      </w:divBdr>
      <w:divsChild>
        <w:div w:id="1116290096">
          <w:marLeft w:val="0"/>
          <w:marRight w:val="0"/>
          <w:marTop w:val="0"/>
          <w:marBottom w:val="0"/>
          <w:divBdr>
            <w:top w:val="none" w:sz="0" w:space="0" w:color="auto"/>
            <w:left w:val="none" w:sz="0" w:space="0" w:color="auto"/>
            <w:bottom w:val="none" w:sz="0" w:space="0" w:color="auto"/>
            <w:right w:val="none" w:sz="0" w:space="0" w:color="auto"/>
          </w:divBdr>
        </w:div>
        <w:div w:id="373503346">
          <w:marLeft w:val="0"/>
          <w:marRight w:val="0"/>
          <w:marTop w:val="0"/>
          <w:marBottom w:val="0"/>
          <w:divBdr>
            <w:top w:val="none" w:sz="0" w:space="0" w:color="auto"/>
            <w:left w:val="none" w:sz="0" w:space="0" w:color="auto"/>
            <w:bottom w:val="none" w:sz="0" w:space="0" w:color="auto"/>
            <w:right w:val="none" w:sz="0" w:space="0" w:color="auto"/>
          </w:divBdr>
        </w:div>
        <w:div w:id="1738094337">
          <w:marLeft w:val="0"/>
          <w:marRight w:val="0"/>
          <w:marTop w:val="0"/>
          <w:marBottom w:val="0"/>
          <w:divBdr>
            <w:top w:val="none" w:sz="0" w:space="0" w:color="auto"/>
            <w:left w:val="none" w:sz="0" w:space="0" w:color="auto"/>
            <w:bottom w:val="none" w:sz="0" w:space="0" w:color="auto"/>
            <w:right w:val="none" w:sz="0" w:space="0" w:color="auto"/>
          </w:divBdr>
        </w:div>
        <w:div w:id="1220090785">
          <w:marLeft w:val="0"/>
          <w:marRight w:val="0"/>
          <w:marTop w:val="0"/>
          <w:marBottom w:val="0"/>
          <w:divBdr>
            <w:top w:val="none" w:sz="0" w:space="0" w:color="auto"/>
            <w:left w:val="none" w:sz="0" w:space="0" w:color="auto"/>
            <w:bottom w:val="none" w:sz="0" w:space="0" w:color="auto"/>
            <w:right w:val="none" w:sz="0" w:space="0" w:color="auto"/>
          </w:divBdr>
        </w:div>
        <w:div w:id="315303133">
          <w:marLeft w:val="0"/>
          <w:marRight w:val="0"/>
          <w:marTop w:val="0"/>
          <w:marBottom w:val="0"/>
          <w:divBdr>
            <w:top w:val="none" w:sz="0" w:space="0" w:color="auto"/>
            <w:left w:val="none" w:sz="0" w:space="0" w:color="auto"/>
            <w:bottom w:val="none" w:sz="0" w:space="0" w:color="auto"/>
            <w:right w:val="none" w:sz="0" w:space="0" w:color="auto"/>
          </w:divBdr>
        </w:div>
        <w:div w:id="1334071933">
          <w:marLeft w:val="0"/>
          <w:marRight w:val="0"/>
          <w:marTop w:val="0"/>
          <w:marBottom w:val="0"/>
          <w:divBdr>
            <w:top w:val="none" w:sz="0" w:space="0" w:color="auto"/>
            <w:left w:val="none" w:sz="0" w:space="0" w:color="auto"/>
            <w:bottom w:val="none" w:sz="0" w:space="0" w:color="auto"/>
            <w:right w:val="none" w:sz="0" w:space="0" w:color="auto"/>
          </w:divBdr>
        </w:div>
        <w:div w:id="487479338">
          <w:marLeft w:val="0"/>
          <w:marRight w:val="0"/>
          <w:marTop w:val="0"/>
          <w:marBottom w:val="0"/>
          <w:divBdr>
            <w:top w:val="none" w:sz="0" w:space="0" w:color="auto"/>
            <w:left w:val="none" w:sz="0" w:space="0" w:color="auto"/>
            <w:bottom w:val="none" w:sz="0" w:space="0" w:color="auto"/>
            <w:right w:val="none" w:sz="0" w:space="0" w:color="auto"/>
          </w:divBdr>
        </w:div>
        <w:div w:id="1800873174">
          <w:marLeft w:val="0"/>
          <w:marRight w:val="0"/>
          <w:marTop w:val="0"/>
          <w:marBottom w:val="0"/>
          <w:divBdr>
            <w:top w:val="none" w:sz="0" w:space="0" w:color="auto"/>
            <w:left w:val="none" w:sz="0" w:space="0" w:color="auto"/>
            <w:bottom w:val="none" w:sz="0" w:space="0" w:color="auto"/>
            <w:right w:val="none" w:sz="0" w:space="0" w:color="auto"/>
          </w:divBdr>
        </w:div>
        <w:div w:id="974217714">
          <w:marLeft w:val="0"/>
          <w:marRight w:val="0"/>
          <w:marTop w:val="0"/>
          <w:marBottom w:val="0"/>
          <w:divBdr>
            <w:top w:val="none" w:sz="0" w:space="0" w:color="auto"/>
            <w:left w:val="none" w:sz="0" w:space="0" w:color="auto"/>
            <w:bottom w:val="none" w:sz="0" w:space="0" w:color="auto"/>
            <w:right w:val="none" w:sz="0" w:space="0" w:color="auto"/>
          </w:divBdr>
        </w:div>
      </w:divsChild>
    </w:div>
    <w:div w:id="636104474">
      <w:bodyDiv w:val="1"/>
      <w:marLeft w:val="0"/>
      <w:marRight w:val="0"/>
      <w:marTop w:val="0"/>
      <w:marBottom w:val="0"/>
      <w:divBdr>
        <w:top w:val="none" w:sz="0" w:space="0" w:color="auto"/>
        <w:left w:val="none" w:sz="0" w:space="0" w:color="auto"/>
        <w:bottom w:val="none" w:sz="0" w:space="0" w:color="auto"/>
        <w:right w:val="none" w:sz="0" w:space="0" w:color="auto"/>
      </w:divBdr>
      <w:divsChild>
        <w:div w:id="111362036">
          <w:marLeft w:val="0"/>
          <w:marRight w:val="0"/>
          <w:marTop w:val="0"/>
          <w:marBottom w:val="0"/>
          <w:divBdr>
            <w:top w:val="none" w:sz="0" w:space="0" w:color="auto"/>
            <w:left w:val="none" w:sz="0" w:space="0" w:color="auto"/>
            <w:bottom w:val="none" w:sz="0" w:space="0" w:color="auto"/>
            <w:right w:val="none" w:sz="0" w:space="0" w:color="auto"/>
          </w:divBdr>
          <w:divsChild>
            <w:div w:id="55402987">
              <w:marLeft w:val="0"/>
              <w:marRight w:val="0"/>
              <w:marTop w:val="0"/>
              <w:marBottom w:val="225"/>
              <w:divBdr>
                <w:top w:val="none" w:sz="0" w:space="0" w:color="auto"/>
                <w:left w:val="none" w:sz="0" w:space="0" w:color="auto"/>
                <w:bottom w:val="none" w:sz="0" w:space="0" w:color="auto"/>
                <w:right w:val="none" w:sz="0" w:space="0" w:color="auto"/>
              </w:divBdr>
              <w:divsChild>
                <w:div w:id="196276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470223">
      <w:bodyDiv w:val="1"/>
      <w:marLeft w:val="0"/>
      <w:marRight w:val="0"/>
      <w:marTop w:val="0"/>
      <w:marBottom w:val="0"/>
      <w:divBdr>
        <w:top w:val="none" w:sz="0" w:space="0" w:color="auto"/>
        <w:left w:val="none" w:sz="0" w:space="0" w:color="auto"/>
        <w:bottom w:val="none" w:sz="0" w:space="0" w:color="auto"/>
        <w:right w:val="none" w:sz="0" w:space="0" w:color="auto"/>
      </w:divBdr>
    </w:div>
    <w:div w:id="765074574">
      <w:bodyDiv w:val="1"/>
      <w:marLeft w:val="0"/>
      <w:marRight w:val="0"/>
      <w:marTop w:val="0"/>
      <w:marBottom w:val="0"/>
      <w:divBdr>
        <w:top w:val="none" w:sz="0" w:space="0" w:color="auto"/>
        <w:left w:val="none" w:sz="0" w:space="0" w:color="auto"/>
        <w:bottom w:val="none" w:sz="0" w:space="0" w:color="auto"/>
        <w:right w:val="none" w:sz="0" w:space="0" w:color="auto"/>
      </w:divBdr>
    </w:div>
    <w:div w:id="810168780">
      <w:bodyDiv w:val="1"/>
      <w:marLeft w:val="0"/>
      <w:marRight w:val="0"/>
      <w:marTop w:val="0"/>
      <w:marBottom w:val="0"/>
      <w:divBdr>
        <w:top w:val="none" w:sz="0" w:space="0" w:color="auto"/>
        <w:left w:val="none" w:sz="0" w:space="0" w:color="auto"/>
        <w:bottom w:val="none" w:sz="0" w:space="0" w:color="auto"/>
        <w:right w:val="none" w:sz="0" w:space="0" w:color="auto"/>
      </w:divBdr>
      <w:divsChild>
        <w:div w:id="185871505">
          <w:marLeft w:val="0"/>
          <w:marRight w:val="0"/>
          <w:marTop w:val="0"/>
          <w:marBottom w:val="0"/>
          <w:divBdr>
            <w:top w:val="none" w:sz="0" w:space="0" w:color="auto"/>
            <w:left w:val="none" w:sz="0" w:space="0" w:color="auto"/>
            <w:bottom w:val="none" w:sz="0" w:space="0" w:color="auto"/>
            <w:right w:val="none" w:sz="0" w:space="0" w:color="auto"/>
          </w:divBdr>
          <w:divsChild>
            <w:div w:id="229922902">
              <w:marLeft w:val="0"/>
              <w:marRight w:val="0"/>
              <w:marTop w:val="0"/>
              <w:marBottom w:val="225"/>
              <w:divBdr>
                <w:top w:val="none" w:sz="0" w:space="0" w:color="auto"/>
                <w:left w:val="none" w:sz="0" w:space="0" w:color="auto"/>
                <w:bottom w:val="none" w:sz="0" w:space="0" w:color="auto"/>
                <w:right w:val="none" w:sz="0" w:space="0" w:color="auto"/>
              </w:divBdr>
              <w:divsChild>
                <w:div w:id="104702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623462">
      <w:bodyDiv w:val="1"/>
      <w:marLeft w:val="0"/>
      <w:marRight w:val="0"/>
      <w:marTop w:val="0"/>
      <w:marBottom w:val="0"/>
      <w:divBdr>
        <w:top w:val="none" w:sz="0" w:space="0" w:color="auto"/>
        <w:left w:val="none" w:sz="0" w:space="0" w:color="auto"/>
        <w:bottom w:val="none" w:sz="0" w:space="0" w:color="auto"/>
        <w:right w:val="none" w:sz="0" w:space="0" w:color="auto"/>
      </w:divBdr>
    </w:div>
    <w:div w:id="1058624443">
      <w:bodyDiv w:val="1"/>
      <w:marLeft w:val="0"/>
      <w:marRight w:val="0"/>
      <w:marTop w:val="0"/>
      <w:marBottom w:val="0"/>
      <w:divBdr>
        <w:top w:val="none" w:sz="0" w:space="0" w:color="auto"/>
        <w:left w:val="none" w:sz="0" w:space="0" w:color="auto"/>
        <w:bottom w:val="none" w:sz="0" w:space="0" w:color="auto"/>
        <w:right w:val="none" w:sz="0" w:space="0" w:color="auto"/>
      </w:divBdr>
      <w:divsChild>
        <w:div w:id="790706215">
          <w:marLeft w:val="0"/>
          <w:marRight w:val="0"/>
          <w:marTop w:val="0"/>
          <w:marBottom w:val="0"/>
          <w:divBdr>
            <w:top w:val="none" w:sz="0" w:space="0" w:color="auto"/>
            <w:left w:val="none" w:sz="0" w:space="0" w:color="auto"/>
            <w:bottom w:val="none" w:sz="0" w:space="0" w:color="auto"/>
            <w:right w:val="none" w:sz="0" w:space="0" w:color="auto"/>
          </w:divBdr>
        </w:div>
      </w:divsChild>
    </w:div>
    <w:div w:id="1552156135">
      <w:bodyDiv w:val="1"/>
      <w:marLeft w:val="0"/>
      <w:marRight w:val="0"/>
      <w:marTop w:val="0"/>
      <w:marBottom w:val="0"/>
      <w:divBdr>
        <w:top w:val="none" w:sz="0" w:space="0" w:color="auto"/>
        <w:left w:val="none" w:sz="0" w:space="0" w:color="auto"/>
        <w:bottom w:val="none" w:sz="0" w:space="0" w:color="auto"/>
        <w:right w:val="none" w:sz="0" w:space="0" w:color="auto"/>
      </w:divBdr>
      <w:divsChild>
        <w:div w:id="1768118874">
          <w:marLeft w:val="0"/>
          <w:marRight w:val="0"/>
          <w:marTop w:val="0"/>
          <w:marBottom w:val="0"/>
          <w:divBdr>
            <w:top w:val="none" w:sz="0" w:space="0" w:color="auto"/>
            <w:left w:val="none" w:sz="0" w:space="0" w:color="auto"/>
            <w:bottom w:val="none" w:sz="0" w:space="0" w:color="auto"/>
            <w:right w:val="none" w:sz="0" w:space="0" w:color="auto"/>
          </w:divBdr>
          <w:divsChild>
            <w:div w:id="1460882797">
              <w:marLeft w:val="0"/>
              <w:marRight w:val="0"/>
              <w:marTop w:val="0"/>
              <w:marBottom w:val="0"/>
              <w:divBdr>
                <w:top w:val="none" w:sz="0" w:space="0" w:color="auto"/>
                <w:left w:val="none" w:sz="0" w:space="0" w:color="auto"/>
                <w:bottom w:val="none" w:sz="0" w:space="0" w:color="auto"/>
                <w:right w:val="none" w:sz="0" w:space="0" w:color="auto"/>
              </w:divBdr>
              <w:divsChild>
                <w:div w:id="1263564974">
                  <w:marLeft w:val="0"/>
                  <w:marRight w:val="0"/>
                  <w:marTop w:val="0"/>
                  <w:marBottom w:val="0"/>
                  <w:divBdr>
                    <w:top w:val="none" w:sz="0" w:space="0" w:color="auto"/>
                    <w:left w:val="none" w:sz="0" w:space="0" w:color="auto"/>
                    <w:bottom w:val="none" w:sz="0" w:space="0" w:color="auto"/>
                    <w:right w:val="none" w:sz="0" w:space="0" w:color="auto"/>
                  </w:divBdr>
                  <w:divsChild>
                    <w:div w:id="1681740097">
                      <w:marLeft w:val="0"/>
                      <w:marRight w:val="0"/>
                      <w:marTop w:val="0"/>
                      <w:marBottom w:val="0"/>
                      <w:divBdr>
                        <w:top w:val="none" w:sz="0" w:space="0" w:color="auto"/>
                        <w:left w:val="none" w:sz="0" w:space="0" w:color="auto"/>
                        <w:bottom w:val="none" w:sz="0" w:space="0" w:color="auto"/>
                        <w:right w:val="none" w:sz="0" w:space="0" w:color="auto"/>
                      </w:divBdr>
                      <w:divsChild>
                        <w:div w:id="1519004844">
                          <w:marLeft w:val="0"/>
                          <w:marRight w:val="0"/>
                          <w:marTop w:val="0"/>
                          <w:marBottom w:val="0"/>
                          <w:divBdr>
                            <w:top w:val="none" w:sz="0" w:space="0" w:color="auto"/>
                            <w:left w:val="none" w:sz="0" w:space="0" w:color="auto"/>
                            <w:bottom w:val="none" w:sz="0" w:space="0" w:color="auto"/>
                            <w:right w:val="none" w:sz="0" w:space="0" w:color="auto"/>
                          </w:divBdr>
                          <w:divsChild>
                            <w:div w:id="1676617253">
                              <w:marLeft w:val="0"/>
                              <w:marRight w:val="0"/>
                              <w:marTop w:val="0"/>
                              <w:marBottom w:val="0"/>
                              <w:divBdr>
                                <w:top w:val="none" w:sz="0" w:space="0" w:color="auto"/>
                                <w:left w:val="none" w:sz="0" w:space="0" w:color="auto"/>
                                <w:bottom w:val="none" w:sz="0" w:space="0" w:color="auto"/>
                                <w:right w:val="none" w:sz="0" w:space="0" w:color="auto"/>
                              </w:divBdr>
                              <w:divsChild>
                                <w:div w:id="490872063">
                                  <w:marLeft w:val="0"/>
                                  <w:marRight w:val="0"/>
                                  <w:marTop w:val="0"/>
                                  <w:marBottom w:val="0"/>
                                  <w:divBdr>
                                    <w:top w:val="none" w:sz="0" w:space="0" w:color="auto"/>
                                    <w:left w:val="none" w:sz="0" w:space="0" w:color="auto"/>
                                    <w:bottom w:val="none" w:sz="0" w:space="0" w:color="auto"/>
                                    <w:right w:val="none" w:sz="0" w:space="0" w:color="auto"/>
                                  </w:divBdr>
                                  <w:divsChild>
                                    <w:div w:id="1876388435">
                                      <w:marLeft w:val="0"/>
                                      <w:marRight w:val="0"/>
                                      <w:marTop w:val="0"/>
                                      <w:marBottom w:val="0"/>
                                      <w:divBdr>
                                        <w:top w:val="none" w:sz="0" w:space="0" w:color="auto"/>
                                        <w:left w:val="none" w:sz="0" w:space="0" w:color="auto"/>
                                        <w:bottom w:val="none" w:sz="0" w:space="0" w:color="auto"/>
                                        <w:right w:val="none" w:sz="0" w:space="0" w:color="auto"/>
                                      </w:divBdr>
                                      <w:divsChild>
                                        <w:div w:id="1810593630">
                                          <w:marLeft w:val="0"/>
                                          <w:marRight w:val="0"/>
                                          <w:marTop w:val="0"/>
                                          <w:marBottom w:val="0"/>
                                          <w:divBdr>
                                            <w:top w:val="none" w:sz="0" w:space="0" w:color="auto"/>
                                            <w:left w:val="none" w:sz="0" w:space="0" w:color="auto"/>
                                            <w:bottom w:val="none" w:sz="0" w:space="0" w:color="auto"/>
                                            <w:right w:val="none" w:sz="0" w:space="0" w:color="auto"/>
                                          </w:divBdr>
                                          <w:divsChild>
                                            <w:div w:id="1100103450">
                                              <w:marLeft w:val="-180"/>
                                              <w:marRight w:val="-180"/>
                                              <w:marTop w:val="0"/>
                                              <w:marBottom w:val="0"/>
                                              <w:divBdr>
                                                <w:top w:val="none" w:sz="0" w:space="0" w:color="auto"/>
                                                <w:left w:val="none" w:sz="0" w:space="0" w:color="auto"/>
                                                <w:bottom w:val="none" w:sz="0" w:space="0" w:color="auto"/>
                                                <w:right w:val="none" w:sz="0" w:space="0" w:color="auto"/>
                                              </w:divBdr>
                                              <w:divsChild>
                                                <w:div w:id="483815153">
                                                  <w:marLeft w:val="0"/>
                                                  <w:marRight w:val="0"/>
                                                  <w:marTop w:val="0"/>
                                                  <w:marBottom w:val="0"/>
                                                  <w:divBdr>
                                                    <w:top w:val="none" w:sz="0" w:space="0" w:color="auto"/>
                                                    <w:left w:val="none" w:sz="0" w:space="0" w:color="auto"/>
                                                    <w:bottom w:val="none" w:sz="0" w:space="0" w:color="auto"/>
                                                    <w:right w:val="none" w:sz="0" w:space="0" w:color="auto"/>
                                                  </w:divBdr>
                                                  <w:divsChild>
                                                    <w:div w:id="2052416543">
                                                      <w:marLeft w:val="0"/>
                                                      <w:marRight w:val="0"/>
                                                      <w:marTop w:val="0"/>
                                                      <w:marBottom w:val="0"/>
                                                      <w:divBdr>
                                                        <w:top w:val="none" w:sz="0" w:space="0" w:color="auto"/>
                                                        <w:left w:val="none" w:sz="0" w:space="0" w:color="auto"/>
                                                        <w:bottom w:val="none" w:sz="0" w:space="0" w:color="auto"/>
                                                        <w:right w:val="none" w:sz="0" w:space="0" w:color="auto"/>
                                                      </w:divBdr>
                                                      <w:divsChild>
                                                        <w:div w:id="1645114976">
                                                          <w:marLeft w:val="0"/>
                                                          <w:marRight w:val="0"/>
                                                          <w:marTop w:val="0"/>
                                                          <w:marBottom w:val="0"/>
                                                          <w:divBdr>
                                                            <w:top w:val="none" w:sz="0" w:space="0" w:color="auto"/>
                                                            <w:left w:val="none" w:sz="0" w:space="0" w:color="auto"/>
                                                            <w:bottom w:val="none" w:sz="0" w:space="0" w:color="auto"/>
                                                            <w:right w:val="none" w:sz="0" w:space="0" w:color="auto"/>
                                                          </w:divBdr>
                                                          <w:divsChild>
                                                            <w:div w:id="1157499734">
                                                              <w:marLeft w:val="0"/>
                                                              <w:marRight w:val="0"/>
                                                              <w:marTop w:val="0"/>
                                                              <w:marBottom w:val="0"/>
                                                              <w:divBdr>
                                                                <w:top w:val="none" w:sz="0" w:space="0" w:color="auto"/>
                                                                <w:left w:val="none" w:sz="0" w:space="0" w:color="auto"/>
                                                                <w:bottom w:val="none" w:sz="0" w:space="0" w:color="auto"/>
                                                                <w:right w:val="none" w:sz="0" w:space="0" w:color="auto"/>
                                                              </w:divBdr>
                                                              <w:divsChild>
                                                                <w:div w:id="344482541">
                                                                  <w:marLeft w:val="0"/>
                                                                  <w:marRight w:val="0"/>
                                                                  <w:marTop w:val="0"/>
                                                                  <w:marBottom w:val="0"/>
                                                                  <w:divBdr>
                                                                    <w:top w:val="none" w:sz="0" w:space="0" w:color="auto"/>
                                                                    <w:left w:val="none" w:sz="0" w:space="0" w:color="auto"/>
                                                                    <w:bottom w:val="none" w:sz="0" w:space="0" w:color="auto"/>
                                                                    <w:right w:val="none" w:sz="0" w:space="0" w:color="auto"/>
                                                                  </w:divBdr>
                                                                  <w:divsChild>
                                                                    <w:div w:id="385954226">
                                                                      <w:marLeft w:val="0"/>
                                                                      <w:marRight w:val="0"/>
                                                                      <w:marTop w:val="0"/>
                                                                      <w:marBottom w:val="0"/>
                                                                      <w:divBdr>
                                                                        <w:top w:val="none" w:sz="0" w:space="0" w:color="auto"/>
                                                                        <w:left w:val="none" w:sz="0" w:space="0" w:color="auto"/>
                                                                        <w:bottom w:val="none" w:sz="0" w:space="0" w:color="auto"/>
                                                                        <w:right w:val="none" w:sz="0" w:space="0" w:color="auto"/>
                                                                      </w:divBdr>
                                                                      <w:divsChild>
                                                                        <w:div w:id="138930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06836054">
                          <w:marLeft w:val="0"/>
                          <w:marRight w:val="0"/>
                          <w:marTop w:val="100"/>
                          <w:marBottom w:val="0"/>
                          <w:divBdr>
                            <w:top w:val="none" w:sz="0" w:space="0" w:color="auto"/>
                            <w:left w:val="none" w:sz="0" w:space="0" w:color="auto"/>
                            <w:bottom w:val="none" w:sz="0" w:space="0" w:color="auto"/>
                            <w:right w:val="none" w:sz="0" w:space="0" w:color="auto"/>
                          </w:divBdr>
                          <w:divsChild>
                            <w:div w:id="1504390652">
                              <w:marLeft w:val="0"/>
                              <w:marRight w:val="0"/>
                              <w:marTop w:val="0"/>
                              <w:marBottom w:val="0"/>
                              <w:divBdr>
                                <w:top w:val="none" w:sz="0" w:space="0" w:color="auto"/>
                                <w:left w:val="none" w:sz="0" w:space="0" w:color="auto"/>
                                <w:bottom w:val="none" w:sz="0" w:space="0" w:color="auto"/>
                                <w:right w:val="none" w:sz="0" w:space="0" w:color="auto"/>
                              </w:divBdr>
                            </w:div>
                            <w:div w:id="77636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1396947">
      <w:bodyDiv w:val="1"/>
      <w:marLeft w:val="0"/>
      <w:marRight w:val="0"/>
      <w:marTop w:val="0"/>
      <w:marBottom w:val="0"/>
      <w:divBdr>
        <w:top w:val="none" w:sz="0" w:space="0" w:color="auto"/>
        <w:left w:val="none" w:sz="0" w:space="0" w:color="auto"/>
        <w:bottom w:val="none" w:sz="0" w:space="0" w:color="auto"/>
        <w:right w:val="none" w:sz="0" w:space="0" w:color="auto"/>
      </w:divBdr>
      <w:divsChild>
        <w:div w:id="1230967912">
          <w:marLeft w:val="0"/>
          <w:marRight w:val="0"/>
          <w:marTop w:val="0"/>
          <w:marBottom w:val="0"/>
          <w:divBdr>
            <w:top w:val="none" w:sz="0" w:space="0" w:color="auto"/>
            <w:left w:val="none" w:sz="0" w:space="0" w:color="auto"/>
            <w:bottom w:val="none" w:sz="0" w:space="0" w:color="auto"/>
            <w:right w:val="none" w:sz="0" w:space="0" w:color="auto"/>
          </w:divBdr>
        </w:div>
      </w:divsChild>
    </w:div>
    <w:div w:id="1746343090">
      <w:bodyDiv w:val="1"/>
      <w:marLeft w:val="0"/>
      <w:marRight w:val="0"/>
      <w:marTop w:val="0"/>
      <w:marBottom w:val="0"/>
      <w:divBdr>
        <w:top w:val="none" w:sz="0" w:space="0" w:color="auto"/>
        <w:left w:val="none" w:sz="0" w:space="0" w:color="auto"/>
        <w:bottom w:val="none" w:sz="0" w:space="0" w:color="auto"/>
        <w:right w:val="none" w:sz="0" w:space="0" w:color="auto"/>
      </w:divBdr>
      <w:divsChild>
        <w:div w:id="2096048867">
          <w:marLeft w:val="0"/>
          <w:marRight w:val="0"/>
          <w:marTop w:val="0"/>
          <w:marBottom w:val="300"/>
          <w:divBdr>
            <w:top w:val="none" w:sz="0" w:space="0" w:color="auto"/>
            <w:left w:val="none" w:sz="0" w:space="0" w:color="auto"/>
            <w:bottom w:val="none" w:sz="0" w:space="0" w:color="auto"/>
            <w:right w:val="none" w:sz="0" w:space="0" w:color="auto"/>
          </w:divBdr>
          <w:divsChild>
            <w:div w:id="144393794">
              <w:marLeft w:val="0"/>
              <w:marRight w:val="0"/>
              <w:marTop w:val="0"/>
              <w:marBottom w:val="0"/>
              <w:divBdr>
                <w:top w:val="none" w:sz="0" w:space="0" w:color="auto"/>
                <w:left w:val="none" w:sz="0" w:space="0" w:color="auto"/>
                <w:bottom w:val="none" w:sz="0" w:space="0" w:color="auto"/>
                <w:right w:val="none" w:sz="0" w:space="0" w:color="auto"/>
              </w:divBdr>
            </w:div>
          </w:divsChild>
        </w:div>
        <w:div w:id="626399533">
          <w:marLeft w:val="0"/>
          <w:marRight w:val="0"/>
          <w:marTop w:val="0"/>
          <w:marBottom w:val="300"/>
          <w:divBdr>
            <w:top w:val="none" w:sz="0" w:space="0" w:color="auto"/>
            <w:left w:val="none" w:sz="0" w:space="0" w:color="auto"/>
            <w:bottom w:val="none" w:sz="0" w:space="0" w:color="auto"/>
            <w:right w:val="none" w:sz="0" w:space="0" w:color="auto"/>
          </w:divBdr>
          <w:divsChild>
            <w:div w:id="159732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436350">
      <w:bodyDiv w:val="1"/>
      <w:marLeft w:val="0"/>
      <w:marRight w:val="0"/>
      <w:marTop w:val="0"/>
      <w:marBottom w:val="0"/>
      <w:divBdr>
        <w:top w:val="none" w:sz="0" w:space="0" w:color="auto"/>
        <w:left w:val="none" w:sz="0" w:space="0" w:color="auto"/>
        <w:bottom w:val="none" w:sz="0" w:space="0" w:color="auto"/>
        <w:right w:val="none" w:sz="0" w:space="0" w:color="auto"/>
      </w:divBdr>
    </w:div>
    <w:div w:id="1798528576">
      <w:bodyDiv w:val="1"/>
      <w:marLeft w:val="0"/>
      <w:marRight w:val="0"/>
      <w:marTop w:val="0"/>
      <w:marBottom w:val="0"/>
      <w:divBdr>
        <w:top w:val="none" w:sz="0" w:space="0" w:color="auto"/>
        <w:left w:val="none" w:sz="0" w:space="0" w:color="auto"/>
        <w:bottom w:val="none" w:sz="0" w:space="0" w:color="auto"/>
        <w:right w:val="none" w:sz="0" w:space="0" w:color="auto"/>
      </w:divBdr>
      <w:divsChild>
        <w:div w:id="1383945988">
          <w:marLeft w:val="0"/>
          <w:marRight w:val="0"/>
          <w:marTop w:val="0"/>
          <w:marBottom w:val="300"/>
          <w:divBdr>
            <w:top w:val="none" w:sz="0" w:space="0" w:color="auto"/>
            <w:left w:val="none" w:sz="0" w:space="0" w:color="auto"/>
            <w:bottom w:val="none" w:sz="0" w:space="0" w:color="auto"/>
            <w:right w:val="none" w:sz="0" w:space="0" w:color="auto"/>
          </w:divBdr>
          <w:divsChild>
            <w:div w:id="1112281361">
              <w:marLeft w:val="0"/>
              <w:marRight w:val="0"/>
              <w:marTop w:val="0"/>
              <w:marBottom w:val="0"/>
              <w:divBdr>
                <w:top w:val="none" w:sz="0" w:space="0" w:color="auto"/>
                <w:left w:val="none" w:sz="0" w:space="0" w:color="auto"/>
                <w:bottom w:val="none" w:sz="0" w:space="0" w:color="auto"/>
                <w:right w:val="none" w:sz="0" w:space="0" w:color="auto"/>
              </w:divBdr>
            </w:div>
          </w:divsChild>
        </w:div>
        <w:div w:id="2096127729">
          <w:marLeft w:val="0"/>
          <w:marRight w:val="0"/>
          <w:marTop w:val="0"/>
          <w:marBottom w:val="300"/>
          <w:divBdr>
            <w:top w:val="none" w:sz="0" w:space="0" w:color="auto"/>
            <w:left w:val="none" w:sz="0" w:space="0" w:color="auto"/>
            <w:bottom w:val="none" w:sz="0" w:space="0" w:color="auto"/>
            <w:right w:val="none" w:sz="0" w:space="0" w:color="auto"/>
          </w:divBdr>
          <w:divsChild>
            <w:div w:id="172077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054724">
      <w:bodyDiv w:val="1"/>
      <w:marLeft w:val="0"/>
      <w:marRight w:val="0"/>
      <w:marTop w:val="0"/>
      <w:marBottom w:val="0"/>
      <w:divBdr>
        <w:top w:val="none" w:sz="0" w:space="0" w:color="auto"/>
        <w:left w:val="none" w:sz="0" w:space="0" w:color="auto"/>
        <w:bottom w:val="none" w:sz="0" w:space="0" w:color="auto"/>
        <w:right w:val="none" w:sz="0" w:space="0" w:color="auto"/>
      </w:divBdr>
    </w:div>
    <w:div w:id="2105106826">
      <w:bodyDiv w:val="1"/>
      <w:marLeft w:val="0"/>
      <w:marRight w:val="0"/>
      <w:marTop w:val="0"/>
      <w:marBottom w:val="0"/>
      <w:divBdr>
        <w:top w:val="none" w:sz="0" w:space="0" w:color="auto"/>
        <w:left w:val="none" w:sz="0" w:space="0" w:color="auto"/>
        <w:bottom w:val="none" w:sz="0" w:space="0" w:color="auto"/>
        <w:right w:val="none" w:sz="0" w:space="0" w:color="auto"/>
      </w:divBdr>
      <w:divsChild>
        <w:div w:id="828793088">
          <w:marLeft w:val="0"/>
          <w:marRight w:val="0"/>
          <w:marTop w:val="0"/>
          <w:marBottom w:val="0"/>
          <w:divBdr>
            <w:top w:val="none" w:sz="0" w:space="0" w:color="auto"/>
            <w:left w:val="none" w:sz="0" w:space="0" w:color="auto"/>
            <w:bottom w:val="none" w:sz="0" w:space="0" w:color="auto"/>
            <w:right w:val="none" w:sz="0" w:space="0" w:color="auto"/>
          </w:divBdr>
          <w:divsChild>
            <w:div w:id="2015525998">
              <w:marLeft w:val="0"/>
              <w:marRight w:val="0"/>
              <w:marTop w:val="0"/>
              <w:marBottom w:val="0"/>
              <w:divBdr>
                <w:top w:val="none" w:sz="0" w:space="0" w:color="auto"/>
                <w:left w:val="none" w:sz="0" w:space="0" w:color="auto"/>
                <w:bottom w:val="none" w:sz="0" w:space="0" w:color="auto"/>
                <w:right w:val="none" w:sz="0" w:space="0" w:color="auto"/>
              </w:divBdr>
              <w:divsChild>
                <w:div w:id="1438065002">
                  <w:marLeft w:val="0"/>
                  <w:marRight w:val="0"/>
                  <w:marTop w:val="0"/>
                  <w:marBottom w:val="0"/>
                  <w:divBdr>
                    <w:top w:val="none" w:sz="0" w:space="0" w:color="auto"/>
                    <w:left w:val="none" w:sz="0" w:space="0" w:color="auto"/>
                    <w:bottom w:val="none" w:sz="0" w:space="0" w:color="auto"/>
                    <w:right w:val="none" w:sz="0" w:space="0" w:color="auto"/>
                  </w:divBdr>
                  <w:divsChild>
                    <w:div w:id="1248995590">
                      <w:marLeft w:val="0"/>
                      <w:marRight w:val="0"/>
                      <w:marTop w:val="0"/>
                      <w:marBottom w:val="0"/>
                      <w:divBdr>
                        <w:top w:val="none" w:sz="0" w:space="0" w:color="auto"/>
                        <w:left w:val="none" w:sz="0" w:space="0" w:color="auto"/>
                        <w:bottom w:val="none" w:sz="0" w:space="0" w:color="auto"/>
                        <w:right w:val="none" w:sz="0" w:space="0" w:color="auto"/>
                      </w:divBdr>
                      <w:divsChild>
                        <w:div w:id="1435395826">
                          <w:marLeft w:val="0"/>
                          <w:marRight w:val="0"/>
                          <w:marTop w:val="0"/>
                          <w:marBottom w:val="0"/>
                          <w:divBdr>
                            <w:top w:val="none" w:sz="0" w:space="0" w:color="auto"/>
                            <w:left w:val="none" w:sz="0" w:space="0" w:color="auto"/>
                            <w:bottom w:val="none" w:sz="0" w:space="0" w:color="auto"/>
                            <w:right w:val="none" w:sz="0" w:space="0" w:color="auto"/>
                          </w:divBdr>
                          <w:divsChild>
                            <w:div w:id="321003624">
                              <w:marLeft w:val="0"/>
                              <w:marRight w:val="0"/>
                              <w:marTop w:val="0"/>
                              <w:marBottom w:val="0"/>
                              <w:divBdr>
                                <w:top w:val="none" w:sz="0" w:space="0" w:color="auto"/>
                                <w:left w:val="none" w:sz="0" w:space="0" w:color="auto"/>
                                <w:bottom w:val="none" w:sz="0" w:space="0" w:color="auto"/>
                                <w:right w:val="none" w:sz="0" w:space="0" w:color="auto"/>
                              </w:divBdr>
                              <w:divsChild>
                                <w:div w:id="2028020749">
                                  <w:marLeft w:val="0"/>
                                  <w:marRight w:val="0"/>
                                  <w:marTop w:val="0"/>
                                  <w:marBottom w:val="0"/>
                                  <w:divBdr>
                                    <w:top w:val="none" w:sz="0" w:space="0" w:color="auto"/>
                                    <w:left w:val="none" w:sz="0" w:space="0" w:color="auto"/>
                                    <w:bottom w:val="none" w:sz="0" w:space="0" w:color="auto"/>
                                    <w:right w:val="none" w:sz="0" w:space="0" w:color="auto"/>
                                  </w:divBdr>
                                  <w:divsChild>
                                    <w:div w:id="402992571">
                                      <w:marLeft w:val="0"/>
                                      <w:marRight w:val="0"/>
                                      <w:marTop w:val="0"/>
                                      <w:marBottom w:val="0"/>
                                      <w:divBdr>
                                        <w:top w:val="none" w:sz="0" w:space="0" w:color="auto"/>
                                        <w:left w:val="none" w:sz="0" w:space="0" w:color="auto"/>
                                        <w:bottom w:val="none" w:sz="0" w:space="0" w:color="auto"/>
                                        <w:right w:val="none" w:sz="0" w:space="0" w:color="auto"/>
                                      </w:divBdr>
                                      <w:divsChild>
                                        <w:div w:id="1576090655">
                                          <w:marLeft w:val="0"/>
                                          <w:marRight w:val="0"/>
                                          <w:marTop w:val="0"/>
                                          <w:marBottom w:val="0"/>
                                          <w:divBdr>
                                            <w:top w:val="none" w:sz="0" w:space="0" w:color="auto"/>
                                            <w:left w:val="none" w:sz="0" w:space="0" w:color="auto"/>
                                            <w:bottom w:val="none" w:sz="0" w:space="0" w:color="auto"/>
                                            <w:right w:val="none" w:sz="0" w:space="0" w:color="auto"/>
                                          </w:divBdr>
                                          <w:divsChild>
                                            <w:div w:id="1649047299">
                                              <w:marLeft w:val="-180"/>
                                              <w:marRight w:val="-180"/>
                                              <w:marTop w:val="0"/>
                                              <w:marBottom w:val="0"/>
                                              <w:divBdr>
                                                <w:top w:val="none" w:sz="0" w:space="0" w:color="auto"/>
                                                <w:left w:val="none" w:sz="0" w:space="0" w:color="auto"/>
                                                <w:bottom w:val="none" w:sz="0" w:space="0" w:color="auto"/>
                                                <w:right w:val="none" w:sz="0" w:space="0" w:color="auto"/>
                                              </w:divBdr>
                                              <w:divsChild>
                                                <w:div w:id="2092240446">
                                                  <w:marLeft w:val="0"/>
                                                  <w:marRight w:val="0"/>
                                                  <w:marTop w:val="0"/>
                                                  <w:marBottom w:val="0"/>
                                                  <w:divBdr>
                                                    <w:top w:val="none" w:sz="0" w:space="0" w:color="auto"/>
                                                    <w:left w:val="none" w:sz="0" w:space="0" w:color="auto"/>
                                                    <w:bottom w:val="none" w:sz="0" w:space="0" w:color="auto"/>
                                                    <w:right w:val="none" w:sz="0" w:space="0" w:color="auto"/>
                                                  </w:divBdr>
                                                  <w:divsChild>
                                                    <w:div w:id="184441866">
                                                      <w:marLeft w:val="0"/>
                                                      <w:marRight w:val="0"/>
                                                      <w:marTop w:val="0"/>
                                                      <w:marBottom w:val="0"/>
                                                      <w:divBdr>
                                                        <w:top w:val="none" w:sz="0" w:space="0" w:color="auto"/>
                                                        <w:left w:val="none" w:sz="0" w:space="0" w:color="auto"/>
                                                        <w:bottom w:val="none" w:sz="0" w:space="0" w:color="auto"/>
                                                        <w:right w:val="none" w:sz="0" w:space="0" w:color="auto"/>
                                                      </w:divBdr>
                                                      <w:divsChild>
                                                        <w:div w:id="1916939484">
                                                          <w:marLeft w:val="0"/>
                                                          <w:marRight w:val="0"/>
                                                          <w:marTop w:val="0"/>
                                                          <w:marBottom w:val="0"/>
                                                          <w:divBdr>
                                                            <w:top w:val="none" w:sz="0" w:space="0" w:color="auto"/>
                                                            <w:left w:val="none" w:sz="0" w:space="0" w:color="auto"/>
                                                            <w:bottom w:val="none" w:sz="0" w:space="0" w:color="auto"/>
                                                            <w:right w:val="none" w:sz="0" w:space="0" w:color="auto"/>
                                                          </w:divBdr>
                                                          <w:divsChild>
                                                            <w:div w:id="1128359693">
                                                              <w:marLeft w:val="0"/>
                                                              <w:marRight w:val="0"/>
                                                              <w:marTop w:val="0"/>
                                                              <w:marBottom w:val="0"/>
                                                              <w:divBdr>
                                                                <w:top w:val="none" w:sz="0" w:space="0" w:color="auto"/>
                                                                <w:left w:val="none" w:sz="0" w:space="0" w:color="auto"/>
                                                                <w:bottom w:val="none" w:sz="0" w:space="0" w:color="auto"/>
                                                                <w:right w:val="none" w:sz="0" w:space="0" w:color="auto"/>
                                                              </w:divBdr>
                                                              <w:divsChild>
                                                                <w:div w:id="111363582">
                                                                  <w:marLeft w:val="0"/>
                                                                  <w:marRight w:val="0"/>
                                                                  <w:marTop w:val="0"/>
                                                                  <w:marBottom w:val="0"/>
                                                                  <w:divBdr>
                                                                    <w:top w:val="none" w:sz="0" w:space="0" w:color="auto"/>
                                                                    <w:left w:val="none" w:sz="0" w:space="0" w:color="auto"/>
                                                                    <w:bottom w:val="none" w:sz="0" w:space="0" w:color="auto"/>
                                                                    <w:right w:val="none" w:sz="0" w:space="0" w:color="auto"/>
                                                                  </w:divBdr>
                                                                  <w:divsChild>
                                                                    <w:div w:id="422537167">
                                                                      <w:marLeft w:val="0"/>
                                                                      <w:marRight w:val="0"/>
                                                                      <w:marTop w:val="0"/>
                                                                      <w:marBottom w:val="0"/>
                                                                      <w:divBdr>
                                                                        <w:top w:val="none" w:sz="0" w:space="0" w:color="auto"/>
                                                                        <w:left w:val="none" w:sz="0" w:space="0" w:color="auto"/>
                                                                        <w:bottom w:val="none" w:sz="0" w:space="0" w:color="auto"/>
                                                                        <w:right w:val="none" w:sz="0" w:space="0" w:color="auto"/>
                                                                      </w:divBdr>
                                                                      <w:divsChild>
                                                                        <w:div w:id="108333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269314">
                          <w:marLeft w:val="0"/>
                          <w:marRight w:val="0"/>
                          <w:marTop w:val="100"/>
                          <w:marBottom w:val="0"/>
                          <w:divBdr>
                            <w:top w:val="none" w:sz="0" w:space="0" w:color="auto"/>
                            <w:left w:val="none" w:sz="0" w:space="0" w:color="auto"/>
                            <w:bottom w:val="none" w:sz="0" w:space="0" w:color="auto"/>
                            <w:right w:val="none" w:sz="0" w:space="0" w:color="auto"/>
                          </w:divBdr>
                          <w:divsChild>
                            <w:div w:id="192882110">
                              <w:marLeft w:val="0"/>
                              <w:marRight w:val="0"/>
                              <w:marTop w:val="0"/>
                              <w:marBottom w:val="0"/>
                              <w:divBdr>
                                <w:top w:val="none" w:sz="0" w:space="0" w:color="auto"/>
                                <w:left w:val="none" w:sz="0" w:space="0" w:color="auto"/>
                                <w:bottom w:val="none" w:sz="0" w:space="0" w:color="auto"/>
                                <w:right w:val="none" w:sz="0" w:space="0" w:color="auto"/>
                              </w:divBdr>
                            </w:div>
                            <w:div w:id="179728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02/fes3.405" TargetMode="External"/><Relationship Id="rId21" Type="http://schemas.openxmlformats.org/officeDocument/2006/relationships/hyperlink" Target="https://www.bcg.com/publications/2023/whetting-consumers-appetite-for-sustainable-foods" TargetMode="External"/><Relationship Id="rId42" Type="http://schemas.openxmlformats.org/officeDocument/2006/relationships/hyperlink" Target="https://doi.org/10.1016/j.foodqual.2016.12.008" TargetMode="External"/><Relationship Id="rId47" Type="http://schemas.openxmlformats.org/officeDocument/2006/relationships/hyperlink" Target="https://doi.org/10.3390/su15118998" TargetMode="External"/><Relationship Id="rId63" Type="http://schemas.openxmlformats.org/officeDocument/2006/relationships/hyperlink" Target="https://doi.org/10.1007/s13762-022-04186-9" TargetMode="External"/><Relationship Id="rId68" Type="http://schemas.openxmlformats.org/officeDocument/2006/relationships/hyperlink" Target="https://doi.org/10.1186/s13750-024-00333-6" TargetMode="External"/><Relationship Id="rId84" Type="http://schemas.openxmlformats.org/officeDocument/2006/relationships/hyperlink" Target="https://doi.org/10.1111/j.1470-6431.2011.01082.x" TargetMode="External"/><Relationship Id="rId89" Type="http://schemas.openxmlformats.org/officeDocument/2006/relationships/hyperlink" Target="https://doi.org/10.1007/s10806-005-5485-3" TargetMode="External"/><Relationship Id="rId16" Type="http://schemas.openxmlformats.org/officeDocument/2006/relationships/hyperlink" Target="https://doi.org/10.1016/j.spc.2023.01.012" TargetMode="External"/><Relationship Id="rId11" Type="http://schemas.openxmlformats.org/officeDocument/2006/relationships/header" Target="header1.xml"/><Relationship Id="rId32" Type="http://schemas.openxmlformats.org/officeDocument/2006/relationships/hyperlink" Target="https://acrobat.adobe.com/id/urn:aaid:sc:EU:11f400fe-c938-464f-b505-696c3314055c" TargetMode="External"/><Relationship Id="rId37" Type="http://schemas.openxmlformats.org/officeDocument/2006/relationships/hyperlink" Target="https://doi.org/10.1017/S1368980013001523" TargetMode="External"/><Relationship Id="rId53" Type="http://schemas.openxmlformats.org/officeDocument/2006/relationships/hyperlink" Target="https://doi.org/10.1108/BFJ-11-2016-0574" TargetMode="External"/><Relationship Id="rId58" Type="http://schemas.openxmlformats.org/officeDocument/2006/relationships/hyperlink" Target="https://doi.org/10.3390/su141912330" TargetMode="External"/><Relationship Id="rId74" Type="http://schemas.openxmlformats.org/officeDocument/2006/relationships/hyperlink" Target="https://doi.org/10.1108/JITLP-08-2024-0053" TargetMode="External"/><Relationship Id="rId79" Type="http://schemas.openxmlformats.org/officeDocument/2006/relationships/hyperlink" Target="https://www.unilever.com/brands/foods/the-worlds-food-system-needs-to-change" TargetMode="External"/><Relationship Id="rId5" Type="http://schemas.openxmlformats.org/officeDocument/2006/relationships/numbering" Target="numbering.xml"/><Relationship Id="rId90" Type="http://schemas.openxmlformats.org/officeDocument/2006/relationships/hyperlink" Target="https://doi.org/10.1007/978-3-031-15703-5" TargetMode="External"/><Relationship Id="rId95" Type="http://schemas.openxmlformats.org/officeDocument/2006/relationships/hyperlink" Target="https://doi.org/10.1016/j.resconrec.2025.108301" TargetMode="External"/><Relationship Id="rId22" Type="http://schemas.openxmlformats.org/officeDocument/2006/relationships/hyperlink" Target="https://doi.org/10.1186/s12889-020-08590-z" TargetMode="External"/><Relationship Id="rId27" Type="http://schemas.openxmlformats.org/officeDocument/2006/relationships/hyperlink" Target="https://doi.org/10.1016/j.appet.2024.107799" TargetMode="External"/><Relationship Id="rId43" Type="http://schemas.openxmlformats.org/officeDocument/2006/relationships/hyperlink" Target="https://doi.org/10.3389/fsufs.2021.703827" TargetMode="External"/><Relationship Id="rId48" Type="http://schemas.openxmlformats.org/officeDocument/2006/relationships/hyperlink" Target="https://friendsoftheearth.uk/sites/default/files/downloads/Sustainable_diets_January_2016_final.pdf" TargetMode="External"/><Relationship Id="rId64" Type="http://schemas.openxmlformats.org/officeDocument/2006/relationships/hyperlink" Target="https://doi.org/10.1016/j.clrc.2024.100173" TargetMode="External"/><Relationship Id="rId69" Type="http://schemas.openxmlformats.org/officeDocument/2006/relationships/hyperlink" Target="https://doi.org/10.1016/j.foodqual.2023.105086" TargetMode="External"/><Relationship Id="rId80" Type="http://schemas.openxmlformats.org/officeDocument/2006/relationships/hyperlink" Target="https://doi.org/10.1016/j.appet.2012.11.003" TargetMode="External"/><Relationship Id="rId85" Type="http://schemas.openxmlformats.org/officeDocument/2006/relationships/hyperlink" Target="https://doi.org/10.1016/j.appet.2015.04.055"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doi.org/10.1007/s10668-024-04466-z" TargetMode="External"/><Relationship Id="rId25" Type="http://schemas.openxmlformats.org/officeDocument/2006/relationships/hyperlink" Target="https://doi.org/10.1016/j.techfore.2018.10.009" TargetMode="External"/><Relationship Id="rId33" Type="http://schemas.openxmlformats.org/officeDocument/2006/relationships/hyperlink" Target="https://www.fao.org/ag/humannutrition/23781-0e8d8dc364ee46865d5841c48976e9980.pdf" TargetMode="External"/><Relationship Id="rId38" Type="http://schemas.openxmlformats.org/officeDocument/2006/relationships/hyperlink" Target="https://cgspace.cgiar.org/server/api/core/bitstreams/4a7270b1-b917-42a1-a64c-266c1aa66b4d/content" TargetMode="External"/><Relationship Id="rId46" Type="http://schemas.openxmlformats.org/officeDocument/2006/relationships/hyperlink" Target="https://doi.org/10.1108/IJSHE-06-2023-0225" TargetMode="External"/><Relationship Id="rId59" Type="http://schemas.openxmlformats.org/officeDocument/2006/relationships/hyperlink" Target="https://doi.org/10.3390/su11113052" TargetMode="External"/><Relationship Id="rId67" Type="http://schemas.openxmlformats.org/officeDocument/2006/relationships/hyperlink" Target="https://doi.org/10.1016/j.clrc.2023.100162" TargetMode="External"/><Relationship Id="rId20" Type="http://schemas.openxmlformats.org/officeDocument/2006/relationships/hyperlink" Target="https://doi.org/10.3390/su15108271" TargetMode="External"/><Relationship Id="rId41" Type="http://schemas.openxmlformats.org/officeDocument/2006/relationships/hyperlink" Target="https://greenerage.eu/courses/sustainable-food-consumption_/lesson/what-is-sustainable-food-consumption-2/" TargetMode="External"/><Relationship Id="rId54" Type="http://schemas.openxmlformats.org/officeDocument/2006/relationships/hyperlink" Target="https://doi.org/10.1002/sd.2718" TargetMode="External"/><Relationship Id="rId62" Type="http://schemas.openxmlformats.org/officeDocument/2006/relationships/hyperlink" Target="https://www.oxfamireland.org/sites/default/files/sustainable_food_systems_aug_2021.pdf" TargetMode="External"/><Relationship Id="rId70" Type="http://schemas.openxmlformats.org/officeDocument/2006/relationships/hyperlink" Target="https://doi.org/10.1080/15487733.2013.11908111" TargetMode="External"/><Relationship Id="rId75" Type="http://schemas.openxmlformats.org/officeDocument/2006/relationships/hyperlink" Target="https://doi.org/10.1057/s41599-024-03724-9" TargetMode="External"/><Relationship Id="rId83" Type="http://schemas.openxmlformats.org/officeDocument/2006/relationships/hyperlink" Target="https://doi.org/10.1111/ijcs.12268" TargetMode="External"/><Relationship Id="rId88" Type="http://schemas.openxmlformats.org/officeDocument/2006/relationships/hyperlink" Target="https://doi.org/10.3389/fpsyg.2020.01603" TargetMode="External"/><Relationship Id="rId91" Type="http://schemas.openxmlformats.org/officeDocument/2006/relationships/hyperlink" Target="https://doi.org/10.1007/s10806-014-9503-1" TargetMode="External"/><Relationship Id="rId96" Type="http://schemas.openxmlformats.org/officeDocument/2006/relationships/hyperlink" Target="https://doi.org/10.1016/j.jclepro.2019.01.094"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doi.org/10.3390/su12208394" TargetMode="External"/><Relationship Id="rId23" Type="http://schemas.openxmlformats.org/officeDocument/2006/relationships/hyperlink" Target="https://cgspace.cgiar.org/server/api/core/bitstreams/5c0d9ff8-44e1-4db6-af10-ef9c61d5fa80/content" TargetMode="External"/><Relationship Id="rId28" Type="http://schemas.openxmlformats.org/officeDocument/2006/relationships/hyperlink" Target="https://www.danone.com/content/dam/corp/global/danonecom/about-us-impact/policies-and-commitments/en/danone-climate-transition-plan-2023.pdf" TargetMode="External"/><Relationship Id="rId36" Type="http://schemas.openxmlformats.org/officeDocument/2006/relationships/hyperlink" Target="https://doi.org/10.1016/j.jclepro.2020.120690" TargetMode="External"/><Relationship Id="rId49" Type="http://schemas.openxmlformats.org/officeDocument/2006/relationships/hyperlink" Target="https://doi.org/10.1016/j.resconrec.2022.106727" TargetMode="External"/><Relationship Id="rId57" Type="http://schemas.openxmlformats.org/officeDocument/2006/relationships/hyperlink" Target="https://doi.org/10.1080/13504622.2020.1784851" TargetMode="External"/><Relationship Id="rId10" Type="http://schemas.openxmlformats.org/officeDocument/2006/relationships/endnotes" Target="endnotes.xml"/><Relationship Id="rId31" Type="http://schemas.openxmlformats.org/officeDocument/2006/relationships/hyperlink" Target="https://doi.org/10.1162/1088198054084707" TargetMode="External"/><Relationship Id="rId44" Type="http://schemas.openxmlformats.org/officeDocument/2006/relationships/hyperlink" Target="https://doi.org/10.1007/s10460-023-10515-6" TargetMode="External"/><Relationship Id="rId52" Type="http://schemas.openxmlformats.org/officeDocument/2006/relationships/hyperlink" Target="https://doi.org/10.1017/S1368980023000654" TargetMode="External"/><Relationship Id="rId60" Type="http://schemas.openxmlformats.org/officeDocument/2006/relationships/hyperlink" Target="https://doi.org/10.1016/j.resconrec.2025.108296" TargetMode="External"/><Relationship Id="rId65" Type="http://schemas.openxmlformats.org/officeDocument/2006/relationships/hyperlink" Target="https://doi.org/10.1016/j.jneb.2023.09.006" TargetMode="External"/><Relationship Id="rId73" Type="http://schemas.openxmlformats.org/officeDocument/2006/relationships/hyperlink" Target="https://doi.org/10.3389/fnut.2023.1140636" TargetMode="External"/><Relationship Id="rId78" Type="http://schemas.openxmlformats.org/officeDocument/2006/relationships/hyperlink" Target="https://www.usda.gov/about-usda/general-information/staff-offices/office-chief-economist/oce-sustainability/definitions-sustainability-and-food-systems" TargetMode="External"/><Relationship Id="rId81" Type="http://schemas.openxmlformats.org/officeDocument/2006/relationships/hyperlink" Target="https://doi.org/10.1016/j.jclepro.2022.130904" TargetMode="External"/><Relationship Id="rId86" Type="http://schemas.openxmlformats.org/officeDocument/2006/relationships/hyperlink" Target="https://doi.org/10.19041/APSTRACT/2016/2-3/8" TargetMode="External"/><Relationship Id="rId94" Type="http://schemas.openxmlformats.org/officeDocument/2006/relationships/hyperlink" Target="https://wwfint.awsassets.panda.org/downloads/wwf_position_on_healthy_and_sustainable_diets.pdf" TargetMode="External"/><Relationship Id="rId9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s://doi.org/10.1016/j.spc.2018.09.007" TargetMode="External"/><Relationship Id="rId39" Type="http://schemas.openxmlformats.org/officeDocument/2006/relationships/hyperlink" Target="https://doi.org/10.3390/su16041415" TargetMode="External"/><Relationship Id="rId34" Type="http://schemas.openxmlformats.org/officeDocument/2006/relationships/hyperlink" Target="https://www.fao.org/nutrition/education/dietary-guidelines/background/sustainable-dietary-guidelines/en/" TargetMode="External"/><Relationship Id="rId50" Type="http://schemas.openxmlformats.org/officeDocument/2006/relationships/hyperlink" Target="https://doi.org/10.1016/j.spc.2021.07.028" TargetMode="External"/><Relationship Id="rId55" Type="http://schemas.openxmlformats.org/officeDocument/2006/relationships/hyperlink" Target="https://doi.org/10.1017/S0029665116000653" TargetMode="External"/><Relationship Id="rId76" Type="http://schemas.openxmlformats.org/officeDocument/2006/relationships/hyperlink" Target="https://doi.org/10.1016/j.foodqual.2016.08.006" TargetMode="External"/><Relationship Id="rId97" Type="http://schemas.openxmlformats.org/officeDocument/2006/relationships/hyperlink" Target="https://doi.org/10.3390/foods11131944" TargetMode="External"/><Relationship Id="rId7" Type="http://schemas.openxmlformats.org/officeDocument/2006/relationships/settings" Target="settings.xml"/><Relationship Id="rId71" Type="http://schemas.openxmlformats.org/officeDocument/2006/relationships/hyperlink" Target="https://www.rivm.nl/en/food-and-nutrition/sustainable-food" TargetMode="External"/><Relationship Id="rId92" Type="http://schemas.openxmlformats.org/officeDocument/2006/relationships/hyperlink" Target="https://iris.who.int/bitstream/handle/10665/329409/9789241516648-eng.pdf?sequence=1" TargetMode="External"/><Relationship Id="rId2" Type="http://schemas.openxmlformats.org/officeDocument/2006/relationships/customXml" Target="../customXml/item2.xml"/><Relationship Id="rId29" Type="http://schemas.openxmlformats.org/officeDocument/2006/relationships/hyperlink" Target="https://www.deloitte.com/content/dam/assets-zone2/fi/fi/docs/industries/consumer/2024/fof-regulatory-outlook-final-external-version.pdf" TargetMode="External"/><Relationship Id="rId24" Type="http://schemas.openxmlformats.org/officeDocument/2006/relationships/hyperlink" Target="https://doi.org/10.3389/fnut.2021.622122" TargetMode="External"/><Relationship Id="rId40" Type="http://schemas.openxmlformats.org/officeDocument/2006/relationships/hyperlink" Target="https://hdl.handle.net/11588/597088" TargetMode="External"/><Relationship Id="rId45" Type="http://schemas.openxmlformats.org/officeDocument/2006/relationships/hyperlink" Target="https://doi.org/10.3390/su11030837" TargetMode="External"/><Relationship Id="rId66" Type="http://schemas.openxmlformats.org/officeDocument/2006/relationships/hyperlink" Target="https://doi.org/10.3390/su9081437" TargetMode="External"/><Relationship Id="rId87" Type="http://schemas.openxmlformats.org/officeDocument/2006/relationships/hyperlink" Target="https://doi.org/10.1016/j.foodqual.2021.104267" TargetMode="External"/><Relationship Id="rId61" Type="http://schemas.openxmlformats.org/officeDocument/2006/relationships/hyperlink" Target="https://www.regjeringen.no/contentassets/b0d37474b77f4ee9baa8f63eafd603f/en-gb/pdfs/norways-path-towards-a-sustainable-food-system.pdf" TargetMode="External"/><Relationship Id="rId82" Type="http://schemas.openxmlformats.org/officeDocument/2006/relationships/hyperlink" Target="https://doi.org/10.3390/foods10092206" TargetMode="External"/><Relationship Id="rId19" Type="http://schemas.openxmlformats.org/officeDocument/2006/relationships/hyperlink" Target="https://doi.org/10.1016/j.clwas.2024.100164" TargetMode="External"/><Relationship Id="rId14" Type="http://schemas.openxmlformats.org/officeDocument/2006/relationships/hyperlink" Target="https://doi.org/10.3389/ijph.2021.1604149" TargetMode="External"/><Relationship Id="rId30" Type="http://schemas.openxmlformats.org/officeDocument/2006/relationships/hyperlink" Target="https://doi.org/10.3390/su14169852" TargetMode="External"/><Relationship Id="rId35" Type="http://schemas.openxmlformats.org/officeDocument/2006/relationships/hyperlink" Target="https://openknowledge.fao.org/server/api/core/bitstreams/b620989c-407b-4caf-a152-f790f55fec71/content" TargetMode="External"/><Relationship Id="rId56" Type="http://schemas.openxmlformats.org/officeDocument/2006/relationships/hyperlink" Target="https://doi.org/10.1108/BFJ-01-2014-0003" TargetMode="External"/><Relationship Id="rId77" Type="http://schemas.openxmlformats.org/officeDocument/2006/relationships/hyperlink" Target="https://www.unep.org/regions/asia-and-pacific/regional-initiatives/supporting-resource-efficiency/asia-pacific-roadmap-7" TargetMode="External"/><Relationship Id="rId100"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doi.org/10.1111/ijcs.12392" TargetMode="External"/><Relationship Id="rId72" Type="http://schemas.openxmlformats.org/officeDocument/2006/relationships/hyperlink" Target="https://doi.org/10.1108/BFJ-03-2017-0141" TargetMode="External"/><Relationship Id="rId93" Type="http://schemas.openxmlformats.org/officeDocument/2006/relationships/hyperlink" Target="https://doi.org/10.1016/S0140-6736(18)31788-4" TargetMode="External"/><Relationship Id="rId98"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UU Huisstijl">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12d8645-884f-4d03-a1d4-9a2b7dc82b2b">
      <Terms xmlns="http://schemas.microsoft.com/office/infopath/2007/PartnerControls"/>
    </lcf76f155ced4ddcb4097134ff3c332f>
    <TaxCatchAll xmlns="df8f9dd4-444e-484a-86f6-438932deee7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D18E36323DD64F8BC7106AF4CE72B1" ma:contentTypeVersion="13" ma:contentTypeDescription="Create a new document." ma:contentTypeScope="" ma:versionID="940490c09501e87adfd3acb20251709d">
  <xsd:schema xmlns:xsd="http://www.w3.org/2001/XMLSchema" xmlns:xs="http://www.w3.org/2001/XMLSchema" xmlns:p="http://schemas.microsoft.com/office/2006/metadata/properties" xmlns:ns2="f12d8645-884f-4d03-a1d4-9a2b7dc82b2b" xmlns:ns3="df8f9dd4-444e-484a-86f6-438932deee76" targetNamespace="http://schemas.microsoft.com/office/2006/metadata/properties" ma:root="true" ma:fieldsID="1b8f705a6c31e54b0f52aeb42cd149aa" ns2:_="" ns3:_="">
    <xsd:import namespace="f12d8645-884f-4d03-a1d4-9a2b7dc82b2b"/>
    <xsd:import namespace="df8f9dd4-444e-484a-86f6-438932deee7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d8645-884f-4d03-a1d4-9a2b7dc82b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5e0f8d3-5d55-42d7-8108-7e842a0d744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8f9dd4-444e-484a-86f6-438932deee7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d84b228-971b-48c6-a352-5bd9ffbef1bf}" ma:internalName="TaxCatchAll" ma:showField="CatchAllData" ma:web="df8f9dd4-444e-484a-86f6-438932deee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677569-0F9F-4D85-8FD0-6E34BC23A35B}">
  <ds:schemaRefs>
    <ds:schemaRef ds:uri="http://schemas.openxmlformats.org/officeDocument/2006/bibliography"/>
  </ds:schemaRefs>
</ds:datastoreItem>
</file>

<file path=customXml/itemProps2.xml><?xml version="1.0" encoding="utf-8"?>
<ds:datastoreItem xmlns:ds="http://schemas.openxmlformats.org/officeDocument/2006/customXml" ds:itemID="{4F5741F9-5626-4FE4-9BF9-6DB009A7BF1E}">
  <ds:schemaRefs>
    <ds:schemaRef ds:uri="http://schemas.microsoft.com/office/2006/metadata/properties"/>
    <ds:schemaRef ds:uri="http://schemas.microsoft.com/office/infopath/2007/PartnerControls"/>
    <ds:schemaRef ds:uri="f12d8645-884f-4d03-a1d4-9a2b7dc82b2b"/>
    <ds:schemaRef ds:uri="df8f9dd4-444e-484a-86f6-438932deee76"/>
  </ds:schemaRefs>
</ds:datastoreItem>
</file>

<file path=customXml/itemProps3.xml><?xml version="1.0" encoding="utf-8"?>
<ds:datastoreItem xmlns:ds="http://schemas.openxmlformats.org/officeDocument/2006/customXml" ds:itemID="{6E218D50-60A4-4F19-AAD8-C771903FC99C}">
  <ds:schemaRefs>
    <ds:schemaRef ds:uri="http://schemas.microsoft.com/sharepoint/v3/contenttype/forms"/>
  </ds:schemaRefs>
</ds:datastoreItem>
</file>

<file path=customXml/itemProps4.xml><?xml version="1.0" encoding="utf-8"?>
<ds:datastoreItem xmlns:ds="http://schemas.openxmlformats.org/officeDocument/2006/customXml" ds:itemID="{0C26BCC8-D2D9-4FA9-9F13-8A6962DD65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d8645-884f-4d03-a1d4-9a2b7dc82b2b"/>
    <ds:schemaRef ds:uri="df8f9dd4-444e-484a-86f6-438932deee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44</Pages>
  <Words>30950</Words>
  <Characters>176421</Characters>
  <Application>Microsoft Office Word</Application>
  <DocSecurity>0</DocSecurity>
  <Lines>1470</Lines>
  <Paragraphs>413</Paragraphs>
  <ScaleCrop>false</ScaleCrop>
  <Company/>
  <LinksUpToDate>false</LinksUpToDate>
  <CharactersWithSpaces>206958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Athanasios Polyportis</dc:creator>
  <cp:lastModifiedBy>Athanasios Polyportis</cp:lastModifiedBy>
  <cp:revision>54</cp:revision>
  <dcterms:created xsi:type="dcterms:W3CDTF">2025-04-16T10:57:00Z</dcterms:created>
  <dcterms:modified xsi:type="dcterms:W3CDTF">2026-05-22T15:06:00Z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16th edition (author-date)</vt:lpwstr>
  </property>
  <property fmtid="{D5CDD505-2E9C-101B-9397-08002B2CF9AE}" pid="10" name="Mendeley Recent Style Id 4_1">
    <vt:lpwstr>http://www.zotero.org/styles/energy-policy</vt:lpwstr>
  </property>
  <property fmtid="{D5CDD505-2E9C-101B-9397-08002B2CF9AE}" pid="11" name="Mendeley Recent Style Name 4_1">
    <vt:lpwstr>Energy Policy</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http://www.zotero.org/styles/journal-of-cleaner-production</vt:lpwstr>
  </property>
  <property fmtid="{D5CDD505-2E9C-101B-9397-08002B2CF9AE}" pid="17" name="Mendeley Recent Style Name 7_1">
    <vt:lpwstr>Journal of Cleaner Production</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y fmtid="{D5CDD505-2E9C-101B-9397-08002B2CF9AE}" pid="22" name="MSIP_Label_8772ba27-cab8-4042-a351-a31f6e4eacdc_Enabled">
    <vt:lpwstr>true</vt:lpwstr>
  </property>
  <property fmtid="{D5CDD505-2E9C-101B-9397-08002B2CF9AE}" pid="23" name="MSIP_Label_8772ba27-cab8-4042-a351-a31f6e4eacdc_SetDate">
    <vt:lpwstr>2024-09-17T13:32:33Z</vt:lpwstr>
  </property>
  <property fmtid="{D5CDD505-2E9C-101B-9397-08002B2CF9AE}" pid="24" name="MSIP_Label_8772ba27-cab8-4042-a351-a31f6e4eacdc_Method">
    <vt:lpwstr>Standard</vt:lpwstr>
  </property>
  <property fmtid="{D5CDD505-2E9C-101B-9397-08002B2CF9AE}" pid="25" name="MSIP_Label_8772ba27-cab8-4042-a351-a31f6e4eacdc_Name">
    <vt:lpwstr>Internal</vt:lpwstr>
  </property>
  <property fmtid="{D5CDD505-2E9C-101B-9397-08002B2CF9AE}" pid="26" name="MSIP_Label_8772ba27-cab8-4042-a351-a31f6e4eacdc_SiteId">
    <vt:lpwstr>715902d6-f63e-4b8d-929b-4bb170bad492</vt:lpwstr>
  </property>
  <property fmtid="{D5CDD505-2E9C-101B-9397-08002B2CF9AE}" pid="27" name="MSIP_Label_8772ba27-cab8-4042-a351-a31f6e4eacdc_ActionId">
    <vt:lpwstr>bfd4328c-953e-4479-b3fe-293965f2662a</vt:lpwstr>
  </property>
  <property fmtid="{D5CDD505-2E9C-101B-9397-08002B2CF9AE}" pid="28" name="MSIP_Label_8772ba27-cab8-4042-a351-a31f6e4eacdc_ContentBits">
    <vt:lpwstr>0</vt:lpwstr>
  </property>
  <property fmtid="{D5CDD505-2E9C-101B-9397-08002B2CF9AE}" pid="29" name="ContentTypeId">
    <vt:lpwstr>0x0101000FD18E36323DD64F8BC7106AF4CE72B1</vt:lpwstr>
  </property>
  <property fmtid="{D5CDD505-2E9C-101B-9397-08002B2CF9AE}" pid="30" name="MediaServiceImageTags">
    <vt:lpwstr/>
  </property>
</Properties>
</file>