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12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13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4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5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16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AE109" w14:textId="77777777" w:rsidR="008B3D2C" w:rsidRDefault="008B3D2C" w:rsidP="008B3D2C">
      <w:pPr>
        <w:pStyle w:val="Titel"/>
        <w:rPr>
          <w:lang w:val="en-US"/>
        </w:rPr>
      </w:pPr>
      <w:r>
        <w:rPr>
          <w:lang w:val="en-US"/>
        </w:rPr>
        <w:t>Appendix</w:t>
      </w:r>
    </w:p>
    <w:p w14:paraId="34E7EDC9" w14:textId="77777777" w:rsidR="008B3D2C" w:rsidRPr="00551F2B" w:rsidRDefault="008B3D2C" w:rsidP="008B3D2C">
      <w:pPr>
        <w:pStyle w:val="Beschriftung"/>
        <w:keepNext/>
        <w:rPr>
          <w:rFonts w:asciiTheme="minorHAnsi" w:hAnsiTheme="minorHAnsi" w:cstheme="minorHAnsi"/>
          <w:lang w:val="en-US"/>
        </w:rPr>
      </w:pPr>
      <w:r w:rsidRPr="00551F2B">
        <w:rPr>
          <w:rFonts w:asciiTheme="minorHAnsi" w:hAnsiTheme="minorHAnsi" w:cstheme="minorHAnsi"/>
          <w:lang w:val="en-US"/>
        </w:rPr>
        <w:t>Table A.1: SME size by EU definition</w:t>
      </w:r>
    </w:p>
    <w:tbl>
      <w:tblPr>
        <w:tblStyle w:val="EinfacheTabelle2"/>
        <w:tblW w:w="9170" w:type="dxa"/>
        <w:tblLayout w:type="fixed"/>
        <w:tblLook w:val="04A0" w:firstRow="1" w:lastRow="0" w:firstColumn="1" w:lastColumn="0" w:noHBand="0" w:noVBand="1"/>
      </w:tblPr>
      <w:tblGrid>
        <w:gridCol w:w="1859"/>
        <w:gridCol w:w="2298"/>
        <w:gridCol w:w="2294"/>
        <w:gridCol w:w="2719"/>
      </w:tblGrid>
      <w:tr w:rsidR="008B3D2C" w:rsidRPr="00DB5D32" w14:paraId="371294B3" w14:textId="77777777" w:rsidTr="002027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409A17DA" w14:textId="34DED109" w:rsidR="008B3D2C" w:rsidRPr="003A3FBC" w:rsidRDefault="0025278C" w:rsidP="0020270C">
            <w:pPr>
              <w:rPr>
                <w:sz w:val="20"/>
              </w:rPr>
            </w:pPr>
            <w:r>
              <w:rPr>
                <w:rStyle w:val="Ohne"/>
                <w:rFonts w:ascii="Calibri" w:hAnsi="Calibri"/>
                <w:sz w:val="20"/>
              </w:rPr>
              <w:t>Enterprise</w:t>
            </w:r>
            <w:r w:rsidR="008B3D2C" w:rsidRPr="003A3FBC">
              <w:rPr>
                <w:rStyle w:val="Ohne"/>
                <w:rFonts w:ascii="Calibri" w:hAnsi="Calibri"/>
                <w:sz w:val="20"/>
              </w:rPr>
              <w:t xml:space="preserve"> </w:t>
            </w:r>
            <w:proofErr w:type="spellStart"/>
            <w:r w:rsidR="008B3D2C" w:rsidRPr="003A3FBC">
              <w:rPr>
                <w:rStyle w:val="Ohne"/>
                <w:rFonts w:ascii="Calibri" w:hAnsi="Calibri"/>
                <w:sz w:val="20"/>
              </w:rPr>
              <w:t>size</w:t>
            </w:r>
            <w:proofErr w:type="spellEnd"/>
          </w:p>
        </w:tc>
        <w:tc>
          <w:tcPr>
            <w:tcW w:w="2298" w:type="dxa"/>
          </w:tcPr>
          <w:p w14:paraId="7291EC3F" w14:textId="77777777" w:rsidR="008B3D2C" w:rsidRPr="003A3FBC" w:rsidRDefault="008B3D2C" w:rsidP="002027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proofErr w:type="spellStart"/>
            <w:r w:rsidRPr="003A3FBC">
              <w:rPr>
                <w:rStyle w:val="Ohne"/>
                <w:rFonts w:ascii="Calibri" w:hAnsi="Calibri"/>
                <w:sz w:val="20"/>
              </w:rPr>
              <w:t>Number</w:t>
            </w:r>
            <w:proofErr w:type="spellEnd"/>
            <w:r w:rsidRPr="003A3FBC">
              <w:rPr>
                <w:rStyle w:val="Ohne"/>
                <w:rFonts w:ascii="Calibri" w:hAnsi="Calibri"/>
                <w:sz w:val="20"/>
              </w:rPr>
              <w:t xml:space="preserve"> </w:t>
            </w:r>
            <w:proofErr w:type="spellStart"/>
            <w:r w:rsidRPr="003A3FBC">
              <w:rPr>
                <w:rStyle w:val="Ohne"/>
                <w:rFonts w:ascii="Calibri" w:hAnsi="Calibri"/>
                <w:sz w:val="20"/>
              </w:rPr>
              <w:t>of</w:t>
            </w:r>
            <w:proofErr w:type="spellEnd"/>
            <w:r w:rsidRPr="003A3FBC">
              <w:rPr>
                <w:rStyle w:val="Ohne"/>
                <w:rFonts w:ascii="Calibri" w:hAnsi="Calibri"/>
                <w:sz w:val="20"/>
              </w:rPr>
              <w:t xml:space="preserve"> </w:t>
            </w:r>
            <w:proofErr w:type="spellStart"/>
            <w:r w:rsidRPr="003A3FBC">
              <w:rPr>
                <w:rStyle w:val="Ohne"/>
                <w:rFonts w:ascii="Calibri" w:hAnsi="Calibri"/>
                <w:sz w:val="20"/>
              </w:rPr>
              <w:t>employees</w:t>
            </w:r>
            <w:proofErr w:type="spellEnd"/>
          </w:p>
        </w:tc>
        <w:tc>
          <w:tcPr>
            <w:tcW w:w="2294" w:type="dxa"/>
          </w:tcPr>
          <w:p w14:paraId="632115DC" w14:textId="77777777" w:rsidR="008B3D2C" w:rsidRPr="003A3FBC" w:rsidRDefault="008B3D2C" w:rsidP="002027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3A3FBC">
              <w:rPr>
                <w:rStyle w:val="Ohne"/>
                <w:rFonts w:ascii="Calibri" w:hAnsi="Calibri"/>
                <w:sz w:val="20"/>
              </w:rPr>
              <w:t>Turnover [€/</w:t>
            </w:r>
            <w:proofErr w:type="spellStart"/>
            <w:r w:rsidRPr="003A3FBC">
              <w:rPr>
                <w:rStyle w:val="Ohne"/>
                <w:rFonts w:ascii="Calibri" w:hAnsi="Calibri"/>
                <w:sz w:val="20"/>
              </w:rPr>
              <w:t>year</w:t>
            </w:r>
            <w:proofErr w:type="spellEnd"/>
            <w:r w:rsidRPr="003A3FBC">
              <w:rPr>
                <w:rStyle w:val="Ohne"/>
                <w:rFonts w:ascii="Calibri" w:hAnsi="Calibri"/>
                <w:sz w:val="20"/>
              </w:rPr>
              <w:t>]</w:t>
            </w:r>
          </w:p>
        </w:tc>
        <w:tc>
          <w:tcPr>
            <w:tcW w:w="2719" w:type="dxa"/>
          </w:tcPr>
          <w:p w14:paraId="07508532" w14:textId="77777777" w:rsidR="008B3D2C" w:rsidRPr="003A3FBC" w:rsidRDefault="008B3D2C" w:rsidP="002027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>Balance sheet total [€/year]</w:t>
            </w:r>
          </w:p>
        </w:tc>
      </w:tr>
      <w:tr w:rsidR="008B3D2C" w14:paraId="092C534A" w14:textId="77777777" w:rsidTr="002027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5EDF6015" w14:textId="77777777" w:rsidR="008B3D2C" w:rsidRPr="003A3FBC" w:rsidRDefault="008B3D2C" w:rsidP="0020270C">
            <w:pPr>
              <w:rPr>
                <w:b w:val="0"/>
                <w:sz w:val="20"/>
              </w:rPr>
            </w:pPr>
            <w:r w:rsidRPr="003A3FBC">
              <w:rPr>
                <w:rStyle w:val="Ohne"/>
                <w:rFonts w:ascii="Calibri" w:hAnsi="Calibri"/>
                <w:b w:val="0"/>
                <w:sz w:val="20"/>
              </w:rPr>
              <w:t>Micro</w:t>
            </w:r>
          </w:p>
        </w:tc>
        <w:tc>
          <w:tcPr>
            <w:tcW w:w="2298" w:type="dxa"/>
          </w:tcPr>
          <w:p w14:paraId="3A75E34A" w14:textId="77777777" w:rsidR="008B3D2C" w:rsidRPr="003A3FBC" w:rsidRDefault="008B3D2C" w:rsidP="0020270C">
            <w:pPr>
              <w:tabs>
                <w:tab w:val="center" w:pos="102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3A3FBC">
              <w:rPr>
                <w:rStyle w:val="Ohne"/>
                <w:rFonts w:ascii="Calibri" w:hAnsi="Calibri"/>
                <w:sz w:val="20"/>
              </w:rPr>
              <w:t>&lt;10</w:t>
            </w:r>
          </w:p>
        </w:tc>
        <w:tc>
          <w:tcPr>
            <w:tcW w:w="2294" w:type="dxa"/>
          </w:tcPr>
          <w:p w14:paraId="579D69AB" w14:textId="77777777" w:rsidR="008B3D2C" w:rsidRPr="003A3FBC" w:rsidRDefault="008B3D2C" w:rsidP="002027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proofErr w:type="spellStart"/>
            <w:r w:rsidRPr="003A3FBC">
              <w:rPr>
                <w:rStyle w:val="Ohne"/>
                <w:rFonts w:ascii="Calibri" w:hAnsi="Calibri"/>
                <w:sz w:val="20"/>
              </w:rPr>
              <w:t>up</w:t>
            </w:r>
            <w:proofErr w:type="spellEnd"/>
            <w:r w:rsidRPr="003A3FBC">
              <w:rPr>
                <w:rStyle w:val="Ohne"/>
                <w:rFonts w:ascii="Calibri" w:hAnsi="Calibri"/>
                <w:sz w:val="20"/>
              </w:rPr>
              <w:t xml:space="preserve"> </w:t>
            </w:r>
            <w:proofErr w:type="spellStart"/>
            <w:r w:rsidRPr="003A3FBC">
              <w:rPr>
                <w:rStyle w:val="Ohne"/>
                <w:rFonts w:ascii="Calibri" w:hAnsi="Calibri"/>
                <w:sz w:val="20"/>
              </w:rPr>
              <w:t>to</w:t>
            </w:r>
            <w:proofErr w:type="spellEnd"/>
            <w:r w:rsidRPr="003A3FBC">
              <w:rPr>
                <w:rStyle w:val="Ohne"/>
                <w:rFonts w:ascii="Calibri" w:hAnsi="Calibri"/>
                <w:sz w:val="20"/>
              </w:rPr>
              <w:t xml:space="preserve"> 2 </w:t>
            </w:r>
            <w:proofErr w:type="spellStart"/>
            <w:r w:rsidRPr="003A3FBC">
              <w:rPr>
                <w:rStyle w:val="Ohne"/>
                <w:rFonts w:ascii="Calibri" w:hAnsi="Calibri"/>
                <w:sz w:val="20"/>
              </w:rPr>
              <w:t>million</w:t>
            </w:r>
            <w:proofErr w:type="spellEnd"/>
          </w:p>
        </w:tc>
        <w:tc>
          <w:tcPr>
            <w:tcW w:w="2719" w:type="dxa"/>
          </w:tcPr>
          <w:p w14:paraId="4CEBB284" w14:textId="77777777" w:rsidR="008B3D2C" w:rsidRPr="003A3FBC" w:rsidRDefault="008B3D2C" w:rsidP="002027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proofErr w:type="spellStart"/>
            <w:r w:rsidRPr="003A3FBC">
              <w:rPr>
                <w:rStyle w:val="Ohne"/>
                <w:rFonts w:ascii="Calibri" w:hAnsi="Calibri"/>
                <w:sz w:val="20"/>
              </w:rPr>
              <w:t>up</w:t>
            </w:r>
            <w:proofErr w:type="spellEnd"/>
            <w:r w:rsidRPr="003A3FBC">
              <w:rPr>
                <w:rStyle w:val="Ohne"/>
                <w:rFonts w:ascii="Calibri" w:hAnsi="Calibri"/>
                <w:sz w:val="20"/>
              </w:rPr>
              <w:t xml:space="preserve"> </w:t>
            </w:r>
            <w:proofErr w:type="spellStart"/>
            <w:r w:rsidRPr="003A3FBC">
              <w:rPr>
                <w:rStyle w:val="Ohne"/>
                <w:rFonts w:ascii="Calibri" w:hAnsi="Calibri"/>
                <w:sz w:val="20"/>
              </w:rPr>
              <w:t>to</w:t>
            </w:r>
            <w:proofErr w:type="spellEnd"/>
            <w:r w:rsidRPr="003A3FBC">
              <w:rPr>
                <w:rStyle w:val="Ohne"/>
                <w:rFonts w:ascii="Calibri" w:hAnsi="Calibri"/>
                <w:sz w:val="20"/>
              </w:rPr>
              <w:t xml:space="preserve"> 2 </w:t>
            </w:r>
            <w:proofErr w:type="spellStart"/>
            <w:r w:rsidRPr="003A3FBC">
              <w:rPr>
                <w:rStyle w:val="Ohne"/>
                <w:rFonts w:ascii="Calibri" w:hAnsi="Calibri"/>
                <w:sz w:val="20"/>
              </w:rPr>
              <w:t>million</w:t>
            </w:r>
            <w:proofErr w:type="spellEnd"/>
          </w:p>
        </w:tc>
      </w:tr>
      <w:tr w:rsidR="008B3D2C" w14:paraId="39F35695" w14:textId="77777777" w:rsidTr="0020270C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0483EF7D" w14:textId="77777777" w:rsidR="008B3D2C" w:rsidRPr="003A3FBC" w:rsidRDefault="008B3D2C" w:rsidP="0020270C">
            <w:pPr>
              <w:rPr>
                <w:b w:val="0"/>
                <w:sz w:val="20"/>
              </w:rPr>
            </w:pPr>
            <w:r w:rsidRPr="003A3FBC">
              <w:rPr>
                <w:rStyle w:val="Ohne"/>
                <w:rFonts w:ascii="Calibri" w:hAnsi="Calibri"/>
                <w:b w:val="0"/>
                <w:sz w:val="20"/>
              </w:rPr>
              <w:t>Small</w:t>
            </w:r>
          </w:p>
        </w:tc>
        <w:tc>
          <w:tcPr>
            <w:tcW w:w="2298" w:type="dxa"/>
          </w:tcPr>
          <w:p w14:paraId="54874B53" w14:textId="77777777" w:rsidR="008B3D2C" w:rsidRPr="003A3FBC" w:rsidRDefault="008B3D2C" w:rsidP="002027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3A3FBC">
              <w:rPr>
                <w:rStyle w:val="Ohne"/>
                <w:rFonts w:ascii="Calibri" w:hAnsi="Calibri"/>
                <w:sz w:val="20"/>
              </w:rPr>
              <w:t>&lt;50</w:t>
            </w:r>
          </w:p>
        </w:tc>
        <w:tc>
          <w:tcPr>
            <w:tcW w:w="2294" w:type="dxa"/>
          </w:tcPr>
          <w:p w14:paraId="6561A2D7" w14:textId="77777777" w:rsidR="008B3D2C" w:rsidRPr="003A3FBC" w:rsidRDefault="008B3D2C" w:rsidP="002027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proofErr w:type="spellStart"/>
            <w:r w:rsidRPr="003A3FBC">
              <w:rPr>
                <w:rStyle w:val="Ohne"/>
                <w:rFonts w:ascii="Calibri" w:hAnsi="Calibri"/>
                <w:sz w:val="20"/>
              </w:rPr>
              <w:t>up</w:t>
            </w:r>
            <w:proofErr w:type="spellEnd"/>
            <w:r w:rsidRPr="003A3FBC">
              <w:rPr>
                <w:rStyle w:val="Ohne"/>
                <w:rFonts w:ascii="Calibri" w:hAnsi="Calibri"/>
                <w:sz w:val="20"/>
              </w:rPr>
              <w:t xml:space="preserve"> </w:t>
            </w:r>
            <w:proofErr w:type="spellStart"/>
            <w:r w:rsidRPr="003A3FBC">
              <w:rPr>
                <w:rStyle w:val="Ohne"/>
                <w:rFonts w:ascii="Calibri" w:hAnsi="Calibri"/>
                <w:sz w:val="20"/>
              </w:rPr>
              <w:t>to</w:t>
            </w:r>
            <w:proofErr w:type="spellEnd"/>
            <w:r w:rsidRPr="003A3FBC">
              <w:rPr>
                <w:rStyle w:val="Ohne"/>
                <w:rFonts w:ascii="Calibri" w:hAnsi="Calibri"/>
                <w:sz w:val="20"/>
              </w:rPr>
              <w:t xml:space="preserve"> 10 </w:t>
            </w:r>
            <w:proofErr w:type="spellStart"/>
            <w:r w:rsidRPr="003A3FBC">
              <w:rPr>
                <w:rStyle w:val="Ohne"/>
                <w:rFonts w:ascii="Calibri" w:hAnsi="Calibri"/>
                <w:sz w:val="20"/>
              </w:rPr>
              <w:t>million</w:t>
            </w:r>
            <w:proofErr w:type="spellEnd"/>
          </w:p>
        </w:tc>
        <w:tc>
          <w:tcPr>
            <w:tcW w:w="2719" w:type="dxa"/>
          </w:tcPr>
          <w:p w14:paraId="6DB0FD53" w14:textId="77777777" w:rsidR="008B3D2C" w:rsidRPr="003A3FBC" w:rsidRDefault="008B3D2C" w:rsidP="002027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proofErr w:type="spellStart"/>
            <w:r w:rsidRPr="003A3FBC">
              <w:rPr>
                <w:rStyle w:val="Ohne"/>
                <w:rFonts w:ascii="Calibri" w:hAnsi="Calibri"/>
                <w:sz w:val="20"/>
              </w:rPr>
              <w:t>up</w:t>
            </w:r>
            <w:proofErr w:type="spellEnd"/>
            <w:r w:rsidRPr="003A3FBC">
              <w:rPr>
                <w:rStyle w:val="Ohne"/>
                <w:rFonts w:ascii="Calibri" w:hAnsi="Calibri"/>
                <w:sz w:val="20"/>
              </w:rPr>
              <w:t xml:space="preserve"> </w:t>
            </w:r>
            <w:proofErr w:type="spellStart"/>
            <w:r w:rsidRPr="003A3FBC">
              <w:rPr>
                <w:rStyle w:val="Ohne"/>
                <w:rFonts w:ascii="Calibri" w:hAnsi="Calibri"/>
                <w:sz w:val="20"/>
              </w:rPr>
              <w:t>to</w:t>
            </w:r>
            <w:proofErr w:type="spellEnd"/>
            <w:r w:rsidRPr="003A3FBC">
              <w:rPr>
                <w:rStyle w:val="Ohne"/>
                <w:rFonts w:ascii="Calibri" w:hAnsi="Calibri"/>
                <w:sz w:val="20"/>
              </w:rPr>
              <w:t xml:space="preserve"> 10 </w:t>
            </w:r>
            <w:proofErr w:type="spellStart"/>
            <w:r w:rsidRPr="003A3FBC">
              <w:rPr>
                <w:rStyle w:val="Ohne"/>
                <w:rFonts w:ascii="Calibri" w:hAnsi="Calibri"/>
                <w:sz w:val="20"/>
              </w:rPr>
              <w:t>million</w:t>
            </w:r>
            <w:proofErr w:type="spellEnd"/>
          </w:p>
        </w:tc>
      </w:tr>
      <w:tr w:rsidR="008B3D2C" w14:paraId="269890EB" w14:textId="77777777" w:rsidTr="002027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9" w:type="dxa"/>
          </w:tcPr>
          <w:p w14:paraId="474D6EAA" w14:textId="77777777" w:rsidR="008B3D2C" w:rsidRPr="003A3FBC" w:rsidRDefault="008B3D2C" w:rsidP="0020270C">
            <w:pPr>
              <w:rPr>
                <w:b w:val="0"/>
                <w:sz w:val="20"/>
              </w:rPr>
            </w:pPr>
            <w:r w:rsidRPr="003A3FBC">
              <w:rPr>
                <w:rStyle w:val="Ohne"/>
                <w:rFonts w:ascii="Calibri" w:hAnsi="Calibri"/>
                <w:b w:val="0"/>
                <w:sz w:val="20"/>
              </w:rPr>
              <w:t>Medium</w:t>
            </w:r>
          </w:p>
        </w:tc>
        <w:tc>
          <w:tcPr>
            <w:tcW w:w="2298" w:type="dxa"/>
          </w:tcPr>
          <w:p w14:paraId="009B561D" w14:textId="77777777" w:rsidR="008B3D2C" w:rsidRPr="003A3FBC" w:rsidRDefault="008B3D2C" w:rsidP="002027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3A3FBC">
              <w:rPr>
                <w:rStyle w:val="Ohne"/>
                <w:rFonts w:ascii="Calibri" w:hAnsi="Calibri"/>
                <w:sz w:val="20"/>
              </w:rPr>
              <w:t>&lt;250</w:t>
            </w:r>
          </w:p>
        </w:tc>
        <w:tc>
          <w:tcPr>
            <w:tcW w:w="2294" w:type="dxa"/>
          </w:tcPr>
          <w:p w14:paraId="62434EA8" w14:textId="77777777" w:rsidR="008B3D2C" w:rsidRPr="003A3FBC" w:rsidRDefault="008B3D2C" w:rsidP="002027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proofErr w:type="spellStart"/>
            <w:r w:rsidRPr="003A3FBC">
              <w:rPr>
                <w:rStyle w:val="Ohne"/>
                <w:rFonts w:ascii="Calibri" w:hAnsi="Calibri"/>
                <w:sz w:val="20"/>
              </w:rPr>
              <w:t>up</w:t>
            </w:r>
            <w:proofErr w:type="spellEnd"/>
            <w:r w:rsidRPr="003A3FBC">
              <w:rPr>
                <w:rStyle w:val="Ohne"/>
                <w:rFonts w:ascii="Calibri" w:hAnsi="Calibri"/>
                <w:sz w:val="20"/>
              </w:rPr>
              <w:t xml:space="preserve"> </w:t>
            </w:r>
            <w:proofErr w:type="spellStart"/>
            <w:r w:rsidRPr="003A3FBC">
              <w:rPr>
                <w:rStyle w:val="Ohne"/>
                <w:rFonts w:ascii="Calibri" w:hAnsi="Calibri"/>
                <w:sz w:val="20"/>
              </w:rPr>
              <w:t>to</w:t>
            </w:r>
            <w:proofErr w:type="spellEnd"/>
            <w:r w:rsidRPr="003A3FBC">
              <w:rPr>
                <w:rStyle w:val="Ohne"/>
                <w:rFonts w:ascii="Calibri" w:hAnsi="Calibri"/>
                <w:sz w:val="20"/>
              </w:rPr>
              <w:t xml:space="preserve"> 50 </w:t>
            </w:r>
            <w:proofErr w:type="spellStart"/>
            <w:r w:rsidRPr="003A3FBC">
              <w:rPr>
                <w:rStyle w:val="Ohne"/>
                <w:rFonts w:ascii="Calibri" w:hAnsi="Calibri"/>
                <w:sz w:val="20"/>
              </w:rPr>
              <w:t>million</w:t>
            </w:r>
            <w:proofErr w:type="spellEnd"/>
          </w:p>
        </w:tc>
        <w:tc>
          <w:tcPr>
            <w:tcW w:w="2719" w:type="dxa"/>
          </w:tcPr>
          <w:p w14:paraId="4B2D5EBF" w14:textId="77777777" w:rsidR="008B3D2C" w:rsidRPr="003A3FBC" w:rsidRDefault="008B3D2C" w:rsidP="002027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proofErr w:type="spellStart"/>
            <w:r w:rsidRPr="003A3FBC">
              <w:rPr>
                <w:rStyle w:val="Ohne"/>
                <w:rFonts w:ascii="Calibri" w:hAnsi="Calibri"/>
                <w:sz w:val="20"/>
              </w:rPr>
              <w:t>up</w:t>
            </w:r>
            <w:proofErr w:type="spellEnd"/>
            <w:r w:rsidRPr="003A3FBC">
              <w:rPr>
                <w:rStyle w:val="Ohne"/>
                <w:rFonts w:ascii="Calibri" w:hAnsi="Calibri"/>
                <w:sz w:val="20"/>
              </w:rPr>
              <w:t xml:space="preserve"> </w:t>
            </w:r>
            <w:proofErr w:type="spellStart"/>
            <w:r w:rsidRPr="003A3FBC">
              <w:rPr>
                <w:rStyle w:val="Ohne"/>
                <w:rFonts w:ascii="Calibri" w:hAnsi="Calibri"/>
                <w:sz w:val="20"/>
              </w:rPr>
              <w:t>to</w:t>
            </w:r>
            <w:proofErr w:type="spellEnd"/>
            <w:r w:rsidRPr="003A3FBC">
              <w:rPr>
                <w:rStyle w:val="Ohne"/>
                <w:rFonts w:ascii="Calibri" w:hAnsi="Calibri"/>
                <w:sz w:val="20"/>
              </w:rPr>
              <w:t xml:space="preserve"> 43 </w:t>
            </w:r>
            <w:proofErr w:type="spellStart"/>
            <w:r w:rsidRPr="003A3FBC">
              <w:rPr>
                <w:rStyle w:val="Ohne"/>
                <w:rFonts w:ascii="Calibri" w:hAnsi="Calibri"/>
                <w:sz w:val="20"/>
              </w:rPr>
              <w:t>million</w:t>
            </w:r>
            <w:proofErr w:type="spellEnd"/>
          </w:p>
        </w:tc>
      </w:tr>
    </w:tbl>
    <w:p w14:paraId="45FC3E71" w14:textId="77777777" w:rsidR="008B3D2C" w:rsidRDefault="008B3D2C" w:rsidP="008B3D2C">
      <w:pPr>
        <w:rPr>
          <w:lang w:val="en-US"/>
        </w:rPr>
      </w:pPr>
    </w:p>
    <w:p w14:paraId="78F4624B" w14:textId="77777777" w:rsidR="008B3D2C" w:rsidRPr="00BB6313" w:rsidRDefault="008B3D2C" w:rsidP="008B3D2C">
      <w:pPr>
        <w:rPr>
          <w:lang w:val="en-US"/>
        </w:rPr>
      </w:pPr>
    </w:p>
    <w:p w14:paraId="526BD101" w14:textId="77777777" w:rsidR="008B3D2C" w:rsidRPr="00EA1210" w:rsidRDefault="008B3D2C" w:rsidP="008B3D2C">
      <w:pPr>
        <w:pStyle w:val="Beschriftung"/>
        <w:keepNext/>
        <w:rPr>
          <w:rStyle w:val="Ohne"/>
          <w:rFonts w:asciiTheme="minorHAnsi" w:hAnsiTheme="minorHAnsi" w:cstheme="minorHAnsi"/>
          <w:lang w:val="en-US"/>
        </w:rPr>
      </w:pPr>
      <w:r w:rsidRPr="00EA1210">
        <w:rPr>
          <w:rFonts w:asciiTheme="minorHAnsi" w:hAnsiTheme="minorHAnsi" w:cstheme="minorHAnsi"/>
          <w:lang w:val="en-US"/>
        </w:rPr>
        <w:t>Table A.2: Comparison criteria (own representation)</w:t>
      </w:r>
    </w:p>
    <w:tbl>
      <w:tblPr>
        <w:tblStyle w:val="EinfacheTabelle2"/>
        <w:tblW w:w="9020" w:type="dxa"/>
        <w:tblLayout w:type="fixed"/>
        <w:tblLook w:val="04A0" w:firstRow="1" w:lastRow="0" w:firstColumn="1" w:lastColumn="0" w:noHBand="0" w:noVBand="1"/>
      </w:tblPr>
      <w:tblGrid>
        <w:gridCol w:w="1985"/>
        <w:gridCol w:w="7035"/>
      </w:tblGrid>
      <w:tr w:rsidR="008B3D2C" w:rsidRPr="004839A0" w14:paraId="7D06C14C" w14:textId="77777777" w:rsidTr="002027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D3DF3A6" w14:textId="77777777" w:rsidR="008B3D2C" w:rsidRPr="003A3FBC" w:rsidRDefault="008B3D2C" w:rsidP="0020270C">
            <w:pPr>
              <w:spacing w:line="276" w:lineRule="auto"/>
              <w:jc w:val="both"/>
              <w:rPr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>Criteria</w:t>
            </w:r>
          </w:p>
        </w:tc>
        <w:tc>
          <w:tcPr>
            <w:tcW w:w="7035" w:type="dxa"/>
          </w:tcPr>
          <w:p w14:paraId="1CB8EA71" w14:textId="77777777" w:rsidR="008B3D2C" w:rsidRPr="003A3FBC" w:rsidRDefault="008B3D2C" w:rsidP="0020270C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>Definition</w:t>
            </w:r>
          </w:p>
        </w:tc>
      </w:tr>
      <w:tr w:rsidR="008B3D2C" w:rsidRPr="004839A0" w14:paraId="34DB3C09" w14:textId="77777777" w:rsidTr="002027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0" w:type="dxa"/>
            <w:gridSpan w:val="2"/>
            <w:vAlign w:val="center"/>
          </w:tcPr>
          <w:p w14:paraId="07326F0F" w14:textId="79674DBE" w:rsidR="008B3D2C" w:rsidRPr="003A3FBC" w:rsidRDefault="0025278C" w:rsidP="0020270C">
            <w:pPr>
              <w:spacing w:line="276" w:lineRule="auto"/>
              <w:rPr>
                <w:rStyle w:val="Ohne"/>
                <w:rFonts w:ascii="Calibri" w:hAnsi="Calibri"/>
                <w:sz w:val="20"/>
                <w:lang w:val="en-US"/>
              </w:rPr>
            </w:pPr>
            <w:r>
              <w:rPr>
                <w:rStyle w:val="Ohne"/>
                <w:rFonts w:ascii="Calibri" w:hAnsi="Calibri"/>
                <w:sz w:val="20"/>
                <w:lang w:val="en-US"/>
              </w:rPr>
              <w:t>Enterprise</w:t>
            </w:r>
            <w:r w:rsidR="008B3D2C" w:rsidRPr="003A3FBC">
              <w:rPr>
                <w:rStyle w:val="Ohne"/>
                <w:rFonts w:ascii="Calibri" w:hAnsi="Calibri"/>
                <w:sz w:val="20"/>
                <w:lang w:val="en-US"/>
              </w:rPr>
              <w:t>-related criteria</w:t>
            </w:r>
          </w:p>
        </w:tc>
      </w:tr>
      <w:tr w:rsidR="008B3D2C" w14:paraId="11EBFA01" w14:textId="77777777" w:rsidTr="0020270C">
        <w:trPr>
          <w:trHeight w:val="1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99AF7D7" w14:textId="28E03A87" w:rsidR="008B3D2C" w:rsidRPr="003A3FBC" w:rsidRDefault="0025278C" w:rsidP="0020270C">
            <w:pPr>
              <w:spacing w:line="276" w:lineRule="auto"/>
              <w:rPr>
                <w:rStyle w:val="Ohne"/>
                <w:rFonts w:ascii="Calibri" w:eastAsia="Calibri" w:hAnsi="Calibri" w:cs="Calibri"/>
                <w:b w:val="0"/>
                <w:sz w:val="20"/>
                <w:lang w:val="en-US"/>
              </w:rPr>
            </w:pPr>
            <w:r>
              <w:rPr>
                <w:rStyle w:val="Ohne"/>
                <w:rFonts w:ascii="Calibri" w:hAnsi="Calibri"/>
                <w:b w:val="0"/>
                <w:sz w:val="20"/>
                <w:lang w:val="en-US"/>
              </w:rPr>
              <w:t>Enterprise</w:t>
            </w:r>
            <w:r w:rsidR="008B3D2C" w:rsidRPr="003A3FBC">
              <w:rPr>
                <w:rStyle w:val="Ohne"/>
                <w:rFonts w:ascii="Calibri" w:hAnsi="Calibri"/>
                <w:b w:val="0"/>
                <w:sz w:val="20"/>
                <w:lang w:val="en-US"/>
              </w:rPr>
              <w:t xml:space="preserve"> size according to EU definition</w:t>
            </w:r>
          </w:p>
          <w:p w14:paraId="2922D364" w14:textId="77777777" w:rsidR="008B3D2C" w:rsidRPr="003A3FBC" w:rsidRDefault="008B3D2C" w:rsidP="0020270C">
            <w:pPr>
              <w:spacing w:line="276" w:lineRule="auto"/>
              <w:rPr>
                <w:b w:val="0"/>
                <w:sz w:val="20"/>
                <w:lang w:val="en-US"/>
              </w:rPr>
            </w:pPr>
          </w:p>
        </w:tc>
        <w:tc>
          <w:tcPr>
            <w:tcW w:w="7035" w:type="dxa"/>
          </w:tcPr>
          <w:p w14:paraId="38146677" w14:textId="457DFB21" w:rsidR="008B3D2C" w:rsidRPr="003A3FBC" w:rsidRDefault="008B3D2C" w:rsidP="0020270C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hne"/>
                <w:rFonts w:ascii="Calibri" w:eastAsia="Calibri" w:hAnsi="Calibri" w:cs="Calibri"/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 xml:space="preserve">Classification of the </w:t>
            </w:r>
            <w:r w:rsidR="0025278C">
              <w:rPr>
                <w:rStyle w:val="Ohne"/>
                <w:rFonts w:ascii="Calibri" w:hAnsi="Calibri"/>
                <w:sz w:val="20"/>
                <w:lang w:val="en-US"/>
              </w:rPr>
              <w:t>enterprise</w:t>
            </w: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 xml:space="preserve"> according to number of employees, annual turnover and annual balance sheet total in the following three categories: </w:t>
            </w:r>
          </w:p>
          <w:p w14:paraId="01ABB37C" w14:textId="77777777" w:rsidR="008B3D2C" w:rsidRPr="003A3FBC" w:rsidRDefault="008B3D2C" w:rsidP="008B3D2C">
            <w:pPr>
              <w:pStyle w:val="Listenabsatz"/>
              <w:widowControl/>
              <w:numPr>
                <w:ilvl w:val="0"/>
                <w:numId w:val="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>Micro-sized enterprises</w:t>
            </w:r>
          </w:p>
          <w:p w14:paraId="33113DC4" w14:textId="77777777" w:rsidR="008B3D2C" w:rsidRPr="003A3FBC" w:rsidRDefault="008B3D2C" w:rsidP="008B3D2C">
            <w:pPr>
              <w:pStyle w:val="Listenabsatz"/>
              <w:widowControl/>
              <w:numPr>
                <w:ilvl w:val="0"/>
                <w:numId w:val="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>Small-sized enterprises</w:t>
            </w:r>
          </w:p>
          <w:p w14:paraId="377B5801" w14:textId="77777777" w:rsidR="008B3D2C" w:rsidRPr="003A3FBC" w:rsidRDefault="008B3D2C" w:rsidP="008B3D2C">
            <w:pPr>
              <w:pStyle w:val="Listenabsatz"/>
              <w:widowControl/>
              <w:numPr>
                <w:ilvl w:val="0"/>
                <w:numId w:val="1"/>
              </w:num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>Medium-sized enterprises</w:t>
            </w:r>
          </w:p>
        </w:tc>
      </w:tr>
      <w:tr w:rsidR="008B3D2C" w:rsidRPr="00AD01FD" w14:paraId="5BB5397B" w14:textId="77777777" w:rsidTr="002027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4E2B176" w14:textId="6E236FFC" w:rsidR="008B3D2C" w:rsidRPr="003A3FBC" w:rsidRDefault="0025278C" w:rsidP="0020270C">
            <w:pPr>
              <w:spacing w:line="276" w:lineRule="auto"/>
              <w:jc w:val="both"/>
              <w:rPr>
                <w:b w:val="0"/>
                <w:sz w:val="20"/>
                <w:lang w:val="en-US"/>
              </w:rPr>
            </w:pPr>
            <w:r>
              <w:rPr>
                <w:rStyle w:val="Ohne"/>
                <w:rFonts w:ascii="Calibri" w:hAnsi="Calibri"/>
                <w:b w:val="0"/>
                <w:sz w:val="20"/>
                <w:lang w:val="en-US"/>
              </w:rPr>
              <w:t>Enterprise</w:t>
            </w:r>
            <w:r w:rsidR="008B3D2C" w:rsidRPr="003A3FBC">
              <w:rPr>
                <w:rStyle w:val="Ohne"/>
                <w:rFonts w:ascii="Calibri" w:hAnsi="Calibri"/>
                <w:b w:val="0"/>
                <w:sz w:val="20"/>
                <w:lang w:val="en-US"/>
              </w:rPr>
              <w:t xml:space="preserve"> location</w:t>
            </w:r>
          </w:p>
        </w:tc>
        <w:tc>
          <w:tcPr>
            <w:tcW w:w="7035" w:type="dxa"/>
          </w:tcPr>
          <w:p w14:paraId="27BEBF14" w14:textId="76469877" w:rsidR="008B3D2C" w:rsidRPr="003A3FBC" w:rsidRDefault="008B3D2C" w:rsidP="0020270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 xml:space="preserve">Details of the </w:t>
            </w:r>
            <w:r w:rsidR="0025278C">
              <w:rPr>
                <w:rStyle w:val="Ohne"/>
                <w:rFonts w:ascii="Calibri" w:hAnsi="Calibri"/>
                <w:sz w:val="20"/>
                <w:lang w:val="en-US"/>
              </w:rPr>
              <w:t>enterprise</w:t>
            </w: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>'s registered office (city and state)</w:t>
            </w:r>
          </w:p>
        </w:tc>
      </w:tr>
      <w:tr w:rsidR="008B3D2C" w14:paraId="127E8909" w14:textId="77777777" w:rsidTr="0020270C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26B0E02" w14:textId="77777777" w:rsidR="008B3D2C" w:rsidRPr="003A3FBC" w:rsidRDefault="008B3D2C" w:rsidP="0020270C">
            <w:pPr>
              <w:spacing w:line="276" w:lineRule="auto"/>
              <w:jc w:val="both"/>
              <w:rPr>
                <w:b w:val="0"/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b w:val="0"/>
                <w:sz w:val="20"/>
                <w:lang w:val="en-US"/>
              </w:rPr>
              <w:t>Industry</w:t>
            </w:r>
          </w:p>
        </w:tc>
        <w:tc>
          <w:tcPr>
            <w:tcW w:w="7035" w:type="dxa"/>
          </w:tcPr>
          <w:p w14:paraId="700532E6" w14:textId="77777777" w:rsidR="008B3D2C" w:rsidRPr="003A3FBC" w:rsidRDefault="008B3D2C" w:rsidP="0020270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>Classification by industry</w:t>
            </w:r>
          </w:p>
        </w:tc>
      </w:tr>
      <w:tr w:rsidR="008B3D2C" w14:paraId="2BAA2826" w14:textId="77777777" w:rsidTr="002027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0" w:type="dxa"/>
            <w:gridSpan w:val="2"/>
          </w:tcPr>
          <w:p w14:paraId="1B5BCBE7" w14:textId="77777777" w:rsidR="008B3D2C" w:rsidRPr="003A3FBC" w:rsidRDefault="008B3D2C" w:rsidP="0020270C">
            <w:pPr>
              <w:rPr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>Report-related criteria</w:t>
            </w:r>
          </w:p>
        </w:tc>
      </w:tr>
      <w:tr w:rsidR="008B3D2C" w:rsidRPr="00AD01FD" w14:paraId="620CC5D9" w14:textId="77777777" w:rsidTr="0020270C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9D2FB5E" w14:textId="77777777" w:rsidR="008B3D2C" w:rsidRPr="003A3FBC" w:rsidRDefault="008B3D2C" w:rsidP="0020270C">
            <w:pPr>
              <w:spacing w:line="276" w:lineRule="auto"/>
              <w:jc w:val="both"/>
              <w:rPr>
                <w:b w:val="0"/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b w:val="0"/>
                <w:sz w:val="20"/>
                <w:lang w:val="en-US"/>
              </w:rPr>
              <w:t>Reporting standard</w:t>
            </w:r>
          </w:p>
        </w:tc>
        <w:tc>
          <w:tcPr>
            <w:tcW w:w="7035" w:type="dxa"/>
          </w:tcPr>
          <w:p w14:paraId="6E021C83" w14:textId="77777777" w:rsidR="008B3D2C" w:rsidRPr="003A3FBC" w:rsidRDefault="008B3D2C" w:rsidP="0020270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>Application of an existing standard based on which the report was prepared</w:t>
            </w:r>
          </w:p>
        </w:tc>
      </w:tr>
      <w:tr w:rsidR="008B3D2C" w14:paraId="019AB161" w14:textId="77777777" w:rsidTr="002027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F0F0434" w14:textId="77777777" w:rsidR="008B3D2C" w:rsidRPr="003A3FBC" w:rsidRDefault="008B3D2C" w:rsidP="0020270C">
            <w:pPr>
              <w:spacing w:line="276" w:lineRule="auto"/>
              <w:jc w:val="both"/>
              <w:rPr>
                <w:b w:val="0"/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b w:val="0"/>
                <w:sz w:val="20"/>
                <w:lang w:val="en-US"/>
              </w:rPr>
              <w:t>Audit</w:t>
            </w:r>
          </w:p>
        </w:tc>
        <w:tc>
          <w:tcPr>
            <w:tcW w:w="7035" w:type="dxa"/>
          </w:tcPr>
          <w:p w14:paraId="1E2107B9" w14:textId="77777777" w:rsidR="008B3D2C" w:rsidRPr="003A3FBC" w:rsidRDefault="008B3D2C" w:rsidP="0020270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Ohne"/>
                <w:rFonts w:ascii="Calibri" w:eastAsia="Calibri" w:hAnsi="Calibri" w:cs="Calibri"/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>Has the sustainability report been audited and if so, to what extent? A distinction is made between:</w:t>
            </w:r>
          </w:p>
          <w:p w14:paraId="74320CF6" w14:textId="77777777" w:rsidR="008B3D2C" w:rsidRPr="003A3FBC" w:rsidRDefault="008B3D2C" w:rsidP="008B3D2C">
            <w:pPr>
              <w:pStyle w:val="Listenabsatz"/>
              <w:widowControl/>
              <w:numPr>
                <w:ilvl w:val="0"/>
                <w:numId w:val="2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>Internal and external audit</w:t>
            </w:r>
          </w:p>
          <w:p w14:paraId="3F282185" w14:textId="77777777" w:rsidR="008B3D2C" w:rsidRPr="003A3FBC" w:rsidRDefault="008B3D2C" w:rsidP="008B3D2C">
            <w:pPr>
              <w:pStyle w:val="Listenabsatz"/>
              <w:widowControl/>
              <w:numPr>
                <w:ilvl w:val="0"/>
                <w:numId w:val="2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>Formal and content audit</w:t>
            </w:r>
          </w:p>
        </w:tc>
      </w:tr>
      <w:tr w:rsidR="008B3D2C" w:rsidRPr="00AD01FD" w14:paraId="417FAB5A" w14:textId="77777777" w:rsidTr="0020270C">
        <w:trPr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6938359" w14:textId="77777777" w:rsidR="008B3D2C" w:rsidRPr="003A3FBC" w:rsidRDefault="008B3D2C" w:rsidP="0020270C">
            <w:pPr>
              <w:spacing w:line="276" w:lineRule="auto"/>
              <w:jc w:val="both"/>
              <w:rPr>
                <w:b w:val="0"/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b w:val="0"/>
                <w:sz w:val="20"/>
                <w:lang w:val="en-US"/>
              </w:rPr>
              <w:t>Reporting period</w:t>
            </w:r>
          </w:p>
        </w:tc>
        <w:tc>
          <w:tcPr>
            <w:tcW w:w="7035" w:type="dxa"/>
          </w:tcPr>
          <w:p w14:paraId="0422AE26" w14:textId="77777777" w:rsidR="008B3D2C" w:rsidRPr="003A3FBC" w:rsidRDefault="008B3D2C" w:rsidP="0020270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>Period to which the sustainability report relates</w:t>
            </w:r>
          </w:p>
        </w:tc>
      </w:tr>
      <w:tr w:rsidR="008B3D2C" w:rsidRPr="00AD01FD" w14:paraId="2EC62770" w14:textId="77777777" w:rsidTr="002027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9DD7F16" w14:textId="77777777" w:rsidR="008B3D2C" w:rsidRPr="003A3FBC" w:rsidRDefault="008B3D2C" w:rsidP="0020270C">
            <w:pPr>
              <w:spacing w:line="276" w:lineRule="auto"/>
              <w:jc w:val="both"/>
              <w:rPr>
                <w:b w:val="0"/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b w:val="0"/>
                <w:sz w:val="20"/>
                <w:lang w:val="en-US"/>
              </w:rPr>
              <w:t>Reporting cycle</w:t>
            </w:r>
          </w:p>
        </w:tc>
        <w:tc>
          <w:tcPr>
            <w:tcW w:w="7035" w:type="dxa"/>
          </w:tcPr>
          <w:p w14:paraId="216159FE" w14:textId="77777777" w:rsidR="008B3D2C" w:rsidRPr="003A3FBC" w:rsidRDefault="008B3D2C" w:rsidP="0020270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>At what intervals have the sustainability reports prepared to date been published</w:t>
            </w:r>
          </w:p>
        </w:tc>
      </w:tr>
      <w:tr w:rsidR="008B3D2C" w:rsidRPr="00AD01FD" w14:paraId="700F1F18" w14:textId="77777777" w:rsidTr="0020270C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2E3B614" w14:textId="77777777" w:rsidR="008B3D2C" w:rsidRPr="003A3FBC" w:rsidRDefault="008B3D2C" w:rsidP="0020270C">
            <w:pPr>
              <w:spacing w:line="276" w:lineRule="auto"/>
              <w:rPr>
                <w:b w:val="0"/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b w:val="0"/>
                <w:sz w:val="20"/>
                <w:lang w:val="en-US"/>
              </w:rPr>
              <w:t>Number of published reports</w:t>
            </w:r>
          </w:p>
        </w:tc>
        <w:tc>
          <w:tcPr>
            <w:tcW w:w="7035" w:type="dxa"/>
          </w:tcPr>
          <w:p w14:paraId="74CCCE31" w14:textId="6D26C68C" w:rsidR="008B3D2C" w:rsidRPr="003A3FBC" w:rsidRDefault="008B3D2C" w:rsidP="0020270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 xml:space="preserve">How many sustainability reports have been prepared and published by the </w:t>
            </w:r>
            <w:r w:rsidR="0025278C">
              <w:rPr>
                <w:rStyle w:val="Ohne"/>
                <w:rFonts w:ascii="Calibri" w:hAnsi="Calibri"/>
                <w:sz w:val="20"/>
                <w:lang w:val="en-US"/>
              </w:rPr>
              <w:t>enterprise</w:t>
            </w: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 xml:space="preserve"> to date</w:t>
            </w:r>
          </w:p>
        </w:tc>
      </w:tr>
      <w:tr w:rsidR="008B3D2C" w:rsidRPr="00AD01FD" w14:paraId="75A4D776" w14:textId="77777777" w:rsidTr="002027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F28BEDA" w14:textId="77777777" w:rsidR="008B3D2C" w:rsidRPr="003A3FBC" w:rsidRDefault="008B3D2C" w:rsidP="0020270C">
            <w:pPr>
              <w:spacing w:line="276" w:lineRule="auto"/>
              <w:rPr>
                <w:b w:val="0"/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b w:val="0"/>
                <w:sz w:val="20"/>
                <w:lang w:val="en-US"/>
              </w:rPr>
              <w:t>EMAS environmental statement included</w:t>
            </w:r>
          </w:p>
        </w:tc>
        <w:tc>
          <w:tcPr>
            <w:tcW w:w="7035" w:type="dxa"/>
          </w:tcPr>
          <w:p w14:paraId="292E70A9" w14:textId="77777777" w:rsidR="008B3D2C" w:rsidRPr="003A3FBC" w:rsidRDefault="008B3D2C" w:rsidP="0020270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A3FBC">
              <w:rPr>
                <w:rFonts w:ascii="Calibri" w:hAnsi="Calibri"/>
                <w:sz w:val="20"/>
                <w:lang w:val="en-US"/>
              </w:rPr>
              <w:t xml:space="preserve">Does </w:t>
            </w: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>the sustainability report also include an EMAS environmental statement</w:t>
            </w:r>
          </w:p>
        </w:tc>
      </w:tr>
      <w:tr w:rsidR="008B3D2C" w:rsidRPr="00AD01FD" w14:paraId="5655B329" w14:textId="77777777" w:rsidTr="0020270C">
        <w:trPr>
          <w:trHeight w:val="1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FEAC26D" w14:textId="77777777" w:rsidR="008B3D2C" w:rsidRPr="003A3FBC" w:rsidRDefault="008B3D2C" w:rsidP="0020270C">
            <w:pPr>
              <w:spacing w:line="276" w:lineRule="auto"/>
              <w:rPr>
                <w:b w:val="0"/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b w:val="0"/>
                <w:sz w:val="20"/>
                <w:lang w:val="en-US"/>
              </w:rPr>
              <w:t>DNK / GWÖ membership</w:t>
            </w:r>
          </w:p>
        </w:tc>
        <w:tc>
          <w:tcPr>
            <w:tcW w:w="7035" w:type="dxa"/>
          </w:tcPr>
          <w:p w14:paraId="7C31B379" w14:textId="0E8E050B" w:rsidR="008B3D2C" w:rsidRPr="003A3FBC" w:rsidRDefault="008B3D2C" w:rsidP="0020270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hne"/>
                <w:rFonts w:ascii="Calibri" w:eastAsia="Calibri" w:hAnsi="Calibri" w:cs="Calibri"/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 xml:space="preserve">German </w:t>
            </w:r>
            <w:r>
              <w:rPr>
                <w:rStyle w:val="Ohne"/>
                <w:rFonts w:ascii="Calibri" w:hAnsi="Calibri"/>
                <w:sz w:val="20"/>
                <w:lang w:val="en-US"/>
              </w:rPr>
              <w:t>s</w:t>
            </w: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 xml:space="preserve">ustainability </w:t>
            </w:r>
            <w:r>
              <w:rPr>
                <w:rStyle w:val="Ohne"/>
                <w:rFonts w:ascii="Calibri" w:hAnsi="Calibri"/>
                <w:sz w:val="20"/>
                <w:lang w:val="en-US"/>
              </w:rPr>
              <w:t>c</w:t>
            </w: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 xml:space="preserve">ode: Is the </w:t>
            </w:r>
            <w:r w:rsidR="0025278C">
              <w:rPr>
                <w:rStyle w:val="Ohne"/>
                <w:rFonts w:ascii="Calibri" w:hAnsi="Calibri"/>
                <w:sz w:val="20"/>
                <w:lang w:val="en-US"/>
              </w:rPr>
              <w:t>enterprise</w:t>
            </w: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 xml:space="preserve"> listed in the DNK by submitting a declaration</w:t>
            </w:r>
          </w:p>
          <w:p w14:paraId="19BF2E08" w14:textId="14A9BF84" w:rsidR="008B3D2C" w:rsidRPr="003A3FBC" w:rsidRDefault="008B3D2C" w:rsidP="0020270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 xml:space="preserve">Economy of the common good: Is the </w:t>
            </w:r>
            <w:r w:rsidR="0025278C">
              <w:rPr>
                <w:rStyle w:val="Ohne"/>
                <w:rFonts w:ascii="Calibri" w:hAnsi="Calibri"/>
                <w:sz w:val="20"/>
                <w:lang w:val="en-US"/>
              </w:rPr>
              <w:t>enterprise</w:t>
            </w: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 xml:space="preserve"> a member of the common good economy </w:t>
            </w:r>
          </w:p>
        </w:tc>
      </w:tr>
      <w:tr w:rsidR="008B3D2C" w:rsidRPr="00AD01FD" w14:paraId="4F6B1728" w14:textId="77777777" w:rsidTr="002027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0C705F6" w14:textId="77777777" w:rsidR="008B3D2C" w:rsidRPr="003A3FBC" w:rsidRDefault="008B3D2C" w:rsidP="0020270C">
            <w:pPr>
              <w:spacing w:line="276" w:lineRule="auto"/>
              <w:jc w:val="both"/>
              <w:rPr>
                <w:b w:val="0"/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b w:val="0"/>
                <w:sz w:val="20"/>
                <w:lang w:val="en-US"/>
              </w:rPr>
              <w:t>Report form</w:t>
            </w:r>
          </w:p>
        </w:tc>
        <w:tc>
          <w:tcPr>
            <w:tcW w:w="7035" w:type="dxa"/>
          </w:tcPr>
          <w:p w14:paraId="5E3C6E94" w14:textId="77777777" w:rsidR="008B3D2C" w:rsidRPr="003A3FBC" w:rsidRDefault="008B3D2C" w:rsidP="0020270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>Has the sustainability report been prepared as a separate report or as part of an integrated report</w:t>
            </w:r>
          </w:p>
        </w:tc>
      </w:tr>
      <w:tr w:rsidR="008B3D2C" w14:paraId="2037B099" w14:textId="77777777" w:rsidTr="0020270C">
        <w:trPr>
          <w:trHeight w:val="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A6428E1" w14:textId="77777777" w:rsidR="008B3D2C" w:rsidRPr="003A3FBC" w:rsidRDefault="008B3D2C" w:rsidP="0020270C">
            <w:pPr>
              <w:spacing w:line="276" w:lineRule="auto"/>
              <w:jc w:val="both"/>
              <w:rPr>
                <w:b w:val="0"/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b w:val="0"/>
                <w:sz w:val="20"/>
                <w:lang w:val="en-US"/>
              </w:rPr>
              <w:t xml:space="preserve">Way of Publication </w:t>
            </w:r>
          </w:p>
        </w:tc>
        <w:tc>
          <w:tcPr>
            <w:tcW w:w="7035" w:type="dxa"/>
          </w:tcPr>
          <w:p w14:paraId="4F81274A" w14:textId="77777777" w:rsidR="008B3D2C" w:rsidRPr="003A3FBC" w:rsidRDefault="008B3D2C" w:rsidP="0020270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Ohne"/>
                <w:rFonts w:ascii="Calibri" w:eastAsia="Calibri" w:hAnsi="Calibri" w:cs="Calibri"/>
                <w:sz w:val="20"/>
                <w:lang w:val="en-US"/>
              </w:rPr>
            </w:pPr>
            <w:r w:rsidRPr="003A3FBC">
              <w:rPr>
                <w:rStyle w:val="Ohne"/>
                <w:rFonts w:ascii="Calibri" w:hAnsi="Calibri"/>
                <w:sz w:val="20"/>
                <w:lang w:val="en-US"/>
              </w:rPr>
              <w:t>In what form was the report published? Possible ways are:</w:t>
            </w:r>
          </w:p>
          <w:p w14:paraId="28CD1CC6" w14:textId="77777777" w:rsidR="008B3D2C" w:rsidRPr="00A8245B" w:rsidRDefault="008B3D2C" w:rsidP="008B3D2C">
            <w:pPr>
              <w:pStyle w:val="Listenabsatz"/>
              <w:widowControl/>
              <w:numPr>
                <w:ilvl w:val="0"/>
                <w:numId w:val="3"/>
              </w:num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lang w:val="en-US"/>
              </w:rPr>
            </w:pPr>
            <w:r w:rsidRPr="00A8245B">
              <w:rPr>
                <w:rStyle w:val="Ohne"/>
                <w:rFonts w:ascii="Calibri" w:hAnsi="Calibri"/>
                <w:sz w:val="20"/>
                <w:lang w:val="en-US"/>
              </w:rPr>
              <w:t>PDF as download</w:t>
            </w:r>
          </w:p>
          <w:p w14:paraId="5FD59811" w14:textId="77777777" w:rsidR="008B3D2C" w:rsidRPr="00A8245B" w:rsidRDefault="008B3D2C" w:rsidP="008B3D2C">
            <w:pPr>
              <w:pStyle w:val="Listenabsatz"/>
              <w:widowControl/>
              <w:numPr>
                <w:ilvl w:val="0"/>
                <w:numId w:val="3"/>
              </w:num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lang w:val="en-US"/>
              </w:rPr>
            </w:pPr>
            <w:r w:rsidRPr="00A8245B">
              <w:rPr>
                <w:rStyle w:val="Ohne"/>
                <w:rFonts w:ascii="Calibri" w:hAnsi="Calibri"/>
                <w:sz w:val="20"/>
                <w:lang w:val="en-US"/>
              </w:rPr>
              <w:t>Online on the website</w:t>
            </w:r>
          </w:p>
        </w:tc>
      </w:tr>
    </w:tbl>
    <w:p w14:paraId="137EB10E" w14:textId="77777777" w:rsidR="008B3D2C" w:rsidRPr="00235FDF" w:rsidRDefault="008B3D2C" w:rsidP="008B3D2C">
      <w:pPr>
        <w:spacing w:after="120" w:line="360" w:lineRule="auto"/>
        <w:rPr>
          <w:rFonts w:asciiTheme="minorHAnsi" w:hAnsiTheme="minorHAnsi" w:cstheme="minorHAnsi"/>
          <w:lang w:val="en-US"/>
        </w:rPr>
      </w:pPr>
    </w:p>
    <w:p w14:paraId="7E5B26E5" w14:textId="77777777" w:rsidR="008B3D2C" w:rsidRDefault="008B3D2C" w:rsidP="008B3D2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en-US"/>
        </w:rPr>
      </w:pPr>
    </w:p>
    <w:p w14:paraId="09F023F8" w14:textId="77777777" w:rsidR="008B3D2C" w:rsidRDefault="008B3D2C" w:rsidP="008B3D2C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en-US"/>
        </w:rPr>
      </w:pPr>
    </w:p>
    <w:p w14:paraId="5CA08F79" w14:textId="77777777" w:rsidR="008B3D2C" w:rsidRDefault="008B3D2C" w:rsidP="008B3D2C">
      <w:pPr>
        <w:spacing w:line="360" w:lineRule="auto"/>
        <w:jc w:val="center"/>
        <w:rPr>
          <w:rStyle w:val="Ohne"/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28338BBB" wp14:editId="5C845EFF">
            <wp:extent cx="5099323" cy="2496368"/>
            <wp:effectExtent l="0" t="0" r="6350" b="1841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6ACFF82" w14:textId="77777777" w:rsidR="008B3D2C" w:rsidRPr="00EA1210" w:rsidRDefault="008B3D2C" w:rsidP="008B3D2C">
      <w:pPr>
        <w:pStyle w:val="Beschriftung"/>
        <w:rPr>
          <w:rStyle w:val="Ohne"/>
          <w:rFonts w:asciiTheme="minorHAnsi" w:eastAsia="Calibr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Figure A.1: </w:t>
      </w:r>
      <w:r w:rsidRPr="00EA1210">
        <w:rPr>
          <w:rFonts w:asciiTheme="minorHAnsi" w:hAnsiTheme="minorHAnsi" w:cstheme="minorHAnsi"/>
          <w:lang w:val="en-US"/>
        </w:rPr>
        <w:t>Location distribution (own representation)</w:t>
      </w:r>
    </w:p>
    <w:p w14:paraId="05D2DCF2" w14:textId="77777777" w:rsidR="008B3D2C" w:rsidRDefault="008B3D2C" w:rsidP="008B3D2C">
      <w:pPr>
        <w:spacing w:line="360" w:lineRule="auto"/>
        <w:rPr>
          <w:rStyle w:val="Ohne"/>
          <w:rFonts w:ascii="Calibri" w:eastAsia="Calibri" w:hAnsi="Calibri" w:cs="Calibri"/>
          <w:lang w:val="en-US"/>
        </w:rPr>
      </w:pPr>
    </w:p>
    <w:p w14:paraId="0572E4AB" w14:textId="77777777" w:rsidR="008B3D2C" w:rsidRDefault="008B3D2C" w:rsidP="008B3D2C">
      <w:pPr>
        <w:spacing w:line="360" w:lineRule="auto"/>
        <w:jc w:val="center"/>
        <w:rPr>
          <w:rStyle w:val="Ohne"/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D3D4336" wp14:editId="12486203">
            <wp:extent cx="5113325" cy="2260397"/>
            <wp:effectExtent l="0" t="0" r="11430" b="6985"/>
            <wp:docPr id="2" name="Diagram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3BB22CE" w14:textId="77777777" w:rsidR="008B3D2C" w:rsidRDefault="008B3D2C" w:rsidP="008B3D2C">
      <w:pPr>
        <w:pStyle w:val="Beschriftung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Figure A.2: </w:t>
      </w:r>
      <w:r w:rsidRPr="00B67F57">
        <w:rPr>
          <w:rFonts w:asciiTheme="minorHAnsi" w:hAnsiTheme="minorHAnsi" w:cstheme="minorHAnsi"/>
          <w:lang w:val="en-US"/>
        </w:rPr>
        <w:t>Sector distribution (own representation)</w:t>
      </w:r>
    </w:p>
    <w:p w14:paraId="5D32F287" w14:textId="77777777" w:rsidR="008B3D2C" w:rsidRDefault="008B3D2C" w:rsidP="008B3D2C">
      <w:pPr>
        <w:spacing w:line="360" w:lineRule="auto"/>
        <w:jc w:val="both"/>
        <w:rPr>
          <w:rStyle w:val="Ohne"/>
          <w:rFonts w:ascii="Calibri" w:hAnsi="Calibri"/>
          <w:lang w:val="en-US"/>
        </w:rPr>
      </w:pPr>
      <w:r>
        <w:rPr>
          <w:noProof/>
        </w:rPr>
        <w:drawing>
          <wp:inline distT="0" distB="0" distL="0" distR="0" wp14:anchorId="7DE4B612" wp14:editId="4A29DE74">
            <wp:extent cx="5514975" cy="2078355"/>
            <wp:effectExtent l="0" t="0" r="9525" b="17145"/>
            <wp:docPr id="25" name="Diagramm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Pr="00D12183">
        <w:rPr>
          <w:rStyle w:val="Ohne"/>
          <w:rFonts w:ascii="Calibri" w:hAnsi="Calibri"/>
          <w:lang w:val="en-US"/>
        </w:rPr>
        <w:t xml:space="preserve"> </w:t>
      </w:r>
    </w:p>
    <w:p w14:paraId="068F2001" w14:textId="77777777" w:rsidR="008B3D2C" w:rsidRDefault="008B3D2C" w:rsidP="008B3D2C">
      <w:pPr>
        <w:pStyle w:val="Beschriftung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Figure A.3: </w:t>
      </w:r>
      <w:r w:rsidRPr="00B21776">
        <w:rPr>
          <w:rFonts w:asciiTheme="minorHAnsi" w:hAnsiTheme="minorHAnsi" w:cstheme="minorHAnsi"/>
          <w:lang w:val="en-US"/>
        </w:rPr>
        <w:t>Number of published sustainability reports (own representation)</w:t>
      </w:r>
    </w:p>
    <w:p w14:paraId="3BCB7C9D" w14:textId="77777777" w:rsidR="008B3D2C" w:rsidRDefault="008B3D2C" w:rsidP="008B3D2C">
      <w:pPr>
        <w:pStyle w:val="Beschriftung"/>
        <w:rPr>
          <w:lang w:val="en-US"/>
        </w:rPr>
      </w:pPr>
    </w:p>
    <w:p w14:paraId="087859FF" w14:textId="77777777" w:rsidR="008B3D2C" w:rsidRDefault="008B3D2C" w:rsidP="008B3D2C">
      <w:pPr>
        <w:jc w:val="center"/>
        <w:rPr>
          <w:rStyle w:val="Ohne"/>
          <w:rFonts w:ascii="Calibri" w:eastAsia="Calibri" w:hAnsi="Calibri" w:cs="Calibri"/>
        </w:rPr>
      </w:pPr>
      <w:r>
        <w:rPr>
          <w:noProof/>
        </w:rPr>
        <w:lastRenderedPageBreak/>
        <w:drawing>
          <wp:inline distT="0" distB="0" distL="0" distR="0" wp14:anchorId="4347E32E" wp14:editId="37E329C9">
            <wp:extent cx="5763260" cy="2512522"/>
            <wp:effectExtent l="0" t="0" r="8890" b="2540"/>
            <wp:docPr id="6" name="Diagramm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C213FA4" w14:textId="77777777" w:rsidR="008B3D2C" w:rsidRDefault="008B3D2C" w:rsidP="008B3D2C">
      <w:pPr>
        <w:pStyle w:val="Beschriftung"/>
        <w:spacing w:before="120"/>
        <w:rPr>
          <w:rStyle w:val="Ohne"/>
          <w:rFonts w:ascii="Calibri" w:hAnsi="Calibr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Figure A.4: </w:t>
      </w:r>
      <w:r w:rsidR="000C3B2E">
        <w:rPr>
          <w:rStyle w:val="Ohne"/>
          <w:rFonts w:ascii="Calibri" w:hAnsi="Calibri"/>
          <w:lang w:val="en-US"/>
        </w:rPr>
        <w:t xml:space="preserve">Degree of </w:t>
      </w:r>
      <w:r w:rsidR="000C3B2E" w:rsidRPr="000C3B2E">
        <w:rPr>
          <w:rStyle w:val="Ohne"/>
          <w:rFonts w:ascii="Calibri" w:hAnsi="Calibri"/>
          <w:lang w:val="en-US"/>
        </w:rPr>
        <w:t>conformity</w:t>
      </w:r>
      <w:r>
        <w:rPr>
          <w:rStyle w:val="Ohne"/>
          <w:rFonts w:ascii="Calibri" w:hAnsi="Calibri"/>
          <w:lang w:val="en-US"/>
        </w:rPr>
        <w:t xml:space="preserve"> by </w:t>
      </w:r>
      <w:r w:rsidRPr="0083345B">
        <w:rPr>
          <w:rStyle w:val="Ohne"/>
          <w:rFonts w:ascii="Calibri" w:hAnsi="Calibri"/>
          <w:lang w:val="en-US"/>
        </w:rPr>
        <w:t>topic for</w:t>
      </w:r>
      <w:r>
        <w:rPr>
          <w:rStyle w:val="Ohne"/>
          <w:rFonts w:ascii="Calibri" w:hAnsi="Calibri"/>
          <w:lang w:val="en-US"/>
        </w:rPr>
        <w:t xml:space="preserve"> reports according to DNK standard (own representation)</w:t>
      </w:r>
    </w:p>
    <w:p w14:paraId="72932C4D" w14:textId="77777777" w:rsidR="008B3D2C" w:rsidRDefault="008B3D2C" w:rsidP="008B3D2C">
      <w:pPr>
        <w:pStyle w:val="Beschriftung"/>
        <w:spacing w:before="120"/>
        <w:rPr>
          <w:lang w:val="en-US"/>
        </w:rPr>
      </w:pPr>
    </w:p>
    <w:p w14:paraId="131768E2" w14:textId="77777777" w:rsidR="008B3D2C" w:rsidRDefault="008B3D2C" w:rsidP="008B3D2C">
      <w:pPr>
        <w:spacing w:line="360" w:lineRule="auto"/>
        <w:jc w:val="center"/>
        <w:rPr>
          <w:rStyle w:val="Ohne"/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20C6E833" wp14:editId="09C6C0C0">
            <wp:extent cx="5935980" cy="2664069"/>
            <wp:effectExtent l="0" t="0" r="7620" b="3175"/>
            <wp:docPr id="7" name="Diagramm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41F5097" w14:textId="77777777" w:rsidR="008B3D2C" w:rsidRDefault="008B3D2C" w:rsidP="008B3D2C">
      <w:pPr>
        <w:pStyle w:val="Beschriftung"/>
        <w:rPr>
          <w:rStyle w:val="Ohne"/>
          <w:rFonts w:ascii="Calibri" w:eastAsia="Calibri" w:hAnsi="Calibri" w:cs="Calibri"/>
          <w:lang w:val="en-US"/>
        </w:rPr>
      </w:pPr>
      <w:r w:rsidRPr="00D6121A">
        <w:rPr>
          <w:rFonts w:asciiTheme="minorHAnsi" w:hAnsiTheme="minorHAnsi" w:cstheme="minorHAnsi"/>
          <w:i w:val="0"/>
          <w:iCs w:val="0"/>
          <w:lang w:val="en-US"/>
        </w:rPr>
        <w:t>Figure A.</w:t>
      </w:r>
      <w:r>
        <w:rPr>
          <w:rFonts w:asciiTheme="minorHAnsi" w:hAnsiTheme="minorHAnsi" w:cstheme="minorHAnsi"/>
          <w:i w:val="0"/>
          <w:iCs w:val="0"/>
          <w:lang w:val="en-US"/>
        </w:rPr>
        <w:t>5</w:t>
      </w:r>
      <w:r w:rsidRPr="00D6121A">
        <w:rPr>
          <w:rFonts w:asciiTheme="minorHAnsi" w:hAnsiTheme="minorHAnsi" w:cstheme="minorHAnsi"/>
          <w:i w:val="0"/>
          <w:iCs w:val="0"/>
          <w:lang w:val="en-US"/>
        </w:rPr>
        <w:t>:</w:t>
      </w:r>
      <w:r w:rsidRPr="00D6121A">
        <w:rPr>
          <w:rStyle w:val="Ohne"/>
          <w:rFonts w:ascii="Calibri" w:hAnsi="Calibri"/>
          <w:lang w:val="en-US"/>
        </w:rPr>
        <w:t xml:space="preserve"> </w:t>
      </w:r>
      <w:r w:rsidR="000C3B2E">
        <w:rPr>
          <w:rStyle w:val="Ohne"/>
          <w:rFonts w:ascii="Calibri" w:hAnsi="Calibri"/>
          <w:lang w:val="en-US"/>
        </w:rPr>
        <w:t xml:space="preserve">Degree of </w:t>
      </w:r>
      <w:r w:rsidR="000C3B2E" w:rsidRPr="000C3B2E">
        <w:rPr>
          <w:rStyle w:val="Ohne"/>
          <w:rFonts w:ascii="Calibri" w:hAnsi="Calibri"/>
          <w:lang w:val="en-US"/>
        </w:rPr>
        <w:t>conformity</w:t>
      </w:r>
      <w:r>
        <w:rPr>
          <w:rStyle w:val="Ohne"/>
          <w:rFonts w:ascii="Calibri" w:hAnsi="Calibri"/>
          <w:lang w:val="en-US"/>
        </w:rPr>
        <w:t xml:space="preserve"> </w:t>
      </w:r>
      <w:r w:rsidRPr="009971C2">
        <w:rPr>
          <w:rStyle w:val="Ohne"/>
          <w:rFonts w:ascii="Calibri" w:hAnsi="Calibri"/>
          <w:lang w:val="en-US"/>
        </w:rPr>
        <w:t xml:space="preserve">by </w:t>
      </w:r>
      <w:r>
        <w:rPr>
          <w:rStyle w:val="Ohne"/>
          <w:rFonts w:ascii="Calibri" w:hAnsi="Calibri"/>
          <w:lang w:val="en-US"/>
        </w:rPr>
        <w:t>topic for reports according to GWÖ standard (own representation)</w:t>
      </w:r>
    </w:p>
    <w:p w14:paraId="406363F5" w14:textId="77777777" w:rsidR="008B3D2C" w:rsidRDefault="008B3D2C" w:rsidP="008B3D2C">
      <w:pPr>
        <w:jc w:val="center"/>
        <w:rPr>
          <w:rStyle w:val="Ohne"/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28DD3F85" wp14:editId="4ADAACE1">
            <wp:extent cx="6106795" cy="2065655"/>
            <wp:effectExtent l="0" t="0" r="8255" b="10795"/>
            <wp:docPr id="12" name="Diagramm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FFE8333" w14:textId="77777777" w:rsidR="008B3D2C" w:rsidRDefault="008B3D2C" w:rsidP="008B3D2C">
      <w:pPr>
        <w:pStyle w:val="Beschriftung"/>
        <w:spacing w:before="120"/>
        <w:rPr>
          <w:lang w:val="en-US"/>
        </w:rPr>
      </w:pPr>
      <w:r w:rsidRPr="00D6121A">
        <w:rPr>
          <w:rFonts w:asciiTheme="minorHAnsi" w:hAnsiTheme="minorHAnsi" w:cstheme="minorHAnsi"/>
          <w:i w:val="0"/>
          <w:iCs w:val="0"/>
          <w:lang w:val="en-US"/>
        </w:rPr>
        <w:t>Figure A.</w:t>
      </w:r>
      <w:r>
        <w:rPr>
          <w:rFonts w:asciiTheme="minorHAnsi" w:hAnsiTheme="minorHAnsi" w:cstheme="minorHAnsi"/>
          <w:i w:val="0"/>
          <w:iCs w:val="0"/>
          <w:lang w:val="en-US"/>
        </w:rPr>
        <w:t>6</w:t>
      </w:r>
      <w:r w:rsidRPr="00D6121A">
        <w:rPr>
          <w:rFonts w:asciiTheme="minorHAnsi" w:hAnsiTheme="minorHAnsi" w:cstheme="minorHAnsi"/>
          <w:i w:val="0"/>
          <w:iCs w:val="0"/>
          <w:lang w:val="en-US"/>
        </w:rPr>
        <w:t>:</w:t>
      </w:r>
      <w:r w:rsidRPr="00D6121A">
        <w:rPr>
          <w:lang w:val="en-US"/>
        </w:rPr>
        <w:t xml:space="preserve"> </w:t>
      </w:r>
      <w:r w:rsidRPr="00D6121A">
        <w:rPr>
          <w:rFonts w:asciiTheme="minorHAnsi" w:hAnsiTheme="minorHAnsi" w:cstheme="minorHAnsi"/>
          <w:i w:val="0"/>
          <w:iCs w:val="0"/>
          <w:lang w:val="en-US"/>
        </w:rPr>
        <w:t xml:space="preserve">Degree of </w:t>
      </w:r>
      <w:r w:rsidR="000C3B2E" w:rsidRPr="000C3B2E">
        <w:rPr>
          <w:rFonts w:asciiTheme="minorHAnsi" w:hAnsiTheme="minorHAnsi" w:cstheme="minorHAnsi"/>
          <w:i w:val="0"/>
          <w:iCs w:val="0"/>
          <w:lang w:val="en-US"/>
        </w:rPr>
        <w:t>conformity</w:t>
      </w:r>
      <w:r w:rsidRPr="00D6121A">
        <w:rPr>
          <w:rFonts w:asciiTheme="minorHAnsi" w:hAnsiTheme="minorHAnsi" w:cstheme="minorHAnsi"/>
          <w:i w:val="0"/>
          <w:iCs w:val="0"/>
          <w:lang w:val="en-US"/>
        </w:rPr>
        <w:t xml:space="preserve"> by </w:t>
      </w:r>
      <w:r>
        <w:rPr>
          <w:rFonts w:asciiTheme="minorHAnsi" w:hAnsiTheme="minorHAnsi" w:cstheme="minorHAnsi"/>
          <w:i w:val="0"/>
          <w:iCs w:val="0"/>
          <w:lang w:val="en-US"/>
        </w:rPr>
        <w:t>topic</w:t>
      </w:r>
      <w:r w:rsidRPr="00D6121A">
        <w:rPr>
          <w:rFonts w:asciiTheme="minorHAnsi" w:hAnsiTheme="minorHAnsi" w:cstheme="minorHAnsi"/>
          <w:i w:val="0"/>
          <w:iCs w:val="0"/>
          <w:lang w:val="en-US"/>
        </w:rPr>
        <w:t xml:space="preserve"> for reports according to GRI standard (own representation)</w:t>
      </w:r>
    </w:p>
    <w:p w14:paraId="21FC0329" w14:textId="77777777" w:rsidR="008B3D2C" w:rsidRPr="00D6121A" w:rsidRDefault="008B3D2C" w:rsidP="008B3D2C">
      <w:pPr>
        <w:pStyle w:val="Beschriftung"/>
        <w:spacing w:before="120"/>
        <w:rPr>
          <w:rStyle w:val="Ohne"/>
          <w:lang w:val="en-US"/>
        </w:rPr>
      </w:pPr>
    </w:p>
    <w:p w14:paraId="5C12083F" w14:textId="77777777" w:rsidR="008B3D2C" w:rsidRDefault="008B3D2C" w:rsidP="008B3D2C">
      <w:pPr>
        <w:spacing w:line="360" w:lineRule="auto"/>
        <w:jc w:val="center"/>
        <w:rPr>
          <w:rStyle w:val="Ohne"/>
          <w:rFonts w:ascii="Calibri" w:eastAsia="Calibri" w:hAnsi="Calibri" w:cs="Calibr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2270C3B" wp14:editId="6F0CFAC3">
            <wp:extent cx="6107373" cy="2361063"/>
            <wp:effectExtent l="0" t="0" r="8255" b="1270"/>
            <wp:docPr id="13" name="Diagramm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AD3363F" w14:textId="77777777" w:rsidR="008B3D2C" w:rsidRPr="00D6121A" w:rsidRDefault="008B3D2C" w:rsidP="008B3D2C">
      <w:pPr>
        <w:spacing w:line="360" w:lineRule="auto"/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</w:pP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Figure A.</w:t>
      </w:r>
      <w:r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7</w:t>
      </w: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:</w:t>
      </w:r>
      <w:r>
        <w:rPr>
          <w:lang w:val="en-US"/>
        </w:rPr>
        <w:t xml:space="preserve"> </w:t>
      </w:r>
      <w:r w:rsidR="000C3B2E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 xml:space="preserve">Degree of </w:t>
      </w:r>
      <w:r w:rsidR="000C3B2E" w:rsidRPr="000C3B2E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>conformity</w:t>
      </w:r>
      <w:r w:rsidRPr="00D6121A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 xml:space="preserve"> by </w:t>
      </w:r>
      <w:r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>topic</w:t>
      </w:r>
      <w:r w:rsidRPr="00D6121A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 xml:space="preserve"> for reports without applied standards (own representation)</w:t>
      </w:r>
    </w:p>
    <w:p w14:paraId="53D4F52A" w14:textId="77777777" w:rsidR="008B3D2C" w:rsidRDefault="008B3D2C" w:rsidP="008B3D2C">
      <w:pPr>
        <w:spacing w:line="360" w:lineRule="auto"/>
        <w:jc w:val="both"/>
        <w:rPr>
          <w:rStyle w:val="Ohne"/>
          <w:rFonts w:ascii="Calibri" w:eastAsia="Calibri" w:hAnsi="Calibri" w:cs="Calibri"/>
          <w:lang w:val="en-US"/>
        </w:rPr>
      </w:pPr>
    </w:p>
    <w:p w14:paraId="2BCE23C7" w14:textId="77777777" w:rsidR="008B3D2C" w:rsidRDefault="008B3D2C" w:rsidP="008B3D2C">
      <w:pPr>
        <w:rPr>
          <w:rStyle w:val="Ohne"/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5FFD080B" wp14:editId="092A7BEB">
            <wp:extent cx="5587365" cy="1682750"/>
            <wp:effectExtent l="0" t="0" r="13335" b="12700"/>
            <wp:docPr id="26" name="Diagramm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E3F42C4" w14:textId="77777777" w:rsidR="008B3D2C" w:rsidRPr="00551F2B" w:rsidRDefault="008B3D2C" w:rsidP="008B3D2C">
      <w:pPr>
        <w:spacing w:before="120"/>
        <w:rPr>
          <w:rStyle w:val="Ohne"/>
          <w:rFonts w:ascii="Calibri" w:eastAsia="Calibri" w:hAnsi="Calibri" w:cs="Calibri"/>
          <w:lang w:val="en-US"/>
        </w:rPr>
      </w:pP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Figure A.</w:t>
      </w:r>
      <w:r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 xml:space="preserve">8: </w:t>
      </w:r>
      <w:r w:rsidRPr="003877DB">
        <w:rPr>
          <w:rStyle w:val="Ohne"/>
          <w:rFonts w:ascii="Calibri" w:eastAsia="Arial Unicode MS" w:hAnsi="Calibri" w:cs="Arial Unicode MS"/>
          <w:i/>
          <w:iCs/>
          <w:color w:val="44546A"/>
          <w:sz w:val="18"/>
          <w:szCs w:val="18"/>
          <w:u w:color="44546A"/>
          <w:lang w:val="en-US"/>
        </w:rPr>
        <w:t>Proportion of DNKI indicators fulfilled in terms of content (own representation)</w:t>
      </w:r>
      <w:r w:rsidRPr="003877DB">
        <w:rPr>
          <w:rStyle w:val="Ohne"/>
          <w:rFonts w:ascii="Calibri" w:eastAsia="Calibri" w:hAnsi="Calibri" w:cs="Calibri"/>
          <w:i/>
          <w:iCs/>
          <w:color w:val="44546A"/>
          <w:sz w:val="18"/>
          <w:szCs w:val="18"/>
          <w:u w:color="44546A"/>
          <w:vertAlign w:val="superscript"/>
        </w:rPr>
        <w:footnoteReference w:id="1"/>
      </w:r>
    </w:p>
    <w:p w14:paraId="7BF118E4" w14:textId="77777777" w:rsidR="008B3D2C" w:rsidRPr="003877DB" w:rsidRDefault="008B3D2C" w:rsidP="008B3D2C">
      <w:pPr>
        <w:rPr>
          <w:rStyle w:val="Ohne"/>
          <w:rFonts w:ascii="Calibri" w:eastAsia="Calibri" w:hAnsi="Calibri" w:cs="Calibri"/>
          <w:lang w:val="en-US"/>
        </w:rPr>
      </w:pPr>
    </w:p>
    <w:p w14:paraId="6B54CBCD" w14:textId="77777777" w:rsidR="008B3D2C" w:rsidRDefault="008B3D2C" w:rsidP="008B3D2C">
      <w:pPr>
        <w:spacing w:after="120"/>
        <w:rPr>
          <w:rStyle w:val="Ohne"/>
          <w:rFonts w:ascii="Calibri" w:eastAsia="Calibri" w:hAnsi="Calibri" w:cs="Calibri"/>
          <w:sz w:val="23"/>
          <w:szCs w:val="23"/>
        </w:rPr>
      </w:pPr>
      <w:r>
        <w:rPr>
          <w:noProof/>
        </w:rPr>
        <w:drawing>
          <wp:inline distT="0" distB="0" distL="0" distR="0" wp14:anchorId="3DE0ABC1" wp14:editId="6F29EC98">
            <wp:extent cx="5529801" cy="1279759"/>
            <wp:effectExtent l="0" t="0" r="7620" b="15875"/>
            <wp:docPr id="27" name="Diagramm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F1B63BF" w14:textId="77777777" w:rsidR="008B3D2C" w:rsidRDefault="008B3D2C" w:rsidP="008B3D2C">
      <w:pPr>
        <w:spacing w:after="120"/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</w:pPr>
      <w:bookmarkStart w:id="0" w:name="_Hlk153230638"/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Figure A.</w:t>
      </w:r>
      <w:r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 xml:space="preserve">9: </w:t>
      </w:r>
      <w:bookmarkEnd w:id="0"/>
      <w:r w:rsidRPr="003877DB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Proportion of GWÖ indicators addressed in mandatory indicators (Own representation)</w:t>
      </w:r>
      <w:r w:rsidRPr="003877DB">
        <w:rPr>
          <w:rStyle w:val="Ohne"/>
          <w:rFonts w:ascii="Calibri" w:eastAsia="Calibri" w:hAnsi="Calibri" w:cs="Calibri"/>
          <w:i/>
          <w:iCs/>
          <w:color w:val="44546A"/>
          <w:sz w:val="18"/>
          <w:szCs w:val="18"/>
          <w:u w:color="44546A"/>
          <w:vertAlign w:val="superscript"/>
        </w:rPr>
        <w:footnoteReference w:id="2"/>
      </w:r>
    </w:p>
    <w:p w14:paraId="48CE5BFF" w14:textId="68D28FE0" w:rsidR="0061592F" w:rsidRDefault="0061592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Style w:val="Ohne"/>
          <w:rFonts w:ascii="Calibri" w:eastAsia="Calibri" w:hAnsi="Calibri" w:cs="Calibri"/>
          <w:sz w:val="23"/>
          <w:szCs w:val="23"/>
          <w:lang w:val="en-US"/>
        </w:rPr>
      </w:pPr>
      <w:r>
        <w:rPr>
          <w:rStyle w:val="Ohne"/>
          <w:rFonts w:ascii="Calibri" w:eastAsia="Calibri" w:hAnsi="Calibri" w:cs="Calibri"/>
          <w:sz w:val="23"/>
          <w:szCs w:val="23"/>
          <w:lang w:val="en-US"/>
        </w:rPr>
        <w:br w:type="page"/>
      </w:r>
    </w:p>
    <w:p w14:paraId="70E66DDF" w14:textId="77777777" w:rsidR="008B3D2C" w:rsidRPr="00DB5D32" w:rsidRDefault="008B3D2C" w:rsidP="008B3D2C">
      <w:pPr>
        <w:spacing w:after="120"/>
        <w:rPr>
          <w:rStyle w:val="Ohne"/>
          <w:rFonts w:ascii="Calibri" w:eastAsia="Calibri" w:hAnsi="Calibri" w:cs="Calibri"/>
          <w:sz w:val="23"/>
          <w:szCs w:val="23"/>
          <w:lang w:val="en-US"/>
        </w:rPr>
      </w:pPr>
    </w:p>
    <w:p w14:paraId="77C7CDEE" w14:textId="4B3CF8AB" w:rsidR="008B3D2C" w:rsidRDefault="008B3D2C" w:rsidP="00AD01FD">
      <w:pPr>
        <w:pStyle w:val="Listenabsatz"/>
        <w:spacing w:line="360" w:lineRule="auto"/>
        <w:ind w:left="0"/>
        <w:jc w:val="both"/>
        <w:rPr>
          <w:rStyle w:val="Ohne"/>
          <w:rFonts w:ascii="Calibri" w:hAnsi="Calibri"/>
          <w:lang w:val="en-US"/>
        </w:rPr>
      </w:pPr>
      <w:r>
        <w:rPr>
          <w:noProof/>
        </w:rPr>
        <w:drawing>
          <wp:inline distT="0" distB="0" distL="0" distR="0" wp14:anchorId="3666691F" wp14:editId="11DBA54E">
            <wp:extent cx="5587732" cy="1279759"/>
            <wp:effectExtent l="0" t="0" r="13335" b="15875"/>
            <wp:docPr id="28" name="Diagramm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61592F">
        <w:rPr>
          <w:rStyle w:val="Ohne"/>
          <w:rFonts w:ascii="Calibri" w:hAnsi="Calibri"/>
          <w:sz w:val="18"/>
          <w:szCs w:val="18"/>
          <w:lang w:val="en-US"/>
        </w:rPr>
        <w:t>Figure A.10: Proportion of GWÖ indicators fulfilled in terms of content among indicators addressed (own representation)</w:t>
      </w:r>
      <w:r>
        <w:rPr>
          <w:rStyle w:val="Ohne"/>
          <w:rFonts w:ascii="Calibri" w:eastAsia="Calibri" w:hAnsi="Calibri" w:cs="Calibri"/>
          <w:vertAlign w:val="superscript"/>
        </w:rPr>
        <w:footnoteReference w:id="3"/>
      </w:r>
    </w:p>
    <w:p w14:paraId="473425FC" w14:textId="77777777" w:rsidR="008B3D2C" w:rsidRPr="003877DB" w:rsidRDefault="008B3D2C" w:rsidP="008B3D2C">
      <w:pPr>
        <w:pStyle w:val="Beschriftung"/>
        <w:rPr>
          <w:rStyle w:val="Ohne"/>
          <w:rFonts w:ascii="Calibri" w:hAnsi="Calibri"/>
          <w:lang w:val="en-US"/>
        </w:rPr>
      </w:pPr>
    </w:p>
    <w:p w14:paraId="36A21E92" w14:textId="77777777" w:rsidR="008B3D2C" w:rsidRDefault="008B3D2C" w:rsidP="008B3D2C">
      <w:pPr>
        <w:pStyle w:val="Textkrper"/>
      </w:pPr>
      <w:r>
        <w:rPr>
          <w:noProof/>
        </w:rPr>
        <w:drawing>
          <wp:inline distT="0" distB="0" distL="0" distR="0" wp14:anchorId="3261490D" wp14:editId="593C358A">
            <wp:extent cx="5816600" cy="3400425"/>
            <wp:effectExtent l="0" t="0" r="12700" b="9525"/>
            <wp:docPr id="19" name="Diagramm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47BA1B5" w14:textId="58080A82" w:rsidR="008B3D2C" w:rsidRPr="009155E4" w:rsidRDefault="008B3D2C" w:rsidP="008B3D2C">
      <w:pPr>
        <w:spacing w:line="360" w:lineRule="auto"/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</w:pP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Figure A.</w:t>
      </w:r>
      <w:r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11</w:t>
      </w: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:</w:t>
      </w:r>
      <w:r>
        <w:rPr>
          <w:lang w:val="en-US"/>
        </w:rPr>
        <w:t xml:space="preserve"> </w:t>
      </w:r>
      <w:r w:rsidRPr="009155E4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 xml:space="preserve">Frequencies of quantitative data per indicator for the topic of </w:t>
      </w:r>
      <w:r w:rsidR="0025278C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>enterprise</w:t>
      </w:r>
      <w:r w:rsidRPr="009155E4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 xml:space="preserve"> key figures (own representation)</w:t>
      </w:r>
    </w:p>
    <w:p w14:paraId="15F747FE" w14:textId="77777777" w:rsidR="008B3D2C" w:rsidRDefault="008B3D2C" w:rsidP="008B3D2C">
      <w:pPr>
        <w:pStyle w:val="Beschriftung"/>
        <w:rPr>
          <w:rStyle w:val="Ohne"/>
          <w:rFonts w:ascii="Calibri" w:eastAsia="Calibri" w:hAnsi="Calibri" w:cs="Calibri"/>
          <w:lang w:val="en-US"/>
        </w:rPr>
      </w:pPr>
    </w:p>
    <w:p w14:paraId="4A918755" w14:textId="77777777" w:rsidR="008B3D2C" w:rsidRPr="00AB58FC" w:rsidRDefault="008B3D2C" w:rsidP="008B3D2C">
      <w:pPr>
        <w:spacing w:after="120" w:line="360" w:lineRule="auto"/>
        <w:jc w:val="both"/>
        <w:rPr>
          <w:rStyle w:val="Ohne"/>
          <w:rFonts w:ascii="Calibri" w:eastAsia="Calibri" w:hAnsi="Calibri" w:cs="Calibri"/>
          <w:lang w:val="en-GB"/>
        </w:rPr>
      </w:pPr>
    </w:p>
    <w:p w14:paraId="4C019A3A" w14:textId="77777777" w:rsidR="008B3D2C" w:rsidRPr="00AB58FC" w:rsidRDefault="008B3D2C" w:rsidP="008B3D2C">
      <w:pPr>
        <w:spacing w:after="120" w:line="360" w:lineRule="auto"/>
        <w:jc w:val="both"/>
        <w:rPr>
          <w:rStyle w:val="Ohne"/>
          <w:rFonts w:ascii="Calibri" w:eastAsia="Calibri" w:hAnsi="Calibri" w:cs="Calibri"/>
          <w:lang w:val="en-GB"/>
        </w:rPr>
      </w:pPr>
    </w:p>
    <w:p w14:paraId="74866E72" w14:textId="77777777" w:rsidR="008B3D2C" w:rsidRDefault="008B3D2C" w:rsidP="008B3D2C">
      <w:pPr>
        <w:spacing w:after="120" w:line="360" w:lineRule="auto"/>
        <w:jc w:val="both"/>
        <w:rPr>
          <w:rStyle w:val="Ohne"/>
          <w:rFonts w:ascii="Calibri" w:eastAsia="Calibri" w:hAnsi="Calibri" w:cs="Calibri"/>
        </w:rPr>
      </w:pPr>
      <w:r>
        <w:rPr>
          <w:noProof/>
        </w:rPr>
        <w:lastRenderedPageBreak/>
        <w:drawing>
          <wp:inline distT="0" distB="0" distL="0" distR="0" wp14:anchorId="75DEC359" wp14:editId="7DF933D3">
            <wp:extent cx="5614670" cy="2814918"/>
            <wp:effectExtent l="0" t="0" r="5080" b="5080"/>
            <wp:docPr id="4" name="Diagramm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4480146" w14:textId="77777777" w:rsidR="008B3D2C" w:rsidRDefault="008B3D2C" w:rsidP="008B3D2C">
      <w:pPr>
        <w:spacing w:line="360" w:lineRule="auto"/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</w:pP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Figure A.</w:t>
      </w:r>
      <w:r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12</w:t>
      </w: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:</w:t>
      </w:r>
      <w:r>
        <w:rPr>
          <w:lang w:val="en-US"/>
        </w:rPr>
        <w:t xml:space="preserve"> </w:t>
      </w:r>
      <w:r w:rsidRPr="007C4573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>Frequency of quantitative data per indicator for the topic employees (own representation</w:t>
      </w:r>
      <w:r w:rsidRPr="009155E4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>)</w:t>
      </w:r>
    </w:p>
    <w:p w14:paraId="3965CFFE" w14:textId="77777777" w:rsidR="008B3D2C" w:rsidRDefault="008B3D2C" w:rsidP="008B3D2C">
      <w:pPr>
        <w:spacing w:line="360" w:lineRule="auto"/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</w:pPr>
    </w:p>
    <w:p w14:paraId="11E91CE4" w14:textId="77777777" w:rsidR="008B3D2C" w:rsidRDefault="008B3D2C" w:rsidP="008B3D2C">
      <w:pPr>
        <w:pStyle w:val="Textkrper"/>
      </w:pPr>
      <w:r>
        <w:rPr>
          <w:noProof/>
        </w:rPr>
        <w:drawing>
          <wp:inline distT="0" distB="0" distL="0" distR="0" wp14:anchorId="5C4627A7" wp14:editId="0A6C1135">
            <wp:extent cx="5589905" cy="3433482"/>
            <wp:effectExtent l="0" t="0" r="10795" b="14605"/>
            <wp:docPr id="21" name="Diagramm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7061399" w14:textId="77777777" w:rsidR="008B3D2C" w:rsidRDefault="008B3D2C" w:rsidP="008B3D2C">
      <w:pPr>
        <w:spacing w:line="360" w:lineRule="auto"/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</w:pP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Figure A.</w:t>
      </w:r>
      <w:r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13</w:t>
      </w: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:</w:t>
      </w:r>
      <w:r>
        <w:rPr>
          <w:lang w:val="en-US"/>
        </w:rPr>
        <w:t xml:space="preserve"> </w:t>
      </w:r>
      <w:r w:rsidRPr="004777C5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>Frequencies of quantitative statements per indicator for the topic environment (own representation)</w:t>
      </w:r>
    </w:p>
    <w:p w14:paraId="7F2A93F8" w14:textId="77777777" w:rsidR="008B3D2C" w:rsidRPr="009155E4" w:rsidRDefault="008B3D2C" w:rsidP="008B3D2C">
      <w:pPr>
        <w:spacing w:line="360" w:lineRule="auto"/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</w:pPr>
    </w:p>
    <w:p w14:paraId="1F7B8490" w14:textId="77777777" w:rsidR="008B3D2C" w:rsidRDefault="008B3D2C" w:rsidP="008B3D2C">
      <w:pPr>
        <w:pStyle w:val="Textkrper"/>
      </w:pPr>
      <w:r>
        <w:rPr>
          <w:noProof/>
        </w:rPr>
        <w:drawing>
          <wp:inline distT="0" distB="0" distL="0" distR="0" wp14:anchorId="6EDCC211" wp14:editId="6D34B390">
            <wp:extent cx="5589905" cy="779930"/>
            <wp:effectExtent l="0" t="0" r="10795" b="1270"/>
            <wp:docPr id="22" name="Diagramm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0993857" w14:textId="77777777" w:rsidR="008B3D2C" w:rsidRDefault="008B3D2C" w:rsidP="008B3D2C">
      <w:pPr>
        <w:spacing w:line="360" w:lineRule="auto"/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</w:pP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Figure A.</w:t>
      </w:r>
      <w:r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14</w:t>
      </w: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:</w:t>
      </w:r>
      <w:r>
        <w:rPr>
          <w:lang w:val="en-US"/>
        </w:rPr>
        <w:t xml:space="preserve"> </w:t>
      </w:r>
      <w:r w:rsidRPr="00A50042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>Frequencies of quantitative statements per indicator in the topic products (own representation)</w:t>
      </w:r>
    </w:p>
    <w:p w14:paraId="71134C00" w14:textId="77777777" w:rsidR="008B3D2C" w:rsidRDefault="008B3D2C" w:rsidP="008B3D2C">
      <w:pPr>
        <w:spacing w:line="360" w:lineRule="auto"/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</w:pPr>
    </w:p>
    <w:p w14:paraId="0C579982" w14:textId="77777777" w:rsidR="008B3D2C" w:rsidRDefault="008B3D2C" w:rsidP="008B3D2C">
      <w:pPr>
        <w:spacing w:line="360" w:lineRule="auto"/>
        <w:jc w:val="both"/>
        <w:rPr>
          <w:rStyle w:val="Ohne"/>
          <w:rFonts w:ascii="Calibri" w:eastAsia="Calibri" w:hAnsi="Calibri" w:cs="Calibri"/>
          <w:lang w:val="en-US"/>
        </w:rPr>
      </w:pPr>
    </w:p>
    <w:p w14:paraId="17A8CD4C" w14:textId="77777777" w:rsidR="008B3D2C" w:rsidRDefault="008B3D2C" w:rsidP="008B3D2C">
      <w:pPr>
        <w:spacing w:after="120" w:line="360" w:lineRule="auto"/>
        <w:jc w:val="both"/>
        <w:rPr>
          <w:rStyle w:val="Ohne"/>
          <w:rFonts w:ascii="Calibri" w:eastAsia="Calibri" w:hAnsi="Calibri" w:cs="Calibri"/>
        </w:rPr>
      </w:pPr>
      <w:r>
        <w:rPr>
          <w:noProof/>
        </w:rPr>
        <w:lastRenderedPageBreak/>
        <w:drawing>
          <wp:inline distT="0" distB="0" distL="0" distR="0" wp14:anchorId="0214D4A1" wp14:editId="742DD1BE">
            <wp:extent cx="5589905" cy="1506071"/>
            <wp:effectExtent l="0" t="0" r="10795" b="18415"/>
            <wp:docPr id="23" name="Diagramm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1D89182" w14:textId="77777777" w:rsidR="008B3D2C" w:rsidRDefault="008B3D2C" w:rsidP="008B3D2C">
      <w:pPr>
        <w:spacing w:line="360" w:lineRule="auto"/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</w:pP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Figure A.</w:t>
      </w:r>
      <w:r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15</w:t>
      </w: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:</w:t>
      </w:r>
      <w:r>
        <w:rPr>
          <w:lang w:val="en-US"/>
        </w:rPr>
        <w:t xml:space="preserve"> </w:t>
      </w:r>
      <w:r w:rsidRPr="00A50042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>Frequencies of quantitative statements per indicator for the topic supply chain (own representation)</w:t>
      </w:r>
    </w:p>
    <w:p w14:paraId="2C530B35" w14:textId="77777777" w:rsidR="008B3D2C" w:rsidRPr="00A50042" w:rsidRDefault="008B3D2C" w:rsidP="008B3D2C">
      <w:pPr>
        <w:spacing w:line="360" w:lineRule="auto"/>
        <w:rPr>
          <w:rStyle w:val="Ohne"/>
          <w:rFonts w:ascii="Calibri" w:eastAsia="Calibri" w:hAnsi="Calibri" w:cs="Calibri"/>
          <w:lang w:val="en-US"/>
        </w:rPr>
      </w:pPr>
    </w:p>
    <w:p w14:paraId="08E1C813" w14:textId="77777777" w:rsidR="008B3D2C" w:rsidRDefault="008B3D2C" w:rsidP="008B3D2C">
      <w:pPr>
        <w:pStyle w:val="Textkrper"/>
        <w:keepNext/>
      </w:pPr>
      <w:r>
        <w:rPr>
          <w:noProof/>
        </w:rPr>
        <w:drawing>
          <wp:inline distT="0" distB="0" distL="0" distR="0" wp14:anchorId="1CD45B24" wp14:editId="19B93AE3">
            <wp:extent cx="5676900" cy="901700"/>
            <wp:effectExtent l="0" t="0" r="0" b="12700"/>
            <wp:docPr id="24" name="Diagramm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8C52FE2" w14:textId="77777777" w:rsidR="008B3D2C" w:rsidRDefault="008B3D2C" w:rsidP="008B3D2C">
      <w:pPr>
        <w:spacing w:line="360" w:lineRule="auto"/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</w:pP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Figure A.</w:t>
      </w:r>
      <w:r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16</w:t>
      </w: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:</w:t>
      </w:r>
      <w:r>
        <w:rPr>
          <w:lang w:val="en-US"/>
        </w:rPr>
        <w:t xml:space="preserve"> </w:t>
      </w:r>
      <w:r w:rsidRPr="00A50042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>Frequencies of quantitative statements per indicator for the topic customer (own representation)</w:t>
      </w:r>
    </w:p>
    <w:p w14:paraId="1FCAC6AC" w14:textId="77777777" w:rsidR="008B3D2C" w:rsidRDefault="008B3D2C" w:rsidP="008B3D2C">
      <w:pPr>
        <w:spacing w:line="360" w:lineRule="auto"/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</w:pPr>
    </w:p>
    <w:p w14:paraId="41347898" w14:textId="77777777" w:rsidR="008B3D2C" w:rsidRDefault="008B3D2C" w:rsidP="008B3D2C">
      <w:pPr>
        <w:rPr>
          <w:lang w:val="en-US"/>
        </w:rPr>
      </w:pPr>
    </w:p>
    <w:p w14:paraId="15033D55" w14:textId="77777777" w:rsidR="008B3D2C" w:rsidRDefault="008B3D2C" w:rsidP="008B3D2C">
      <w:pPr>
        <w:pStyle w:val="Textkrper"/>
        <w:jc w:val="center"/>
      </w:pPr>
      <w:r>
        <w:rPr>
          <w:noProof/>
        </w:rPr>
        <w:drawing>
          <wp:inline distT="0" distB="0" distL="0" distR="0" wp14:anchorId="7214E2E4" wp14:editId="2D362E56">
            <wp:extent cx="5125720" cy="1699146"/>
            <wp:effectExtent l="0" t="0" r="17780" b="15875"/>
            <wp:docPr id="1073741907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38549EC0" w14:textId="77777777" w:rsidR="008B3D2C" w:rsidRPr="0067090A" w:rsidRDefault="008B3D2C" w:rsidP="008B3D2C">
      <w:pPr>
        <w:spacing w:line="360" w:lineRule="auto"/>
        <w:rPr>
          <w:lang w:val="en-US"/>
        </w:rPr>
      </w:pP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Figure A.</w:t>
      </w:r>
      <w:r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17</w:t>
      </w: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:</w:t>
      </w:r>
      <w:r>
        <w:rPr>
          <w:lang w:val="en-US"/>
        </w:rPr>
        <w:t xml:space="preserve"> </w:t>
      </w:r>
      <w:r w:rsidRPr="0067090A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 xml:space="preserve">Degree of </w:t>
      </w:r>
      <w:r w:rsidR="000900B5" w:rsidRPr="000900B5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>conformity</w:t>
      </w:r>
      <w:r w:rsidRPr="0067090A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 xml:space="preserve"> as a function of the number of employees (own representation)</w:t>
      </w:r>
    </w:p>
    <w:p w14:paraId="215B006C" w14:textId="77777777" w:rsidR="008B3D2C" w:rsidRDefault="008B3D2C" w:rsidP="008B3D2C">
      <w:pPr>
        <w:rPr>
          <w:lang w:val="en-US"/>
        </w:rPr>
      </w:pPr>
    </w:p>
    <w:p w14:paraId="3B2BEC74" w14:textId="77777777" w:rsidR="008B3D2C" w:rsidRDefault="008B3D2C" w:rsidP="008B3D2C">
      <w:pPr>
        <w:jc w:val="center"/>
        <w:rPr>
          <w:rStyle w:val="Ohne"/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12A4C5C4" wp14:editId="5643A8B3">
            <wp:extent cx="5137785" cy="1849272"/>
            <wp:effectExtent l="0" t="0" r="5715" b="17780"/>
            <wp:docPr id="1073741908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F1AE0FB" w14:textId="77777777" w:rsidR="008B3D2C" w:rsidRPr="0067090A" w:rsidRDefault="008B3D2C" w:rsidP="008B3D2C">
      <w:pPr>
        <w:jc w:val="center"/>
        <w:rPr>
          <w:rStyle w:val="Ohne"/>
          <w:rFonts w:ascii="Calibri" w:eastAsia="Calibri" w:hAnsi="Calibri" w:cs="Calibri"/>
        </w:rPr>
      </w:pPr>
    </w:p>
    <w:p w14:paraId="6535B18E" w14:textId="77777777" w:rsidR="008B3D2C" w:rsidRPr="0067090A" w:rsidRDefault="008B3D2C" w:rsidP="008B3D2C">
      <w:pPr>
        <w:spacing w:line="360" w:lineRule="auto"/>
        <w:rPr>
          <w:lang w:val="en-US"/>
        </w:rPr>
      </w:pP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Figure A.</w:t>
      </w:r>
      <w:r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18</w:t>
      </w: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:</w:t>
      </w:r>
      <w:r>
        <w:rPr>
          <w:lang w:val="en-US"/>
        </w:rPr>
        <w:t xml:space="preserve"> </w:t>
      </w:r>
      <w:r w:rsidRPr="0067090A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 xml:space="preserve">Degree of </w:t>
      </w:r>
      <w:r w:rsidR="000900B5" w:rsidRPr="000900B5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>conformity</w:t>
      </w:r>
      <w:r w:rsidRPr="0067090A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 xml:space="preserve"> as a function of annual sales (own representation) </w:t>
      </w:r>
      <w:r w:rsidRPr="0067090A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vertAlign w:val="superscript"/>
        </w:rPr>
        <w:footnoteReference w:id="4"/>
      </w:r>
      <w:r w:rsidRPr="0067090A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>,</w:t>
      </w:r>
      <w:r w:rsidRPr="0067090A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vertAlign w:val="superscript"/>
        </w:rPr>
        <w:footnoteReference w:id="5"/>
      </w:r>
    </w:p>
    <w:p w14:paraId="57E99383" w14:textId="77777777" w:rsidR="008B3D2C" w:rsidRDefault="008B3D2C" w:rsidP="008B3D2C">
      <w:pPr>
        <w:rPr>
          <w:lang w:val="en-US"/>
        </w:rPr>
      </w:pPr>
    </w:p>
    <w:p w14:paraId="36CCFD41" w14:textId="77777777" w:rsidR="008B3D2C" w:rsidRDefault="008B3D2C" w:rsidP="008B3D2C">
      <w:pPr>
        <w:pStyle w:val="Textkrper"/>
        <w:jc w:val="center"/>
      </w:pPr>
      <w:r>
        <w:rPr>
          <w:noProof/>
        </w:rPr>
        <w:drawing>
          <wp:inline distT="0" distB="0" distL="0" distR="0" wp14:anchorId="7CABB337" wp14:editId="62073D2A">
            <wp:extent cx="5290820" cy="1794294"/>
            <wp:effectExtent l="0" t="0" r="5080" b="15875"/>
            <wp:docPr id="29" name="Diagramm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11C7955" w14:textId="250F3896" w:rsidR="008B3D2C" w:rsidRPr="0067090A" w:rsidRDefault="008B3D2C" w:rsidP="008B3D2C">
      <w:pPr>
        <w:spacing w:line="360" w:lineRule="auto"/>
        <w:rPr>
          <w:lang w:val="en-US"/>
        </w:rPr>
      </w:pP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Figure A.</w:t>
      </w:r>
      <w:r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19</w:t>
      </w: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:</w:t>
      </w:r>
      <w:r>
        <w:rPr>
          <w:lang w:val="en-US"/>
        </w:rPr>
        <w:t xml:space="preserve"> </w:t>
      </w:r>
      <w:r w:rsidRPr="0067090A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 xml:space="preserve">Degree of </w:t>
      </w:r>
      <w:r w:rsidR="00F97F48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>conformity</w:t>
      </w:r>
      <w:r w:rsidRPr="0067090A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 xml:space="preserve"> as a function of the number of sustainability reports already published (own representation)</w:t>
      </w:r>
    </w:p>
    <w:p w14:paraId="6C67A019" w14:textId="77777777" w:rsidR="008B3D2C" w:rsidRDefault="008B3D2C" w:rsidP="008B3D2C">
      <w:pPr>
        <w:spacing w:line="360" w:lineRule="auto"/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</w:pPr>
    </w:p>
    <w:p w14:paraId="5E75C06A" w14:textId="77777777" w:rsidR="008B3D2C" w:rsidRDefault="008B3D2C" w:rsidP="008B3D2C">
      <w:pPr>
        <w:pStyle w:val="Textkrper"/>
        <w:keepNext/>
        <w:jc w:val="center"/>
      </w:pPr>
      <w:r>
        <w:rPr>
          <w:noProof/>
        </w:rPr>
        <w:drawing>
          <wp:inline distT="0" distB="0" distL="0" distR="0" wp14:anchorId="4AC25B95" wp14:editId="1D404F7A">
            <wp:extent cx="5248910" cy="1876508"/>
            <wp:effectExtent l="0" t="0" r="8890" b="9525"/>
            <wp:docPr id="30" name="Diagramm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66637A8C" w14:textId="77777777" w:rsidR="008B3D2C" w:rsidRDefault="008B3D2C" w:rsidP="008B3D2C">
      <w:pPr>
        <w:spacing w:line="360" w:lineRule="auto"/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</w:pP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Figure A.</w:t>
      </w:r>
      <w:r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20</w:t>
      </w: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:</w:t>
      </w:r>
      <w:r>
        <w:rPr>
          <w:lang w:val="en-US"/>
        </w:rPr>
        <w:t xml:space="preserve"> </w:t>
      </w:r>
      <w:r w:rsidRPr="003C1330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>Number of quantitative indicators as a function of the number of sustainability reports already published (own representation)</w:t>
      </w:r>
    </w:p>
    <w:p w14:paraId="1161371C" w14:textId="77777777" w:rsidR="008B3D2C" w:rsidRPr="00D12183" w:rsidRDefault="008B3D2C" w:rsidP="008B3D2C">
      <w:pPr>
        <w:pStyle w:val="Beschriftung"/>
        <w:rPr>
          <w:rStyle w:val="Ohne"/>
          <w:rFonts w:ascii="Calibri" w:eastAsia="Calibri" w:hAnsi="Calibri" w:cs="Calibri"/>
          <w:lang w:val="en-US"/>
        </w:rPr>
      </w:pPr>
    </w:p>
    <w:p w14:paraId="598BF660" w14:textId="77777777" w:rsidR="008B3D2C" w:rsidRDefault="008B3D2C" w:rsidP="008B3D2C">
      <w:pPr>
        <w:rPr>
          <w:lang w:val="en-US"/>
        </w:rPr>
      </w:pPr>
    </w:p>
    <w:p w14:paraId="6977AC78" w14:textId="77777777" w:rsidR="008B3D2C" w:rsidRDefault="008B3D2C" w:rsidP="008B3D2C">
      <w:pPr>
        <w:pStyle w:val="Textkrper"/>
        <w:keepNext/>
        <w:jc w:val="center"/>
      </w:pPr>
      <w:r>
        <w:rPr>
          <w:noProof/>
        </w:rPr>
        <w:drawing>
          <wp:inline distT="0" distB="0" distL="0" distR="0" wp14:anchorId="4735C7D2" wp14:editId="753FAE95">
            <wp:extent cx="5233670" cy="1834410"/>
            <wp:effectExtent l="0" t="0" r="5080" b="13970"/>
            <wp:docPr id="1073741911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2F207181" w14:textId="77777777" w:rsidR="008B3D2C" w:rsidRDefault="008B3D2C" w:rsidP="008B3D2C">
      <w:pPr>
        <w:spacing w:line="360" w:lineRule="auto"/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</w:pP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Figure A.</w:t>
      </w:r>
      <w:r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21</w:t>
      </w: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:</w:t>
      </w:r>
      <w:r>
        <w:rPr>
          <w:lang w:val="en-US"/>
        </w:rPr>
        <w:t xml:space="preserve"> </w:t>
      </w:r>
      <w:r w:rsidRPr="00AD2065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>Number of quantitative indicators as a function of annual sales (Own representation)</w:t>
      </w:r>
    </w:p>
    <w:p w14:paraId="0AAF29A6" w14:textId="77777777" w:rsidR="008B3D2C" w:rsidRDefault="008B3D2C" w:rsidP="008B3D2C">
      <w:pPr>
        <w:rPr>
          <w:lang w:val="en-US"/>
        </w:rPr>
      </w:pPr>
    </w:p>
    <w:p w14:paraId="7CDD793A" w14:textId="77777777" w:rsidR="008B3D2C" w:rsidRDefault="008B3D2C" w:rsidP="008B3D2C">
      <w:pPr>
        <w:pStyle w:val="Textkrper"/>
        <w:jc w:val="center"/>
      </w:pPr>
      <w:r>
        <w:rPr>
          <w:noProof/>
        </w:rPr>
        <w:lastRenderedPageBreak/>
        <w:drawing>
          <wp:inline distT="0" distB="0" distL="0" distR="0" wp14:anchorId="27198E87" wp14:editId="1A7DA963">
            <wp:extent cx="5149215" cy="1845629"/>
            <wp:effectExtent l="0" t="0" r="13335" b="2540"/>
            <wp:docPr id="1073741912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5780A18D" w14:textId="77777777" w:rsidR="008B3D2C" w:rsidRDefault="008B3D2C" w:rsidP="008B3D2C">
      <w:pPr>
        <w:spacing w:line="360" w:lineRule="auto"/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</w:pP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Figure A.</w:t>
      </w:r>
      <w:r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22</w:t>
      </w:r>
      <w:r w:rsidRPr="00D6121A">
        <w:rPr>
          <w:rFonts w:asciiTheme="minorHAnsi" w:eastAsia="Arial Unicode MS" w:hAnsiTheme="minorHAnsi" w:cstheme="minorHAnsi"/>
          <w:i/>
          <w:iCs/>
          <w:color w:val="44546A"/>
          <w:sz w:val="18"/>
          <w:szCs w:val="18"/>
          <w:u w:color="44546A"/>
          <w:lang w:val="en-US"/>
        </w:rPr>
        <w:t>:</w:t>
      </w:r>
      <w:r>
        <w:rPr>
          <w:lang w:val="en-US"/>
        </w:rPr>
        <w:t xml:space="preserve"> </w:t>
      </w:r>
      <w:r w:rsidRPr="00AD2065">
        <w:rPr>
          <w:rFonts w:asciiTheme="minorHAnsi" w:eastAsia="Arial Unicode MS" w:hAnsiTheme="minorHAnsi" w:cstheme="minorHAnsi"/>
          <w:color w:val="44546A"/>
          <w:sz w:val="18"/>
          <w:szCs w:val="18"/>
          <w:u w:color="44546A"/>
          <w:lang w:val="en-US"/>
        </w:rPr>
        <w:t>Number of quantitative indicators as a function of the number of employees (Own representation)</w:t>
      </w:r>
    </w:p>
    <w:p w14:paraId="7CC2853F" w14:textId="77777777" w:rsidR="008B3D2C" w:rsidRPr="007C4573" w:rsidRDefault="008B3D2C" w:rsidP="008B3D2C">
      <w:pPr>
        <w:spacing w:after="120" w:line="360" w:lineRule="auto"/>
        <w:jc w:val="both"/>
        <w:rPr>
          <w:rStyle w:val="Ohne"/>
          <w:rFonts w:ascii="Calibri" w:eastAsia="Calibri" w:hAnsi="Calibri" w:cs="Calibri"/>
          <w:lang w:val="en-US"/>
        </w:rPr>
      </w:pPr>
    </w:p>
    <w:p w14:paraId="25577BC2" w14:textId="77777777" w:rsidR="002E5013" w:rsidRPr="008B3D2C" w:rsidRDefault="002E5013">
      <w:pPr>
        <w:rPr>
          <w:lang w:val="en-US"/>
        </w:rPr>
      </w:pPr>
    </w:p>
    <w:sectPr w:rsidR="002E5013" w:rsidRPr="008B3D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50867" w14:textId="77777777" w:rsidR="004239D5" w:rsidRDefault="004239D5" w:rsidP="008B3D2C">
      <w:r>
        <w:separator/>
      </w:r>
    </w:p>
  </w:endnote>
  <w:endnote w:type="continuationSeparator" w:id="0">
    <w:p w14:paraId="20430D92" w14:textId="77777777" w:rsidR="004239D5" w:rsidRDefault="004239D5" w:rsidP="008B3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7CFB4" w14:textId="77777777" w:rsidR="004239D5" w:rsidRDefault="004239D5" w:rsidP="008B3D2C">
      <w:r>
        <w:separator/>
      </w:r>
    </w:p>
  </w:footnote>
  <w:footnote w:type="continuationSeparator" w:id="0">
    <w:p w14:paraId="618A8FAE" w14:textId="77777777" w:rsidR="004239D5" w:rsidRDefault="004239D5" w:rsidP="008B3D2C">
      <w:r>
        <w:continuationSeparator/>
      </w:r>
    </w:p>
  </w:footnote>
  <w:footnote w:id="1">
    <w:p w14:paraId="778FF38E" w14:textId="77777777" w:rsidR="008B3D2C" w:rsidRPr="00D12183" w:rsidRDefault="008B3D2C" w:rsidP="008B3D2C">
      <w:pPr>
        <w:rPr>
          <w:lang w:val="en-US"/>
        </w:rPr>
      </w:pPr>
      <w:r>
        <w:rPr>
          <w:rStyle w:val="Ohne"/>
          <w:rFonts w:ascii="Calibri" w:eastAsia="Calibri" w:hAnsi="Calibri" w:cs="Calibri"/>
          <w:i/>
          <w:iCs/>
          <w:vertAlign w:val="superscript"/>
          <w:lang w:val="en-US"/>
        </w:rPr>
        <w:footnoteRef/>
      </w:r>
      <w:r>
        <w:rPr>
          <w:rStyle w:val="Ohne"/>
          <w:sz w:val="16"/>
          <w:szCs w:val="16"/>
          <w:lang w:val="en-US"/>
        </w:rPr>
        <w:t xml:space="preserve"> Due to rounding to whole numbers, there may be a minimal deviation from 100%.</w:t>
      </w:r>
    </w:p>
  </w:footnote>
  <w:footnote w:id="2">
    <w:p w14:paraId="687F9169" w14:textId="77777777" w:rsidR="008B3D2C" w:rsidRPr="00D12183" w:rsidRDefault="008B3D2C" w:rsidP="008B3D2C">
      <w:pPr>
        <w:rPr>
          <w:lang w:val="en-US"/>
        </w:rPr>
      </w:pPr>
      <w:r>
        <w:rPr>
          <w:rStyle w:val="Ohne"/>
          <w:rFonts w:ascii="Calibri" w:eastAsia="Calibri" w:hAnsi="Calibri" w:cs="Calibri"/>
          <w:i/>
          <w:iCs/>
          <w:vertAlign w:val="superscript"/>
          <w:lang w:val="en-US"/>
        </w:rPr>
        <w:footnoteRef/>
      </w:r>
      <w:r>
        <w:rPr>
          <w:rStyle w:val="Ohne"/>
          <w:sz w:val="16"/>
          <w:szCs w:val="16"/>
          <w:lang w:val="en-US"/>
        </w:rPr>
        <w:t xml:space="preserve"> Due to rounding to whole numbers, there may be a minimal deviation from 100%.</w:t>
      </w:r>
    </w:p>
  </w:footnote>
  <w:footnote w:id="3">
    <w:p w14:paraId="00FA48AF" w14:textId="77777777" w:rsidR="008B3D2C" w:rsidRPr="00D12183" w:rsidRDefault="008B3D2C" w:rsidP="008B3D2C">
      <w:pPr>
        <w:rPr>
          <w:lang w:val="en-US"/>
        </w:rPr>
      </w:pPr>
      <w:r>
        <w:rPr>
          <w:rStyle w:val="Ohne"/>
          <w:rFonts w:ascii="Calibri" w:eastAsia="Calibri" w:hAnsi="Calibri" w:cs="Calibri"/>
          <w:i/>
          <w:iCs/>
          <w:vertAlign w:val="superscript"/>
          <w:lang w:val="en-US"/>
        </w:rPr>
        <w:footnoteRef/>
      </w:r>
      <w:r>
        <w:rPr>
          <w:rStyle w:val="Ohne"/>
          <w:sz w:val="16"/>
          <w:szCs w:val="16"/>
          <w:lang w:val="en-US"/>
        </w:rPr>
        <w:t xml:space="preserve"> Due to rounding to whole numbers, there may be a minimal deviation from 100%.</w:t>
      </w:r>
    </w:p>
  </w:footnote>
  <w:footnote w:id="4">
    <w:p w14:paraId="1CC30564" w14:textId="4521243A" w:rsidR="008B3D2C" w:rsidRPr="00D12183" w:rsidRDefault="008B3D2C" w:rsidP="008B3D2C">
      <w:pPr>
        <w:spacing w:line="360" w:lineRule="auto"/>
        <w:rPr>
          <w:lang w:val="en-US"/>
        </w:rPr>
      </w:pPr>
      <w:r>
        <w:rPr>
          <w:rStyle w:val="Ohne"/>
          <w:rFonts w:ascii="Calibri" w:eastAsia="Calibri" w:hAnsi="Calibri" w:cs="Calibri"/>
          <w:i/>
          <w:iCs/>
          <w:vertAlign w:val="superscript"/>
          <w:lang w:val="en-US"/>
        </w:rPr>
        <w:footnoteRef/>
      </w:r>
      <w:r>
        <w:rPr>
          <w:rStyle w:val="Ohne"/>
          <w:rFonts w:ascii="Calibri" w:hAnsi="Calibri"/>
          <w:sz w:val="16"/>
          <w:szCs w:val="16"/>
          <w:lang w:val="en-US"/>
        </w:rPr>
        <w:t xml:space="preserve"> Since neither the annual financial statements nor the sustainability report of the </w:t>
      </w:r>
      <w:proofErr w:type="spellStart"/>
      <w:r>
        <w:rPr>
          <w:rStyle w:val="Ohne"/>
          <w:rFonts w:ascii="Calibri" w:hAnsi="Calibri"/>
          <w:sz w:val="16"/>
          <w:szCs w:val="16"/>
          <w:lang w:val="en-US"/>
        </w:rPr>
        <w:t>Steinbildhauerei</w:t>
      </w:r>
      <w:proofErr w:type="spellEnd"/>
      <w:r>
        <w:rPr>
          <w:rStyle w:val="Ohne"/>
          <w:rFonts w:ascii="Calibri" w:hAnsi="Calibri"/>
          <w:sz w:val="16"/>
          <w:szCs w:val="16"/>
          <w:lang w:val="en-US"/>
        </w:rPr>
        <w:t xml:space="preserve"> Vincent show information on annual sales, the </w:t>
      </w:r>
      <w:r w:rsidR="0025278C">
        <w:rPr>
          <w:rStyle w:val="Ohne"/>
          <w:rFonts w:ascii="Calibri" w:hAnsi="Calibri"/>
          <w:sz w:val="16"/>
          <w:szCs w:val="16"/>
          <w:lang w:val="en-US"/>
        </w:rPr>
        <w:t>enterprise</w:t>
      </w:r>
      <w:r>
        <w:rPr>
          <w:rStyle w:val="Ohne"/>
          <w:rFonts w:ascii="Calibri" w:hAnsi="Calibri"/>
          <w:sz w:val="16"/>
          <w:szCs w:val="16"/>
          <w:lang w:val="en-US"/>
        </w:rPr>
        <w:t xml:space="preserve"> was not included in this graph.</w:t>
      </w:r>
    </w:p>
  </w:footnote>
  <w:footnote w:id="5">
    <w:p w14:paraId="00B2A06E" w14:textId="77777777" w:rsidR="008B3D2C" w:rsidRPr="00D12183" w:rsidRDefault="008B3D2C" w:rsidP="008B3D2C">
      <w:pPr>
        <w:spacing w:line="360" w:lineRule="auto"/>
        <w:rPr>
          <w:lang w:val="en-US"/>
        </w:rPr>
      </w:pPr>
      <w:r>
        <w:rPr>
          <w:rStyle w:val="Ohne"/>
          <w:rFonts w:ascii="Calibri" w:eastAsia="Calibri" w:hAnsi="Calibri" w:cs="Calibri"/>
          <w:i/>
          <w:iCs/>
          <w:vertAlign w:val="superscript"/>
          <w:lang w:val="en-US"/>
        </w:rPr>
        <w:footnoteRef/>
      </w:r>
      <w:r>
        <w:rPr>
          <w:rStyle w:val="Ohne"/>
          <w:rFonts w:ascii="Calibri" w:hAnsi="Calibri"/>
          <w:sz w:val="16"/>
          <w:szCs w:val="16"/>
          <w:lang w:val="en-US"/>
        </w:rPr>
        <w:t xml:space="preserve"> At memo AG, HAKRO GmbH, </w:t>
      </w:r>
      <w:proofErr w:type="spellStart"/>
      <w:r>
        <w:rPr>
          <w:rStyle w:val="Ohne"/>
          <w:rFonts w:ascii="Calibri" w:hAnsi="Calibri"/>
          <w:sz w:val="16"/>
          <w:szCs w:val="16"/>
          <w:lang w:val="en-US"/>
        </w:rPr>
        <w:t>Nicos</w:t>
      </w:r>
      <w:proofErr w:type="spellEnd"/>
      <w:r>
        <w:rPr>
          <w:rStyle w:val="Ohne"/>
          <w:rFonts w:ascii="Calibri" w:hAnsi="Calibri"/>
          <w:sz w:val="16"/>
          <w:szCs w:val="16"/>
          <w:lang w:val="en-US"/>
        </w:rPr>
        <w:t xml:space="preserve"> AG, gross profit was reported instead of annual sales and is presented here.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A1264"/>
    <w:multiLevelType w:val="hybridMultilevel"/>
    <w:tmpl w:val="61789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C3CAE"/>
    <w:multiLevelType w:val="hybridMultilevel"/>
    <w:tmpl w:val="388A8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415802"/>
    <w:multiLevelType w:val="hybridMultilevel"/>
    <w:tmpl w:val="53C40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D2C"/>
    <w:rsid w:val="000900B5"/>
    <w:rsid w:val="000C3B2E"/>
    <w:rsid w:val="00194597"/>
    <w:rsid w:val="001E4FEE"/>
    <w:rsid w:val="00245980"/>
    <w:rsid w:val="0025278C"/>
    <w:rsid w:val="002B4FA5"/>
    <w:rsid w:val="002C4398"/>
    <w:rsid w:val="002E5013"/>
    <w:rsid w:val="00367DE7"/>
    <w:rsid w:val="003C3D98"/>
    <w:rsid w:val="003F6263"/>
    <w:rsid w:val="004239D5"/>
    <w:rsid w:val="0061592F"/>
    <w:rsid w:val="006A0F0C"/>
    <w:rsid w:val="00725CE6"/>
    <w:rsid w:val="00742C6D"/>
    <w:rsid w:val="0078100B"/>
    <w:rsid w:val="00802773"/>
    <w:rsid w:val="008A19FD"/>
    <w:rsid w:val="008B3D2C"/>
    <w:rsid w:val="0094698E"/>
    <w:rsid w:val="009C5028"/>
    <w:rsid w:val="009C6729"/>
    <w:rsid w:val="00AD01FD"/>
    <w:rsid w:val="00BB5D42"/>
    <w:rsid w:val="00D2006F"/>
    <w:rsid w:val="00D44BDD"/>
    <w:rsid w:val="00F85327"/>
    <w:rsid w:val="00F9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C7D6E"/>
  <w15:chartTrackingRefBased/>
  <w15:docId w15:val="{E26341AF-6DCF-4B10-A925-0FEF53F3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3D2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" w:hAnsi="Arial" w:cs="Arial"/>
      <w:color w:val="000000"/>
      <w:u w:color="000000"/>
      <w:bdr w:val="nil"/>
      <w:lang w:val="de-DE" w:eastAsia="de-DE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rsid w:val="008B3D2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Arial" w:eastAsia="Arial" w:hAnsi="Arial" w:cs="Arial"/>
      <w:color w:val="000000"/>
      <w:u w:color="000000"/>
      <w:bdr w:val="nil"/>
      <w:lang w:val="de-DE" w:eastAsia="de-DE"/>
    </w:rPr>
  </w:style>
  <w:style w:type="paragraph" w:styleId="Beschriftung">
    <w:name w:val="caption"/>
    <w:rsid w:val="008B3D2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Arial" w:eastAsia="Arial Unicode MS" w:hAnsi="Arial" w:cs="Arial Unicode MS"/>
      <w:i/>
      <w:iCs/>
      <w:color w:val="44546A"/>
      <w:sz w:val="18"/>
      <w:szCs w:val="18"/>
      <w:u w:color="44546A"/>
      <w:bdr w:val="nil"/>
      <w:lang w:val="de-DE" w:eastAsia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Ohne">
    <w:name w:val="Ohne"/>
    <w:rsid w:val="008B3D2C"/>
  </w:style>
  <w:style w:type="paragraph" w:styleId="Textkrper">
    <w:name w:val="Body Text"/>
    <w:link w:val="TextkrperZchn"/>
    <w:rsid w:val="008B3D2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jc w:val="both"/>
    </w:pPr>
    <w:rPr>
      <w:rFonts w:ascii="Calibri" w:eastAsia="Calibri" w:hAnsi="Calibri" w:cs="Calibri"/>
      <w:color w:val="000000"/>
      <w:u w:color="000000"/>
      <w:bdr w:val="nil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8B3D2C"/>
    <w:rPr>
      <w:rFonts w:ascii="Calibri" w:eastAsia="Calibri" w:hAnsi="Calibri" w:cs="Calibri"/>
      <w:color w:val="000000"/>
      <w:u w:color="000000"/>
      <w:bdr w:val="nil"/>
      <w:lang w:val="de-DE" w:eastAsia="de-DE"/>
    </w:rPr>
  </w:style>
  <w:style w:type="paragraph" w:styleId="Titel">
    <w:name w:val="Title"/>
    <w:next w:val="Standard"/>
    <w:link w:val="TitelZchn"/>
    <w:uiPriority w:val="10"/>
    <w:qFormat/>
    <w:rsid w:val="008B3D2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120" w:line="360" w:lineRule="auto"/>
    </w:pPr>
    <w:rPr>
      <w:rFonts w:ascii="Calibri" w:eastAsia="Arial Unicode MS" w:hAnsi="Calibri" w:cs="Arial Unicode MS"/>
      <w:color w:val="000000"/>
      <w:spacing w:val="-10"/>
      <w:kern w:val="28"/>
      <w:sz w:val="32"/>
      <w:szCs w:val="32"/>
      <w:u w:color="000000"/>
      <w:bdr w:val="nil"/>
      <w:lang w:val="de-DE" w:eastAsia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TitelZchn">
    <w:name w:val="Titel Zchn"/>
    <w:basedOn w:val="Absatz-Standardschriftart"/>
    <w:link w:val="Titel"/>
    <w:uiPriority w:val="10"/>
    <w:rsid w:val="008B3D2C"/>
    <w:rPr>
      <w:rFonts w:ascii="Calibri" w:eastAsia="Arial Unicode MS" w:hAnsi="Calibri" w:cs="Arial Unicode MS"/>
      <w:color w:val="000000"/>
      <w:spacing w:val="-10"/>
      <w:kern w:val="28"/>
      <w:sz w:val="32"/>
      <w:szCs w:val="32"/>
      <w:u w:color="000000"/>
      <w:bdr w:val="nil"/>
      <w:lang w:val="de-DE" w:eastAsia="de-DE"/>
      <w14:textOutline w14:w="0" w14:cap="flat" w14:cmpd="sng" w14:algn="ctr">
        <w14:noFill/>
        <w14:prstDash w14:val="solid"/>
        <w14:bevel/>
      </w14:textOutline>
    </w:rPr>
  </w:style>
  <w:style w:type="table" w:styleId="EinfacheTabelle2">
    <w:name w:val="Plain Table 2"/>
    <w:basedOn w:val="NormaleTabelle"/>
    <w:uiPriority w:val="42"/>
    <w:rsid w:val="008B3D2C"/>
    <w:pPr>
      <w:spacing w:after="0" w:line="240" w:lineRule="auto"/>
    </w:pPr>
    <w:rPr>
      <w:kern w:val="2"/>
      <w:sz w:val="24"/>
      <w:szCs w:val="24"/>
      <w:lang w:val="de-DE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openxmlformats.org/officeDocument/2006/relationships/chart" Target="charts/chart20.xml"/><Relationship Id="rId3" Type="http://schemas.openxmlformats.org/officeDocument/2006/relationships/settings" Target="setting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chart" Target="charts/chart19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chart" Target="charts/chart18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chart" Target="charts/chart17.xml"/><Relationship Id="rId28" Type="http://schemas.openxmlformats.org/officeDocument/2006/relationships/chart" Target="charts/chart22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Relationship Id="rId27" Type="http://schemas.openxmlformats.org/officeDocument/2006/relationships/chart" Target="charts/chart21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7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9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0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Tabelle1!$B$1</c:f>
              <c:strCache>
                <c:ptCount val="1"/>
                <c:pt idx="0">
                  <c:v>Location</c:v>
                </c:pt>
              </c:strCache>
            </c:strRef>
          </c:tx>
          <c:dPt>
            <c:idx val="0"/>
            <c:bubble3D val="0"/>
            <c:spPr>
              <a:solidFill>
                <a:schemeClr val="tx2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C26-49A8-B7A5-CC43DBF28243}"/>
              </c:ext>
            </c:extLst>
          </c:dPt>
          <c:dPt>
            <c:idx val="1"/>
            <c:bubble3D val="0"/>
            <c:spPr>
              <a:solidFill>
                <a:schemeClr val="tx2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C26-49A8-B7A5-CC43DBF28243}"/>
              </c:ext>
            </c:extLst>
          </c:dPt>
          <c:dPt>
            <c:idx val="2"/>
            <c:bubble3D val="0"/>
            <c:spPr>
              <a:solidFill>
                <a:schemeClr val="tx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C26-49A8-B7A5-CC43DBF28243}"/>
              </c:ext>
            </c:extLst>
          </c:dPt>
          <c:dPt>
            <c:idx val="3"/>
            <c:bubble3D val="0"/>
            <c:spPr>
              <a:solidFill>
                <a:schemeClr val="accent1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C26-49A8-B7A5-CC43DBF28243}"/>
              </c:ext>
            </c:extLst>
          </c:dPt>
          <c:dPt>
            <c:idx val="4"/>
            <c:bubble3D val="0"/>
            <c:spPr>
              <a:solidFill>
                <a:schemeClr val="accent1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C26-49A8-B7A5-CC43DBF28243}"/>
              </c:ext>
            </c:extLst>
          </c:dPt>
          <c:dPt>
            <c:idx val="5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C26-49A8-B7A5-CC43DBF2824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Tabelle1!$A$2:$A$7</c:f>
              <c:strCache>
                <c:ptCount val="6"/>
                <c:pt idx="0">
                  <c:v>Bavaria</c:v>
                </c:pt>
                <c:pt idx="1">
                  <c:v>Baden-Wuerttemberg</c:v>
                </c:pt>
                <c:pt idx="2">
                  <c:v>Northrhine-Westphalia</c:v>
                </c:pt>
                <c:pt idx="3">
                  <c:v>Saxony</c:v>
                </c:pt>
                <c:pt idx="4">
                  <c:v>Berlin</c:v>
                </c:pt>
                <c:pt idx="5">
                  <c:v>Lower Saxony</c:v>
                </c:pt>
              </c:strCache>
            </c:strRef>
          </c:cat>
          <c:val>
            <c:numRef>
              <c:f>Tabelle1!$B$2:$B$7</c:f>
              <c:numCache>
                <c:formatCode>General</c:formatCode>
                <c:ptCount val="6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C26-49A8-B7A5-CC43DBF2824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de-DE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/>
          <a:lstStyle/>
          <a:p>
            <a:pPr>
              <a:defRPr sz="1400" b="0" i="0" u="none" strike="noStrike">
                <a:solidFill>
                  <a:srgbClr val="595959"/>
                </a:solidFill>
                <a:latin typeface="Calibri"/>
              </a:defRPr>
            </a:pPr>
            <a:r>
              <a:rPr lang="de-DE" sz="1400" b="0" i="0" u="none" strike="noStrike">
                <a:solidFill>
                  <a:srgbClr val="595959"/>
                </a:solidFill>
                <a:latin typeface="Calibri"/>
              </a:rPr>
              <a:t>Content conformity GWÖ</a:t>
            </a:r>
          </a:p>
        </c:rich>
      </c:tx>
      <c:layout>
        <c:manualLayout>
          <c:xMode val="edge"/>
          <c:yMode val="edge"/>
          <c:x val="0.37724999999999997"/>
          <c:y val="0"/>
          <c:w val="0.2455"/>
          <c:h val="0.23741399999999999"/>
        </c:manualLayout>
      </c:layout>
      <c:overlay val="1"/>
      <c:spPr>
        <a:noFill/>
        <a:effectLst/>
      </c:spPr>
    </c:title>
    <c:autoTitleDeleted val="0"/>
    <c:plotArea>
      <c:layout>
        <c:manualLayout>
          <c:layoutTarget val="inner"/>
          <c:xMode val="edge"/>
          <c:yMode val="edge"/>
          <c:x val="0.41370600000000002"/>
          <c:y val="0.23741399999999999"/>
          <c:w val="0.55998300000000001"/>
          <c:h val="0.4661310000000000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rgbClr val="C36728"/>
            </a:solidFill>
            <a:ln w="12700" cap="flat">
              <a:noFill/>
              <a:miter lim="400000"/>
            </a:ln>
            <a:effectLst/>
          </c:spPr>
          <c:invertIfNegative val="0"/>
          <c:cat>
            <c:strRef>
              <c:f>Sheet1!$B$1:$E$1</c:f>
              <c:strCache>
                <c:ptCount val="4"/>
                <c:pt idx="0">
                  <c:v>Kompatkbilanz</c:v>
                </c:pt>
                <c:pt idx="1">
                  <c:v>ø Vollbilanz</c:v>
                </c:pt>
                <c:pt idx="2">
                  <c:v>Neumarkter Lammsbräu Gebr. Ehrnsperger KG </c:v>
                </c:pt>
                <c:pt idx="3">
                  <c:v>Gebäudeservice Wodara GmbH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0.82</c:v>
                </c:pt>
                <c:pt idx="1">
                  <c:v>0.83</c:v>
                </c:pt>
                <c:pt idx="2">
                  <c:v>0.92500000000000004</c:v>
                </c:pt>
                <c:pt idx="3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4D-4B9F-B3DF-A0A60A6A19F0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Partial/indirect</c:v>
                </c:pt>
              </c:strCache>
            </c:strRef>
          </c:tx>
          <c:spPr>
            <a:solidFill>
              <a:schemeClr val="accent2"/>
            </a:solidFill>
            <a:ln w="12700" cap="flat">
              <a:noFill/>
              <a:miter lim="400000"/>
            </a:ln>
            <a:effectLst/>
          </c:spPr>
          <c:invertIfNegative val="0"/>
          <c:cat>
            <c:strRef>
              <c:f>Sheet1!$B$1:$E$1</c:f>
              <c:strCache>
                <c:ptCount val="4"/>
                <c:pt idx="0">
                  <c:v>Kompatkbilanz</c:v>
                </c:pt>
                <c:pt idx="1">
                  <c:v>ø Vollbilanz</c:v>
                </c:pt>
                <c:pt idx="2">
                  <c:v>Neumarkter Lammsbräu Gebr. Ehrnsperger KG </c:v>
                </c:pt>
                <c:pt idx="3">
                  <c:v>Gebäudeservice Wodara GmbH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0.06</c:v>
                </c:pt>
                <c:pt idx="1">
                  <c:v>0.11</c:v>
                </c:pt>
                <c:pt idx="2">
                  <c:v>3.3000000000000002E-2</c:v>
                </c:pt>
                <c:pt idx="3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4D-4B9F-B3DF-A0A60A6A19F0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F3B8A2"/>
            </a:solidFill>
            <a:ln w="12700" cap="flat">
              <a:noFill/>
              <a:miter lim="400000"/>
            </a:ln>
            <a:effectLst/>
          </c:spPr>
          <c:invertIfNegative val="0"/>
          <c:cat>
            <c:strRef>
              <c:f>Sheet1!$B$1:$E$1</c:f>
              <c:strCache>
                <c:ptCount val="4"/>
                <c:pt idx="0">
                  <c:v>Kompatkbilanz</c:v>
                </c:pt>
                <c:pt idx="1">
                  <c:v>ø Vollbilanz</c:v>
                </c:pt>
                <c:pt idx="2">
                  <c:v>Neumarkter Lammsbräu Gebr. Ehrnsperger KG </c:v>
                </c:pt>
                <c:pt idx="3">
                  <c:v>Gebäudeservice Wodara GmbH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0.13</c:v>
                </c:pt>
                <c:pt idx="1">
                  <c:v>7.0000000000000007E-2</c:v>
                </c:pt>
                <c:pt idx="2">
                  <c:v>4.1700000000000001E-2</c:v>
                </c:pt>
                <c:pt idx="3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94D-4B9F-B3DF-A0A60A6A19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48872440"/>
        <c:axId val="448871264"/>
      </c:barChart>
      <c:catAx>
        <c:axId val="448872440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12700" cap="flat">
            <a:solidFill>
              <a:srgbClr val="D9D9D9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448871264"/>
        <c:crosses val="autoZero"/>
        <c:auto val="1"/>
        <c:lblAlgn val="ctr"/>
        <c:lblOffset val="100"/>
        <c:noMultiLvlLbl val="1"/>
      </c:catAx>
      <c:valAx>
        <c:axId val="448871264"/>
        <c:scaling>
          <c:orientation val="minMax"/>
        </c:scaling>
        <c:delete val="0"/>
        <c:axPos val="t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numFmt formatCode="0%" sourceLinked="0"/>
        <c:majorTickMark val="none"/>
        <c:minorTickMark val="none"/>
        <c:tickLblPos val="high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448872440"/>
        <c:crosses val="autoZero"/>
        <c:crossBetween val="between"/>
        <c:majorUnit val="0.25"/>
        <c:minorUnit val="0.125"/>
      </c:valAx>
      <c:spPr>
        <a:noFill/>
        <a:ln w="12700" cap="flat">
          <a:noFill/>
          <a:miter lim="400000"/>
        </a:ln>
        <a:effectLst/>
      </c:spPr>
    </c:plotArea>
    <c:legend>
      <c:legendPos val="b"/>
      <c:layout>
        <c:manualLayout>
          <c:xMode val="edge"/>
          <c:yMode val="edge"/>
          <c:x val="0.32689499999999999"/>
          <c:y val="0.89805100000000004"/>
          <c:w val="0.351941"/>
          <c:h val="0.101949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sz="900" b="0" i="0" u="none" strike="noStrike">
              <a:solidFill>
                <a:srgbClr val="595959"/>
              </a:solidFill>
              <a:latin typeface="Calibri"/>
            </a:defRPr>
          </a:pPr>
          <a:endParaRPr lang="de-DE"/>
        </a:p>
      </c:txPr>
    </c:legend>
    <c:plotVisOnly val="1"/>
    <c:dispBlanksAs val="gap"/>
    <c:showDLblsOverMax val="1"/>
  </c:chart>
  <c:spPr>
    <a:solidFill>
      <a:srgbClr val="FFFFFF"/>
    </a:solidFill>
    <a:ln w="12700" cap="flat">
      <a:solidFill>
        <a:srgbClr val="D9D9D9"/>
      </a:solidFill>
      <a:prstDash val="solid"/>
      <a:round/>
    </a:ln>
    <a:effectLst/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e-DE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Enterprise</a:t>
            </a:r>
            <a:r>
              <a:rPr lang="de-DE"/>
              <a:t> key figures</a:t>
            </a:r>
          </a:p>
        </c:rich>
      </c:tx>
      <c:layout>
        <c:manualLayout>
          <c:xMode val="edge"/>
          <c:yMode val="edge"/>
          <c:x val="0.37059700000000001"/>
          <c:y val="0"/>
          <c:w val="0.25880599999999998"/>
          <c:h val="9.6784099999999998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>
        <c:manualLayout>
          <c:layoutTarget val="inner"/>
          <c:xMode val="edge"/>
          <c:yMode val="edge"/>
          <c:x val="0.51402800000000004"/>
          <c:y val="9.6784099999999998E-2"/>
          <c:w val="0.46069599999999999"/>
          <c:h val="0.8441370000000000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Field2</c:v>
                </c:pt>
              </c:strCache>
            </c:strRef>
          </c:tx>
          <c:spPr>
            <a:solidFill>
              <a:schemeClr val="tx2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Sheet1!$B$1:$T$1</c:f>
              <c:strCache>
                <c:ptCount val="19"/>
                <c:pt idx="0">
                  <c:v>Sonstige</c:v>
                </c:pt>
                <c:pt idx="1">
                  <c:v>Advertising/marketing expenses</c:v>
                </c:pt>
                <c:pt idx="2">
                  <c:v>Information industry</c:v>
                </c:pt>
                <c:pt idx="3">
                  <c:v>Interest payments / interest result</c:v>
                </c:pt>
                <c:pt idx="4">
                  <c:v>Procurement</c:v>
                </c:pt>
                <c:pt idx="5">
                  <c:v>Operating costs</c:v>
                </c:pt>
                <c:pt idx="6">
                  <c:v>Subsidies (received)</c:v>
                </c:pt>
                <c:pt idx="7">
                  <c:v>Asset additions</c:v>
                </c:pt>
                <c:pt idx="8">
                  <c:v>Investments / strategic expenditure</c:v>
                </c:pt>
                <c:pt idx="9">
                  <c:v>Cashflow</c:v>
                </c:pt>
                <c:pt idx="10">
                  <c:v>Liabilities / debt ratio</c:v>
                </c:pt>
                <c:pt idx="11">
                  <c:v>Net tax ratio</c:v>
                </c:pt>
                <c:pt idx="12">
                  <c:v>Balance sheet total</c:v>
                </c:pt>
                <c:pt idx="13">
                  <c:v>Equity / Equity ratio / Ownership structure</c:v>
                </c:pt>
                <c:pt idx="14">
                  <c:v>Personnel costs</c:v>
                </c:pt>
                <c:pt idx="15">
                  <c:v>Distributed or retained investment income, reserves</c:v>
                </c:pt>
                <c:pt idx="16">
                  <c:v>Success indicators (e.g. return after taxes)</c:v>
                </c:pt>
                <c:pt idx="17">
                  <c:v>results</c:v>
                </c:pt>
                <c:pt idx="18">
                  <c:v>turnover</c:v>
                </c:pt>
              </c:strCache>
            </c:strRef>
          </c:cat>
          <c:val>
            <c:numRef>
              <c:f>Sheet1!$B$2:$T$2</c:f>
              <c:numCache>
                <c:formatCode>General</c:formatCode>
                <c:ptCount val="19"/>
                <c:pt idx="0">
                  <c:v>0.1111111111111111</c:v>
                </c:pt>
                <c:pt idx="1">
                  <c:v>0.33333333333333331</c:v>
                </c:pt>
                <c:pt idx="2">
                  <c:v>0.1111111111111111</c:v>
                </c:pt>
                <c:pt idx="3">
                  <c:v>0.22222222222222221</c:v>
                </c:pt>
                <c:pt idx="4">
                  <c:v>0.1111111111111111</c:v>
                </c:pt>
                <c:pt idx="5">
                  <c:v>0.1111111111111111</c:v>
                </c:pt>
                <c:pt idx="6">
                  <c:v>0.22222222222222221</c:v>
                </c:pt>
                <c:pt idx="7">
                  <c:v>0.33333333333333331</c:v>
                </c:pt>
                <c:pt idx="8">
                  <c:v>0.33333333333333331</c:v>
                </c:pt>
                <c:pt idx="9">
                  <c:v>0.1111111111111111</c:v>
                </c:pt>
                <c:pt idx="10">
                  <c:v>0.44444444444444442</c:v>
                </c:pt>
                <c:pt idx="11">
                  <c:v>0.22222222222222221</c:v>
                </c:pt>
                <c:pt idx="12">
                  <c:v>0.1111111111111111</c:v>
                </c:pt>
                <c:pt idx="13">
                  <c:v>0.77777777777777779</c:v>
                </c:pt>
                <c:pt idx="14">
                  <c:v>0.22222222222222221</c:v>
                </c:pt>
                <c:pt idx="15">
                  <c:v>0.22222222222222221</c:v>
                </c:pt>
                <c:pt idx="16">
                  <c:v>0.22222222222222221</c:v>
                </c:pt>
                <c:pt idx="17">
                  <c:v>0.66666666666666663</c:v>
                </c:pt>
                <c:pt idx="18">
                  <c:v>0.55555555555555558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DB-421E-A180-C59A017899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48869304"/>
        <c:axId val="448869696"/>
      </c:barChart>
      <c:catAx>
        <c:axId val="448869304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448869696"/>
        <c:crosses val="autoZero"/>
        <c:auto val="1"/>
        <c:lblAlgn val="ctr"/>
        <c:lblOffset val="100"/>
        <c:noMultiLvlLbl val="1"/>
      </c:catAx>
      <c:valAx>
        <c:axId val="448869696"/>
        <c:scaling>
          <c:orientation val="minMax"/>
          <c:max val="1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448869304"/>
        <c:crosses val="autoZero"/>
        <c:crossBetween val="between"/>
        <c:majorUnit val="0.25"/>
        <c:minorUnit val="0.125"/>
      </c:valAx>
      <c:spPr>
        <a:noFill/>
        <a:ln>
          <a:noFill/>
        </a:ln>
        <a:effectLst/>
      </c:spPr>
    </c:plotArea>
    <c:plotVisOnly val="1"/>
    <c:dispBlanksAs val="gap"/>
    <c:showDLblsOverMax val="1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e-DE"/>
              <a:t>Employees</a:t>
            </a:r>
          </a:p>
        </c:rich>
      </c:tx>
      <c:layout>
        <c:manualLayout>
          <c:xMode val="edge"/>
          <c:yMode val="edge"/>
          <c:x val="0.43020900000000001"/>
          <c:y val="0"/>
          <c:w val="0.13958100000000001"/>
          <c:h val="9.6512100000000003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>
        <c:manualLayout>
          <c:layoutTarget val="inner"/>
          <c:xMode val="edge"/>
          <c:yMode val="edge"/>
          <c:x val="0.35594300000000001"/>
          <c:y val="9.6512100000000003E-2"/>
          <c:w val="0.62303299999999995"/>
          <c:h val="0.8445399999999999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Field2</c:v>
                </c:pt>
              </c:strCache>
            </c:strRef>
          </c:tx>
          <c:spPr>
            <a:solidFill>
              <a:schemeClr val="tx2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Sheet1!$B$1:$R$1</c:f>
              <c:strCache>
                <c:ptCount val="17"/>
                <c:pt idx="0">
                  <c:v>goals according employees</c:v>
                </c:pt>
                <c:pt idx="1">
                  <c:v>applications</c:v>
                </c:pt>
                <c:pt idx="2">
                  <c:v>Work Life Balance</c:v>
                </c:pt>
                <c:pt idx="3">
                  <c:v>health promotion</c:v>
                </c:pt>
                <c:pt idx="4">
                  <c:v>employee satisfaction</c:v>
                </c:pt>
                <c:pt idx="5">
                  <c:v>Accident rate / number of accidents</c:v>
                </c:pt>
                <c:pt idx="6">
                  <c:v>Sickness rate</c:v>
                </c:pt>
                <c:pt idx="7">
                  <c:v>Training</c:v>
                </c:pt>
                <c:pt idx="8">
                  <c:v>Continuing education</c:v>
                </c:pt>
                <c:pt idx="9">
                  <c:v>Employee structure</c:v>
                </c:pt>
                <c:pt idx="10">
                  <c:v>Social benefits</c:v>
                </c:pt>
                <c:pt idx="11">
                  <c:v>Compensation </c:v>
                </c:pt>
                <c:pt idx="12">
                  <c:v>work models </c:v>
                </c:pt>
                <c:pt idx="13">
                  <c:v>Equal opportunities / inclusion</c:v>
                </c:pt>
                <c:pt idx="14">
                  <c:v>Equal opportunities </c:v>
                </c:pt>
                <c:pt idx="15">
                  <c:v>Period of employment / fluctuation rate</c:v>
                </c:pt>
                <c:pt idx="16">
                  <c:v>number of employees</c:v>
                </c:pt>
              </c:strCache>
            </c:strRef>
          </c:cat>
          <c:val>
            <c:numRef>
              <c:f>Sheet1!$B$2:$R$2</c:f>
              <c:numCache>
                <c:formatCode>General</c:formatCode>
                <c:ptCount val="17"/>
                <c:pt idx="0">
                  <c:v>0.1111111111111111</c:v>
                </c:pt>
                <c:pt idx="1">
                  <c:v>0.1111111111111111</c:v>
                </c:pt>
                <c:pt idx="2">
                  <c:v>0.55555555555555558</c:v>
                </c:pt>
                <c:pt idx="3">
                  <c:v>0.1111111111111111</c:v>
                </c:pt>
                <c:pt idx="4">
                  <c:v>0.55555555555555558</c:v>
                </c:pt>
                <c:pt idx="5">
                  <c:v>0.88888888888888884</c:v>
                </c:pt>
                <c:pt idx="6">
                  <c:v>0.88888888888888884</c:v>
                </c:pt>
                <c:pt idx="7">
                  <c:v>0.66666666666666663</c:v>
                </c:pt>
                <c:pt idx="8">
                  <c:v>0.55555555555555558</c:v>
                </c:pt>
                <c:pt idx="9">
                  <c:v>0.66666666666666663</c:v>
                </c:pt>
                <c:pt idx="10">
                  <c:v>0.22222222222222221</c:v>
                </c:pt>
                <c:pt idx="11">
                  <c:v>0.55555555555555558</c:v>
                </c:pt>
                <c:pt idx="12">
                  <c:v>0.88888888888888884</c:v>
                </c:pt>
                <c:pt idx="13">
                  <c:v>0.66666666666666663</c:v>
                </c:pt>
                <c:pt idx="14">
                  <c:v>0.88888888888888884</c:v>
                </c:pt>
                <c:pt idx="15">
                  <c:v>0.88888888888888884</c:v>
                </c:pt>
                <c:pt idx="16">
                  <c:v>0.88888888888888884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C6-4D86-8325-EE2F425D5B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32849120"/>
        <c:axId val="332851472"/>
      </c:barChart>
      <c:catAx>
        <c:axId val="332849120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332851472"/>
        <c:crosses val="autoZero"/>
        <c:auto val="1"/>
        <c:lblAlgn val="ctr"/>
        <c:lblOffset val="100"/>
        <c:noMultiLvlLbl val="1"/>
      </c:catAx>
      <c:valAx>
        <c:axId val="332851472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332849120"/>
        <c:crosses val="autoZero"/>
        <c:crossBetween val="between"/>
        <c:majorUnit val="0.22500000000000001"/>
        <c:minorUnit val="0.1125"/>
      </c:valAx>
      <c:spPr>
        <a:noFill/>
        <a:ln>
          <a:noFill/>
        </a:ln>
        <a:effectLst/>
      </c:spPr>
    </c:plotArea>
    <c:plotVisOnly val="1"/>
    <c:dispBlanksAs val="gap"/>
    <c:showDLblsOverMax val="1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e-DE"/>
              <a:t>Environment</a:t>
            </a:r>
          </a:p>
        </c:rich>
      </c:tx>
      <c:layout>
        <c:manualLayout>
          <c:xMode val="edge"/>
          <c:yMode val="edge"/>
          <c:x val="0.41646499999999997"/>
          <c:y val="0"/>
          <c:w val="0.167071"/>
          <c:h val="8.0365599999999995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>
        <c:manualLayout>
          <c:layoutTarget val="inner"/>
          <c:xMode val="edge"/>
          <c:yMode val="edge"/>
          <c:x val="0.43798799999999999"/>
          <c:y val="8.0365599999999995E-2"/>
          <c:w val="0.53571299999999999"/>
          <c:h val="0.8684570000000000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Field2</c:v>
                </c:pt>
              </c:strCache>
            </c:strRef>
          </c:tx>
          <c:spPr>
            <a:solidFill>
              <a:schemeClr val="tx2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Sheet1!$B$1:$V$1</c:f>
              <c:strCache>
                <c:ptCount val="21"/>
                <c:pt idx="0">
                  <c:v>Biodiversity</c:v>
                </c:pt>
                <c:pt idx="1">
                  <c:v>Logistics and transport targets</c:v>
                </c:pt>
                <c:pt idx="2">
                  <c:v>Fleet consumption</c:v>
                </c:pt>
                <c:pt idx="3">
                  <c:v>Mobility</c:v>
                </c:pt>
                <c:pt idx="4">
                  <c:v>Logistics </c:v>
                </c:pt>
                <c:pt idx="5">
                  <c:v>Material flows and circular economy targets</c:v>
                </c:pt>
                <c:pt idx="6">
                  <c:v>Waste targets</c:v>
                </c:pt>
                <c:pt idx="7">
                  <c:v>Paper consumption</c:v>
                </c:pt>
                <c:pt idx="8">
                  <c:v>Disposal</c:v>
                </c:pt>
                <c:pt idx="9">
                  <c:v>Material saving targets</c:v>
                </c:pt>
                <c:pt idx="10">
                  <c:v>material saving</c:v>
                </c:pt>
                <c:pt idx="11">
                  <c:v>Material consumption </c:v>
                </c:pt>
                <c:pt idx="12">
                  <c:v>Water consumption targets</c:v>
                </c:pt>
                <c:pt idx="13">
                  <c:v>(Waste-) Water consumption </c:v>
                </c:pt>
                <c:pt idx="14">
                  <c:v>GHG emissions targets</c:v>
                </c:pt>
                <c:pt idx="15">
                  <c:v>Other emissions / air pollutants</c:v>
                </c:pt>
                <c:pt idx="16">
                  <c:v>GHG emission savings</c:v>
                </c:pt>
                <c:pt idx="17">
                  <c:v>GHG emission</c:v>
                </c:pt>
                <c:pt idx="18">
                  <c:v>Power consumption</c:v>
                </c:pt>
                <c:pt idx="19">
                  <c:v>Energy consumption targets</c:v>
                </c:pt>
                <c:pt idx="20">
                  <c:v>Energy consumption</c:v>
                </c:pt>
              </c:strCache>
            </c:strRef>
          </c:cat>
          <c:val>
            <c:numRef>
              <c:f>Sheet1!$B$2:$V$2</c:f>
              <c:numCache>
                <c:formatCode>General</c:formatCode>
                <c:ptCount val="21"/>
                <c:pt idx="0">
                  <c:v>0.1111111111111111</c:v>
                </c:pt>
                <c:pt idx="1">
                  <c:v>0.22222222222222221</c:v>
                </c:pt>
                <c:pt idx="2">
                  <c:v>0.77777777777777779</c:v>
                </c:pt>
                <c:pt idx="3">
                  <c:v>0.66666666666666663</c:v>
                </c:pt>
                <c:pt idx="4">
                  <c:v>0.1111111111111111</c:v>
                </c:pt>
                <c:pt idx="5">
                  <c:v>0.1111111111111111</c:v>
                </c:pt>
                <c:pt idx="6">
                  <c:v>0.22222222222222221</c:v>
                </c:pt>
                <c:pt idx="7">
                  <c:v>0.22222222222222221</c:v>
                </c:pt>
                <c:pt idx="8">
                  <c:v>0.66666666666666663</c:v>
                </c:pt>
                <c:pt idx="9">
                  <c:v>0.22222222222222221</c:v>
                </c:pt>
                <c:pt idx="10">
                  <c:v>0.22222222222222221</c:v>
                </c:pt>
                <c:pt idx="11">
                  <c:v>0.66666666666666663</c:v>
                </c:pt>
                <c:pt idx="12">
                  <c:v>0.1111111111111111</c:v>
                </c:pt>
                <c:pt idx="13">
                  <c:v>0.77777777777777779</c:v>
                </c:pt>
                <c:pt idx="14">
                  <c:v>0.44444444444444442</c:v>
                </c:pt>
                <c:pt idx="15">
                  <c:v>0.1111111111111111</c:v>
                </c:pt>
                <c:pt idx="16">
                  <c:v>0.44444444444444442</c:v>
                </c:pt>
                <c:pt idx="17">
                  <c:v>0.77777777777777779</c:v>
                </c:pt>
                <c:pt idx="18">
                  <c:v>0.77777777777777779</c:v>
                </c:pt>
                <c:pt idx="19">
                  <c:v>0.1111111111111111</c:v>
                </c:pt>
                <c:pt idx="20">
                  <c:v>0.77777777777777779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F3-4AA9-A2B7-68D48996DF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32849904"/>
        <c:axId val="332851864"/>
      </c:barChart>
      <c:catAx>
        <c:axId val="332849904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332851864"/>
        <c:crosses val="autoZero"/>
        <c:auto val="1"/>
        <c:lblAlgn val="ctr"/>
        <c:lblOffset val="100"/>
        <c:noMultiLvlLbl val="1"/>
      </c:catAx>
      <c:valAx>
        <c:axId val="332851864"/>
        <c:scaling>
          <c:orientation val="minMax"/>
          <c:max val="1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332849904"/>
        <c:crosses val="autoZero"/>
        <c:crossBetween val="between"/>
        <c:majorUnit val="0.25"/>
        <c:minorUnit val="0.125"/>
      </c:valAx>
      <c:spPr>
        <a:noFill/>
        <a:ln>
          <a:noFill/>
        </a:ln>
        <a:effectLst/>
      </c:spPr>
    </c:plotArea>
    <c:plotVisOnly val="1"/>
    <c:dispBlanksAs val="gap"/>
    <c:showDLblsOverMax val="1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e-DE"/>
              <a:t>Products</a:t>
            </a:r>
          </a:p>
        </c:rich>
      </c:tx>
      <c:layout>
        <c:manualLayout>
          <c:xMode val="edge"/>
          <c:yMode val="edge"/>
          <c:x val="0.44287300000000002"/>
          <c:y val="0"/>
          <c:w val="0.11425399999999999"/>
          <c:h val="0.296317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>
        <c:manualLayout>
          <c:layoutTarget val="inner"/>
          <c:xMode val="edge"/>
          <c:yMode val="edge"/>
          <c:x val="0.296232"/>
          <c:y val="0.296317"/>
          <c:w val="0.67746899999999999"/>
          <c:h val="0.3590749999999999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Field4</c:v>
                </c:pt>
              </c:strCache>
            </c:strRef>
          </c:tx>
          <c:spPr>
            <a:solidFill>
              <a:schemeClr val="tx2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Sheet1!$B$1:$C$1</c:f>
              <c:strCache>
                <c:ptCount val="2"/>
                <c:pt idx="0">
                  <c:v>Raw materials certifications/labels</c:v>
                </c:pt>
                <c:pt idx="1">
                  <c:v>Product development targets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0.33333333333333331</c:v>
                </c:pt>
                <c:pt idx="1">
                  <c:v>0.22222222222222221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56-43C3-9A1E-2B11A4A178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32850688"/>
        <c:axId val="332851080"/>
      </c:barChart>
      <c:catAx>
        <c:axId val="332850688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332851080"/>
        <c:crosses val="autoZero"/>
        <c:auto val="1"/>
        <c:lblAlgn val="ctr"/>
        <c:lblOffset val="100"/>
        <c:noMultiLvlLbl val="1"/>
      </c:catAx>
      <c:valAx>
        <c:axId val="332851080"/>
        <c:scaling>
          <c:orientation val="minMax"/>
          <c:max val="1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332850688"/>
        <c:crosses val="autoZero"/>
        <c:crossBetween val="between"/>
        <c:majorUnit val="0.2"/>
        <c:minorUnit val="0.1"/>
      </c:valAx>
      <c:spPr>
        <a:noFill/>
        <a:ln>
          <a:noFill/>
        </a:ln>
        <a:effectLst/>
      </c:spPr>
    </c:plotArea>
    <c:plotVisOnly val="1"/>
    <c:dispBlanksAs val="gap"/>
    <c:showDLblsOverMax val="1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e-DE"/>
              <a:t>Supply chain</a:t>
            </a:r>
          </a:p>
        </c:rich>
      </c:tx>
      <c:layout>
        <c:manualLayout>
          <c:xMode val="edge"/>
          <c:yMode val="edge"/>
          <c:x val="0.41848400000000002"/>
          <c:y val="0"/>
          <c:w val="0.16303300000000001"/>
          <c:h val="0.17507300000000001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>
        <c:manualLayout>
          <c:layoutTarget val="inner"/>
          <c:xMode val="edge"/>
          <c:yMode val="edge"/>
          <c:x val="0.39732499999999998"/>
          <c:y val="0.17507300000000001"/>
          <c:w val="0.576376"/>
          <c:h val="0.6590191208811153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Field2</c:v>
                </c:pt>
              </c:strCache>
            </c:strRef>
          </c:tx>
          <c:spPr>
            <a:solidFill>
              <a:schemeClr val="tx2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Sheet1!$B$1:$H$1</c:f>
              <c:strCache>
                <c:ptCount val="7"/>
                <c:pt idx="0">
                  <c:v>Duration of the business relationship with  supply chain</c:v>
                </c:pt>
                <c:pt idx="1">
                  <c:v>Prouduction / social impact</c:v>
                </c:pt>
                <c:pt idx="2">
                  <c:v>Ecological impact supply chain</c:v>
                </c:pt>
                <c:pt idx="3">
                  <c:v>Remuneration of employees in the supply chain</c:v>
                </c:pt>
                <c:pt idx="4">
                  <c:v>Details employees supply chain</c:v>
                </c:pt>
                <c:pt idx="5">
                  <c:v>Details/ structure supply chain</c:v>
                </c:pt>
                <c:pt idx="6">
                  <c:v>Supply chain targets</c:v>
                </c:pt>
              </c:strCache>
            </c:strRef>
          </c:cat>
          <c:val>
            <c:numRef>
              <c:f>Sheet1!$B$2:$H$2</c:f>
              <c:numCache>
                <c:formatCode>General</c:formatCode>
                <c:ptCount val="7"/>
                <c:pt idx="0">
                  <c:v>0.22222222222222221</c:v>
                </c:pt>
                <c:pt idx="1">
                  <c:v>0.22222222222222221</c:v>
                </c:pt>
                <c:pt idx="2">
                  <c:v>0.1111111111111111</c:v>
                </c:pt>
                <c:pt idx="3">
                  <c:v>0.1111111111111111</c:v>
                </c:pt>
                <c:pt idx="4">
                  <c:v>0.1111111111111111</c:v>
                </c:pt>
                <c:pt idx="5">
                  <c:v>0.44444444444444442</c:v>
                </c:pt>
                <c:pt idx="6">
                  <c:v>0.1111111111111111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85-48A9-B032-B207E5772D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39013448"/>
        <c:axId val="439012272"/>
      </c:barChart>
      <c:catAx>
        <c:axId val="439013448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439012272"/>
        <c:crosses val="autoZero"/>
        <c:auto val="1"/>
        <c:lblAlgn val="ctr"/>
        <c:lblOffset val="100"/>
        <c:noMultiLvlLbl val="1"/>
      </c:catAx>
      <c:valAx>
        <c:axId val="439012272"/>
        <c:scaling>
          <c:orientation val="minMax"/>
          <c:max val="1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439013448"/>
        <c:crosses val="autoZero"/>
        <c:crossBetween val="between"/>
        <c:majorUnit val="0.25"/>
        <c:minorUnit val="0.125"/>
      </c:valAx>
      <c:spPr>
        <a:noFill/>
        <a:ln>
          <a:noFill/>
        </a:ln>
        <a:effectLst/>
      </c:spPr>
    </c:plotArea>
    <c:plotVisOnly val="1"/>
    <c:dispBlanksAs val="gap"/>
    <c:showDLblsOverMax val="1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e-DE"/>
              <a:t>Customers</a:t>
            </a:r>
          </a:p>
        </c:rich>
      </c:tx>
      <c:layout>
        <c:manualLayout>
          <c:xMode val="edge"/>
          <c:yMode val="edge"/>
          <c:x val="0.43191299999999999"/>
          <c:y val="0"/>
          <c:w val="0.13617499999999999"/>
          <c:h val="0.33694499999999999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>
        <c:manualLayout>
          <c:layoutTarget val="inner"/>
          <c:xMode val="edge"/>
          <c:yMode val="edge"/>
          <c:x val="0.22326199999999999"/>
          <c:y val="0.33694499999999999"/>
          <c:w val="0.75084099999999998"/>
          <c:h val="0.48839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Field2</c:v>
                </c:pt>
              </c:strCache>
            </c:strRef>
          </c:tx>
          <c:spPr>
            <a:solidFill>
              <a:schemeClr val="tx2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Sheet1!$B$1:$D$1</c:f>
              <c:strCache>
                <c:ptCount val="3"/>
                <c:pt idx="0">
                  <c:v>Transparency for customers </c:v>
                </c:pt>
                <c:pt idx="1">
                  <c:v>Complaints / Returns</c:v>
                </c:pt>
                <c:pt idx="2">
                  <c:v>Customer structure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0.33333333333333331</c:v>
                </c:pt>
                <c:pt idx="1">
                  <c:v>0.22222222222222221</c:v>
                </c:pt>
                <c:pt idx="2">
                  <c:v>0.22222222222222221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67-4137-A036-7BE4478D37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39013840"/>
        <c:axId val="439013056"/>
      </c:barChart>
      <c:catAx>
        <c:axId val="439013840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439013056"/>
        <c:crosses val="autoZero"/>
        <c:auto val="1"/>
        <c:lblAlgn val="ctr"/>
        <c:lblOffset val="100"/>
        <c:noMultiLvlLbl val="1"/>
      </c:catAx>
      <c:valAx>
        <c:axId val="439013056"/>
        <c:scaling>
          <c:orientation val="minMax"/>
          <c:max val="1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439013840"/>
        <c:crosses val="autoZero"/>
        <c:crossBetween val="between"/>
        <c:majorUnit val="0.2"/>
        <c:minorUnit val="0.1"/>
      </c:valAx>
      <c:spPr>
        <a:noFill/>
        <a:ln>
          <a:noFill/>
        </a:ln>
        <a:effectLst/>
      </c:spPr>
    </c:plotArea>
    <c:plotVisOnly val="1"/>
    <c:dispBlanksAs val="gap"/>
    <c:showDLblsOverMax val="1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9065700000000007E-2"/>
          <c:y val="6.5366800000000003E-2"/>
          <c:w val="0.87790299999999999"/>
          <c:h val="0.72405699999999995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Number of employees</c:v>
                </c:pt>
              </c:strCache>
            </c:strRef>
          </c:tx>
          <c:spPr>
            <a:ln w="12700" cap="flat">
              <a:noFill/>
              <a:miter lim="400000"/>
            </a:ln>
            <a:effectLst/>
          </c:spPr>
          <c:marker>
            <c:symbol val="circle"/>
            <c:size val="6"/>
            <c:spPr>
              <a:solidFill>
                <a:schemeClr val="tx2">
                  <a:lumMod val="50000"/>
                </a:schemeClr>
              </a:solidFill>
              <a:ln w="9525" cap="flat">
                <a:solidFill>
                  <a:srgbClr val="FFFFFF"/>
                </a:solidFill>
                <a:prstDash val="solid"/>
                <a:miter lim="800000"/>
              </a:ln>
              <a:effectLst/>
            </c:spPr>
          </c:marker>
          <c:trendline>
            <c:spPr>
              <a:ln w="635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Sheet1!$B$2:$J$2</c:f>
              <c:numCache>
                <c:formatCode>0%</c:formatCode>
                <c:ptCount val="9"/>
                <c:pt idx="0">
                  <c:v>0.38333333333333341</c:v>
                </c:pt>
                <c:pt idx="1">
                  <c:v>0.71666666666666667</c:v>
                </c:pt>
                <c:pt idx="2">
                  <c:v>0.33333333333333331</c:v>
                </c:pt>
                <c:pt idx="3">
                  <c:v>0.64166666666666672</c:v>
                </c:pt>
                <c:pt idx="4">
                  <c:v>0.65</c:v>
                </c:pt>
                <c:pt idx="5">
                  <c:v>0.54166666666666663</c:v>
                </c:pt>
                <c:pt idx="6">
                  <c:v>0.1583333333333333</c:v>
                </c:pt>
                <c:pt idx="7">
                  <c:v>0.51666666666666672</c:v>
                </c:pt>
                <c:pt idx="8">
                  <c:v>0.26666666666666672</c:v>
                </c:pt>
              </c:numCache>
            </c:numRef>
          </c:xVal>
          <c:yVal>
            <c:numRef>
              <c:f>Sheet1!$B$3:$J$3</c:f>
              <c:numCache>
                <c:formatCode>General</c:formatCode>
                <c:ptCount val="9"/>
                <c:pt idx="0">
                  <c:v>208</c:v>
                </c:pt>
                <c:pt idx="1">
                  <c:v>137</c:v>
                </c:pt>
                <c:pt idx="2">
                  <c:v>45</c:v>
                </c:pt>
                <c:pt idx="3">
                  <c:v>218</c:v>
                </c:pt>
                <c:pt idx="4">
                  <c:v>162</c:v>
                </c:pt>
                <c:pt idx="5">
                  <c:v>140</c:v>
                </c:pt>
                <c:pt idx="6">
                  <c:v>143</c:v>
                </c:pt>
                <c:pt idx="7">
                  <c:v>152</c:v>
                </c:pt>
                <c:pt idx="8">
                  <c:v>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608-4159-A500-D20914FE66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39010312"/>
        <c:axId val="620003744"/>
      </c:scatterChart>
      <c:valAx>
        <c:axId val="439010312"/>
        <c:scaling>
          <c:orientation val="minMax"/>
        </c:scaling>
        <c:delete val="0"/>
        <c:axPos val="b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title>
          <c:tx>
            <c:rich>
              <a:bodyPr rot="0"/>
              <a:lstStyle/>
              <a:p>
                <a:pPr>
                  <a:defRPr sz="1000" b="0" i="0" u="none" strike="noStrike">
                    <a:solidFill>
                      <a:srgbClr val="595959"/>
                    </a:solidFill>
                    <a:latin typeface="Calibri"/>
                  </a:defRPr>
                </a:pPr>
                <a:r>
                  <a:rPr lang="de-DE" sz="1000" b="0" i="0" u="none" strike="noStrike">
                    <a:solidFill>
                      <a:srgbClr val="595959"/>
                    </a:solidFill>
                    <a:latin typeface="Calibri"/>
                  </a:rPr>
                  <a:t>Degree of conformity</a:t>
                </a:r>
              </a:p>
            </c:rich>
          </c:tx>
          <c:overlay val="1"/>
        </c:title>
        <c:numFmt formatCode="0%" sourceLinked="0"/>
        <c:majorTickMark val="none"/>
        <c:minorTickMark val="none"/>
        <c:tickLblPos val="nextTo"/>
        <c:spPr>
          <a:ln w="12700" cap="flat">
            <a:solidFill>
              <a:srgbClr val="BFBFBF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620003744"/>
        <c:crosses val="autoZero"/>
        <c:crossBetween val="between"/>
        <c:majorUnit val="0.2"/>
        <c:minorUnit val="0.1"/>
      </c:valAx>
      <c:valAx>
        <c:axId val="620003744"/>
        <c:scaling>
          <c:orientation val="minMax"/>
        </c:scaling>
        <c:delete val="0"/>
        <c:axPos val="l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title>
          <c:tx>
            <c:rich>
              <a:bodyPr rot="-5400000"/>
              <a:lstStyle/>
              <a:p>
                <a:pPr>
                  <a:defRPr sz="1000" b="0" i="0" u="none" strike="noStrike">
                    <a:solidFill>
                      <a:srgbClr val="595959"/>
                    </a:solidFill>
                    <a:latin typeface="Calibri"/>
                  </a:defRPr>
                </a:pPr>
                <a:r>
                  <a:rPr lang="de-DE" sz="1000" b="0" i="0" u="none" strike="noStrike" baseline="0">
                    <a:effectLst/>
                  </a:rPr>
                  <a:t>Number of employees</a:t>
                </a:r>
                <a:endParaRPr lang="de-DE" sz="1000" b="0" i="0" u="none" strike="noStrike">
                  <a:solidFill>
                    <a:srgbClr val="595959"/>
                  </a:solidFill>
                  <a:latin typeface="Calibri"/>
                </a:endParaRPr>
              </a:p>
            </c:rich>
          </c:tx>
          <c:overlay val="1"/>
        </c:title>
        <c:numFmt formatCode="0" sourceLinked="0"/>
        <c:majorTickMark val="none"/>
        <c:minorTickMark val="none"/>
        <c:tickLblPos val="nextTo"/>
        <c:spPr>
          <a:ln w="12700" cap="flat">
            <a:solidFill>
              <a:srgbClr val="BFBFBF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439010312"/>
        <c:crosses val="autoZero"/>
        <c:crossBetween val="between"/>
        <c:majorUnit val="75"/>
        <c:minorUnit val="37.5"/>
      </c:valAx>
      <c:spPr>
        <a:noFill/>
        <a:ln w="12700" cap="flat">
          <a:noFill/>
          <a:miter lim="400000"/>
        </a:ln>
        <a:effectLst/>
      </c:spPr>
    </c:plotArea>
    <c:plotVisOnly val="1"/>
    <c:dispBlanksAs val="gap"/>
    <c:showDLblsOverMax val="1"/>
  </c:chart>
  <c:spPr>
    <a:solidFill>
      <a:srgbClr val="FFFFFF"/>
    </a:solidFill>
    <a:ln w="12700" cap="flat">
      <a:solidFill>
        <a:srgbClr val="D9D9D9"/>
      </a:solidFill>
      <a:prstDash val="solid"/>
      <a:round/>
    </a:ln>
    <a:effectLst/>
  </c:sp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4202"/>
          <c:y val="6.9930999999999993E-2"/>
          <c:w val="0.83069000000000004"/>
          <c:h val="0.70566200000000001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Sales</c:v>
                </c:pt>
              </c:strCache>
            </c:strRef>
          </c:tx>
          <c:spPr>
            <a:ln w="12700" cap="flat">
              <a:noFill/>
              <a:miter lim="400000"/>
            </a:ln>
            <a:effectLst/>
          </c:spPr>
          <c:marker>
            <c:symbol val="circle"/>
            <c:size val="6"/>
            <c:spPr>
              <a:solidFill>
                <a:schemeClr val="tx2">
                  <a:lumMod val="50000"/>
                </a:schemeClr>
              </a:solidFill>
              <a:ln w="9525" cap="flat">
                <a:solidFill>
                  <a:srgbClr val="FFFFFF"/>
                </a:solidFill>
                <a:prstDash val="solid"/>
                <a:miter lim="800000"/>
              </a:ln>
              <a:effectLst/>
            </c:spPr>
          </c:marker>
          <c:trendline>
            <c:spPr>
              <a:ln w="635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Sheet1!$B$2:$I$2</c:f>
              <c:numCache>
                <c:formatCode>General</c:formatCode>
                <c:ptCount val="8"/>
                <c:pt idx="0">
                  <c:v>0.38333299999999998</c:v>
                </c:pt>
                <c:pt idx="1">
                  <c:v>0.71666700000000005</c:v>
                </c:pt>
                <c:pt idx="2">
                  <c:v>0.33333299999999999</c:v>
                </c:pt>
                <c:pt idx="3">
                  <c:v>0.64166699999999999</c:v>
                </c:pt>
                <c:pt idx="4">
                  <c:v>0.65</c:v>
                </c:pt>
                <c:pt idx="5">
                  <c:v>0.54166700000000001</c:v>
                </c:pt>
                <c:pt idx="6">
                  <c:v>0.158333</c:v>
                </c:pt>
                <c:pt idx="7">
                  <c:v>0.51666699999999999</c:v>
                </c:pt>
              </c:numCache>
            </c:numRef>
          </c:xVal>
          <c:yVal>
            <c:numRef>
              <c:f>Sheet1!$B$3:$I$3</c:f>
              <c:numCache>
                <c:formatCode>General</c:formatCode>
                <c:ptCount val="8"/>
                <c:pt idx="0">
                  <c:v>5630000</c:v>
                </c:pt>
                <c:pt idx="1">
                  <c:v>28770000</c:v>
                </c:pt>
                <c:pt idx="2">
                  <c:v>7150000</c:v>
                </c:pt>
                <c:pt idx="3">
                  <c:v>73391565</c:v>
                </c:pt>
                <c:pt idx="4">
                  <c:v>24964076.600000001</c:v>
                </c:pt>
                <c:pt idx="5">
                  <c:v>11279034.24</c:v>
                </c:pt>
                <c:pt idx="6">
                  <c:v>14161586.74</c:v>
                </c:pt>
                <c:pt idx="7">
                  <c:v>13005595.9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05F-4FED-9250-6F81935302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0002568"/>
        <c:axId val="620005704"/>
      </c:scatterChart>
      <c:valAx>
        <c:axId val="620002568"/>
        <c:scaling>
          <c:orientation val="minMax"/>
        </c:scaling>
        <c:delete val="0"/>
        <c:axPos val="b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title>
          <c:tx>
            <c:rich>
              <a:bodyPr rot="0"/>
              <a:lstStyle/>
              <a:p>
                <a:pPr>
                  <a:defRPr sz="1000" b="0" i="0" u="none" strike="noStrike">
                    <a:solidFill>
                      <a:srgbClr val="595959"/>
                    </a:solidFill>
                    <a:latin typeface="Calibri"/>
                  </a:defRPr>
                </a:pPr>
                <a:r>
                  <a:rPr lang="de-DE" sz="1000" b="0" i="0" u="none" strike="noStrike">
                    <a:solidFill>
                      <a:srgbClr val="595959"/>
                    </a:solidFill>
                    <a:latin typeface="Calibri"/>
                  </a:rPr>
                  <a:t>Degree of conformity</a:t>
                </a:r>
              </a:p>
            </c:rich>
          </c:tx>
          <c:overlay val="1"/>
        </c:title>
        <c:numFmt formatCode="0%" sourceLinked="0"/>
        <c:majorTickMark val="none"/>
        <c:minorTickMark val="none"/>
        <c:tickLblPos val="nextTo"/>
        <c:spPr>
          <a:ln w="12700" cap="flat">
            <a:solidFill>
              <a:srgbClr val="BFBFBF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620005704"/>
        <c:crosses val="autoZero"/>
        <c:crossBetween val="between"/>
        <c:majorUnit val="0.2"/>
        <c:minorUnit val="0.1"/>
      </c:valAx>
      <c:valAx>
        <c:axId val="620005704"/>
        <c:scaling>
          <c:orientation val="minMax"/>
        </c:scaling>
        <c:delete val="0"/>
        <c:axPos val="l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title>
          <c:tx>
            <c:rich>
              <a:bodyPr rot="-5400000"/>
              <a:lstStyle/>
              <a:p>
                <a:pPr>
                  <a:defRPr sz="1000" b="0" i="0" u="none" strike="noStrike">
                    <a:solidFill>
                      <a:srgbClr val="595959"/>
                    </a:solidFill>
                    <a:latin typeface="Calibri"/>
                  </a:defRPr>
                </a:pPr>
                <a:r>
                  <a:rPr lang="de-DE" sz="1000" b="0" i="0" u="none" strike="noStrike">
                    <a:solidFill>
                      <a:srgbClr val="595959"/>
                    </a:solidFill>
                    <a:latin typeface="Calibri"/>
                  </a:rPr>
                  <a:t>Annual sales in million</a:t>
                </a:r>
              </a:p>
            </c:rich>
          </c:tx>
          <c:overlay val="1"/>
        </c:title>
        <c:numFmt formatCode="#,##0.00,,&quot; &quot;&quot;€&quot;" sourceLinked="0"/>
        <c:majorTickMark val="none"/>
        <c:minorTickMark val="none"/>
        <c:tickLblPos val="nextTo"/>
        <c:spPr>
          <a:ln w="12700" cap="flat">
            <a:solidFill>
              <a:srgbClr val="BFBFBF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620002568"/>
        <c:crosses val="autoZero"/>
        <c:crossBetween val="between"/>
        <c:majorUnit val="20000000"/>
        <c:minorUnit val="10000000"/>
      </c:valAx>
      <c:spPr>
        <a:noFill/>
        <a:ln w="12700" cap="flat">
          <a:noFill/>
          <a:miter lim="400000"/>
        </a:ln>
        <a:effectLst/>
      </c:spPr>
    </c:plotArea>
    <c:plotVisOnly val="1"/>
    <c:dispBlanksAs val="gap"/>
    <c:showDLblsOverMax val="1"/>
  </c:chart>
  <c:spPr>
    <a:solidFill>
      <a:srgbClr val="FFFFFF"/>
    </a:solidFill>
    <a:ln w="12700" cap="flat">
      <a:solidFill>
        <a:srgbClr val="D9D9D9"/>
      </a:solidFill>
      <a:prstDash val="solid"/>
      <a:round/>
    </a:ln>
    <a:effectLst/>
  </c:sp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6229"/>
          <c:y val="7.0698899999999995E-2"/>
          <c:w val="0.86145799999999995"/>
          <c:h val="0.70256700000000005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Number of published reports</c:v>
                </c:pt>
              </c:strCache>
            </c:strRef>
          </c:tx>
          <c:spPr>
            <a:ln w="12700" cap="flat">
              <a:noFill/>
              <a:miter lim="400000"/>
            </a:ln>
            <a:effectLst/>
          </c:spPr>
          <c:marker>
            <c:symbol val="circle"/>
            <c:size val="6"/>
            <c:spPr>
              <a:solidFill>
                <a:schemeClr val="tx2">
                  <a:lumMod val="50000"/>
                </a:schemeClr>
              </a:solidFill>
              <a:ln w="9525" cap="flat">
                <a:noFill/>
                <a:prstDash val="solid"/>
                <a:miter lim="800000"/>
              </a:ln>
              <a:effectLst/>
            </c:spPr>
          </c:marker>
          <c:trendline>
            <c:spPr>
              <a:ln w="635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Sheet1!$B$2:$J$2</c:f>
              <c:numCache>
                <c:formatCode>General</c:formatCode>
                <c:ptCount val="9"/>
                <c:pt idx="0">
                  <c:v>0.38333299999999998</c:v>
                </c:pt>
                <c:pt idx="1">
                  <c:v>0.71666700000000005</c:v>
                </c:pt>
                <c:pt idx="2">
                  <c:v>0.33333299999999999</c:v>
                </c:pt>
                <c:pt idx="3">
                  <c:v>0.64166699999999999</c:v>
                </c:pt>
                <c:pt idx="4">
                  <c:v>0.65</c:v>
                </c:pt>
                <c:pt idx="5">
                  <c:v>0.54166700000000001</c:v>
                </c:pt>
                <c:pt idx="6">
                  <c:v>0.158333</c:v>
                </c:pt>
                <c:pt idx="7">
                  <c:v>0.51666699999999999</c:v>
                </c:pt>
                <c:pt idx="8">
                  <c:v>0.26666699999999999</c:v>
                </c:pt>
              </c:numCache>
            </c:numRef>
          </c:xVal>
          <c:yVal>
            <c:numRef>
              <c:f>Sheet1!$B$3:$J$3</c:f>
              <c:numCache>
                <c:formatCode>General</c:formatCode>
                <c:ptCount val="9"/>
                <c:pt idx="0">
                  <c:v>2</c:v>
                </c:pt>
                <c:pt idx="1">
                  <c:v>10</c:v>
                </c:pt>
                <c:pt idx="2">
                  <c:v>1</c:v>
                </c:pt>
                <c:pt idx="3">
                  <c:v>6</c:v>
                </c:pt>
                <c:pt idx="4">
                  <c:v>5</c:v>
                </c:pt>
                <c:pt idx="5">
                  <c:v>10</c:v>
                </c:pt>
                <c:pt idx="6">
                  <c:v>1</c:v>
                </c:pt>
                <c:pt idx="7">
                  <c:v>2</c:v>
                </c:pt>
                <c:pt idx="8">
                  <c:v>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435-4E2C-9C3C-DA6045C882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0001392"/>
        <c:axId val="447128032"/>
      </c:scatterChart>
      <c:valAx>
        <c:axId val="620001392"/>
        <c:scaling>
          <c:orientation val="minMax"/>
        </c:scaling>
        <c:delete val="0"/>
        <c:axPos val="b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title>
          <c:tx>
            <c:rich>
              <a:bodyPr rot="0"/>
              <a:lstStyle/>
              <a:p>
                <a:pPr>
                  <a:defRPr sz="1000" b="0" i="0" u="none" strike="noStrike">
                    <a:solidFill>
                      <a:srgbClr val="595959"/>
                    </a:solidFill>
                    <a:latin typeface="Calibri"/>
                  </a:defRPr>
                </a:pPr>
                <a:r>
                  <a:rPr lang="de-DE" sz="1000" b="0" i="0" u="none" strike="noStrike">
                    <a:solidFill>
                      <a:srgbClr val="595959"/>
                    </a:solidFill>
                    <a:latin typeface="Calibri"/>
                  </a:rPr>
                  <a:t>Degree of conformity</a:t>
                </a:r>
              </a:p>
            </c:rich>
          </c:tx>
          <c:overlay val="1"/>
        </c:title>
        <c:numFmt formatCode="0%" sourceLinked="0"/>
        <c:majorTickMark val="none"/>
        <c:minorTickMark val="none"/>
        <c:tickLblPos val="nextTo"/>
        <c:spPr>
          <a:ln w="12700" cap="flat">
            <a:solidFill>
              <a:srgbClr val="BFBFBF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447128032"/>
        <c:crosses val="autoZero"/>
        <c:crossBetween val="between"/>
        <c:majorUnit val="0.2"/>
        <c:minorUnit val="0.1"/>
      </c:valAx>
      <c:valAx>
        <c:axId val="447128032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dk1"/>
              </a:solidFill>
              <a:prstDash val="solid"/>
              <a:miter lim="800000"/>
            </a:ln>
            <a:effectLst/>
          </c:spPr>
        </c:majorGridlines>
        <c:title>
          <c:tx>
            <c:rich>
              <a:bodyPr rot="-5400000"/>
              <a:lstStyle/>
              <a:p>
                <a:pPr>
                  <a:defRPr sz="1000" b="0" i="0" u="none" strike="noStrike">
                    <a:solidFill>
                      <a:srgbClr val="595959"/>
                    </a:solidFill>
                    <a:latin typeface="Calibri"/>
                  </a:defRPr>
                </a:pPr>
                <a:r>
                  <a:rPr lang="de-DE" sz="1000" b="0" i="0" u="none" strike="noStrike">
                    <a:solidFill>
                      <a:srgbClr val="595959"/>
                    </a:solidFill>
                    <a:latin typeface="Calibri"/>
                  </a:rPr>
                  <a:t>Number of published reports</a:t>
                </a:r>
              </a:p>
            </c:rich>
          </c:tx>
          <c:overlay val="1"/>
        </c:title>
        <c:numFmt formatCode="0" sourceLinked="0"/>
        <c:majorTickMark val="none"/>
        <c:minorTickMark val="none"/>
        <c:tickLblPos val="nextTo"/>
        <c:spPr>
          <a:ln w="12700" cap="flat">
            <a:solidFill>
              <a:srgbClr val="BFBFBF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620001392"/>
        <c:crosses val="autoZero"/>
        <c:crossBetween val="between"/>
        <c:majorUnit val="2.5"/>
        <c:minorUnit val="1.25"/>
      </c:valAx>
      <c:spPr>
        <a:noFill/>
        <a:ln w="12700" cap="flat">
          <a:noFill/>
          <a:miter lim="400000"/>
        </a:ln>
        <a:effectLst/>
      </c:spPr>
    </c:plotArea>
    <c:plotVisOnly val="1"/>
    <c:dispBlanksAs val="gap"/>
    <c:showDLblsOverMax val="1"/>
  </c:chart>
  <c:spPr>
    <a:solidFill>
      <a:srgbClr val="FFFFFF"/>
    </a:solidFill>
    <a:ln w="12700" cap="flat">
      <a:solidFill>
        <a:srgbClr val="D9D9D9"/>
      </a:solidFill>
      <a:prstDash val="solid"/>
      <a:round/>
    </a:ln>
    <a:effectLst/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Tabelle1!$B$1</c:f>
              <c:strCache>
                <c:ptCount val="1"/>
                <c:pt idx="0">
                  <c:v>Industry</c:v>
                </c:pt>
              </c:strCache>
            </c:strRef>
          </c:tx>
          <c:dPt>
            <c:idx val="0"/>
            <c:bubble3D val="0"/>
            <c:spPr>
              <a:solidFill>
                <a:schemeClr val="tx2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399-4C8C-83FC-7042E148F028}"/>
              </c:ext>
            </c:extLst>
          </c:dPt>
          <c:dPt>
            <c:idx val="1"/>
            <c:bubble3D val="0"/>
            <c:spPr>
              <a:solidFill>
                <a:schemeClr val="tx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399-4C8C-83FC-7042E148F028}"/>
              </c:ext>
            </c:extLst>
          </c:dPt>
          <c:dPt>
            <c:idx val="2"/>
            <c:bubble3D val="0"/>
            <c:spPr>
              <a:solidFill>
                <a:schemeClr val="accent1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399-4C8C-83FC-7042E148F028}"/>
              </c:ext>
            </c:extLst>
          </c:dPt>
          <c:dPt>
            <c:idx val="3"/>
            <c:bubble3D val="0"/>
            <c:spPr>
              <a:solidFill>
                <a:schemeClr val="accent1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399-4C8C-83FC-7042E148F02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Tabelle1!$A$2:$A$5</c:f>
              <c:strCache>
                <c:ptCount val="4"/>
                <c:pt idx="0">
                  <c:v>services</c:v>
                </c:pt>
                <c:pt idx="1">
                  <c:v>trade</c:v>
                </c:pt>
                <c:pt idx="2">
                  <c:v>production</c:v>
                </c:pt>
                <c:pt idx="3">
                  <c:v>craft</c:v>
                </c:pt>
              </c:strCache>
            </c:strRef>
          </c:cat>
          <c:val>
            <c:numRef>
              <c:f>Tabelle1!$B$2:$B$5</c:f>
              <c:numCache>
                <c:formatCode>General</c:formatCode>
                <c:ptCount val="4"/>
                <c:pt idx="0">
                  <c:v>4</c:v>
                </c:pt>
                <c:pt idx="1">
                  <c:v>3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399-4C8C-83FC-7042E148F0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7157"/>
          <c:y val="6.6524600000000003E-2"/>
          <c:w val="0.87059699999999995"/>
          <c:h val="0.719391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Number of published reports</c:v>
                </c:pt>
              </c:strCache>
            </c:strRef>
          </c:tx>
          <c:spPr>
            <a:ln w="12700" cap="flat">
              <a:noFill/>
              <a:miter lim="400000"/>
            </a:ln>
            <a:effectLst/>
          </c:spPr>
          <c:marker>
            <c:symbol val="circle"/>
            <c:size val="6"/>
            <c:spPr>
              <a:solidFill>
                <a:schemeClr val="tx2">
                  <a:lumMod val="50000"/>
                </a:schemeClr>
              </a:solidFill>
              <a:ln w="9525" cap="flat">
                <a:noFill/>
                <a:prstDash val="solid"/>
                <a:miter lim="800000"/>
              </a:ln>
              <a:effectLst/>
            </c:spPr>
          </c:marker>
          <c:trendline>
            <c:spPr>
              <a:ln w="635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Sheet1!$B$2:$J$2</c:f>
              <c:numCache>
                <c:formatCode>General</c:formatCode>
                <c:ptCount val="9"/>
                <c:pt idx="0">
                  <c:v>22</c:v>
                </c:pt>
                <c:pt idx="1">
                  <c:v>47</c:v>
                </c:pt>
                <c:pt idx="2">
                  <c:v>32</c:v>
                </c:pt>
                <c:pt idx="3">
                  <c:v>35</c:v>
                </c:pt>
                <c:pt idx="4">
                  <c:v>37</c:v>
                </c:pt>
                <c:pt idx="5">
                  <c:v>36</c:v>
                </c:pt>
                <c:pt idx="6">
                  <c:v>8</c:v>
                </c:pt>
                <c:pt idx="7">
                  <c:v>23</c:v>
                </c:pt>
                <c:pt idx="8">
                  <c:v>11</c:v>
                </c:pt>
              </c:numCache>
            </c:numRef>
          </c:xVal>
          <c:yVal>
            <c:numRef>
              <c:f>Sheet1!$B$3:$J$3</c:f>
              <c:numCache>
                <c:formatCode>General</c:formatCode>
                <c:ptCount val="9"/>
                <c:pt idx="0">
                  <c:v>2</c:v>
                </c:pt>
                <c:pt idx="1">
                  <c:v>10</c:v>
                </c:pt>
                <c:pt idx="2">
                  <c:v>1</c:v>
                </c:pt>
                <c:pt idx="3">
                  <c:v>6</c:v>
                </c:pt>
                <c:pt idx="4">
                  <c:v>5</c:v>
                </c:pt>
                <c:pt idx="5">
                  <c:v>10</c:v>
                </c:pt>
                <c:pt idx="6">
                  <c:v>1</c:v>
                </c:pt>
                <c:pt idx="7">
                  <c:v>2</c:v>
                </c:pt>
                <c:pt idx="8">
                  <c:v>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207-47AE-831A-D98A9E2CD9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47129208"/>
        <c:axId val="447131168"/>
      </c:scatterChart>
      <c:valAx>
        <c:axId val="447129208"/>
        <c:scaling>
          <c:orientation val="minMax"/>
        </c:scaling>
        <c:delete val="0"/>
        <c:axPos val="b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title>
          <c:tx>
            <c:rich>
              <a:bodyPr rot="0"/>
              <a:lstStyle/>
              <a:p>
                <a:pPr>
                  <a:defRPr sz="1000" b="0" i="0" u="none" strike="noStrike">
                    <a:solidFill>
                      <a:srgbClr val="595959"/>
                    </a:solidFill>
                    <a:latin typeface="Calibri"/>
                  </a:defRPr>
                </a:pPr>
                <a:r>
                  <a:rPr lang="de-DE" sz="1000" b="0" i="0" u="none" strike="noStrike">
                    <a:solidFill>
                      <a:srgbClr val="595959"/>
                    </a:solidFill>
                    <a:latin typeface="Calibri"/>
                  </a:rPr>
                  <a:t>Number of quantitative indicators</a:t>
                </a:r>
              </a:p>
            </c:rich>
          </c:tx>
          <c:overlay val="1"/>
        </c:title>
        <c:numFmt formatCode="0" sourceLinked="0"/>
        <c:majorTickMark val="none"/>
        <c:minorTickMark val="none"/>
        <c:tickLblPos val="nextTo"/>
        <c:spPr>
          <a:ln w="12700" cap="flat">
            <a:solidFill>
              <a:srgbClr val="BFBFBF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447131168"/>
        <c:crosses val="autoZero"/>
        <c:crossBetween val="between"/>
        <c:majorUnit val="12.5"/>
        <c:minorUnit val="6.25"/>
      </c:valAx>
      <c:valAx>
        <c:axId val="447131168"/>
        <c:scaling>
          <c:orientation val="minMax"/>
        </c:scaling>
        <c:delete val="0"/>
        <c:axPos val="l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title>
          <c:tx>
            <c:rich>
              <a:bodyPr rot="-5400000"/>
              <a:lstStyle/>
              <a:p>
                <a:pPr>
                  <a:defRPr sz="1000" b="0" i="0" u="none" strike="noStrike">
                    <a:solidFill>
                      <a:srgbClr val="595959"/>
                    </a:solidFill>
                    <a:latin typeface="Calibri"/>
                  </a:defRPr>
                </a:pPr>
                <a:r>
                  <a:rPr lang="de-DE" sz="1000" b="0" i="0" u="none" strike="noStrike">
                    <a:solidFill>
                      <a:srgbClr val="595959"/>
                    </a:solidFill>
                    <a:latin typeface="Calibri"/>
                  </a:rPr>
                  <a:t>Number of published reports</a:t>
                </a:r>
              </a:p>
            </c:rich>
          </c:tx>
          <c:overlay val="1"/>
        </c:title>
        <c:numFmt formatCode="0" sourceLinked="0"/>
        <c:majorTickMark val="none"/>
        <c:minorTickMark val="none"/>
        <c:tickLblPos val="nextTo"/>
        <c:spPr>
          <a:ln w="12700" cap="flat">
            <a:solidFill>
              <a:srgbClr val="BFBFBF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447129208"/>
        <c:crosses val="autoZero"/>
        <c:crossBetween val="between"/>
        <c:majorUnit val="2.5"/>
        <c:minorUnit val="1.25"/>
      </c:valAx>
      <c:spPr>
        <a:noFill/>
        <a:ln w="12700" cap="flat">
          <a:noFill/>
          <a:miter lim="400000"/>
        </a:ln>
        <a:effectLst/>
      </c:spPr>
    </c:plotArea>
    <c:plotVisOnly val="1"/>
    <c:dispBlanksAs val="gap"/>
    <c:showDLblsOverMax val="1"/>
  </c:chart>
  <c:spPr>
    <a:solidFill>
      <a:srgbClr val="FFFFFF"/>
    </a:solidFill>
    <a:ln w="12700" cap="flat">
      <a:solidFill>
        <a:srgbClr val="D9D9D9"/>
      </a:solidFill>
      <a:prstDash val="solid"/>
      <a:round/>
    </a:ln>
    <a:effectLst/>
  </c:sp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815200000000001"/>
          <c:y val="6.8056599999999995E-2"/>
          <c:w val="0.76920500000000003"/>
          <c:h val="0.71321699999999999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Annual sales</c:v>
                </c:pt>
              </c:strCache>
            </c:strRef>
          </c:tx>
          <c:spPr>
            <a:ln w="12700" cap="flat">
              <a:noFill/>
              <a:miter lim="400000"/>
            </a:ln>
            <a:effectLst/>
          </c:spPr>
          <c:marker>
            <c:symbol val="circle"/>
            <c:size val="6"/>
            <c:spPr>
              <a:solidFill>
                <a:schemeClr val="tx2">
                  <a:lumMod val="50000"/>
                </a:schemeClr>
              </a:solidFill>
              <a:ln w="9525" cap="flat">
                <a:solidFill>
                  <a:srgbClr val="FFFFFF"/>
                </a:solidFill>
                <a:prstDash val="solid"/>
                <a:miter lim="800000"/>
              </a:ln>
              <a:effectLst/>
            </c:spPr>
          </c:marker>
          <c:trendline>
            <c:spPr>
              <a:ln w="635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Sheet1!$B$2:$J$2</c:f>
              <c:numCache>
                <c:formatCode>General</c:formatCode>
                <c:ptCount val="9"/>
                <c:pt idx="0">
                  <c:v>11</c:v>
                </c:pt>
                <c:pt idx="1">
                  <c:v>32</c:v>
                </c:pt>
                <c:pt idx="2">
                  <c:v>47</c:v>
                </c:pt>
                <c:pt idx="3">
                  <c:v>37</c:v>
                </c:pt>
                <c:pt idx="4">
                  <c:v>8</c:v>
                </c:pt>
                <c:pt idx="5">
                  <c:v>23</c:v>
                </c:pt>
                <c:pt idx="6">
                  <c:v>37</c:v>
                </c:pt>
                <c:pt idx="7">
                  <c:v>22</c:v>
                </c:pt>
                <c:pt idx="8">
                  <c:v>35</c:v>
                </c:pt>
              </c:numCache>
            </c:numRef>
          </c:xVal>
          <c:yVal>
            <c:numRef>
              <c:f>Sheet1!$B$3:$J$3</c:f>
              <c:numCache>
                <c:formatCode>General</c:formatCode>
                <c:ptCount val="9"/>
                <c:pt idx="0">
                  <c:v>0</c:v>
                </c:pt>
                <c:pt idx="1">
                  <c:v>7150000</c:v>
                </c:pt>
                <c:pt idx="2">
                  <c:v>28770000</c:v>
                </c:pt>
                <c:pt idx="3">
                  <c:v>11279034.24</c:v>
                </c:pt>
                <c:pt idx="4">
                  <c:v>14161586.74</c:v>
                </c:pt>
                <c:pt idx="5">
                  <c:v>13005595.9</c:v>
                </c:pt>
                <c:pt idx="6">
                  <c:v>24964076.600000001</c:v>
                </c:pt>
                <c:pt idx="7">
                  <c:v>5630000</c:v>
                </c:pt>
                <c:pt idx="8">
                  <c:v>73391565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2B3-444C-872B-A7D42E75C9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50337384"/>
        <c:axId val="450338168"/>
      </c:scatterChart>
      <c:valAx>
        <c:axId val="450337384"/>
        <c:scaling>
          <c:orientation val="minMax"/>
        </c:scaling>
        <c:delete val="0"/>
        <c:axPos val="b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title>
          <c:tx>
            <c:rich>
              <a:bodyPr rot="0"/>
              <a:lstStyle/>
              <a:p>
                <a:pPr>
                  <a:defRPr sz="1000" b="0" i="0" u="none" strike="noStrike">
                    <a:solidFill>
                      <a:srgbClr val="595959"/>
                    </a:solidFill>
                    <a:latin typeface="Calibri"/>
                  </a:defRPr>
                </a:pPr>
                <a:r>
                  <a:rPr lang="de-DE" sz="1000" b="0" i="0" u="none" strike="noStrike">
                    <a:solidFill>
                      <a:srgbClr val="595959"/>
                    </a:solidFill>
                    <a:latin typeface="Calibri"/>
                  </a:rPr>
                  <a:t>Number quantitative data</a:t>
                </a:r>
              </a:p>
            </c:rich>
          </c:tx>
          <c:overlay val="1"/>
        </c:title>
        <c:numFmt formatCode="0" sourceLinked="0"/>
        <c:majorTickMark val="none"/>
        <c:minorTickMark val="none"/>
        <c:tickLblPos val="nextTo"/>
        <c:spPr>
          <a:ln w="12700" cap="flat">
            <a:solidFill>
              <a:srgbClr val="BFBFBF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450338168"/>
        <c:crosses val="autoZero"/>
        <c:crossBetween val="between"/>
        <c:majorUnit val="12.5"/>
        <c:minorUnit val="6.25"/>
      </c:valAx>
      <c:valAx>
        <c:axId val="450338168"/>
        <c:scaling>
          <c:orientation val="minMax"/>
        </c:scaling>
        <c:delete val="0"/>
        <c:axPos val="l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title>
          <c:tx>
            <c:rich>
              <a:bodyPr rot="-5400000"/>
              <a:lstStyle/>
              <a:p>
                <a:pPr>
                  <a:defRPr sz="1000" b="0" i="0" u="none" strike="noStrike">
                    <a:solidFill>
                      <a:srgbClr val="595959"/>
                    </a:solidFill>
                    <a:latin typeface="Calibri"/>
                  </a:defRPr>
                </a:pPr>
                <a:r>
                  <a:rPr lang="de-DE" sz="1000" b="0" i="0" u="none" strike="noStrike">
                    <a:solidFill>
                      <a:srgbClr val="595959"/>
                    </a:solidFill>
                    <a:latin typeface="Calibri"/>
                  </a:rPr>
                  <a:t>Annual sales in million</a:t>
                </a:r>
              </a:p>
            </c:rich>
          </c:tx>
          <c:overlay val="1"/>
        </c:title>
        <c:numFmt formatCode="&quot; €&quot;#,##0.00&quot; &quot;;&quot; €'(&quot;#,##0.00\);&quot; €'-&quot;??,,&quot; &quot;" sourceLinked="0"/>
        <c:majorTickMark val="none"/>
        <c:minorTickMark val="none"/>
        <c:tickLblPos val="nextTo"/>
        <c:spPr>
          <a:ln w="12700" cap="flat">
            <a:solidFill>
              <a:srgbClr val="BFBFBF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450337384"/>
        <c:crosses val="autoZero"/>
        <c:crossBetween val="between"/>
        <c:majorUnit val="20000000"/>
        <c:minorUnit val="10000000"/>
      </c:valAx>
      <c:spPr>
        <a:noFill/>
        <a:ln w="12700" cap="flat">
          <a:noFill/>
          <a:miter lim="400000"/>
        </a:ln>
        <a:effectLst/>
      </c:spPr>
    </c:plotArea>
    <c:plotVisOnly val="1"/>
    <c:dispBlanksAs val="gap"/>
    <c:showDLblsOverMax val="1"/>
  </c:chart>
  <c:spPr>
    <a:solidFill>
      <a:srgbClr val="FFFFFF"/>
    </a:solidFill>
    <a:ln w="12700" cap="flat">
      <a:solidFill>
        <a:srgbClr val="D9D9D9"/>
      </a:solidFill>
      <a:prstDash val="solid"/>
      <a:round/>
    </a:ln>
    <a:effectLst/>
  </c:sp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006900000000001"/>
          <c:y val="6.7571900000000004E-2"/>
          <c:w val="0.88726300000000002"/>
          <c:h val="0.71516999999999997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Number of employees</c:v>
                </c:pt>
              </c:strCache>
            </c:strRef>
          </c:tx>
          <c:spPr>
            <a:ln w="12700" cap="flat">
              <a:noFill/>
              <a:miter lim="400000"/>
            </a:ln>
            <a:effectLst/>
          </c:spPr>
          <c:marker>
            <c:symbol val="circle"/>
            <c:size val="6"/>
            <c:spPr>
              <a:solidFill>
                <a:schemeClr val="tx2">
                  <a:lumMod val="50000"/>
                </a:schemeClr>
              </a:solidFill>
              <a:ln w="9525" cap="flat">
                <a:solidFill>
                  <a:srgbClr val="FFFFFF"/>
                </a:solidFill>
                <a:prstDash val="solid"/>
                <a:miter lim="800000"/>
              </a:ln>
              <a:effectLst/>
            </c:spPr>
          </c:marker>
          <c:trendline>
            <c:spPr>
              <a:ln w="635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trendlineType val="linear"/>
            <c:dispRSqr val="0"/>
            <c:dispEq val="0"/>
          </c:trendline>
          <c:xVal>
            <c:numRef>
              <c:f>Sheet1!$B$2:$J$2</c:f>
              <c:numCache>
                <c:formatCode>General</c:formatCode>
                <c:ptCount val="9"/>
                <c:pt idx="0">
                  <c:v>11</c:v>
                </c:pt>
                <c:pt idx="1">
                  <c:v>32</c:v>
                </c:pt>
                <c:pt idx="2">
                  <c:v>47</c:v>
                </c:pt>
                <c:pt idx="3">
                  <c:v>36</c:v>
                </c:pt>
                <c:pt idx="4">
                  <c:v>8</c:v>
                </c:pt>
                <c:pt idx="5">
                  <c:v>23</c:v>
                </c:pt>
                <c:pt idx="6">
                  <c:v>37</c:v>
                </c:pt>
                <c:pt idx="7">
                  <c:v>22</c:v>
                </c:pt>
                <c:pt idx="8">
                  <c:v>35</c:v>
                </c:pt>
              </c:numCache>
            </c:numRef>
          </c:xVal>
          <c:yVal>
            <c:numRef>
              <c:f>Sheet1!$B$3:$J$3</c:f>
              <c:numCache>
                <c:formatCode>General</c:formatCode>
                <c:ptCount val="9"/>
                <c:pt idx="0">
                  <c:v>2</c:v>
                </c:pt>
                <c:pt idx="1">
                  <c:v>45</c:v>
                </c:pt>
                <c:pt idx="2">
                  <c:v>137</c:v>
                </c:pt>
                <c:pt idx="3">
                  <c:v>140</c:v>
                </c:pt>
                <c:pt idx="4">
                  <c:v>143</c:v>
                </c:pt>
                <c:pt idx="5">
                  <c:v>152</c:v>
                </c:pt>
                <c:pt idx="6">
                  <c:v>162</c:v>
                </c:pt>
                <c:pt idx="7">
                  <c:v>208</c:v>
                </c:pt>
                <c:pt idx="8">
                  <c:v>218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F1C-4CF4-8C8F-F872240A3A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50336992"/>
        <c:axId val="624163072"/>
      </c:scatterChart>
      <c:valAx>
        <c:axId val="450336992"/>
        <c:scaling>
          <c:orientation val="minMax"/>
        </c:scaling>
        <c:delete val="0"/>
        <c:axPos val="b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title>
          <c:tx>
            <c:rich>
              <a:bodyPr rot="0"/>
              <a:lstStyle/>
              <a:p>
                <a:pPr>
                  <a:defRPr sz="1000" b="0" i="0" u="none" strike="noStrike">
                    <a:solidFill>
                      <a:srgbClr val="595959"/>
                    </a:solidFill>
                    <a:latin typeface="Calibri"/>
                  </a:defRPr>
                </a:pPr>
                <a:r>
                  <a:rPr lang="de-DE" sz="1000" b="0" i="0" u="none" strike="noStrike">
                    <a:solidFill>
                      <a:srgbClr val="595959"/>
                    </a:solidFill>
                    <a:latin typeface="Calibri"/>
                  </a:rPr>
                  <a:t>Number quantitative data</a:t>
                </a:r>
              </a:p>
            </c:rich>
          </c:tx>
          <c:overlay val="1"/>
        </c:title>
        <c:numFmt formatCode="0" sourceLinked="0"/>
        <c:majorTickMark val="none"/>
        <c:minorTickMark val="none"/>
        <c:tickLblPos val="nextTo"/>
        <c:spPr>
          <a:ln w="12700" cap="flat">
            <a:solidFill>
              <a:srgbClr val="BFBFBF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624163072"/>
        <c:crosses val="autoZero"/>
        <c:crossBetween val="between"/>
        <c:majorUnit val="12.5"/>
        <c:minorUnit val="6.25"/>
      </c:valAx>
      <c:valAx>
        <c:axId val="624163072"/>
        <c:scaling>
          <c:orientation val="minMax"/>
        </c:scaling>
        <c:delete val="0"/>
        <c:axPos val="l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title>
          <c:tx>
            <c:rich>
              <a:bodyPr rot="-5400000"/>
              <a:lstStyle/>
              <a:p>
                <a:pPr>
                  <a:defRPr sz="1000" b="0" i="0" u="none" strike="noStrike">
                    <a:solidFill>
                      <a:srgbClr val="595959"/>
                    </a:solidFill>
                    <a:latin typeface="Calibri"/>
                  </a:defRPr>
                </a:pPr>
                <a:r>
                  <a:rPr lang="de-DE" sz="1000" b="0" i="0" u="none" strike="noStrike" baseline="0">
                    <a:effectLst/>
                  </a:rPr>
                  <a:t>number of employees</a:t>
                </a:r>
                <a:endParaRPr lang="de-DE" sz="1000" b="0" i="0" u="none" strike="noStrike">
                  <a:solidFill>
                    <a:srgbClr val="595959"/>
                  </a:solidFill>
                  <a:latin typeface="Calibri"/>
                </a:endParaRPr>
              </a:p>
            </c:rich>
          </c:tx>
          <c:overlay val="1"/>
        </c:title>
        <c:numFmt formatCode="0" sourceLinked="0"/>
        <c:majorTickMark val="none"/>
        <c:minorTickMark val="none"/>
        <c:tickLblPos val="nextTo"/>
        <c:spPr>
          <a:ln w="12700" cap="flat">
            <a:solidFill>
              <a:srgbClr val="BFBFBF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450336992"/>
        <c:crosses val="autoZero"/>
        <c:crossBetween val="between"/>
        <c:majorUnit val="75"/>
        <c:minorUnit val="37.5"/>
      </c:valAx>
      <c:spPr>
        <a:noFill/>
        <a:ln w="12700" cap="flat">
          <a:noFill/>
          <a:miter lim="400000"/>
        </a:ln>
        <a:effectLst/>
      </c:spPr>
    </c:plotArea>
    <c:plotVisOnly val="1"/>
    <c:dispBlanksAs val="gap"/>
    <c:showDLblsOverMax val="1"/>
  </c:chart>
  <c:spPr>
    <a:solidFill>
      <a:srgbClr val="FFFFFF"/>
    </a:solidFill>
    <a:ln w="12700" cap="flat">
      <a:solidFill>
        <a:srgbClr val="D9D9D9"/>
      </a:solidFill>
      <a:prstDash val="solid"/>
      <a:round/>
    </a:ln>
    <a:effectLst/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 b="0" i="0" u="none" strike="noStrike" baseline="0">
                <a:solidFill>
                  <a:schemeClr val="tx1">
                    <a:lumMod val="50000"/>
                    <a:lumOff val="50000"/>
                  </a:schemeClr>
                </a:solidFill>
                <a:effectLst/>
              </a:rPr>
              <a:t>Number of published sustainability reports </a:t>
            </a:r>
            <a:endParaRPr lang="en-US" sz="1400" b="0">
              <a:solidFill>
                <a:schemeClr val="tx1">
                  <a:lumMod val="50000"/>
                  <a:lumOff val="50000"/>
                </a:schemeClr>
              </a:solidFill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420236"/>
          <c:y val="0.16509258524169354"/>
          <c:w val="0.56810899999999998"/>
          <c:h val="0.7237555663012333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Series1</c:v>
                </c:pt>
              </c:strCache>
            </c:strRef>
          </c:tx>
          <c:spPr>
            <a:solidFill>
              <a:schemeClr val="tx2">
                <a:lumMod val="50000"/>
              </a:schemeClr>
            </a:solidFill>
            <a:ln w="19050" cap="flat">
              <a:solidFill>
                <a:srgbClr val="FFFFFF"/>
              </a:solidFill>
              <a:prstDash val="solid"/>
              <a:round/>
            </a:ln>
            <a:effectLst/>
          </c:spPr>
          <c:invertIfNegative val="0"/>
          <c:cat>
            <c:strRef>
              <c:f>Sheet1!$B$1:$J$1</c:f>
              <c:strCache>
                <c:ptCount val="9"/>
                <c:pt idx="0">
                  <c:v>Steinbildhauerei Vincent</c:v>
                </c:pt>
                <c:pt idx="1">
                  <c:v>HAKRO GmbH </c:v>
                </c:pt>
                <c:pt idx="2">
                  <c:v>Gerüstbau Gemeinhardt GmbH </c:v>
                </c:pt>
                <c:pt idx="3">
                  <c:v>Gebäudeservice Wodara GmbH</c:v>
                </c:pt>
                <c:pt idx="4">
                  <c:v>ARNO GmbH</c:v>
                </c:pt>
                <c:pt idx="5">
                  <c:v>Neumarkter Lammsbräu Gebr. Ehrnsperger KG</c:v>
                </c:pt>
                <c:pt idx="6">
                  <c:v>Pure Taste Group GmbH &amp; Co. KG</c:v>
                </c:pt>
                <c:pt idx="7">
                  <c:v>Nicos AG</c:v>
                </c:pt>
                <c:pt idx="8">
                  <c:v>memo AG</c:v>
                </c:pt>
              </c:strCache>
            </c:strRef>
          </c:cat>
          <c:val>
            <c:numRef>
              <c:f>Sheet1!$B$2:$J$2</c:f>
              <c:numCache>
                <c:formatCode>General</c:formatCode>
                <c:ptCount val="9"/>
                <c:pt idx="0">
                  <c:v>5</c:v>
                </c:pt>
                <c:pt idx="1">
                  <c:v>5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10</c:v>
                </c:pt>
                <c:pt idx="6">
                  <c:v>2</c:v>
                </c:pt>
                <c:pt idx="7">
                  <c:v>1</c:v>
                </c:pt>
                <c:pt idx="8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50-4852-B123-6D12D5F3E0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21971984"/>
        <c:axId val="621973944"/>
      </c:barChart>
      <c:catAx>
        <c:axId val="621971984"/>
        <c:scaling>
          <c:orientation val="maxMin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ln w="12700" cap="flat">
            <a:solidFill>
              <a:srgbClr val="D9D9D9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621973944"/>
        <c:crosses val="autoZero"/>
        <c:auto val="1"/>
        <c:lblAlgn val="ctr"/>
        <c:lblOffset val="100"/>
        <c:noMultiLvlLbl val="1"/>
      </c:catAx>
      <c:valAx>
        <c:axId val="621973944"/>
        <c:scaling>
          <c:orientation val="minMax"/>
          <c:max val="10"/>
        </c:scaling>
        <c:delete val="0"/>
        <c:axPos val="t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numFmt formatCode="0" sourceLinked="0"/>
        <c:majorTickMark val="none"/>
        <c:minorTickMark val="none"/>
        <c:tickLblPos val="high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621971984"/>
        <c:crosses val="autoZero"/>
        <c:crossBetween val="between"/>
        <c:majorUnit val="2.5"/>
        <c:minorUnit val="1.25"/>
      </c:valAx>
      <c:spPr>
        <a:noFill/>
        <a:ln w="12700" cap="flat">
          <a:noFill/>
          <a:miter lim="400000"/>
        </a:ln>
        <a:effectLst/>
      </c:spPr>
    </c:plotArea>
    <c:plotVisOnly val="1"/>
    <c:dispBlanksAs val="gap"/>
    <c:showDLblsOverMax val="1"/>
  </c:chart>
  <c:spPr>
    <a:solidFill>
      <a:srgbClr val="FFFFFF"/>
    </a:solidFill>
    <a:ln w="12700" cap="flat">
      <a:solidFill>
        <a:srgbClr val="D9D9D9"/>
      </a:solidFill>
      <a:prstDash val="solid"/>
      <a:round/>
    </a:ln>
    <a:effectLst/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/>
          <a:lstStyle/>
          <a:p>
            <a:pPr>
              <a:defRPr sz="1200" b="0" i="0" u="none" strike="noStrike">
                <a:solidFill>
                  <a:srgbClr val="595959"/>
                </a:solidFill>
                <a:latin typeface="Calibri"/>
              </a:defRPr>
            </a:pPr>
            <a:r>
              <a:rPr lang="de-DE" sz="1400" b="0" i="0" u="none" strike="noStrike">
                <a:solidFill>
                  <a:srgbClr val="595959"/>
                </a:solidFill>
                <a:latin typeface="Calibri"/>
              </a:rPr>
              <a:t>Degree of conformity DNK reports</a:t>
            </a:r>
          </a:p>
        </c:rich>
      </c:tx>
      <c:layout>
        <c:manualLayout>
          <c:xMode val="edge"/>
          <c:yMode val="edge"/>
          <c:x val="0.319822"/>
          <c:y val="0"/>
          <c:w val="0.36035600000000001"/>
          <c:h val="0.25249899999999997"/>
        </c:manualLayout>
      </c:layout>
      <c:overlay val="1"/>
      <c:spPr>
        <a:noFill/>
        <a:effectLst/>
      </c:spPr>
    </c:title>
    <c:autoTitleDeleted val="0"/>
    <c:plotArea>
      <c:layout>
        <c:manualLayout>
          <c:layoutTarget val="inner"/>
          <c:xMode val="edge"/>
          <c:yMode val="edge"/>
          <c:x val="0.35502499999999998"/>
          <c:y val="0.25249899999999997"/>
          <c:w val="0.28994999999999999"/>
          <c:h val="0.64062799999999998"/>
        </c:manualLayout>
      </c:layout>
      <c:radarChart>
        <c:radarStyle val="marker"/>
        <c:varyColors val="0"/>
        <c:ser>
          <c:idx val="1"/>
          <c:order val="0"/>
          <c:tx>
            <c:strRef>
              <c:f>Sheet1!$A$3</c:f>
              <c:strCache>
                <c:ptCount val="1"/>
                <c:pt idx="0">
                  <c:v>ARNO GmbH</c:v>
                </c:pt>
              </c:strCache>
            </c:strRef>
          </c:tx>
          <c:spPr>
            <a:ln w="28575" cap="rnd">
              <a:solidFill>
                <a:srgbClr val="3C65AD"/>
              </a:solidFill>
              <a:prstDash val="solid"/>
              <a:round/>
            </a:ln>
            <a:effectLst/>
          </c:spPr>
          <c:marker>
            <c:symbol val="circle"/>
            <c:size val="4"/>
            <c:spPr>
              <a:solidFill>
                <a:srgbClr val="3C65AD"/>
              </a:solidFill>
              <a:ln w="9525" cap="flat">
                <a:solidFill>
                  <a:srgbClr val="3C65AD"/>
                </a:solidFill>
                <a:prstDash val="solid"/>
                <a:miter lim="800000"/>
              </a:ln>
              <a:effectLst/>
            </c:spPr>
          </c:marker>
          <c:cat>
            <c:strRef>
              <c:f>Sheet1!$B$1:$I$1</c:f>
              <c:strCache>
                <c:ptCount val="8"/>
                <c:pt idx="0">
                  <c:v>Social environment</c:v>
                </c:pt>
                <c:pt idx="1">
                  <c:v>Governance und Compliance</c:v>
                </c:pt>
                <c:pt idx="2">
                  <c:v>Product responsibility</c:v>
                </c:pt>
                <c:pt idx="3">
                  <c:v>Locational environmental aspects </c:v>
                </c:pt>
                <c:pt idx="4">
                  <c:v>Strategy and goal development</c:v>
                </c:pt>
                <c:pt idx="5">
                  <c:v>Company profile</c:v>
                </c:pt>
                <c:pt idx="6">
                  <c:v>Responsibility for the employees</c:v>
                </c:pt>
                <c:pt idx="7">
                  <c:v>Responsibility in the supply chain </c:v>
                </c:pt>
              </c:strCache>
            </c:strRef>
          </c:cat>
          <c:val>
            <c:numRef>
              <c:f>Sheet1!$B$3:$I$3</c:f>
              <c:numCache>
                <c:formatCode>General</c:formatCode>
                <c:ptCount val="8"/>
                <c:pt idx="0">
                  <c:v>0.23076923076923081</c:v>
                </c:pt>
                <c:pt idx="1">
                  <c:v>0.75</c:v>
                </c:pt>
                <c:pt idx="2">
                  <c:v>0.30769230769230771</c:v>
                </c:pt>
                <c:pt idx="3">
                  <c:v>0.41379310344827591</c:v>
                </c:pt>
                <c:pt idx="4">
                  <c:v>0.77777777777777779</c:v>
                </c:pt>
                <c:pt idx="5">
                  <c:v>1</c:v>
                </c:pt>
                <c:pt idx="6">
                  <c:v>0.62857142857142856</c:v>
                </c:pt>
                <c:pt idx="7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C0-40B1-9316-9F1D4A8B56D0}"/>
            </c:ext>
          </c:extLst>
        </c:ser>
        <c:ser>
          <c:idx val="0"/>
          <c:order val="1"/>
          <c:tx>
            <c:strRef>
              <c:f>Sheet1!$A$2</c:f>
              <c:strCache>
                <c:ptCount val="1"/>
                <c:pt idx="0">
                  <c:v>Stone sculpture Vincent</c:v>
                </c:pt>
              </c:strCache>
            </c:strRef>
          </c:tx>
          <c:spPr>
            <a:ln w="28575" cap="rnd">
              <a:solidFill>
                <a:srgbClr val="8DA0D3"/>
              </a:solidFill>
              <a:prstDash val="solid"/>
              <a:round/>
            </a:ln>
            <a:effectLst/>
          </c:spPr>
          <c:marker>
            <c:symbol val="circle"/>
            <c:size val="4"/>
            <c:spPr>
              <a:solidFill>
                <a:srgbClr val="8DA0D3"/>
              </a:solidFill>
              <a:ln w="9525" cap="flat">
                <a:solidFill>
                  <a:srgbClr val="8DA0D3"/>
                </a:solidFill>
                <a:prstDash val="solid"/>
                <a:miter lim="800000"/>
              </a:ln>
              <a:effectLst/>
            </c:spPr>
          </c:marker>
          <c:cat>
            <c:strRef>
              <c:f>Sheet1!$B$1:$I$1</c:f>
              <c:strCache>
                <c:ptCount val="8"/>
                <c:pt idx="0">
                  <c:v>Social environment</c:v>
                </c:pt>
                <c:pt idx="1">
                  <c:v>Governance und Compliance</c:v>
                </c:pt>
                <c:pt idx="2">
                  <c:v>Product responsibility</c:v>
                </c:pt>
                <c:pt idx="3">
                  <c:v>Locational environmental aspects </c:v>
                </c:pt>
                <c:pt idx="4">
                  <c:v>Strategy and goal development</c:v>
                </c:pt>
                <c:pt idx="5">
                  <c:v>Company profile</c:v>
                </c:pt>
                <c:pt idx="6">
                  <c:v>Responsibility for the employees</c:v>
                </c:pt>
                <c:pt idx="7">
                  <c:v>Responsibility in the supply chain </c:v>
                </c:pt>
              </c:strCache>
            </c:strRef>
          </c:cat>
          <c:val>
            <c:numRef>
              <c:f>Sheet1!$B$2:$I$2</c:f>
              <c:numCache>
                <c:formatCode>General</c:formatCode>
                <c:ptCount val="8"/>
                <c:pt idx="0">
                  <c:v>0.23076923076923081</c:v>
                </c:pt>
                <c:pt idx="1">
                  <c:v>0.375</c:v>
                </c:pt>
                <c:pt idx="2">
                  <c:v>0.15384615384615391</c:v>
                </c:pt>
                <c:pt idx="3">
                  <c:v>0.27586206896551718</c:v>
                </c:pt>
                <c:pt idx="4">
                  <c:v>0.22222222222222221</c:v>
                </c:pt>
                <c:pt idx="5">
                  <c:v>0.33333333333333331</c:v>
                </c:pt>
                <c:pt idx="6">
                  <c:v>0.2857142857142857</c:v>
                </c:pt>
                <c:pt idx="7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C0-40B1-9316-9F1D4A8B56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1977080"/>
        <c:axId val="621977472"/>
      </c:radarChart>
      <c:catAx>
        <c:axId val="6219770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ln w="12700" cap="flat">
            <a:solidFill>
              <a:srgbClr val="D9D9D9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621977472"/>
        <c:crosses val="autoZero"/>
        <c:auto val="1"/>
        <c:lblAlgn val="ctr"/>
        <c:lblOffset val="100"/>
        <c:noMultiLvlLbl val="1"/>
      </c:catAx>
      <c:valAx>
        <c:axId val="621977472"/>
        <c:scaling>
          <c:orientation val="minMax"/>
        </c:scaling>
        <c:delete val="0"/>
        <c:axPos val="l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numFmt formatCode="0%" sourceLinked="0"/>
        <c:majorTickMark val="none"/>
        <c:minorTickMark val="none"/>
        <c:tickLblPos val="nextTo"/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621977080"/>
        <c:crosses val="autoZero"/>
        <c:crossBetween val="between"/>
        <c:majorUnit val="0.25"/>
        <c:minorUnit val="0.125"/>
      </c:valAx>
      <c:spPr>
        <a:noFill/>
        <a:ln w="12700" cap="flat">
          <a:noFill/>
          <a:miter lim="400000"/>
        </a:ln>
        <a:effectLst/>
      </c:spPr>
    </c:plotArea>
    <c:legend>
      <c:legendPos val="t"/>
      <c:layout>
        <c:manualLayout>
          <c:xMode val="edge"/>
          <c:yMode val="edge"/>
          <c:x val="0.289657"/>
          <c:y val="0.13309399999999999"/>
          <c:w val="0.406194"/>
          <c:h val="6.9738599999999998E-2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sz="900" b="0" i="0" u="none" strike="noStrike">
              <a:solidFill>
                <a:srgbClr val="595959"/>
              </a:solidFill>
              <a:latin typeface="Calibri"/>
            </a:defRPr>
          </a:pPr>
          <a:endParaRPr lang="de-DE"/>
        </a:p>
      </c:txPr>
    </c:legend>
    <c:plotVisOnly val="1"/>
    <c:dispBlanksAs val="gap"/>
    <c:showDLblsOverMax val="1"/>
  </c:chart>
  <c:spPr>
    <a:solidFill>
      <a:srgbClr val="FFFFFF"/>
    </a:solidFill>
    <a:ln w="12700" cap="flat">
      <a:solidFill>
        <a:srgbClr val="D9D9D9"/>
      </a:solidFill>
      <a:prstDash val="solid"/>
      <a:round/>
    </a:ln>
    <a:effectLst/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/>
          <a:lstStyle/>
          <a:p>
            <a:pPr>
              <a:defRPr sz="1400" b="0" i="0" u="none" strike="noStrike">
                <a:solidFill>
                  <a:srgbClr val="595959"/>
                </a:solidFill>
                <a:latin typeface="Calibri"/>
              </a:defRPr>
            </a:pPr>
            <a:r>
              <a:rPr lang="de-DE" sz="1400" b="0" i="0" u="none" strike="noStrike">
                <a:solidFill>
                  <a:srgbClr val="595959"/>
                </a:solidFill>
                <a:latin typeface="Calibri"/>
              </a:rPr>
              <a:t>Degree of conformity GWÖ reports</a:t>
            </a:r>
          </a:p>
        </c:rich>
      </c:tx>
      <c:layout>
        <c:manualLayout>
          <c:xMode val="edge"/>
          <c:yMode val="edge"/>
          <c:x val="0.339559"/>
          <c:y val="0"/>
          <c:w val="0.320882"/>
          <c:h val="0.25580399999999998"/>
        </c:manualLayout>
      </c:layout>
      <c:overlay val="1"/>
      <c:spPr>
        <a:noFill/>
        <a:effectLst/>
      </c:spPr>
    </c:title>
    <c:autoTitleDeleted val="0"/>
    <c:plotArea>
      <c:layout>
        <c:manualLayout>
          <c:layoutTarget val="inner"/>
          <c:xMode val="edge"/>
          <c:yMode val="edge"/>
          <c:x val="0.344719"/>
          <c:y val="0.32380051541608068"/>
          <c:w val="0.27256880919410109"/>
          <c:h val="0.57750979790264212"/>
        </c:manualLayout>
      </c:layout>
      <c:radarChart>
        <c:radarStyle val="marker"/>
        <c:varyColors val="0"/>
        <c:ser>
          <c:idx val="2"/>
          <c:order val="0"/>
          <c:tx>
            <c:strRef>
              <c:f>Sheet1!$A$4</c:f>
              <c:strCache>
                <c:ptCount val="1"/>
                <c:pt idx="0">
                  <c:v>Gebäudeservice Wodara GmbH</c:v>
                </c:pt>
              </c:strCache>
            </c:strRef>
          </c:tx>
          <c:spPr>
            <a:ln w="28575" cap="rnd">
              <a:solidFill>
                <a:srgbClr val="C36728"/>
              </a:solidFill>
              <a:prstDash val="solid"/>
              <a:round/>
            </a:ln>
            <a:effectLst/>
          </c:spPr>
          <c:marker>
            <c:symbol val="circle"/>
            <c:size val="4"/>
            <c:spPr>
              <a:solidFill>
                <a:srgbClr val="C36728"/>
              </a:solidFill>
              <a:ln w="9525" cap="flat">
                <a:solidFill>
                  <a:srgbClr val="C36728"/>
                </a:solidFill>
                <a:prstDash val="solid"/>
                <a:miter lim="800000"/>
              </a:ln>
              <a:effectLst/>
            </c:spPr>
          </c:marker>
          <c:cat>
            <c:strRef>
              <c:f>Sheet1!$B$1:$I$1</c:f>
              <c:strCache>
                <c:ptCount val="8"/>
                <c:pt idx="0">
                  <c:v>Social environment</c:v>
                </c:pt>
                <c:pt idx="1">
                  <c:v>Governance und Compliance</c:v>
                </c:pt>
                <c:pt idx="2">
                  <c:v>Product responsibility</c:v>
                </c:pt>
                <c:pt idx="3">
                  <c:v>Locational environmental aspects </c:v>
                </c:pt>
                <c:pt idx="4">
                  <c:v>Strategy and goal development</c:v>
                </c:pt>
                <c:pt idx="5">
                  <c:v>Company profile</c:v>
                </c:pt>
                <c:pt idx="6">
                  <c:v>Responsibility for the employees</c:v>
                </c:pt>
                <c:pt idx="7">
                  <c:v>Responsibility in the supply chain </c:v>
                </c:pt>
              </c:strCache>
            </c:strRef>
          </c:cat>
          <c:val>
            <c:numRef>
              <c:f>Sheet1!$B$4:$I$4</c:f>
              <c:numCache>
                <c:formatCode>General</c:formatCode>
                <c:ptCount val="8"/>
                <c:pt idx="0">
                  <c:v>0.53846153846153844</c:v>
                </c:pt>
                <c:pt idx="1">
                  <c:v>0</c:v>
                </c:pt>
                <c:pt idx="2">
                  <c:v>0.30769230769230771</c:v>
                </c:pt>
                <c:pt idx="3">
                  <c:v>0.13793103448275859</c:v>
                </c:pt>
                <c:pt idx="4">
                  <c:v>0.1111111111111111</c:v>
                </c:pt>
                <c:pt idx="5">
                  <c:v>1</c:v>
                </c:pt>
                <c:pt idx="6">
                  <c:v>0.68571428571428572</c:v>
                </c:pt>
                <c:pt idx="7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15-4881-8698-33D448F98DAC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Neumarkter Lammsbräu Gebr. Ehrnsperger KG</c:v>
                </c:pt>
              </c:strCache>
            </c:strRef>
          </c:tx>
          <c:spPr>
            <a:ln w="28575" cap="rnd">
              <a:solidFill>
                <a:schemeClr val="accent2"/>
              </a:solidFill>
              <a:prstDash val="solid"/>
              <a:round/>
            </a:ln>
            <a:effectLst/>
          </c:spPr>
          <c:marker>
            <c:symbol val="circle"/>
            <c:size val="4"/>
            <c:spPr>
              <a:solidFill>
                <a:schemeClr val="accent2"/>
              </a:solidFill>
              <a:ln w="9525" cap="flat">
                <a:solidFill>
                  <a:schemeClr val="accent2"/>
                </a:solidFill>
                <a:prstDash val="solid"/>
                <a:miter lim="800000"/>
              </a:ln>
              <a:effectLst/>
            </c:spPr>
          </c:marker>
          <c:cat>
            <c:strRef>
              <c:f>Sheet1!$B$1:$I$1</c:f>
              <c:strCache>
                <c:ptCount val="8"/>
                <c:pt idx="0">
                  <c:v>Social environment</c:v>
                </c:pt>
                <c:pt idx="1">
                  <c:v>Governance und Compliance</c:v>
                </c:pt>
                <c:pt idx="2">
                  <c:v>Product responsibility</c:v>
                </c:pt>
                <c:pt idx="3">
                  <c:v>Locational environmental aspects </c:v>
                </c:pt>
                <c:pt idx="4">
                  <c:v>Strategy and goal development</c:v>
                </c:pt>
                <c:pt idx="5">
                  <c:v>Company profile</c:v>
                </c:pt>
                <c:pt idx="6">
                  <c:v>Responsibility for the employees</c:v>
                </c:pt>
                <c:pt idx="7">
                  <c:v>Responsibility in the supply chain </c:v>
                </c:pt>
              </c:strCache>
            </c:strRef>
          </c:cat>
          <c:val>
            <c:numRef>
              <c:f>Sheet1!$B$3:$I$3</c:f>
              <c:numCache>
                <c:formatCode>General</c:formatCode>
                <c:ptCount val="8"/>
                <c:pt idx="0">
                  <c:v>0.92307692307692313</c:v>
                </c:pt>
                <c:pt idx="1">
                  <c:v>0.625</c:v>
                </c:pt>
                <c:pt idx="2">
                  <c:v>0.61538461538461542</c:v>
                </c:pt>
                <c:pt idx="3">
                  <c:v>0.65517241379310343</c:v>
                </c:pt>
                <c:pt idx="4">
                  <c:v>0.55555555555555558</c:v>
                </c:pt>
                <c:pt idx="5">
                  <c:v>1</c:v>
                </c:pt>
                <c:pt idx="6">
                  <c:v>0.74285714285714288</c:v>
                </c:pt>
                <c:pt idx="7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D15-4881-8698-33D448F98DAC}"/>
            </c:ext>
          </c:extLst>
        </c:ser>
        <c:ser>
          <c:idx val="0"/>
          <c:order val="2"/>
          <c:tx>
            <c:strRef>
              <c:f>Sheet1!$A$2</c:f>
              <c:strCache>
                <c:ptCount val="1"/>
                <c:pt idx="0">
                  <c:v>Gerüstbau Gemeinhardt GmbH</c:v>
                </c:pt>
              </c:strCache>
            </c:strRef>
          </c:tx>
          <c:spPr>
            <a:ln w="28575" cap="rnd">
              <a:solidFill>
                <a:srgbClr val="F3B8A2"/>
              </a:solidFill>
              <a:prstDash val="solid"/>
              <a:round/>
            </a:ln>
            <a:effectLst/>
          </c:spPr>
          <c:marker>
            <c:symbol val="circle"/>
            <c:size val="4"/>
            <c:spPr>
              <a:solidFill>
                <a:srgbClr val="F3B8A2"/>
              </a:solidFill>
              <a:ln w="9525" cap="flat">
                <a:solidFill>
                  <a:srgbClr val="F3B8A2"/>
                </a:solidFill>
                <a:prstDash val="solid"/>
                <a:miter lim="800000"/>
              </a:ln>
              <a:effectLst/>
            </c:spPr>
          </c:marker>
          <c:cat>
            <c:strRef>
              <c:f>Sheet1!$B$1:$I$1</c:f>
              <c:strCache>
                <c:ptCount val="8"/>
                <c:pt idx="0">
                  <c:v>Social environment</c:v>
                </c:pt>
                <c:pt idx="1">
                  <c:v>Governance und Compliance</c:v>
                </c:pt>
                <c:pt idx="2">
                  <c:v>Product responsibility</c:v>
                </c:pt>
                <c:pt idx="3">
                  <c:v>Locational environmental aspects </c:v>
                </c:pt>
                <c:pt idx="4">
                  <c:v>Strategy and goal development</c:v>
                </c:pt>
                <c:pt idx="5">
                  <c:v>Company profile</c:v>
                </c:pt>
                <c:pt idx="6">
                  <c:v>Responsibility for the employees</c:v>
                </c:pt>
                <c:pt idx="7">
                  <c:v>Responsibility in the supply chain </c:v>
                </c:pt>
              </c:strCache>
            </c:strRef>
          </c:cat>
          <c:val>
            <c:numRef>
              <c:f>Sheet1!$B$2:$I$2</c:f>
              <c:numCache>
                <c:formatCode>General</c:formatCode>
                <c:ptCount val="8"/>
                <c:pt idx="0">
                  <c:v>0.38461538461538458</c:v>
                </c:pt>
                <c:pt idx="1">
                  <c:v>0.125</c:v>
                </c:pt>
                <c:pt idx="2">
                  <c:v>0.15384615384615391</c:v>
                </c:pt>
                <c:pt idx="3">
                  <c:v>0.2068965517241379</c:v>
                </c:pt>
                <c:pt idx="4">
                  <c:v>0.22222222222222221</c:v>
                </c:pt>
                <c:pt idx="5">
                  <c:v>1</c:v>
                </c:pt>
                <c:pt idx="6">
                  <c:v>0.51428571428571423</c:v>
                </c:pt>
                <c:pt idx="7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D15-4881-8698-33D448F98D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98572984"/>
        <c:axId val="598563576"/>
      </c:radarChart>
      <c:catAx>
        <c:axId val="5985729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ln w="12700" cap="flat">
            <a:solidFill>
              <a:srgbClr val="D9D9D9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808080"/>
                </a:solidFill>
                <a:latin typeface="Calibri"/>
              </a:defRPr>
            </a:pPr>
            <a:endParaRPr lang="de-DE"/>
          </a:p>
        </c:txPr>
        <c:crossAx val="598563576"/>
        <c:crosses val="autoZero"/>
        <c:auto val="1"/>
        <c:lblAlgn val="ctr"/>
        <c:lblOffset val="100"/>
        <c:noMultiLvlLbl val="1"/>
      </c:catAx>
      <c:valAx>
        <c:axId val="598563576"/>
        <c:scaling>
          <c:orientation val="minMax"/>
        </c:scaling>
        <c:delete val="0"/>
        <c:axPos val="l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numFmt formatCode="0%" sourceLinked="0"/>
        <c:majorTickMark val="none"/>
        <c:minorTickMark val="none"/>
        <c:tickLblPos val="nextTo"/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598572984"/>
        <c:crosses val="autoZero"/>
        <c:crossBetween val="between"/>
        <c:majorUnit val="0.25"/>
        <c:minorUnit val="0.125"/>
      </c:valAx>
      <c:spPr>
        <a:noFill/>
        <a:ln w="12700" cap="flat">
          <a:noFill/>
          <a:miter lim="400000"/>
        </a:ln>
        <a:effectLst/>
      </c:spPr>
    </c:plotArea>
    <c:legend>
      <c:legendPos val="t"/>
      <c:layout>
        <c:manualLayout>
          <c:xMode val="edge"/>
          <c:yMode val="edge"/>
          <c:x val="0.14709800000000001"/>
          <c:y val="0.107422"/>
          <c:w val="0.67714600000000003"/>
          <c:h val="0.14757899999999999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sz="900" b="0" i="0" u="none" strike="noStrike">
              <a:solidFill>
                <a:srgbClr val="595959"/>
              </a:solidFill>
              <a:latin typeface="Calibri"/>
            </a:defRPr>
          </a:pPr>
          <a:endParaRPr lang="de-DE"/>
        </a:p>
      </c:txPr>
    </c:legend>
    <c:plotVisOnly val="1"/>
    <c:dispBlanksAs val="gap"/>
    <c:showDLblsOverMax val="1"/>
  </c:chart>
  <c:spPr>
    <a:solidFill>
      <a:srgbClr val="FFFFFF"/>
    </a:solidFill>
    <a:ln w="12700" cap="flat">
      <a:solidFill>
        <a:srgbClr val="D9D9D9"/>
      </a:solidFill>
      <a:prstDash val="solid"/>
      <a:round/>
    </a:ln>
    <a:effectLst/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/>
          <a:lstStyle/>
          <a:p>
            <a:pPr>
              <a:defRPr sz="1400" b="0" i="0" u="none" strike="noStrike">
                <a:solidFill>
                  <a:srgbClr val="595959"/>
                </a:solidFill>
                <a:latin typeface="Calibri"/>
              </a:defRPr>
            </a:pPr>
            <a:r>
              <a:rPr lang="de-DE" sz="1400" b="0" i="0" u="none" strike="noStrike">
                <a:solidFill>
                  <a:srgbClr val="595959"/>
                </a:solidFill>
                <a:latin typeface="Calibri"/>
              </a:rPr>
              <a:t>Degree of conformity GRI reports</a:t>
            </a:r>
          </a:p>
        </c:rich>
      </c:tx>
      <c:layout>
        <c:manualLayout>
          <c:xMode val="edge"/>
          <c:yMode val="edge"/>
          <c:x val="0.306778"/>
          <c:y val="0"/>
          <c:w val="0.38644299999999998"/>
          <c:h val="0.241067"/>
        </c:manualLayout>
      </c:layout>
      <c:overlay val="1"/>
      <c:spPr>
        <a:noFill/>
        <a:effectLst/>
      </c:spPr>
    </c:title>
    <c:autoTitleDeleted val="0"/>
    <c:plotArea>
      <c:layout>
        <c:manualLayout>
          <c:layoutTarget val="inner"/>
          <c:xMode val="edge"/>
          <c:yMode val="edge"/>
          <c:x val="0.33505200000000002"/>
          <c:y val="0.31370105654118591"/>
          <c:w val="0.28843083810738696"/>
          <c:h val="0.59257410170449476"/>
        </c:manualLayout>
      </c:layout>
      <c:radarChart>
        <c:radarStyle val="marker"/>
        <c:varyColors val="0"/>
        <c:ser>
          <c:idx val="1"/>
          <c:order val="0"/>
          <c:tx>
            <c:strRef>
              <c:f>Sheet1!$A$3</c:f>
              <c:strCache>
                <c:ptCount val="1"/>
                <c:pt idx="0">
                  <c:v>HAKRO GmbH</c:v>
                </c:pt>
              </c:strCache>
            </c:strRef>
          </c:tx>
          <c:spPr>
            <a:ln w="28575" cap="rnd">
              <a:solidFill>
                <a:srgbClr val="E1A900"/>
              </a:solidFill>
              <a:prstDash val="solid"/>
              <a:round/>
            </a:ln>
            <a:effectLst/>
          </c:spPr>
          <c:marker>
            <c:symbol val="circle"/>
            <c:size val="4"/>
            <c:spPr>
              <a:solidFill>
                <a:srgbClr val="E1A900"/>
              </a:solidFill>
              <a:ln w="9525" cap="flat">
                <a:solidFill>
                  <a:srgbClr val="E1A900"/>
                </a:solidFill>
                <a:prstDash val="solid"/>
                <a:miter lim="800000"/>
              </a:ln>
              <a:effectLst/>
            </c:spPr>
          </c:marker>
          <c:cat>
            <c:strRef>
              <c:f>Sheet1!$B$1:$I$1</c:f>
              <c:strCache>
                <c:ptCount val="8"/>
                <c:pt idx="0">
                  <c:v>Social environment</c:v>
                </c:pt>
                <c:pt idx="1">
                  <c:v>Governance und Compliance</c:v>
                </c:pt>
                <c:pt idx="2">
                  <c:v>Product responsibility</c:v>
                </c:pt>
                <c:pt idx="3">
                  <c:v>Locational environmental aspects </c:v>
                </c:pt>
                <c:pt idx="4">
                  <c:v>Strategy and goal development</c:v>
                </c:pt>
                <c:pt idx="5">
                  <c:v>Company profile</c:v>
                </c:pt>
                <c:pt idx="6">
                  <c:v>Responsibility for the employees</c:v>
                </c:pt>
                <c:pt idx="7">
                  <c:v>Responsibility in the supply chain </c:v>
                </c:pt>
              </c:strCache>
            </c:strRef>
          </c:cat>
          <c:val>
            <c:numRef>
              <c:f>Sheet1!$B$3:$I$3</c:f>
              <c:numCache>
                <c:formatCode>General</c:formatCode>
                <c:ptCount val="8"/>
                <c:pt idx="0">
                  <c:v>0.46153846153846162</c:v>
                </c:pt>
                <c:pt idx="1">
                  <c:v>0.875</c:v>
                </c:pt>
                <c:pt idx="2">
                  <c:v>0.30769230769230771</c:v>
                </c:pt>
                <c:pt idx="3">
                  <c:v>0.58620689655172409</c:v>
                </c:pt>
                <c:pt idx="4">
                  <c:v>0.66666666666666663</c:v>
                </c:pt>
                <c:pt idx="5">
                  <c:v>1</c:v>
                </c:pt>
                <c:pt idx="6">
                  <c:v>0.74285714285714288</c:v>
                </c:pt>
                <c:pt idx="7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46-4EE9-AB68-A016F121EB4D}"/>
            </c:ext>
          </c:extLst>
        </c:ser>
        <c:ser>
          <c:idx val="0"/>
          <c:order val="1"/>
          <c:tx>
            <c:strRef>
              <c:f>Sheet1!$A$2</c:f>
              <c:strCache>
                <c:ptCount val="1"/>
                <c:pt idx="0">
                  <c:v>Pure Taste Group GmbH &amp;amp; Co. KG</c:v>
                </c:pt>
              </c:strCache>
            </c:strRef>
          </c:tx>
          <c:spPr>
            <a:ln w="28575" cap="rnd">
              <a:solidFill>
                <a:srgbClr val="FFD183"/>
              </a:solidFill>
              <a:prstDash val="solid"/>
              <a:round/>
            </a:ln>
            <a:effectLst/>
          </c:spPr>
          <c:marker>
            <c:symbol val="circle"/>
            <c:size val="4"/>
            <c:spPr>
              <a:solidFill>
                <a:srgbClr val="FFD183"/>
              </a:solidFill>
              <a:ln w="9525" cap="flat">
                <a:solidFill>
                  <a:srgbClr val="FFD183"/>
                </a:solidFill>
                <a:prstDash val="solid"/>
                <a:miter lim="800000"/>
              </a:ln>
              <a:effectLst/>
            </c:spPr>
          </c:marker>
          <c:cat>
            <c:strRef>
              <c:f>Sheet1!$B$1:$I$1</c:f>
              <c:strCache>
                <c:ptCount val="8"/>
                <c:pt idx="0">
                  <c:v>Social environment</c:v>
                </c:pt>
                <c:pt idx="1">
                  <c:v>Governance und Compliance</c:v>
                </c:pt>
                <c:pt idx="2">
                  <c:v>Product responsibility</c:v>
                </c:pt>
                <c:pt idx="3">
                  <c:v>Locational environmental aspects </c:v>
                </c:pt>
                <c:pt idx="4">
                  <c:v>Strategy and goal development</c:v>
                </c:pt>
                <c:pt idx="5">
                  <c:v>Company profile</c:v>
                </c:pt>
                <c:pt idx="6">
                  <c:v>Responsibility for the employees</c:v>
                </c:pt>
                <c:pt idx="7">
                  <c:v>Responsibility in the supply chain </c:v>
                </c:pt>
              </c:strCache>
            </c:strRef>
          </c:cat>
          <c:val>
            <c:numRef>
              <c:f>Sheet1!$B$2:$I$2</c:f>
              <c:numCache>
                <c:formatCode>General</c:formatCode>
                <c:ptCount val="8"/>
                <c:pt idx="0">
                  <c:v>7.6923076923076927E-2</c:v>
                </c:pt>
                <c:pt idx="1">
                  <c:v>0.875</c:v>
                </c:pt>
                <c:pt idx="2">
                  <c:v>0.38461538461538458</c:v>
                </c:pt>
                <c:pt idx="3">
                  <c:v>0.48275862068965519</c:v>
                </c:pt>
                <c:pt idx="4">
                  <c:v>1</c:v>
                </c:pt>
                <c:pt idx="5">
                  <c:v>1</c:v>
                </c:pt>
                <c:pt idx="6">
                  <c:v>0.88571428571428568</c:v>
                </c:pt>
                <c:pt idx="7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446-4EE9-AB68-A016F121EB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31527808"/>
        <c:axId val="631529376"/>
      </c:radarChart>
      <c:catAx>
        <c:axId val="6315278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ln w="12700" cap="flat">
            <a:solidFill>
              <a:srgbClr val="D9D9D9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808080"/>
                </a:solidFill>
                <a:latin typeface="Calibri"/>
              </a:defRPr>
            </a:pPr>
            <a:endParaRPr lang="de-DE"/>
          </a:p>
        </c:txPr>
        <c:crossAx val="631529376"/>
        <c:crosses val="autoZero"/>
        <c:auto val="1"/>
        <c:lblAlgn val="ctr"/>
        <c:lblOffset val="100"/>
        <c:noMultiLvlLbl val="1"/>
      </c:catAx>
      <c:valAx>
        <c:axId val="631529376"/>
        <c:scaling>
          <c:orientation val="minMax"/>
        </c:scaling>
        <c:delete val="0"/>
        <c:axPos val="l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numFmt formatCode="0%" sourceLinked="0"/>
        <c:majorTickMark val="none"/>
        <c:minorTickMark val="none"/>
        <c:tickLblPos val="nextTo"/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631527808"/>
        <c:crosses val="autoZero"/>
        <c:crossBetween val="between"/>
        <c:majorUnit val="0.25"/>
        <c:minorUnit val="0.125"/>
      </c:valAx>
      <c:spPr>
        <a:noFill/>
        <a:ln w="12700" cap="flat">
          <a:noFill/>
          <a:miter lim="400000"/>
        </a:ln>
        <a:effectLst/>
      </c:spPr>
    </c:plotArea>
    <c:legend>
      <c:legendPos val="t"/>
      <c:layout>
        <c:manualLayout>
          <c:xMode val="edge"/>
          <c:yMode val="edge"/>
          <c:x val="0.23412395536447514"/>
          <c:y val="0.14764931781519192"/>
          <c:w val="0.50389600000000001"/>
          <c:h val="6.3505699999999998E-2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sz="900" b="0" i="0" u="none" strike="noStrike">
              <a:solidFill>
                <a:srgbClr val="595959"/>
              </a:solidFill>
              <a:latin typeface="Calibri"/>
            </a:defRPr>
          </a:pPr>
          <a:endParaRPr lang="de-DE"/>
        </a:p>
      </c:txPr>
    </c:legend>
    <c:plotVisOnly val="1"/>
    <c:dispBlanksAs val="gap"/>
    <c:showDLblsOverMax val="1"/>
  </c:chart>
  <c:spPr>
    <a:solidFill>
      <a:srgbClr val="FFFFFF"/>
    </a:solidFill>
    <a:ln w="12700" cap="flat">
      <a:solidFill>
        <a:srgbClr val="D9D9D9"/>
      </a:solidFill>
      <a:prstDash val="solid"/>
      <a:round/>
    </a:ln>
    <a:effectLst/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/>
          <a:lstStyle/>
          <a:p>
            <a:pPr>
              <a:defRPr sz="1400" b="0" i="0" u="none" strike="noStrike">
                <a:solidFill>
                  <a:srgbClr val="595959"/>
                </a:solidFill>
                <a:latin typeface="Calibri"/>
              </a:defRPr>
            </a:pPr>
            <a:r>
              <a:rPr lang="de-DE" sz="1400" b="0" i="0" u="none" strike="noStrike">
                <a:solidFill>
                  <a:srgbClr val="595959"/>
                </a:solidFill>
                <a:latin typeface="Calibri"/>
              </a:rPr>
              <a:t>Degree of conformity reports without standard</a:t>
            </a:r>
          </a:p>
        </c:rich>
      </c:tx>
      <c:layout>
        <c:manualLayout>
          <c:xMode val="edge"/>
          <c:yMode val="edge"/>
          <c:x val="0.21834202720084758"/>
          <c:y val="5.3792361484669175E-3"/>
          <c:w val="0.78165799999999996"/>
          <c:h val="0.37094300000000002"/>
        </c:manualLayout>
      </c:layout>
      <c:overlay val="1"/>
      <c:spPr>
        <a:noFill/>
        <a:effectLst/>
      </c:spPr>
    </c:title>
    <c:autoTitleDeleted val="0"/>
    <c:plotArea>
      <c:layout>
        <c:manualLayout>
          <c:layoutTarget val="inner"/>
          <c:xMode val="edge"/>
          <c:yMode val="edge"/>
          <c:x val="0.34658299999999997"/>
          <c:y val="0.37094300000000002"/>
          <c:w val="0.306834"/>
          <c:h val="0.40808299999999997"/>
        </c:manualLayout>
      </c:layout>
      <c:radarChart>
        <c:radarStyle val="marker"/>
        <c:varyColors val="0"/>
        <c:ser>
          <c:idx val="1"/>
          <c:order val="0"/>
          <c:tx>
            <c:strRef>
              <c:f>Sheet1!$A$3</c:f>
              <c:strCache>
                <c:ptCount val="1"/>
                <c:pt idx="0">
                  <c:v>memo AG</c:v>
                </c:pt>
              </c:strCache>
            </c:strRef>
          </c:tx>
          <c:spPr>
            <a:ln w="28575" cap="rnd">
              <a:solidFill>
                <a:srgbClr val="929292"/>
              </a:solidFill>
              <a:prstDash val="solid"/>
              <a:round/>
            </a:ln>
            <a:effectLst/>
          </c:spPr>
          <c:marker>
            <c:symbol val="circle"/>
            <c:size val="4"/>
            <c:spPr>
              <a:solidFill>
                <a:srgbClr val="929292"/>
              </a:solidFill>
              <a:ln w="9525" cap="flat">
                <a:solidFill>
                  <a:srgbClr val="929292"/>
                </a:solidFill>
                <a:prstDash val="solid"/>
                <a:miter lim="800000"/>
              </a:ln>
              <a:effectLst/>
            </c:spPr>
          </c:marker>
          <c:cat>
            <c:strRef>
              <c:f>Sheet1!$B$1:$I$1</c:f>
              <c:strCache>
                <c:ptCount val="8"/>
                <c:pt idx="0">
                  <c:v>Social environment</c:v>
                </c:pt>
                <c:pt idx="1">
                  <c:v>Governance und Compliance</c:v>
                </c:pt>
                <c:pt idx="2">
                  <c:v>Product responsibility</c:v>
                </c:pt>
                <c:pt idx="3">
                  <c:v>Locational environmental aspects </c:v>
                </c:pt>
                <c:pt idx="4">
                  <c:v>Strategy and goal development</c:v>
                </c:pt>
                <c:pt idx="5">
                  <c:v>Company profile</c:v>
                </c:pt>
                <c:pt idx="6">
                  <c:v>Responsibility for the employees</c:v>
                </c:pt>
                <c:pt idx="7">
                  <c:v>Responsibility in the supply chain </c:v>
                </c:pt>
              </c:strCache>
            </c:strRef>
          </c:cat>
          <c:val>
            <c:numRef>
              <c:f>Sheet1!$B$3:$I$3</c:f>
              <c:numCache>
                <c:formatCode>General</c:formatCode>
                <c:ptCount val="8"/>
                <c:pt idx="0">
                  <c:v>0.25</c:v>
                </c:pt>
                <c:pt idx="1">
                  <c:v>0.76923076923076927</c:v>
                </c:pt>
                <c:pt idx="2">
                  <c:v>0.51724137931034486</c:v>
                </c:pt>
                <c:pt idx="3">
                  <c:v>0.88888888888888884</c:v>
                </c:pt>
                <c:pt idx="4">
                  <c:v>1</c:v>
                </c:pt>
                <c:pt idx="5">
                  <c:v>0.65714285714285714</c:v>
                </c:pt>
                <c:pt idx="6">
                  <c:v>0.2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A9-435C-B31C-34B3FA03DB6E}"/>
            </c:ext>
          </c:extLst>
        </c:ser>
        <c:ser>
          <c:idx val="0"/>
          <c:order val="1"/>
          <c:tx>
            <c:strRef>
              <c:f>Sheet1!$A$2</c:f>
              <c:strCache>
                <c:ptCount val="1"/>
                <c:pt idx="0">
                  <c:v>Nicos AG</c:v>
                </c:pt>
              </c:strCache>
            </c:strRef>
          </c:tx>
          <c:spPr>
            <a:ln w="28575" cap="rnd">
              <a:solidFill>
                <a:srgbClr val="BEBEBE"/>
              </a:solidFill>
              <a:prstDash val="solid"/>
              <a:round/>
            </a:ln>
            <a:effectLst/>
          </c:spPr>
          <c:marker>
            <c:symbol val="circle"/>
            <c:size val="4"/>
            <c:spPr>
              <a:solidFill>
                <a:srgbClr val="BEBEBE"/>
              </a:solidFill>
              <a:ln w="9525" cap="flat">
                <a:solidFill>
                  <a:srgbClr val="BEBEBE"/>
                </a:solidFill>
                <a:prstDash val="solid"/>
                <a:miter lim="800000"/>
              </a:ln>
              <a:effectLst/>
            </c:spPr>
          </c:marker>
          <c:cat>
            <c:strRef>
              <c:f>Sheet1!$B$1:$I$1</c:f>
              <c:strCache>
                <c:ptCount val="8"/>
                <c:pt idx="0">
                  <c:v>Social environment</c:v>
                </c:pt>
                <c:pt idx="1">
                  <c:v>Governance und Compliance</c:v>
                </c:pt>
                <c:pt idx="2">
                  <c:v>Product responsibility</c:v>
                </c:pt>
                <c:pt idx="3">
                  <c:v>Locational environmental aspects </c:v>
                </c:pt>
                <c:pt idx="4">
                  <c:v>Strategy and goal development</c:v>
                </c:pt>
                <c:pt idx="5">
                  <c:v>Company profile</c:v>
                </c:pt>
                <c:pt idx="6">
                  <c:v>Responsibility for the employees</c:v>
                </c:pt>
                <c:pt idx="7">
                  <c:v>Responsibility in the supply chain </c:v>
                </c:pt>
              </c:strCache>
            </c:strRef>
          </c:cat>
          <c:val>
            <c:numRef>
              <c:f>Sheet1!$B$2:$I$2</c:f>
              <c:numCache>
                <c:formatCode>General</c:formatCode>
                <c:ptCount val="8"/>
                <c:pt idx="0">
                  <c:v>0.125</c:v>
                </c:pt>
                <c:pt idx="1">
                  <c:v>0.30769230769230771</c:v>
                </c:pt>
                <c:pt idx="2">
                  <c:v>0.17241379310344829</c:v>
                </c:pt>
                <c:pt idx="3">
                  <c:v>0.1111111111111111</c:v>
                </c:pt>
                <c:pt idx="4">
                  <c:v>0.66666666666666663</c:v>
                </c:pt>
                <c:pt idx="5">
                  <c:v>0.1142857142857143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A9-435C-B31C-34B3FA03DB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31528200"/>
        <c:axId val="631529768"/>
      </c:radarChart>
      <c:catAx>
        <c:axId val="631528200"/>
        <c:scaling>
          <c:orientation val="minMax"/>
        </c:scaling>
        <c:delete val="0"/>
        <c:axPos val="b"/>
        <c:title>
          <c:tx>
            <c:rich>
              <a:bodyPr rot="-5400000"/>
              <a:lstStyle/>
              <a:p>
                <a:pPr>
                  <a:defRPr sz="1000" b="0" i="0" u="none" strike="noStrike">
                    <a:solidFill>
                      <a:srgbClr val="595959"/>
                    </a:solidFill>
                    <a:latin typeface="Calibri"/>
                  </a:defRPr>
                </a:pPr>
                <a:r>
                  <a:rPr lang="de-DE" sz="1000" b="0" i="0" u="none" strike="noStrike">
                    <a:solidFill>
                      <a:srgbClr val="595959"/>
                    </a:solidFill>
                    <a:latin typeface="Calibri"/>
                  </a:rPr>
                  <a:t>Field1</a:t>
                </a:r>
              </a:p>
            </c:rich>
          </c:tx>
          <c:overlay val="1"/>
        </c:title>
        <c:numFmt formatCode="General" sourceLinked="0"/>
        <c:majorTickMark val="none"/>
        <c:minorTickMark val="none"/>
        <c:tickLblPos val="low"/>
        <c:spPr>
          <a:ln w="12700" cap="flat">
            <a:solidFill>
              <a:srgbClr val="D9D9D9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631529768"/>
        <c:crosses val="autoZero"/>
        <c:auto val="1"/>
        <c:lblAlgn val="ctr"/>
        <c:lblOffset val="100"/>
        <c:noMultiLvlLbl val="1"/>
      </c:catAx>
      <c:valAx>
        <c:axId val="631529768"/>
        <c:scaling>
          <c:orientation val="minMax"/>
        </c:scaling>
        <c:delete val="0"/>
        <c:axPos val="l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numFmt formatCode="0%" sourceLinked="0"/>
        <c:majorTickMark val="none"/>
        <c:minorTickMark val="none"/>
        <c:tickLblPos val="nextTo"/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631528200"/>
        <c:crosses val="autoZero"/>
        <c:crossBetween val="between"/>
        <c:majorUnit val="0.25"/>
        <c:minorUnit val="0.125"/>
      </c:valAx>
      <c:spPr>
        <a:noFill/>
        <a:ln w="12700" cap="flat">
          <a:noFill/>
          <a:miter lim="400000"/>
        </a:ln>
        <a:effectLst/>
      </c:spPr>
    </c:plotArea>
    <c:legend>
      <c:legendPos val="t"/>
      <c:layout>
        <c:manualLayout>
          <c:xMode val="edge"/>
          <c:yMode val="edge"/>
          <c:x val="0.29376337839193029"/>
          <c:y val="0.1444912703190849"/>
          <c:w val="0.41247324321613943"/>
          <c:h val="6.7730757014795195E-2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sz="900" b="0" i="0" u="none" strike="noStrike">
              <a:solidFill>
                <a:srgbClr val="595959"/>
              </a:solidFill>
              <a:latin typeface="Calibri"/>
            </a:defRPr>
          </a:pPr>
          <a:endParaRPr lang="de-DE"/>
        </a:p>
      </c:txPr>
    </c:legend>
    <c:plotVisOnly val="1"/>
    <c:dispBlanksAs val="gap"/>
    <c:showDLblsOverMax val="1"/>
  </c:chart>
  <c:spPr>
    <a:solidFill>
      <a:srgbClr val="FFFFFF"/>
    </a:solidFill>
    <a:ln w="12700" cap="flat">
      <a:solidFill>
        <a:srgbClr val="D9D9D9"/>
      </a:solidFill>
      <a:prstDash val="solid"/>
      <a:round/>
    </a:ln>
    <a:effectLst/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de-DE" sz="1400" b="0">
                <a:solidFill>
                  <a:schemeClr val="tx1">
                    <a:lumMod val="50000"/>
                    <a:lumOff val="50000"/>
                  </a:schemeClr>
                </a:solidFill>
              </a:rPr>
              <a:t>Content</a:t>
            </a:r>
            <a:r>
              <a:rPr lang="de-DE" sz="1400" b="0" baseline="0">
                <a:solidFill>
                  <a:schemeClr val="tx1">
                    <a:lumMod val="50000"/>
                    <a:lumOff val="50000"/>
                  </a:schemeClr>
                </a:solidFill>
              </a:rPr>
              <a:t> conformity DNK</a:t>
            </a:r>
            <a:endParaRPr lang="de-DE" sz="1400" b="0">
              <a:solidFill>
                <a:schemeClr val="tx1">
                  <a:lumMod val="50000"/>
                  <a:lumOff val="50000"/>
                </a:schemeClr>
              </a:solidFill>
            </a:endParaRP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22864799999999999"/>
          <c:y val="0.18524399999999999"/>
          <c:w val="0.74504099999999995"/>
          <c:h val="0.58069899999999997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rgbClr val="355999"/>
            </a:solidFill>
            <a:ln w="12700" cap="flat">
              <a:noFill/>
              <a:miter lim="400000"/>
            </a:ln>
            <a:effectLst/>
          </c:spPr>
          <c:invertIfNegative val="0"/>
          <c:cat>
            <c:strRef>
              <c:f>Sheet1!$B$1:$D$1</c:f>
              <c:strCache>
                <c:ptCount val="3"/>
                <c:pt idx="0">
                  <c:v>ø DNK</c:v>
                </c:pt>
                <c:pt idx="1">
                  <c:v>Arno GmbH</c:v>
                </c:pt>
                <c:pt idx="2">
                  <c:v>Steinbildhauerei Vincent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0.51724099999999995</c:v>
                </c:pt>
                <c:pt idx="1">
                  <c:v>0.68965500000000002</c:v>
                </c:pt>
                <c:pt idx="2">
                  <c:v>0.34482800000000002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88-4179-901A-BF544EC3740B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indirect</c:v>
                </c:pt>
              </c:strCache>
            </c:strRef>
          </c:tx>
          <c:spPr>
            <a:solidFill>
              <a:srgbClr val="3F6AB7"/>
            </a:solidFill>
            <a:ln w="12700" cap="flat">
              <a:noFill/>
              <a:miter lim="400000"/>
            </a:ln>
            <a:effectLst/>
          </c:spPr>
          <c:invertIfNegative val="0"/>
          <c:cat>
            <c:strRef>
              <c:f>Sheet1!$B$1:$D$1</c:f>
              <c:strCache>
                <c:ptCount val="3"/>
                <c:pt idx="0">
                  <c:v>ø DNK</c:v>
                </c:pt>
                <c:pt idx="1">
                  <c:v>Arno GmbH</c:v>
                </c:pt>
                <c:pt idx="2">
                  <c:v>Steinbildhauerei Vincent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0.25862099999999999</c:v>
                </c:pt>
                <c:pt idx="1">
                  <c:v>0.137931</c:v>
                </c:pt>
                <c:pt idx="2">
                  <c:v>0.37930999999999998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C88-4179-901A-BF544EC3740B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partly</c:v>
                </c:pt>
              </c:strCache>
            </c:strRef>
          </c:tx>
          <c:spPr>
            <a:solidFill>
              <a:srgbClr val="7790CE"/>
            </a:solidFill>
            <a:ln w="12700" cap="flat">
              <a:noFill/>
              <a:miter lim="400000"/>
            </a:ln>
            <a:effectLst/>
          </c:spPr>
          <c:invertIfNegative val="0"/>
          <c:cat>
            <c:strRef>
              <c:f>Sheet1!$B$1:$D$1</c:f>
              <c:strCache>
                <c:ptCount val="3"/>
                <c:pt idx="0">
                  <c:v>ø DNK</c:v>
                </c:pt>
                <c:pt idx="1">
                  <c:v>Arno GmbH</c:v>
                </c:pt>
                <c:pt idx="2">
                  <c:v>Steinbildhauerei Vincent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8.6207000000000006E-2</c:v>
                </c:pt>
                <c:pt idx="1">
                  <c:v>6.8966E-2</c:v>
                </c:pt>
                <c:pt idx="2">
                  <c:v>0.103448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C88-4179-901A-BF544EC3740B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B2BDDF"/>
            </a:solidFill>
            <a:ln w="12700" cap="flat">
              <a:noFill/>
              <a:miter lim="400000"/>
            </a:ln>
            <a:effectLst/>
          </c:spPr>
          <c:invertIfNegative val="0"/>
          <c:cat>
            <c:strRef>
              <c:f>Sheet1!$B$1:$D$1</c:f>
              <c:strCache>
                <c:ptCount val="3"/>
                <c:pt idx="0">
                  <c:v>ø DNK</c:v>
                </c:pt>
                <c:pt idx="1">
                  <c:v>Arno GmbH</c:v>
                </c:pt>
                <c:pt idx="2">
                  <c:v>Steinbildhauerei Vincent</c:v>
                </c:pt>
              </c:strCache>
            </c:strRef>
          </c:cat>
          <c:val>
            <c:numRef>
              <c:f>Sheet1!$B$5:$D$5</c:f>
              <c:numCache>
                <c:formatCode>General</c:formatCode>
                <c:ptCount val="3"/>
                <c:pt idx="0">
                  <c:v>0.137931</c:v>
                </c:pt>
                <c:pt idx="1">
                  <c:v>0.103448</c:v>
                </c:pt>
                <c:pt idx="2">
                  <c:v>0.17241400000000001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C88-4179-901A-BF544EC374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0"/>
        <c:overlap val="100"/>
        <c:axId val="631524672"/>
        <c:axId val="631527024"/>
      </c:barChart>
      <c:catAx>
        <c:axId val="631524672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12700" cap="flat">
            <a:solidFill>
              <a:srgbClr val="D9D9D9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631527024"/>
        <c:crosses val="autoZero"/>
        <c:auto val="1"/>
        <c:lblAlgn val="ctr"/>
        <c:lblOffset val="100"/>
        <c:noMultiLvlLbl val="1"/>
      </c:catAx>
      <c:valAx>
        <c:axId val="631527024"/>
        <c:scaling>
          <c:orientation val="minMax"/>
        </c:scaling>
        <c:delete val="0"/>
        <c:axPos val="t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numFmt formatCode="0%" sourceLinked="0"/>
        <c:majorTickMark val="none"/>
        <c:minorTickMark val="none"/>
        <c:tickLblPos val="high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631524672"/>
        <c:crosses val="autoZero"/>
        <c:crossBetween val="between"/>
        <c:majorUnit val="0.25"/>
        <c:minorUnit val="0.125"/>
      </c:valAx>
      <c:spPr>
        <a:noFill/>
        <a:ln w="12700" cap="flat">
          <a:noFill/>
          <a:miter lim="400000"/>
        </a:ln>
        <a:effectLst/>
      </c:spPr>
    </c:plotArea>
    <c:legend>
      <c:legendPos val="b"/>
      <c:layout>
        <c:manualLayout>
          <c:xMode val="edge"/>
          <c:yMode val="edge"/>
          <c:x val="0.30072700000000002"/>
          <c:y val="0.91770700000000005"/>
          <c:w val="0.40427600000000002"/>
          <c:h val="8.2293400000000003E-2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sz="900" b="0" i="0" u="none" strike="noStrike">
              <a:solidFill>
                <a:srgbClr val="595959"/>
              </a:solidFill>
              <a:latin typeface="Calibri"/>
            </a:defRPr>
          </a:pPr>
          <a:endParaRPr lang="de-DE"/>
        </a:p>
      </c:txPr>
    </c:legend>
    <c:plotVisOnly val="1"/>
    <c:dispBlanksAs val="gap"/>
    <c:showDLblsOverMax val="1"/>
  </c:chart>
  <c:spPr>
    <a:solidFill>
      <a:srgbClr val="FFFFFF"/>
    </a:solidFill>
    <a:ln w="12700" cap="flat">
      <a:solidFill>
        <a:srgbClr val="D9D9D9"/>
      </a:solidFill>
      <a:prstDash val="solid"/>
      <a:round/>
    </a:ln>
    <a:effectLst/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/>
          <a:lstStyle/>
          <a:p>
            <a:pPr>
              <a:defRPr sz="1400" b="0" i="0" u="none" strike="noStrike">
                <a:solidFill>
                  <a:srgbClr val="595959"/>
                </a:solidFill>
                <a:latin typeface="Calibri"/>
              </a:defRPr>
            </a:pPr>
            <a:r>
              <a:rPr lang="de-DE" sz="1400" b="0" i="0" u="none" strike="noStrike">
                <a:solidFill>
                  <a:srgbClr val="595959"/>
                </a:solidFill>
                <a:latin typeface="Calibri"/>
              </a:rPr>
              <a:t>Indicators addressed GWÖ</a:t>
            </a:r>
          </a:p>
        </c:rich>
      </c:tx>
      <c:layout>
        <c:manualLayout>
          <c:xMode val="edge"/>
          <c:yMode val="edge"/>
          <c:x val="0.327436"/>
          <c:y val="0"/>
          <c:w val="0.34512700000000002"/>
          <c:h val="0.23741399999999999"/>
        </c:manualLayout>
      </c:layout>
      <c:overlay val="1"/>
      <c:spPr>
        <a:noFill/>
        <a:effectLst/>
      </c:spPr>
    </c:title>
    <c:autoTitleDeleted val="0"/>
    <c:plotArea>
      <c:layout>
        <c:manualLayout>
          <c:layoutTarget val="inner"/>
          <c:xMode val="edge"/>
          <c:yMode val="edge"/>
          <c:x val="0.41336699999999998"/>
          <c:y val="0.23741399999999999"/>
          <c:w val="0.56004600000000004"/>
          <c:h val="0.4661310000000000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rgbClr val="C36728"/>
            </a:solidFill>
            <a:ln w="12700" cap="flat">
              <a:noFill/>
              <a:miter lim="400000"/>
            </a:ln>
            <a:effectLst/>
          </c:spPr>
          <c:invertIfNegative val="0"/>
          <c:cat>
            <c:strRef>
              <c:f>Sheet1!$B$1:$E$1</c:f>
              <c:strCache>
                <c:ptCount val="4"/>
                <c:pt idx="0">
                  <c:v>Kompaktbilanz</c:v>
                </c:pt>
                <c:pt idx="1">
                  <c:v>ø Vollbilanz</c:v>
                </c:pt>
                <c:pt idx="2">
                  <c:v>Neumarkter Lammsbräu Gebr. Ehrnsperger KG</c:v>
                </c:pt>
                <c:pt idx="3">
                  <c:v>Gebäudeservice Wodara GmbH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87</c:v>
                </c:pt>
                <c:pt idx="1">
                  <c:v>107</c:v>
                </c:pt>
                <c:pt idx="2">
                  <c:v>120</c:v>
                </c:pt>
                <c:pt idx="3">
                  <c:v>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95-43C6-B62B-CBAC32B0B064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chemeClr val="accent2"/>
            </a:solidFill>
            <a:ln w="12700" cap="flat">
              <a:noFill/>
              <a:miter lim="400000"/>
            </a:ln>
            <a:effectLst/>
          </c:spPr>
          <c:invertIfNegative val="0"/>
          <c:cat>
            <c:strRef>
              <c:f>Sheet1!$B$1:$E$1</c:f>
              <c:strCache>
                <c:ptCount val="4"/>
                <c:pt idx="0">
                  <c:v>Kompaktbilanz</c:v>
                </c:pt>
                <c:pt idx="1">
                  <c:v>ø Vollbilanz</c:v>
                </c:pt>
                <c:pt idx="2">
                  <c:v>Neumarkter Lammsbräu Gebr. Ehrnsperger KG</c:v>
                </c:pt>
                <c:pt idx="3">
                  <c:v>Gebäudeservice Wodara GmbH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2</c:v>
                </c:pt>
                <c:pt idx="1">
                  <c:v>14</c:v>
                </c:pt>
                <c:pt idx="2">
                  <c:v>2</c:v>
                </c:pt>
                <c:pt idx="3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95-43C6-B62B-CBAC32B0B064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indirect</c:v>
                </c:pt>
              </c:strCache>
            </c:strRef>
          </c:tx>
          <c:spPr>
            <a:solidFill>
              <a:srgbClr val="F3B8A2"/>
            </a:solidFill>
            <a:ln w="12700" cap="flat">
              <a:noFill/>
              <a:miter lim="400000"/>
            </a:ln>
            <a:effectLst/>
          </c:spPr>
          <c:invertIfNegative val="0"/>
          <c:cat>
            <c:strRef>
              <c:f>Sheet1!$B$1:$E$1</c:f>
              <c:strCache>
                <c:ptCount val="4"/>
                <c:pt idx="0">
                  <c:v>Kompaktbilanz</c:v>
                </c:pt>
                <c:pt idx="1">
                  <c:v>ø Vollbilanz</c:v>
                </c:pt>
                <c:pt idx="2">
                  <c:v>Neumarkter Lammsbräu Gebr. Ehrnsperger KG</c:v>
                </c:pt>
                <c:pt idx="3">
                  <c:v>Gebäudeservice Wodara GmbH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D95-43C6-B62B-CBAC32B0B0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31518792"/>
        <c:axId val="448870088"/>
      </c:barChart>
      <c:catAx>
        <c:axId val="631518792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12700" cap="flat">
            <a:solidFill>
              <a:srgbClr val="D9D9D9"/>
            </a:solidFill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448870088"/>
        <c:crosses val="autoZero"/>
        <c:auto val="1"/>
        <c:lblAlgn val="ctr"/>
        <c:lblOffset val="100"/>
        <c:noMultiLvlLbl val="1"/>
      </c:catAx>
      <c:valAx>
        <c:axId val="448870088"/>
        <c:scaling>
          <c:orientation val="minMax"/>
        </c:scaling>
        <c:delete val="0"/>
        <c:axPos val="t"/>
        <c:majorGridlines>
          <c:spPr>
            <a:ln w="12700" cap="flat">
              <a:solidFill>
                <a:srgbClr val="D9D9D9"/>
              </a:solidFill>
              <a:prstDash val="solid"/>
              <a:round/>
            </a:ln>
          </c:spPr>
        </c:majorGridlines>
        <c:numFmt formatCode="0%" sourceLinked="0"/>
        <c:majorTickMark val="none"/>
        <c:minorTickMark val="none"/>
        <c:tickLblPos val="high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sz="900" b="0" i="0" u="none" strike="noStrike">
                <a:solidFill>
                  <a:srgbClr val="595959"/>
                </a:solidFill>
                <a:latin typeface="Calibri"/>
              </a:defRPr>
            </a:pPr>
            <a:endParaRPr lang="de-DE"/>
          </a:p>
        </c:txPr>
        <c:crossAx val="631518792"/>
        <c:crosses val="autoZero"/>
        <c:crossBetween val="between"/>
        <c:majorUnit val="0.25"/>
        <c:minorUnit val="0.125"/>
      </c:valAx>
      <c:spPr>
        <a:noFill/>
        <a:ln w="12700" cap="flat">
          <a:noFill/>
          <a:miter lim="400000"/>
        </a:ln>
        <a:effectLst/>
      </c:spPr>
    </c:plotArea>
    <c:legend>
      <c:legendPos val="b"/>
      <c:layout>
        <c:manualLayout>
          <c:xMode val="edge"/>
          <c:yMode val="edge"/>
          <c:x val="0.36106100000000002"/>
          <c:y val="0.89805100000000004"/>
          <c:w val="0.29414299999999999"/>
          <c:h val="0.101949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sz="900" b="0" i="0" u="none" strike="noStrike">
              <a:solidFill>
                <a:srgbClr val="595959"/>
              </a:solidFill>
              <a:latin typeface="Calibri"/>
            </a:defRPr>
          </a:pPr>
          <a:endParaRPr lang="de-DE"/>
        </a:p>
      </c:txPr>
    </c:legend>
    <c:plotVisOnly val="1"/>
    <c:dispBlanksAs val="gap"/>
    <c:showDLblsOverMax val="1"/>
  </c:chart>
  <c:spPr>
    <a:solidFill>
      <a:srgbClr val="FFFFFF"/>
    </a:solidFill>
    <a:ln w="12700" cap="flat">
      <a:solidFill>
        <a:srgbClr val="D9D9D9"/>
      </a:solidFill>
      <a:prstDash val="solid"/>
      <a:round/>
    </a:ln>
    <a:effectLst/>
  </c:sp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571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Ostojic</dc:creator>
  <cp:keywords/>
  <dc:description/>
  <cp:lastModifiedBy>Clara Steidle</cp:lastModifiedBy>
  <cp:revision>2</cp:revision>
  <dcterms:created xsi:type="dcterms:W3CDTF">2024-11-25T19:29:00Z</dcterms:created>
  <dcterms:modified xsi:type="dcterms:W3CDTF">2024-11-25T19:29:00Z</dcterms:modified>
</cp:coreProperties>
</file>