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06EB8" w14:textId="77777777" w:rsidR="000D5FA3" w:rsidRDefault="000D5FA3" w:rsidP="000D5FA3">
      <w:pPr>
        <w:spacing w:line="360" w:lineRule="auto"/>
        <w:jc w:val="both"/>
        <w:rPr>
          <w:rFonts w:ascii="Times New Roman" w:hAnsi="Times New Roman" w:cs="Times New Roman"/>
          <w:b/>
          <w:bCs/>
          <w:sz w:val="24"/>
          <w:szCs w:val="24"/>
        </w:rPr>
      </w:pPr>
    </w:p>
    <w:p w14:paraId="51B45E7C" w14:textId="77777777" w:rsidR="000D5FA3" w:rsidRPr="00DC21FE" w:rsidRDefault="000D5FA3" w:rsidP="000D5FA3">
      <w:pPr>
        <w:spacing w:line="360" w:lineRule="auto"/>
        <w:jc w:val="both"/>
        <w:rPr>
          <w:rFonts w:ascii="Times New Roman" w:hAnsi="Times New Roman" w:cs="Times New Roman"/>
          <w:b/>
          <w:bCs/>
          <w:sz w:val="24"/>
          <w:szCs w:val="24"/>
        </w:rPr>
      </w:pPr>
      <w:r w:rsidRPr="00DC21FE">
        <w:rPr>
          <w:rFonts w:ascii="Times New Roman" w:hAnsi="Times New Roman" w:cs="Times New Roman"/>
          <w:b/>
          <w:bCs/>
          <w:sz w:val="24"/>
          <w:szCs w:val="24"/>
        </w:rPr>
        <w:t>Appendix</w:t>
      </w:r>
      <w:r>
        <w:rPr>
          <w:rFonts w:ascii="Times New Roman" w:hAnsi="Times New Roman" w:cs="Times New Roman"/>
          <w:b/>
          <w:bCs/>
          <w:sz w:val="24"/>
          <w:szCs w:val="24"/>
        </w:rPr>
        <w:t xml:space="preserve">: </w:t>
      </w:r>
    </w:p>
    <w:tbl>
      <w:tblPr>
        <w:tblStyle w:val="TableGrid"/>
        <w:tblW w:w="10490" w:type="dxa"/>
        <w:tblInd w:w="-714" w:type="dxa"/>
        <w:tblLook w:val="04A0" w:firstRow="1" w:lastRow="0" w:firstColumn="1" w:lastColumn="0" w:noHBand="0" w:noVBand="1"/>
      </w:tblPr>
      <w:tblGrid>
        <w:gridCol w:w="2122"/>
        <w:gridCol w:w="3118"/>
        <w:gridCol w:w="5250"/>
      </w:tblGrid>
      <w:tr w:rsidR="000D5FA3" w:rsidRPr="00993352" w14:paraId="0A7E2BE9" w14:textId="77777777" w:rsidTr="006A6E27">
        <w:tc>
          <w:tcPr>
            <w:tcW w:w="2122" w:type="dxa"/>
          </w:tcPr>
          <w:p w14:paraId="0F99AC7E" w14:textId="77777777" w:rsidR="000D5FA3" w:rsidRPr="00993352" w:rsidRDefault="000D5FA3" w:rsidP="006A6E27">
            <w:pPr>
              <w:jc w:val="center"/>
              <w:rPr>
                <w:rFonts w:ascii="Times New Roman" w:hAnsi="Times New Roman" w:cs="Times New Roman"/>
                <w:b/>
                <w:bCs/>
                <w:sz w:val="20"/>
                <w:szCs w:val="20"/>
                <w:lang w:val="en-US"/>
              </w:rPr>
            </w:pPr>
            <w:r w:rsidRPr="00993352">
              <w:rPr>
                <w:rFonts w:ascii="Times New Roman" w:hAnsi="Times New Roman" w:cs="Times New Roman"/>
                <w:b/>
                <w:bCs/>
                <w:sz w:val="20"/>
                <w:szCs w:val="20"/>
                <w:lang w:val="en-US"/>
              </w:rPr>
              <w:t>Authors</w:t>
            </w:r>
          </w:p>
        </w:tc>
        <w:tc>
          <w:tcPr>
            <w:tcW w:w="3118" w:type="dxa"/>
          </w:tcPr>
          <w:p w14:paraId="157B1167" w14:textId="77777777" w:rsidR="000D5FA3" w:rsidRPr="00993352" w:rsidRDefault="000D5FA3" w:rsidP="006A6E27">
            <w:pPr>
              <w:jc w:val="center"/>
              <w:rPr>
                <w:rFonts w:ascii="Times New Roman" w:hAnsi="Times New Roman" w:cs="Times New Roman"/>
                <w:b/>
                <w:bCs/>
                <w:sz w:val="20"/>
                <w:szCs w:val="20"/>
                <w:lang w:val="en-US"/>
              </w:rPr>
            </w:pPr>
            <w:r w:rsidRPr="00993352">
              <w:rPr>
                <w:rFonts w:ascii="Times New Roman" w:hAnsi="Times New Roman" w:cs="Times New Roman"/>
                <w:b/>
                <w:bCs/>
                <w:sz w:val="20"/>
                <w:szCs w:val="20"/>
                <w:lang w:val="en-US"/>
              </w:rPr>
              <w:t>Title of the Paper</w:t>
            </w:r>
          </w:p>
        </w:tc>
        <w:tc>
          <w:tcPr>
            <w:tcW w:w="5250" w:type="dxa"/>
          </w:tcPr>
          <w:p w14:paraId="2D5755AA" w14:textId="77777777" w:rsidR="000D5FA3" w:rsidRPr="00993352" w:rsidRDefault="000D5FA3" w:rsidP="006A6E27">
            <w:pPr>
              <w:jc w:val="center"/>
              <w:rPr>
                <w:rFonts w:ascii="Times New Roman" w:hAnsi="Times New Roman" w:cs="Times New Roman"/>
                <w:b/>
                <w:bCs/>
                <w:sz w:val="20"/>
                <w:szCs w:val="20"/>
                <w:lang w:val="en-US"/>
              </w:rPr>
            </w:pPr>
            <w:r w:rsidRPr="00993352">
              <w:rPr>
                <w:rFonts w:ascii="Times New Roman" w:hAnsi="Times New Roman" w:cs="Times New Roman"/>
                <w:b/>
                <w:bCs/>
                <w:sz w:val="20"/>
                <w:szCs w:val="20"/>
                <w:lang w:val="en-US"/>
              </w:rPr>
              <w:t>Findings</w:t>
            </w:r>
          </w:p>
        </w:tc>
      </w:tr>
      <w:tr w:rsidR="000D5FA3" w:rsidRPr="00993352" w14:paraId="2F4537CF" w14:textId="77777777" w:rsidTr="006A6E27">
        <w:tc>
          <w:tcPr>
            <w:tcW w:w="2122" w:type="dxa"/>
          </w:tcPr>
          <w:p w14:paraId="25673242"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Shekhawat et al. (2022)</w:t>
            </w:r>
          </w:p>
        </w:tc>
        <w:tc>
          <w:tcPr>
            <w:tcW w:w="3118" w:type="dxa"/>
          </w:tcPr>
          <w:p w14:paraId="02FFD2B1"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Key drivers of consumption-based carbon emissions: empirical evidence from SAARC countries</w:t>
            </w:r>
          </w:p>
        </w:tc>
        <w:tc>
          <w:tcPr>
            <w:tcW w:w="5250" w:type="dxa"/>
          </w:tcPr>
          <w:p w14:paraId="2B427312"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lang w:val="en-US"/>
              </w:rPr>
              <w:t>The results suggest that N-shaped EKC is present. This behavior of EKC is supported by the fact that SAARC is largely driven by India where technological obsolesce effect is in force as the Indian economy heavily relies upon fossil fuels for energy consumption.</w:t>
            </w:r>
          </w:p>
        </w:tc>
      </w:tr>
      <w:tr w:rsidR="000D5FA3" w:rsidRPr="00993352" w14:paraId="3E67FE59" w14:textId="77777777" w:rsidTr="006A6E27">
        <w:tc>
          <w:tcPr>
            <w:tcW w:w="2122" w:type="dxa"/>
          </w:tcPr>
          <w:p w14:paraId="0D7AC882"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Lorente et al. (2021)</w:t>
            </w:r>
          </w:p>
        </w:tc>
        <w:tc>
          <w:tcPr>
            <w:tcW w:w="3118" w:type="dxa"/>
          </w:tcPr>
          <w:p w14:paraId="3A6AE191"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environmental Kuznets curve, based on the economic complexity, and the pollution haven hypothesis in PIIGS countries</w:t>
            </w:r>
          </w:p>
        </w:tc>
        <w:tc>
          <w:tcPr>
            <w:tcW w:w="5250" w:type="dxa"/>
          </w:tcPr>
          <w:p w14:paraId="315C5650"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lang w:val="en-US"/>
              </w:rPr>
              <w:t>The results suggested that PIIGS countries validate inverted U shaped and N-shaped EKC. Moreover, taking foreign direct investment (FDI) as one of the indicators in the model, the authors validated pollution haven hypothesis in the selected region.</w:t>
            </w:r>
          </w:p>
        </w:tc>
      </w:tr>
      <w:tr w:rsidR="000D5FA3" w:rsidRPr="00993352" w14:paraId="60F91638" w14:textId="77777777" w:rsidTr="006A6E27">
        <w:tc>
          <w:tcPr>
            <w:tcW w:w="2122" w:type="dxa"/>
          </w:tcPr>
          <w:p w14:paraId="36957A85"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Gyamfi et al. (2021)</w:t>
            </w:r>
          </w:p>
        </w:tc>
        <w:tc>
          <w:tcPr>
            <w:tcW w:w="3118" w:type="dxa"/>
          </w:tcPr>
          <w:p w14:paraId="1F8A0028"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Environmental implications of N-shaped environmental Kuznets curve for E7 countries</w:t>
            </w:r>
          </w:p>
        </w:tc>
        <w:tc>
          <w:tcPr>
            <w:tcW w:w="5250" w:type="dxa"/>
          </w:tcPr>
          <w:p w14:paraId="0C34CF15"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lang w:val="en-US"/>
              </w:rPr>
              <w:t>The results were startling as the authors did not find a N-shaped cubic EKC for E7 countries. To its contrast, only quadratic EKC has been confirmed for the selected region. Also, REC bears a positive association with the carbon emission.</w:t>
            </w:r>
          </w:p>
        </w:tc>
      </w:tr>
      <w:tr w:rsidR="000D5FA3" w:rsidRPr="00993352" w14:paraId="1737A08F" w14:textId="77777777" w:rsidTr="006A6E27">
        <w:tc>
          <w:tcPr>
            <w:tcW w:w="2122" w:type="dxa"/>
          </w:tcPr>
          <w:p w14:paraId="4ED64805"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Chakravarty and Mandal (2020)</w:t>
            </w:r>
          </w:p>
        </w:tc>
        <w:tc>
          <w:tcPr>
            <w:tcW w:w="3118" w:type="dxa"/>
          </w:tcPr>
          <w:p w14:paraId="0D95D451"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Is economic growth a cause or cure for environmental degradation? Empirical evidences from selected developing economies</w:t>
            </w:r>
          </w:p>
        </w:tc>
        <w:tc>
          <w:tcPr>
            <w:tcW w:w="5250" w:type="dxa"/>
          </w:tcPr>
          <w:p w14:paraId="47FEDB80"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The results suggest that there exists an inverted N-shaped curve between the efficiency and growth in context to CO</w:t>
            </w:r>
            <w:r w:rsidRPr="00993352">
              <w:rPr>
                <w:rFonts w:ascii="Times New Roman" w:hAnsi="Times New Roman" w:cs="Times New Roman"/>
                <w:sz w:val="20"/>
                <w:szCs w:val="20"/>
                <w:vertAlign w:val="subscript"/>
                <w:lang w:val="en-US"/>
              </w:rPr>
              <w:t xml:space="preserve">2 </w:t>
            </w:r>
            <w:r w:rsidRPr="00993352">
              <w:rPr>
                <w:rFonts w:ascii="Times New Roman" w:hAnsi="Times New Roman" w:cs="Times New Roman"/>
                <w:sz w:val="20"/>
                <w:szCs w:val="20"/>
                <w:lang w:val="en-US"/>
              </w:rPr>
              <w:t>while there is an insignificant relationship between efficiency and growth in context to SO</w:t>
            </w:r>
            <w:r w:rsidRPr="00993352">
              <w:rPr>
                <w:rFonts w:ascii="Times New Roman" w:hAnsi="Times New Roman" w:cs="Times New Roman"/>
                <w:sz w:val="20"/>
                <w:szCs w:val="20"/>
                <w:vertAlign w:val="subscript"/>
                <w:lang w:val="en-US"/>
              </w:rPr>
              <w:t>2</w:t>
            </w:r>
            <w:r w:rsidRPr="00993352">
              <w:rPr>
                <w:rFonts w:ascii="Times New Roman" w:hAnsi="Times New Roman" w:cs="Times New Roman"/>
                <w:sz w:val="20"/>
                <w:szCs w:val="20"/>
                <w:lang w:val="en-US"/>
              </w:rPr>
              <w:t>.</w:t>
            </w:r>
          </w:p>
        </w:tc>
      </w:tr>
      <w:tr w:rsidR="000D5FA3" w:rsidRPr="00993352" w14:paraId="6042581C" w14:textId="77777777" w:rsidTr="006A6E27">
        <w:tc>
          <w:tcPr>
            <w:tcW w:w="2122" w:type="dxa"/>
          </w:tcPr>
          <w:p w14:paraId="4C17465F"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Destek et al. (2020)</w:t>
            </w:r>
          </w:p>
        </w:tc>
        <w:tc>
          <w:tcPr>
            <w:tcW w:w="3118" w:type="dxa"/>
          </w:tcPr>
          <w:p w14:paraId="33F37BBC"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relationship between economic growth and carbon emissions in G-7 countries: evidence from time-varying parameters with a long history</w:t>
            </w:r>
          </w:p>
        </w:tc>
        <w:tc>
          <w:tcPr>
            <w:tcW w:w="5250" w:type="dxa"/>
          </w:tcPr>
          <w:p w14:paraId="1EDEB13E"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lang w:val="en-US"/>
              </w:rPr>
              <w:t>The results suggest that the members of G7 do not have identical EKC shape. For instance, Canada and the UK shows a M-shaped EKC; France shows N-shaped EKC; Germany marks an inverted N-shaped EKC; and an inverted M-shaped (W-shaped) EKC has been found in the USA, Italy, and Japan.</w:t>
            </w:r>
          </w:p>
        </w:tc>
      </w:tr>
      <w:tr w:rsidR="000D5FA3" w:rsidRPr="00993352" w14:paraId="4A93C346" w14:textId="77777777" w:rsidTr="006A6E27">
        <w:tc>
          <w:tcPr>
            <w:tcW w:w="2122" w:type="dxa"/>
          </w:tcPr>
          <w:p w14:paraId="6C3B1A0A"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Boamah et al. (2019)</w:t>
            </w:r>
          </w:p>
        </w:tc>
        <w:tc>
          <w:tcPr>
            <w:tcW w:w="3118" w:type="dxa"/>
          </w:tcPr>
          <w:p w14:paraId="3262D2BE"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 study on the responsiveness of the environment to international trade, energy consumption, and economic growth. The case of Ghana</w:t>
            </w:r>
          </w:p>
        </w:tc>
        <w:tc>
          <w:tcPr>
            <w:tcW w:w="5250" w:type="dxa"/>
          </w:tcPr>
          <w:p w14:paraId="143B8616"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The results suggest inverted N-shaped environmental Kuznets curve for Ghana. Also, financial development and exports reduces the adverse effect on ecological footprint whereas, urbanization significantly deteriorates the environment.</w:t>
            </w:r>
          </w:p>
        </w:tc>
      </w:tr>
      <w:tr w:rsidR="000D5FA3" w:rsidRPr="00993352" w14:paraId="2185060C" w14:textId="77777777" w:rsidTr="006A6E27">
        <w:tc>
          <w:tcPr>
            <w:tcW w:w="2122" w:type="dxa"/>
          </w:tcPr>
          <w:p w14:paraId="21B720A2"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Sahani and Raghuvansi (2020)</w:t>
            </w:r>
          </w:p>
        </w:tc>
        <w:tc>
          <w:tcPr>
            <w:tcW w:w="3118" w:type="dxa"/>
          </w:tcPr>
          <w:p w14:paraId="096BB647"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Carbon dioxide emissions and economic growth: A bivariate co-integration analysis for two emerging markets of India and China</w:t>
            </w:r>
          </w:p>
        </w:tc>
        <w:tc>
          <w:tcPr>
            <w:tcW w:w="5250" w:type="dxa"/>
          </w:tcPr>
          <w:p w14:paraId="043C89F4" w14:textId="77777777" w:rsidR="000D5FA3" w:rsidRPr="00993352" w:rsidRDefault="000D5FA3" w:rsidP="006A6E27">
            <w:pPr>
              <w:spacing w:after="160"/>
              <w:jc w:val="both"/>
              <w:rPr>
                <w:rFonts w:ascii="Times New Roman" w:hAnsi="Times New Roman" w:cs="Times New Roman"/>
                <w:b/>
                <w:bCs/>
                <w:sz w:val="20"/>
                <w:szCs w:val="20"/>
                <w:lang w:val="en-US"/>
              </w:rPr>
            </w:pPr>
            <w:r w:rsidRPr="00993352">
              <w:rPr>
                <w:rFonts w:ascii="Times New Roman" w:hAnsi="Times New Roman" w:cs="Times New Roman"/>
                <w:sz w:val="20"/>
                <w:szCs w:val="20"/>
                <w:lang w:val="en-US"/>
              </w:rPr>
              <w:t xml:space="preserve">The results suggest that a long-term relation exist between economic growth and carbon emission in India and lagged error correction term (ECM) indicates that 4% disequilibrium must be corrected in the same year itself.Further, the results show that N-shaped EKC exist in case of China but not India. </w:t>
            </w:r>
          </w:p>
        </w:tc>
      </w:tr>
      <w:tr w:rsidR="000D5FA3" w:rsidRPr="00993352" w14:paraId="7799540F" w14:textId="77777777" w:rsidTr="006A6E27">
        <w:tc>
          <w:tcPr>
            <w:tcW w:w="2122" w:type="dxa"/>
          </w:tcPr>
          <w:p w14:paraId="0745BAE0"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lang w:val="en-US"/>
              </w:rPr>
              <w:t>Mahmood et al. (2020)</w:t>
            </w:r>
          </w:p>
        </w:tc>
        <w:tc>
          <w:tcPr>
            <w:tcW w:w="3118" w:type="dxa"/>
          </w:tcPr>
          <w:p w14:paraId="191EE5EA"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Energy capacity, industrial production, and the environment: an empirical analysis from Pakistan</w:t>
            </w:r>
          </w:p>
        </w:tc>
        <w:tc>
          <w:tcPr>
            <w:tcW w:w="5250" w:type="dxa"/>
          </w:tcPr>
          <w:p w14:paraId="516700DF"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lang w:val="en-US"/>
              </w:rPr>
              <w:t>The results suggest that a quadratic functional form of EKC is present in Pakistan. Interestingly, the effect of emission on production is more than the effect of energy on production.</w:t>
            </w:r>
          </w:p>
        </w:tc>
      </w:tr>
      <w:tr w:rsidR="000D5FA3" w:rsidRPr="00993352" w14:paraId="173A6C79" w14:textId="77777777" w:rsidTr="006A6E27">
        <w:tc>
          <w:tcPr>
            <w:tcW w:w="2122" w:type="dxa"/>
          </w:tcPr>
          <w:p w14:paraId="503AB69D"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Hasanov et al. (2019)</w:t>
            </w:r>
          </w:p>
        </w:tc>
        <w:tc>
          <w:tcPr>
            <w:tcW w:w="3118" w:type="dxa"/>
          </w:tcPr>
          <w:p w14:paraId="777C85EA"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Does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emissions-economic growth relationship reveal EKC in developing countries? Evidence from Kazakhstan</w:t>
            </w:r>
          </w:p>
        </w:tc>
        <w:tc>
          <w:tcPr>
            <w:tcW w:w="5250" w:type="dxa"/>
          </w:tcPr>
          <w:p w14:paraId="7F2A5CE3"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economic growth proxied by GDP and environmental degradation proxied by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have a long-run cointegration. Therefore, the test suggests that a quadratic functional form of EKC is present in Kazakhstan.</w:t>
            </w:r>
          </w:p>
        </w:tc>
      </w:tr>
      <w:tr w:rsidR="000D5FA3" w:rsidRPr="00993352" w14:paraId="1D5C4AEB" w14:textId="77777777" w:rsidTr="006A6E27">
        <w:tc>
          <w:tcPr>
            <w:tcW w:w="2122" w:type="dxa"/>
          </w:tcPr>
          <w:p w14:paraId="3760291C"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Rahman et al. (2019)</w:t>
            </w:r>
          </w:p>
        </w:tc>
        <w:tc>
          <w:tcPr>
            <w:tcW w:w="3118" w:type="dxa"/>
          </w:tcPr>
          <w:p w14:paraId="7F15F820"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Nexus between financial development, energy consumption, income level, and ecological footprint in CEE countries: do human capacity and biocapacity matter?</w:t>
            </w:r>
          </w:p>
        </w:tc>
        <w:tc>
          <w:tcPr>
            <w:tcW w:w="5250" w:type="dxa"/>
          </w:tcPr>
          <w:p w14:paraId="08DCE57B"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N-shaped EKC exist in CEECs during the selected time frame. Furthermore, biocapacity and human capital index have significant positive and negative impacts on ecological footprint respectively.</w:t>
            </w:r>
          </w:p>
        </w:tc>
      </w:tr>
      <w:tr w:rsidR="000D5FA3" w:rsidRPr="00993352" w14:paraId="36B00774" w14:textId="77777777" w:rsidTr="006A6E27">
        <w:tc>
          <w:tcPr>
            <w:tcW w:w="2122" w:type="dxa"/>
          </w:tcPr>
          <w:p w14:paraId="78B2EBCA"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Sinha et al. (2019)</w:t>
            </w:r>
          </w:p>
        </w:tc>
        <w:tc>
          <w:tcPr>
            <w:tcW w:w="3118" w:type="dxa"/>
          </w:tcPr>
          <w:p w14:paraId="030C9D19"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Impact of corruption in public sector on environmental quality: Implications for sustainability in BRICS and next 11 countries</w:t>
            </w:r>
          </w:p>
        </w:tc>
        <w:tc>
          <w:tcPr>
            <w:tcW w:w="5250" w:type="dxa"/>
          </w:tcPr>
          <w:p w14:paraId="15F36D2D"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validate the presence of inverted N-shaped Kuznets curve for BRICS and N11 countries. Moreover, the findings indicate that corruption aggravates the harmful impact on the environmental quality by reducing the positive impact of renewable source of energy and increasing the negative affect of fossil fuel consumption.</w:t>
            </w:r>
          </w:p>
        </w:tc>
      </w:tr>
      <w:tr w:rsidR="000D5FA3" w:rsidRPr="00993352" w14:paraId="70865C9A" w14:textId="77777777" w:rsidTr="006A6E27">
        <w:tc>
          <w:tcPr>
            <w:tcW w:w="2122" w:type="dxa"/>
          </w:tcPr>
          <w:p w14:paraId="1A1ACF26"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lastRenderedPageBreak/>
              <w:t>Zhou (2019)</w:t>
            </w:r>
          </w:p>
        </w:tc>
        <w:tc>
          <w:tcPr>
            <w:tcW w:w="3118" w:type="dxa"/>
          </w:tcPr>
          <w:p w14:paraId="1189AEC3"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underground economy and carbon dioxide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emissions in China</w:t>
            </w:r>
          </w:p>
        </w:tc>
        <w:tc>
          <w:tcPr>
            <w:tcW w:w="5250" w:type="dxa"/>
          </w:tcPr>
          <w:p w14:paraId="6A022D07"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the underground economy has a significant adverse impact on the carbon emissions abatement in China.</w:t>
            </w:r>
          </w:p>
        </w:tc>
      </w:tr>
      <w:tr w:rsidR="000D5FA3" w:rsidRPr="00993352" w14:paraId="67B9758F" w14:textId="77777777" w:rsidTr="006A6E27">
        <w:tc>
          <w:tcPr>
            <w:tcW w:w="2122" w:type="dxa"/>
          </w:tcPr>
          <w:p w14:paraId="6D9B71D5"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Boamah et al. (2017)</w:t>
            </w:r>
          </w:p>
        </w:tc>
        <w:tc>
          <w:tcPr>
            <w:tcW w:w="3118" w:type="dxa"/>
          </w:tcPr>
          <w:p w14:paraId="7F6AFC2D"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 study on the causal effect of urban population growth and international trade on environmental pollution: evidence from China</w:t>
            </w:r>
          </w:p>
        </w:tc>
        <w:tc>
          <w:tcPr>
            <w:tcW w:w="5250" w:type="dxa"/>
          </w:tcPr>
          <w:p w14:paraId="465937AB"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bi-directional causality exists between import and urbanisation. Further, N-shaped EKC has been identified in China.</w:t>
            </w:r>
          </w:p>
        </w:tc>
      </w:tr>
      <w:tr w:rsidR="000D5FA3" w:rsidRPr="00993352" w14:paraId="4B92807C" w14:textId="77777777" w:rsidTr="006A6E27">
        <w:tc>
          <w:tcPr>
            <w:tcW w:w="2122" w:type="dxa"/>
          </w:tcPr>
          <w:p w14:paraId="50DFD201"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Bhanumurthy and Gambhir (2018)</w:t>
            </w:r>
          </w:p>
        </w:tc>
        <w:tc>
          <w:tcPr>
            <w:tcW w:w="3118" w:type="dxa"/>
          </w:tcPr>
          <w:p w14:paraId="35884F26"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Analyzing environmental Kuznets curve and pollution haven hypothesis in India in the context of domestic and global policy change</w:t>
            </w:r>
          </w:p>
        </w:tc>
        <w:tc>
          <w:tcPr>
            <w:tcW w:w="5250" w:type="dxa"/>
          </w:tcPr>
          <w:p w14:paraId="49513607"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findings by analysing the aggregate emissions suggest that N-shaped EKC exists in India and further, foreign direct investment (FDI) has small positive significant coefficient which validates the presence of pollution haven hypothesis (PHH) in India.</w:t>
            </w:r>
          </w:p>
        </w:tc>
      </w:tr>
      <w:tr w:rsidR="000D5FA3" w:rsidRPr="00993352" w14:paraId="5ACA1184" w14:textId="77777777" w:rsidTr="006A6E27">
        <w:tc>
          <w:tcPr>
            <w:tcW w:w="2122" w:type="dxa"/>
          </w:tcPr>
          <w:p w14:paraId="4E57FBFF"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Sinha et al. (2017)</w:t>
            </w:r>
          </w:p>
        </w:tc>
        <w:tc>
          <w:tcPr>
            <w:tcW w:w="3118" w:type="dxa"/>
          </w:tcPr>
          <w:p w14:paraId="206B5582"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Exploring the relationship between energy usage segregation and environmental degradation in N-11 countries</w:t>
            </w:r>
          </w:p>
        </w:tc>
        <w:tc>
          <w:tcPr>
            <w:tcW w:w="5250" w:type="dxa"/>
          </w:tcPr>
          <w:p w14:paraId="50BC16F8"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N-shaped EKC exists in all the three sub-panels of emerging countries (N-11 countries). To elaborate individually, renewable source of energy has a negative relation with the emissions while biomass energy consumption and non-renewable energy cause an increase in the emissions.</w:t>
            </w:r>
          </w:p>
        </w:tc>
      </w:tr>
      <w:tr w:rsidR="000D5FA3" w:rsidRPr="00993352" w14:paraId="06160893" w14:textId="77777777" w:rsidTr="006A6E27">
        <w:tc>
          <w:tcPr>
            <w:tcW w:w="2122" w:type="dxa"/>
          </w:tcPr>
          <w:p w14:paraId="150EE499"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Makarabbi et al. (2017)</w:t>
            </w:r>
          </w:p>
        </w:tc>
        <w:tc>
          <w:tcPr>
            <w:tcW w:w="3118" w:type="dxa"/>
          </w:tcPr>
          <w:p w14:paraId="77648DC8"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Economic growth and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 in India: An environmental Kuznets curve approach</w:t>
            </w:r>
          </w:p>
        </w:tc>
        <w:tc>
          <w:tcPr>
            <w:tcW w:w="5250" w:type="dxa"/>
          </w:tcPr>
          <w:p w14:paraId="67A02771"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 xml:space="preserve">Using ordinary least squares (OLS), it is found that no inverted-U shaped EKC exists in India. However, cubic shaped curve might exist. </w:t>
            </w:r>
          </w:p>
        </w:tc>
      </w:tr>
      <w:tr w:rsidR="000D5FA3" w:rsidRPr="00993352" w14:paraId="614959AE" w14:textId="77777777" w:rsidTr="006A6E27">
        <w:tc>
          <w:tcPr>
            <w:tcW w:w="2122" w:type="dxa"/>
          </w:tcPr>
          <w:p w14:paraId="16539FCF"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Joshi and Beck (2016)</w:t>
            </w:r>
          </w:p>
        </w:tc>
        <w:tc>
          <w:tcPr>
            <w:tcW w:w="3118" w:type="dxa"/>
          </w:tcPr>
          <w:p w14:paraId="212688B7"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Environmental Kuznets curve for degradation: evidence using GMM estimation for OECD and non-OECD regions</w:t>
            </w:r>
          </w:p>
        </w:tc>
        <w:tc>
          <w:tcPr>
            <w:tcW w:w="5250" w:type="dxa"/>
          </w:tcPr>
          <w:p w14:paraId="5E579704"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OECD region validates the presence of N-shaped EKC while only the Africa region experiences the income-based EKC. Further, it is reported that population growth and conversion of agricultural land leads to more deforestation.</w:t>
            </w:r>
          </w:p>
        </w:tc>
      </w:tr>
      <w:tr w:rsidR="000D5FA3" w:rsidRPr="00993352" w14:paraId="720D4703" w14:textId="77777777" w:rsidTr="006A6E27">
        <w:tc>
          <w:tcPr>
            <w:tcW w:w="2122" w:type="dxa"/>
          </w:tcPr>
          <w:p w14:paraId="56025142"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Babu and Datta (2016)</w:t>
            </w:r>
          </w:p>
        </w:tc>
        <w:tc>
          <w:tcPr>
            <w:tcW w:w="3118" w:type="dxa"/>
          </w:tcPr>
          <w:p w14:paraId="31F44424"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 xml:space="preserve">A study of co-variation and convergence of alternative measures of sustainability on the basis of panel data </w:t>
            </w:r>
          </w:p>
        </w:tc>
        <w:tc>
          <w:tcPr>
            <w:tcW w:w="5250" w:type="dxa"/>
          </w:tcPr>
          <w:p w14:paraId="02E6F9E4"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They analysed the presence of EKC using four different sustainability indicators namely, Green Net National Product, Ecological Footprint, Sustainable Human Development Index and Pollution Sensitive Human Development Index in 22 countries. The results suggest that N-shaped EKC exist in 22 countries. To emphasize, all the four indicators are more or less consistent and produce the same results.</w:t>
            </w:r>
          </w:p>
        </w:tc>
      </w:tr>
      <w:tr w:rsidR="000D5FA3" w:rsidRPr="00993352" w14:paraId="68273830" w14:textId="77777777" w:rsidTr="006A6E27">
        <w:tc>
          <w:tcPr>
            <w:tcW w:w="2122" w:type="dxa"/>
          </w:tcPr>
          <w:p w14:paraId="026A3E39"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Yang et al. (2015)</w:t>
            </w:r>
          </w:p>
        </w:tc>
        <w:tc>
          <w:tcPr>
            <w:tcW w:w="3118" w:type="dxa"/>
          </w:tcPr>
          <w:p w14:paraId="40E1CC20"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Modeling the nexus between carbon dioxide emissions and economic growth</w:t>
            </w:r>
          </w:p>
        </w:tc>
        <w:tc>
          <w:tcPr>
            <w:tcW w:w="5250" w:type="dxa"/>
          </w:tcPr>
          <w:p w14:paraId="3160C30B"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 xml:space="preserve">The results suggest that due to diversified economic structure and complexities in the selected 67 countries, it is found that developed nations experience inverted-N-shaped and M-shaped EKC while developing nations experiences inverted N-shaped, M-shaped and monotonically increasing EKC. </w:t>
            </w:r>
          </w:p>
        </w:tc>
      </w:tr>
      <w:tr w:rsidR="000D5FA3" w:rsidRPr="00993352" w14:paraId="3B2A3791" w14:textId="77777777" w:rsidTr="006A6E27">
        <w:tc>
          <w:tcPr>
            <w:tcW w:w="2122" w:type="dxa"/>
          </w:tcPr>
          <w:p w14:paraId="43A3764F"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Alshubiri and Elheddad (2019)</w:t>
            </w:r>
          </w:p>
        </w:tc>
        <w:tc>
          <w:tcPr>
            <w:tcW w:w="3118" w:type="dxa"/>
          </w:tcPr>
          <w:p w14:paraId="70FE8B9D"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Foreign finance, economic growth and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 nexus in OECD countries</w:t>
            </w:r>
          </w:p>
        </w:tc>
        <w:tc>
          <w:tcPr>
            <w:tcW w:w="5250" w:type="dxa"/>
          </w:tcPr>
          <w:p w14:paraId="703EFAD9"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findings suggest that the relationship between foreign finance and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 validate inverse U-shaped environmental Kuznets curve while the relationship between economic growth and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 validate N-shaped environmental Kuznets curve in 32 OECD countries.</w:t>
            </w:r>
          </w:p>
        </w:tc>
      </w:tr>
      <w:tr w:rsidR="000D5FA3" w:rsidRPr="00993352" w14:paraId="57F4F545" w14:textId="77777777" w:rsidTr="006A6E27">
        <w:tc>
          <w:tcPr>
            <w:tcW w:w="2122" w:type="dxa"/>
          </w:tcPr>
          <w:p w14:paraId="5DA27C55"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Diallo (2019)</w:t>
            </w:r>
          </w:p>
        </w:tc>
        <w:tc>
          <w:tcPr>
            <w:tcW w:w="3118" w:type="dxa"/>
          </w:tcPr>
          <w:p w14:paraId="3D88ADBC"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environmental Kuznets curve in a public spending model of economic growth</w:t>
            </w:r>
          </w:p>
        </w:tc>
        <w:tc>
          <w:tcPr>
            <w:tcW w:w="5250" w:type="dxa"/>
          </w:tcPr>
          <w:p w14:paraId="3F7DCB81"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author attempted to validate the relationship between pollution and income in a public spending model by introducing abatement technology. The results suggest that when the taxes are below the threshold point, the inflection point decreases in proportion with taxes but it increase when taxes are beyond the threshold point. To put it differently, the study validates the presence of N-shaped Kuznets curve.</w:t>
            </w:r>
          </w:p>
        </w:tc>
      </w:tr>
      <w:tr w:rsidR="000D5FA3" w:rsidRPr="00993352" w14:paraId="08E882AA" w14:textId="77777777" w:rsidTr="006A6E27">
        <w:tc>
          <w:tcPr>
            <w:tcW w:w="2122" w:type="dxa"/>
          </w:tcPr>
          <w:p w14:paraId="6B723700"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Zanin and Marra (2012)</w:t>
            </w:r>
          </w:p>
        </w:tc>
        <w:tc>
          <w:tcPr>
            <w:tcW w:w="3118" w:type="dxa"/>
          </w:tcPr>
          <w:p w14:paraId="17B4DA29"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Assessing the financial relationship between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 and economic development using an additive mixed model approach</w:t>
            </w:r>
          </w:p>
        </w:tc>
        <w:tc>
          <w:tcPr>
            <w:tcW w:w="5250" w:type="dxa"/>
          </w:tcPr>
          <w:p w14:paraId="102224C0"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 xml:space="preserve">The study focused on additive mixed models. The findings suggest classic Kuznets curve for some countries but different non-linear shape of curves was also found in Finland, Canada and Denmark. </w:t>
            </w:r>
          </w:p>
        </w:tc>
      </w:tr>
      <w:tr w:rsidR="000D5FA3" w:rsidRPr="00993352" w14:paraId="04AB5206" w14:textId="77777777" w:rsidTr="006A6E27">
        <w:tc>
          <w:tcPr>
            <w:tcW w:w="2122" w:type="dxa"/>
          </w:tcPr>
          <w:p w14:paraId="5AE96DFA"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Dai et al. (2022)</w:t>
            </w:r>
          </w:p>
        </w:tc>
        <w:tc>
          <w:tcPr>
            <w:tcW w:w="3118" w:type="dxa"/>
          </w:tcPr>
          <w:p w14:paraId="482CEED4"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Whether ecological measures have influenced the environmental Kuznets curve (EKC)? An analysis using land footprint in the Weihe River Basin, China</w:t>
            </w:r>
          </w:p>
        </w:tc>
        <w:tc>
          <w:tcPr>
            <w:tcW w:w="5250" w:type="dxa"/>
          </w:tcPr>
          <w:p w14:paraId="7ED32124"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an existence of inverted N-shaped Kuznets curve between land footprint and economic growth in Weihe River basin.</w:t>
            </w:r>
          </w:p>
        </w:tc>
      </w:tr>
      <w:tr w:rsidR="000D5FA3" w:rsidRPr="00993352" w14:paraId="7A0C94CF" w14:textId="77777777" w:rsidTr="006A6E27">
        <w:tc>
          <w:tcPr>
            <w:tcW w:w="2122" w:type="dxa"/>
          </w:tcPr>
          <w:p w14:paraId="3B76720B"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lastRenderedPageBreak/>
              <w:t>Babu and Datta (2013)</w:t>
            </w:r>
          </w:p>
        </w:tc>
        <w:tc>
          <w:tcPr>
            <w:tcW w:w="3118" w:type="dxa"/>
          </w:tcPr>
          <w:p w14:paraId="4A01DCDF"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relevance of environmental Kuznets curve (EKC) in a framework of broad-based environmental degradation and modified measure of growth- a pooled data analysis</w:t>
            </w:r>
          </w:p>
        </w:tc>
        <w:tc>
          <w:tcPr>
            <w:tcW w:w="5250" w:type="dxa"/>
          </w:tcPr>
          <w:p w14:paraId="44833ECA"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 xml:space="preserve">The results suggest N-shaped EKC for most of the countries (22 developing counties). Most importantly, it is evident that DBI is a better indicator than GDP as it is an inclusive measure and focuses on social and economic development of people and environmental concerns/aspects of development. </w:t>
            </w:r>
          </w:p>
        </w:tc>
      </w:tr>
      <w:tr w:rsidR="000D5FA3" w:rsidRPr="00993352" w14:paraId="396F4D50" w14:textId="77777777" w:rsidTr="006A6E27">
        <w:tc>
          <w:tcPr>
            <w:tcW w:w="2122" w:type="dxa"/>
          </w:tcPr>
          <w:p w14:paraId="4FB5C9B3"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Shehzad et al. (2022)</w:t>
            </w:r>
          </w:p>
        </w:tc>
        <w:tc>
          <w:tcPr>
            <w:tcW w:w="3118" w:type="dxa"/>
          </w:tcPr>
          <w:p w14:paraId="0C07C5A7"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Testing the N-shaped environmental Kuznets curve in Algeria: An imperious role of natural resources and economic globalization</w:t>
            </w:r>
          </w:p>
        </w:tc>
        <w:tc>
          <w:tcPr>
            <w:tcW w:w="5250" w:type="dxa"/>
          </w:tcPr>
          <w:p w14:paraId="2136412E"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income generated from exporting natural resources improve the environment excellence in Algeria. The relationship between economic growth and ecological footprint indicates N-shaped Kuznets curve.</w:t>
            </w:r>
          </w:p>
        </w:tc>
      </w:tr>
      <w:tr w:rsidR="000D5FA3" w:rsidRPr="00993352" w14:paraId="56D6CF92" w14:textId="77777777" w:rsidTr="006A6E27">
        <w:tc>
          <w:tcPr>
            <w:tcW w:w="2122" w:type="dxa"/>
          </w:tcPr>
          <w:p w14:paraId="7DF5DA77"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Liu and Gong (2021)</w:t>
            </w:r>
          </w:p>
        </w:tc>
        <w:tc>
          <w:tcPr>
            <w:tcW w:w="3118" w:type="dxa"/>
          </w:tcPr>
          <w:p w14:paraId="5BCAF05A"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Heterogeneous impacts of financial development on carbon emissions: Evidence from China’s provincial data</w:t>
            </w:r>
          </w:p>
        </w:tc>
        <w:tc>
          <w:tcPr>
            <w:tcW w:w="5250" w:type="dxa"/>
          </w:tcPr>
          <w:p w14:paraId="1373A6E8"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indicate that due to segmentation of provincial financial markets in China, the impact and intensity of financial development on carbon emission differs. Secondly, different proxies of financial development have different impact on the dependent variable.</w:t>
            </w:r>
          </w:p>
        </w:tc>
      </w:tr>
      <w:tr w:rsidR="000D5FA3" w:rsidRPr="00993352" w14:paraId="1CCB056C" w14:textId="77777777" w:rsidTr="006A6E27">
        <w:tc>
          <w:tcPr>
            <w:tcW w:w="2122" w:type="dxa"/>
          </w:tcPr>
          <w:p w14:paraId="09E60436"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Zhang, Liao and Hao (2018)</w:t>
            </w:r>
          </w:p>
        </w:tc>
        <w:tc>
          <w:tcPr>
            <w:tcW w:w="3118" w:type="dxa"/>
          </w:tcPr>
          <w:p w14:paraId="583C3BDF"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Does one path fit all? An empirical study on the relationship between energy consumption and economic development for individual Chinese provinces</w:t>
            </w:r>
          </w:p>
        </w:tc>
        <w:tc>
          <w:tcPr>
            <w:tcW w:w="5250" w:type="dxa"/>
          </w:tcPr>
          <w:p w14:paraId="19D1B2F4"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 xml:space="preserve">It is observed that not all the provinces exhibit similar relation between the energy consumption per capita and GDP per capita. Only 8 provinces have an inverted U shaped or inverted N shaped curve while the other 22 provinces have still not reached the turning point of energy consumption per capita. </w:t>
            </w:r>
          </w:p>
        </w:tc>
      </w:tr>
      <w:tr w:rsidR="000D5FA3" w:rsidRPr="00993352" w14:paraId="77F46B05" w14:textId="77777777" w:rsidTr="006A6E27">
        <w:tc>
          <w:tcPr>
            <w:tcW w:w="2122" w:type="dxa"/>
          </w:tcPr>
          <w:p w14:paraId="339BBE5A"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Li et al. (2021)</w:t>
            </w:r>
          </w:p>
        </w:tc>
        <w:tc>
          <w:tcPr>
            <w:tcW w:w="3118" w:type="dxa"/>
          </w:tcPr>
          <w:p w14:paraId="78E24C6C"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Does technology advancement reduce aggregate carbon dioxide emissions? Evidence from 66 countries with panel threshold regression model</w:t>
            </w:r>
          </w:p>
        </w:tc>
        <w:tc>
          <w:tcPr>
            <w:tcW w:w="5250" w:type="dxa"/>
          </w:tcPr>
          <w:p w14:paraId="1C9AC140"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 total of 66 countries have been selected which were divided into high-income countries, low-income-countries and middle-income countries for both OECD and non-OECD groups. It is found that the result varies with respect to different groups and countries within. It is found that as the economic development is increasing in high-income countries (OECD and non-OECD), more focus in on scale effect rather than environmental aspect and thus, the level of carbon emission goes up.</w:t>
            </w:r>
          </w:p>
        </w:tc>
      </w:tr>
      <w:tr w:rsidR="000D5FA3" w:rsidRPr="00993352" w14:paraId="290D8B84" w14:textId="77777777" w:rsidTr="006A6E27">
        <w:tc>
          <w:tcPr>
            <w:tcW w:w="2122" w:type="dxa"/>
          </w:tcPr>
          <w:p w14:paraId="76BA968C"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Balsalobre-Lorente et al. (2018)</w:t>
            </w:r>
          </w:p>
        </w:tc>
        <w:tc>
          <w:tcPr>
            <w:tcW w:w="3118" w:type="dxa"/>
          </w:tcPr>
          <w:p w14:paraId="6F2E8340"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How economic growth, renewable electricity and natural resources contribute to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w:t>
            </w:r>
          </w:p>
        </w:tc>
        <w:tc>
          <w:tcPr>
            <w:tcW w:w="5250" w:type="dxa"/>
          </w:tcPr>
          <w:p w14:paraId="666E1AF8"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exhibit an N-shaped EKC in the EU-5 countries. The research incorporates an interaction term between the economic growth and renewable electricity consumption as well, which makes the study unique. The findings suggest that there is a significant positive impact of renewable electricity consumption on the economic growth.</w:t>
            </w:r>
          </w:p>
        </w:tc>
      </w:tr>
      <w:tr w:rsidR="000D5FA3" w:rsidRPr="00993352" w14:paraId="21170A18" w14:textId="77777777" w:rsidTr="006A6E27">
        <w:tc>
          <w:tcPr>
            <w:tcW w:w="2122" w:type="dxa"/>
          </w:tcPr>
          <w:p w14:paraId="07ADFE41"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Lu and Liu (2022)</w:t>
            </w:r>
          </w:p>
        </w:tc>
        <w:tc>
          <w:tcPr>
            <w:tcW w:w="3118" w:type="dxa"/>
          </w:tcPr>
          <w:p w14:paraId="38FFB90A"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An empirical analysis of Jiangxi province’s financial development, economic growth, and environmental pollution</w:t>
            </w:r>
          </w:p>
        </w:tc>
        <w:tc>
          <w:tcPr>
            <w:tcW w:w="5250" w:type="dxa"/>
          </w:tcPr>
          <w:p w14:paraId="456A7BAA"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the typical inverted U-shaped EKC do not exist between the GDP representing economic development and environmental quality in Jiangxi province located in China.</w:t>
            </w:r>
          </w:p>
        </w:tc>
      </w:tr>
      <w:tr w:rsidR="000D5FA3" w:rsidRPr="00993352" w14:paraId="749D1D81" w14:textId="77777777" w:rsidTr="006A6E27">
        <w:tc>
          <w:tcPr>
            <w:tcW w:w="2122" w:type="dxa"/>
          </w:tcPr>
          <w:p w14:paraId="0BEAEC53"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HongWei, XiaoLei and Hong (2007)</w:t>
            </w:r>
          </w:p>
        </w:tc>
        <w:tc>
          <w:tcPr>
            <w:tcW w:w="3118" w:type="dxa"/>
          </w:tcPr>
          <w:p w14:paraId="4E78E912"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Analysis on the coupling law between economic development and the environment in Urumqi city</w:t>
            </w:r>
          </w:p>
        </w:tc>
        <w:tc>
          <w:tcPr>
            <w:tcW w:w="5250" w:type="dxa"/>
          </w:tcPr>
          <w:p w14:paraId="0F9224DE"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that industrial waste gas has a positive relation with economic development indicating that the Urumqi city is still in the industrialization phase and poses pressure on the environment.</w:t>
            </w:r>
          </w:p>
        </w:tc>
      </w:tr>
      <w:tr w:rsidR="000D5FA3" w:rsidRPr="00993352" w14:paraId="76BC165C" w14:textId="77777777" w:rsidTr="006A6E27">
        <w:tc>
          <w:tcPr>
            <w:tcW w:w="2122" w:type="dxa"/>
          </w:tcPr>
          <w:p w14:paraId="4A81DB4B" w14:textId="77777777" w:rsidR="000D5FA3" w:rsidRPr="00993352" w:rsidRDefault="000D5FA3" w:rsidP="006A6E27">
            <w:pPr>
              <w:jc w:val="both"/>
              <w:rPr>
                <w:rFonts w:ascii="Times New Roman" w:hAnsi="Times New Roman" w:cs="Times New Roman"/>
                <w:sz w:val="20"/>
                <w:szCs w:val="20"/>
                <w:lang w:val="en-US"/>
              </w:rPr>
            </w:pPr>
            <w:r w:rsidRPr="00993352">
              <w:rPr>
                <w:rFonts w:ascii="Times New Roman" w:hAnsi="Times New Roman" w:cs="Times New Roman"/>
                <w:sz w:val="20"/>
                <w:szCs w:val="20"/>
              </w:rPr>
              <w:t>Ge et al. (2018)</w:t>
            </w:r>
          </w:p>
        </w:tc>
        <w:tc>
          <w:tcPr>
            <w:tcW w:w="3118" w:type="dxa"/>
          </w:tcPr>
          <w:p w14:paraId="72C6A8C8"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 spatial panel data analysis of economic growth, urbanization, and NO</w:t>
            </w:r>
            <w:r w:rsidRPr="00993352">
              <w:rPr>
                <w:rFonts w:ascii="Times New Roman" w:hAnsi="Times New Roman" w:cs="Times New Roman"/>
                <w:sz w:val="20"/>
                <w:szCs w:val="20"/>
                <w:vertAlign w:val="subscript"/>
              </w:rPr>
              <w:t>x</w:t>
            </w:r>
            <w:r w:rsidRPr="00993352">
              <w:rPr>
                <w:rFonts w:ascii="Times New Roman" w:hAnsi="Times New Roman" w:cs="Times New Roman"/>
                <w:sz w:val="20"/>
                <w:szCs w:val="20"/>
              </w:rPr>
              <w:t xml:space="preserve"> emissions in China</w:t>
            </w:r>
          </w:p>
        </w:tc>
        <w:tc>
          <w:tcPr>
            <w:tcW w:w="5250" w:type="dxa"/>
          </w:tcPr>
          <w:p w14:paraId="4A45E702"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The results suggest an inverse N-shaped EKC which is different from the conventional inverted U-shaped EKC exist in China. It indicates that most of the developing provinces are in the upward phase of inverted N-shaped curve while very well- developed provinces are in the downward phase.</w:t>
            </w:r>
          </w:p>
        </w:tc>
      </w:tr>
      <w:tr w:rsidR="000D5FA3" w:rsidRPr="00993352" w14:paraId="5252A879" w14:textId="77777777" w:rsidTr="006A6E27">
        <w:tc>
          <w:tcPr>
            <w:tcW w:w="2122" w:type="dxa"/>
          </w:tcPr>
          <w:p w14:paraId="28B2B113"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Alvarez-Herranz et al. (2017)</w:t>
            </w:r>
          </w:p>
        </w:tc>
        <w:tc>
          <w:tcPr>
            <w:tcW w:w="3118" w:type="dxa"/>
          </w:tcPr>
          <w:p w14:paraId="6A3FDDDF"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Energy innovation and renewable energy consumption in the correction of air pollution levels</w:t>
            </w:r>
          </w:p>
        </w:tc>
        <w:tc>
          <w:tcPr>
            <w:tcW w:w="5250" w:type="dxa"/>
          </w:tcPr>
          <w:p w14:paraId="2F2FA827"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The result confirms an N-shaped EKC for OECD countries. However, it is recommended that governments should invest more in energy innovation despite of initial burden of cost as in the long-run, the GHG emissions decline.</w:t>
            </w:r>
          </w:p>
        </w:tc>
      </w:tr>
      <w:tr w:rsidR="000D5FA3" w:rsidRPr="00993352" w14:paraId="00F01BFD" w14:textId="77777777" w:rsidTr="006A6E27">
        <w:tc>
          <w:tcPr>
            <w:tcW w:w="2122" w:type="dxa"/>
          </w:tcPr>
          <w:p w14:paraId="48160EA9"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Li, Luo and Wang (2019)</w:t>
            </w:r>
          </w:p>
        </w:tc>
        <w:tc>
          <w:tcPr>
            <w:tcW w:w="3118" w:type="dxa"/>
          </w:tcPr>
          <w:p w14:paraId="113D4808"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Spatial effects of economic performance on the carbon intensity of human well-being: The environmental Kuznets curve in Chinese provinces</w:t>
            </w:r>
          </w:p>
        </w:tc>
        <w:tc>
          <w:tcPr>
            <w:tcW w:w="5250" w:type="dxa"/>
          </w:tcPr>
          <w:p w14:paraId="77011E30"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The results suggest an inverted N-shaped curve in 30 provinces of China. This basically means in the pre-industrialised era, increasing development is matched with low CIWB. Further, with the development the carbon stress per well-being increases and thereafter the second turning point, CIWB decreases thereby leading to improved well-being.</w:t>
            </w:r>
          </w:p>
        </w:tc>
      </w:tr>
      <w:tr w:rsidR="000D5FA3" w:rsidRPr="00993352" w14:paraId="29D0EF58" w14:textId="77777777" w:rsidTr="006A6E27">
        <w:tc>
          <w:tcPr>
            <w:tcW w:w="2122" w:type="dxa"/>
          </w:tcPr>
          <w:p w14:paraId="166E78D4"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t>Fang et al. (2019)</w:t>
            </w:r>
          </w:p>
        </w:tc>
        <w:tc>
          <w:tcPr>
            <w:tcW w:w="3118" w:type="dxa"/>
          </w:tcPr>
          <w:p w14:paraId="271E0E2C" w14:textId="77777777" w:rsidR="000D5FA3" w:rsidRPr="00993352" w:rsidRDefault="000D5FA3" w:rsidP="006A6E27">
            <w:pPr>
              <w:jc w:val="both"/>
              <w:rPr>
                <w:rFonts w:ascii="Times New Roman" w:hAnsi="Times New Roman" w:cs="Times New Roman"/>
                <w:b/>
                <w:bCs/>
                <w:sz w:val="20"/>
                <w:szCs w:val="20"/>
                <w:lang w:val="en-US"/>
              </w:rPr>
            </w:pPr>
            <w:r w:rsidRPr="00993352">
              <w:rPr>
                <w:rFonts w:ascii="Times New Roman" w:hAnsi="Times New Roman" w:cs="Times New Roman"/>
                <w:sz w:val="20"/>
                <w:szCs w:val="20"/>
              </w:rPr>
              <w:t>Analysis of the influence mechanism of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 and </w:t>
            </w:r>
            <w:r w:rsidRPr="00993352">
              <w:rPr>
                <w:rFonts w:ascii="Times New Roman" w:hAnsi="Times New Roman" w:cs="Times New Roman"/>
                <w:sz w:val="20"/>
                <w:szCs w:val="20"/>
              </w:rPr>
              <w:lastRenderedPageBreak/>
              <w:t>verification of the environmental Kuznets curve in China</w:t>
            </w:r>
          </w:p>
        </w:tc>
        <w:tc>
          <w:tcPr>
            <w:tcW w:w="5250" w:type="dxa"/>
          </w:tcPr>
          <w:p w14:paraId="471272F5" w14:textId="77777777" w:rsidR="000D5FA3" w:rsidRPr="00993352" w:rsidRDefault="000D5FA3" w:rsidP="006A6E27">
            <w:pPr>
              <w:jc w:val="both"/>
              <w:rPr>
                <w:rFonts w:ascii="Times New Roman" w:hAnsi="Times New Roman" w:cs="Times New Roman"/>
                <w:sz w:val="20"/>
                <w:szCs w:val="20"/>
              </w:rPr>
            </w:pPr>
            <w:r w:rsidRPr="00993352">
              <w:rPr>
                <w:rFonts w:ascii="Times New Roman" w:hAnsi="Times New Roman" w:cs="Times New Roman"/>
                <w:sz w:val="20"/>
                <w:szCs w:val="20"/>
              </w:rPr>
              <w:lastRenderedPageBreak/>
              <w:t xml:space="preserve">With the backdrop of Chinese economy growth trajectory from high-speed growth to high-quality development, the researchers have considered other influencing factors under different </w:t>
            </w:r>
            <w:r w:rsidRPr="00993352">
              <w:rPr>
                <w:rFonts w:ascii="Times New Roman" w:hAnsi="Times New Roman" w:cs="Times New Roman"/>
                <w:sz w:val="20"/>
                <w:szCs w:val="20"/>
              </w:rPr>
              <w:lastRenderedPageBreak/>
              <w:t>development stages impacting the carbon emissions. These influencing factors are – GDP, energy intensity, urbanisation level and trade openness. The results suggest that there exists an inverted N-shaped EKC. Also, all the influencing factors have a significant positive correlation with the carbon emission and CO</w:t>
            </w:r>
            <w:r w:rsidRPr="00993352">
              <w:rPr>
                <w:rFonts w:ascii="Times New Roman" w:hAnsi="Times New Roman" w:cs="Times New Roman"/>
                <w:sz w:val="20"/>
                <w:szCs w:val="20"/>
                <w:vertAlign w:val="subscript"/>
              </w:rPr>
              <w:t>2</w:t>
            </w:r>
            <w:r w:rsidRPr="00993352">
              <w:rPr>
                <w:rFonts w:ascii="Times New Roman" w:hAnsi="Times New Roman" w:cs="Times New Roman"/>
                <w:sz w:val="20"/>
                <w:szCs w:val="20"/>
              </w:rPr>
              <w:t xml:space="preserve"> emissions lie between the two inflection points of the curve.</w:t>
            </w:r>
          </w:p>
        </w:tc>
      </w:tr>
    </w:tbl>
    <w:p w14:paraId="4F7AC5F4" w14:textId="77777777" w:rsidR="000D5FA3" w:rsidRDefault="000D5FA3" w:rsidP="000D5FA3">
      <w:pPr>
        <w:spacing w:line="360" w:lineRule="auto"/>
        <w:jc w:val="both"/>
        <w:rPr>
          <w:rFonts w:ascii="Times New Roman" w:hAnsi="Times New Roman" w:cs="Times New Roman"/>
          <w:sz w:val="24"/>
          <w:szCs w:val="24"/>
        </w:rPr>
      </w:pPr>
    </w:p>
    <w:p w14:paraId="34090A51" w14:textId="77777777" w:rsidR="000D5FA3" w:rsidRPr="00DC21FE" w:rsidRDefault="000D5FA3" w:rsidP="000D5FA3">
      <w:pPr>
        <w:spacing w:line="360" w:lineRule="auto"/>
        <w:jc w:val="both"/>
        <w:rPr>
          <w:rFonts w:ascii="Times New Roman" w:hAnsi="Times New Roman" w:cs="Times New Roman"/>
          <w:sz w:val="24"/>
          <w:szCs w:val="24"/>
        </w:rPr>
      </w:pPr>
    </w:p>
    <w:p w14:paraId="59DD95BF" w14:textId="77777777" w:rsidR="000D5FA3" w:rsidRPr="00F821B4" w:rsidRDefault="000D5FA3" w:rsidP="000D5FA3">
      <w:pPr>
        <w:pStyle w:val="ListParagraph"/>
        <w:spacing w:line="360" w:lineRule="auto"/>
        <w:jc w:val="both"/>
        <w:rPr>
          <w:rFonts w:ascii="Times New Roman" w:hAnsi="Times New Roman" w:cs="Times New Roman"/>
          <w:sz w:val="24"/>
          <w:szCs w:val="24"/>
        </w:rPr>
      </w:pPr>
    </w:p>
    <w:p w14:paraId="24C6B5CD" w14:textId="77777777" w:rsidR="000D5FA3" w:rsidRDefault="000D5FA3" w:rsidP="000D5FA3">
      <w:pPr>
        <w:spacing w:line="360" w:lineRule="auto"/>
        <w:jc w:val="both"/>
        <w:rPr>
          <w:rFonts w:ascii="Times New Roman" w:hAnsi="Times New Roman" w:cs="Times New Roman"/>
          <w:sz w:val="24"/>
          <w:szCs w:val="24"/>
        </w:rPr>
      </w:pPr>
    </w:p>
    <w:p w14:paraId="76394526" w14:textId="77777777" w:rsidR="000D5FA3" w:rsidRDefault="000D5FA3" w:rsidP="000D5FA3"/>
    <w:p w14:paraId="0E92CEF6" w14:textId="77777777" w:rsidR="000B332E" w:rsidRDefault="000B332E"/>
    <w:sectPr w:rsidR="000B332E" w:rsidSect="000D5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FA3"/>
    <w:rsid w:val="000B332E"/>
    <w:rsid w:val="000D5FA3"/>
    <w:rsid w:val="00757E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E62A9"/>
  <w15:chartTrackingRefBased/>
  <w15:docId w15:val="{85A3A2AE-9E0A-4A61-BB72-C0AB8AC0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FA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5F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2086</Words>
  <Characters>12105</Characters>
  <Application>Microsoft Office Word</Application>
  <DocSecurity>0</DocSecurity>
  <Lines>366</Lines>
  <Paragraphs>127</Paragraphs>
  <ScaleCrop>false</ScaleCrop>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Srishti Jain</dc:creator>
  <cp:keywords/>
  <dc:description/>
  <cp:lastModifiedBy>Srishti Jain</cp:lastModifiedBy>
  <cp:revision>1</cp:revision>
  <dcterms:created xsi:type="dcterms:W3CDTF">2024-06-27T13:18:00Z</dcterms:created>
  <dcterms:modified xsi:type="dcterms:W3CDTF">2024-06-27T13:18:00Z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fdad4fbb-e7e0-40e7-b8bf-ef2267e26f6a</vt:lpwstr>
  </property>
</Properties>
</file>