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3C8D" w14:textId="57E5298A" w:rsidR="00697B8A" w:rsidRPr="00685BA5" w:rsidRDefault="00697B8A" w:rsidP="00685BA5">
      <w:pPr>
        <w:spacing w:after="0"/>
        <w:ind w:firstLine="720"/>
        <w:jc w:val="both"/>
        <w:rPr>
          <w:color w:val="000000" w:themeColor="text1"/>
          <w:lang w:val="en-GB"/>
        </w:rPr>
      </w:pPr>
      <w:r w:rsidRPr="00685BA5">
        <w:t xml:space="preserve">In coastal area flooding, soil salinity rises to significant levels as research demonstrates that flooding triggers initial salt elevations which penetrate deeper over successive time periods (McKee et al., 2016; </w:t>
      </w:r>
      <w:proofErr w:type="spellStart"/>
      <w:r w:rsidRPr="00685BA5">
        <w:t>Chagué</w:t>
      </w:r>
      <w:proofErr w:type="spellEnd"/>
      <w:r w:rsidRPr="00685BA5">
        <w:t xml:space="preserve">-Goff et al., 2014). Repeated salt accumulation in the soil has caused decreased agricultural output together with altered soil water movement characteristics which scientists observed in Lincolnshire UK and South Florida (Gould et al., 2020; </w:t>
      </w:r>
      <w:proofErr w:type="spellStart"/>
      <w:r w:rsidRPr="00685BA5">
        <w:t>Hailegnaw</w:t>
      </w:r>
      <w:proofErr w:type="spellEnd"/>
      <w:r w:rsidRPr="00685BA5">
        <w:t xml:space="preserve"> et al., 2023). Exposure to saline conditions in the long-term results in soil health deterioration through changes in structure combined with reduced nutrient content and increased pH levels in addition to the transformation of microbial communities toward salt-tolerant species (De Pascale et al., 2012; Hui et al., 2024). The combination of fresh water leaching with salt-tolerant crops shows remediation potential </w:t>
      </w:r>
      <w:r w:rsidR="00685BA5">
        <w:t>(</w:t>
      </w:r>
      <w:r w:rsidRPr="00685BA5">
        <w:t>Taylor et al.</w:t>
      </w:r>
      <w:r w:rsidR="00685BA5">
        <w:t xml:space="preserve">, </w:t>
      </w:r>
      <w:r w:rsidRPr="00685BA5">
        <w:t>2019</w:t>
      </w:r>
      <w:r w:rsidR="00685BA5">
        <w:t>;</w:t>
      </w:r>
      <w:r w:rsidRPr="00685BA5">
        <w:t xml:space="preserve"> </w:t>
      </w:r>
      <w:proofErr w:type="spellStart"/>
      <w:r w:rsidRPr="00685BA5">
        <w:t>Chagué</w:t>
      </w:r>
      <w:proofErr w:type="spellEnd"/>
      <w:r w:rsidRPr="00685BA5">
        <w:t>-Goff et al.</w:t>
      </w:r>
      <w:r w:rsidR="00685BA5">
        <w:t>,</w:t>
      </w:r>
      <w:r w:rsidRPr="00685BA5">
        <w:t xml:space="preserve"> 2014) yet their applied sustainability depends on local environmental factors. The escalating risk of saltwater intrusion challenges agricultural lands because of simultaneous sea level rise and declining land surface that threatens coastal socio-economic systems (Taylor et al., 2019; DasGupta et al., 2019) (Table</w:t>
      </w:r>
      <w:r w:rsidRPr="00685BA5">
        <w:rPr>
          <w:color w:val="000000" w:themeColor="text1"/>
          <w:lang w:val="en-GB"/>
        </w:rPr>
        <w:t xml:space="preserve"> </w:t>
      </w:r>
      <w:r w:rsidR="00E37F6F" w:rsidRPr="00685BA5">
        <w:rPr>
          <w:color w:val="000000" w:themeColor="text1"/>
          <w:lang w:val="en-GB"/>
        </w:rPr>
        <w:t>1</w:t>
      </w:r>
      <w:r w:rsidRPr="00685BA5">
        <w:rPr>
          <w:color w:val="000000" w:themeColor="text1"/>
          <w:lang w:val="en-GB"/>
        </w:rPr>
        <w:t>).</w:t>
      </w:r>
    </w:p>
    <w:p w14:paraId="27BCED5A" w14:textId="77777777" w:rsidR="00697B8A" w:rsidRPr="00685BA5" w:rsidRDefault="00697B8A" w:rsidP="00685BA5">
      <w:pPr>
        <w:spacing w:after="0"/>
        <w:jc w:val="both"/>
        <w:rPr>
          <w:color w:val="000000" w:themeColor="text1"/>
          <w:lang w:val="en-GB"/>
        </w:rPr>
      </w:pPr>
    </w:p>
    <w:p w14:paraId="0FD78207" w14:textId="2C7BD1D7" w:rsidR="00697B8A" w:rsidRPr="00685BA5" w:rsidRDefault="00697B8A" w:rsidP="00685BA5">
      <w:pPr>
        <w:spacing w:after="0" w:line="240" w:lineRule="auto"/>
        <w:jc w:val="both"/>
        <w:rPr>
          <w:color w:val="000000" w:themeColor="text1"/>
          <w:lang w:val="en-GB"/>
        </w:rPr>
      </w:pPr>
      <w:r w:rsidRPr="00685BA5">
        <w:rPr>
          <w:color w:val="000000" w:themeColor="text1"/>
          <w:lang w:val="en-GB"/>
        </w:rPr>
        <w:t xml:space="preserve">Table </w:t>
      </w:r>
      <w:r w:rsidR="00E37F6F" w:rsidRPr="00685BA5">
        <w:rPr>
          <w:color w:val="000000" w:themeColor="text1"/>
          <w:lang w:val="en-GB"/>
        </w:rPr>
        <w:t>1</w:t>
      </w:r>
      <w:r w:rsidRPr="00685BA5">
        <w:rPr>
          <w:color w:val="000000" w:themeColor="text1"/>
          <w:lang w:val="en-GB"/>
        </w:rPr>
        <w:t>: Impact of salinity caused by flooding</w:t>
      </w:r>
    </w:p>
    <w:tbl>
      <w:tblPr>
        <w:tblStyle w:val="ListTable6Colorful1"/>
        <w:tblW w:w="9738" w:type="dxa"/>
        <w:shd w:val="clear" w:color="auto" w:fill="FFFFFF" w:themeFill="background1"/>
        <w:tblLook w:val="04A0" w:firstRow="1" w:lastRow="0" w:firstColumn="1" w:lastColumn="0" w:noHBand="0" w:noVBand="1"/>
      </w:tblPr>
      <w:tblGrid>
        <w:gridCol w:w="2410"/>
        <w:gridCol w:w="4570"/>
        <w:gridCol w:w="2758"/>
      </w:tblGrid>
      <w:tr w:rsidR="00697B8A" w:rsidRPr="00685BA5" w14:paraId="7FD405B2" w14:textId="77777777" w:rsidTr="00D25E39">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9A3FA04"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Effect</w:t>
            </w:r>
          </w:p>
        </w:tc>
        <w:tc>
          <w:tcPr>
            <w:tcW w:w="0" w:type="auto"/>
            <w:shd w:val="clear" w:color="auto" w:fill="FFFFFF" w:themeFill="background1"/>
            <w:hideMark/>
          </w:tcPr>
          <w:p w14:paraId="02BB637E" w14:textId="77777777" w:rsidR="00697B8A" w:rsidRPr="00685BA5" w:rsidRDefault="00697B8A" w:rsidP="00685BA5">
            <w:pPr>
              <w:spacing w:before="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Description</w:t>
            </w:r>
          </w:p>
        </w:tc>
        <w:tc>
          <w:tcPr>
            <w:tcW w:w="0" w:type="auto"/>
            <w:shd w:val="clear" w:color="auto" w:fill="FFFFFF" w:themeFill="background1"/>
            <w:hideMark/>
          </w:tcPr>
          <w:p w14:paraId="69E48BCC" w14:textId="77777777" w:rsidR="00697B8A" w:rsidRPr="00685BA5" w:rsidRDefault="00697B8A" w:rsidP="00685BA5">
            <w:pPr>
              <w:spacing w:before="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Source</w:t>
            </w:r>
          </w:p>
        </w:tc>
      </w:tr>
      <w:tr w:rsidR="00697B8A" w:rsidRPr="00685BA5" w14:paraId="6F1C3CFE" w14:textId="77777777" w:rsidTr="00D25E39">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3EB86C9"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Increased soil salinity</w:t>
            </w:r>
          </w:p>
        </w:tc>
        <w:tc>
          <w:tcPr>
            <w:tcW w:w="0" w:type="auto"/>
            <w:shd w:val="clear" w:color="auto" w:fill="FFFFFF" w:themeFill="background1"/>
            <w:hideMark/>
          </w:tcPr>
          <w:p w14:paraId="7D9E9014" w14:textId="77777777"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Significant elevation in soil salinity levels post-flooding</w:t>
            </w:r>
          </w:p>
        </w:tc>
        <w:tc>
          <w:tcPr>
            <w:tcW w:w="0" w:type="auto"/>
            <w:shd w:val="clear" w:color="auto" w:fill="FFFFFF" w:themeFill="background1"/>
            <w:hideMark/>
          </w:tcPr>
          <w:p w14:paraId="470A3EE9" w14:textId="0F872A8A"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rPr>
              <w:t xml:space="preserve">McKee et al. 2016; </w:t>
            </w:r>
            <w:proofErr w:type="spellStart"/>
            <w:r w:rsidRPr="00685BA5">
              <w:rPr>
                <w:rFonts w:ascii="Times New Roman" w:hAnsi="Times New Roman"/>
                <w:color w:val="000000" w:themeColor="text1"/>
              </w:rPr>
              <w:t>Chagué</w:t>
            </w:r>
            <w:proofErr w:type="spellEnd"/>
            <w:r w:rsidRPr="00685BA5">
              <w:rPr>
                <w:rFonts w:ascii="Times New Roman" w:hAnsi="Times New Roman"/>
                <w:color w:val="000000" w:themeColor="text1"/>
              </w:rPr>
              <w:t>-Goff et al.</w:t>
            </w:r>
            <w:r w:rsidR="00685BA5">
              <w:rPr>
                <w:rFonts w:ascii="Times New Roman" w:hAnsi="Times New Roman"/>
                <w:color w:val="000000" w:themeColor="text1"/>
              </w:rPr>
              <w:t xml:space="preserve">, </w:t>
            </w:r>
            <w:r w:rsidRPr="00685BA5">
              <w:rPr>
                <w:rFonts w:ascii="Times New Roman" w:hAnsi="Times New Roman"/>
                <w:color w:val="000000" w:themeColor="text1"/>
              </w:rPr>
              <w:t>2014</w:t>
            </w:r>
            <w:r w:rsidRPr="00685BA5">
              <w:rPr>
                <w:rFonts w:ascii="Times New Roman" w:hAnsi="Times New Roman"/>
                <w:color w:val="000000" w:themeColor="text1"/>
                <w:lang w:val="en-GB"/>
              </w:rPr>
              <w:t>.</w:t>
            </w:r>
          </w:p>
        </w:tc>
      </w:tr>
      <w:tr w:rsidR="00697B8A" w:rsidRPr="00685BA5" w14:paraId="195A6772" w14:textId="77777777" w:rsidTr="00D25E39">
        <w:trPr>
          <w:trHeight w:val="79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95CE000"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Impact on agricultural productivity</w:t>
            </w:r>
          </w:p>
        </w:tc>
        <w:tc>
          <w:tcPr>
            <w:tcW w:w="0" w:type="auto"/>
            <w:shd w:val="clear" w:color="auto" w:fill="FFFFFF" w:themeFill="background1"/>
            <w:hideMark/>
          </w:tcPr>
          <w:p w14:paraId="6B0A2010" w14:textId="77777777" w:rsidR="00697B8A" w:rsidRPr="00685BA5" w:rsidRDefault="00697B8A" w:rsidP="00685BA5">
            <w:pPr>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Long-term salt damage leading to substantial financial losses and reduced yields</w:t>
            </w:r>
          </w:p>
        </w:tc>
        <w:tc>
          <w:tcPr>
            <w:tcW w:w="0" w:type="auto"/>
            <w:shd w:val="clear" w:color="auto" w:fill="FFFFFF" w:themeFill="background1"/>
            <w:hideMark/>
          </w:tcPr>
          <w:p w14:paraId="7E7CEB43" w14:textId="0A622C3D" w:rsidR="00697B8A" w:rsidRPr="00685BA5" w:rsidRDefault="00697B8A" w:rsidP="00685BA5">
            <w:pPr>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rPr>
              <w:t>Gould et al.</w:t>
            </w:r>
            <w:r w:rsidR="00685BA5">
              <w:rPr>
                <w:rFonts w:ascii="Times New Roman" w:hAnsi="Times New Roman"/>
                <w:color w:val="000000" w:themeColor="text1"/>
              </w:rPr>
              <w:t xml:space="preserve">, </w:t>
            </w:r>
            <w:r w:rsidRPr="00685BA5">
              <w:rPr>
                <w:rFonts w:ascii="Times New Roman" w:hAnsi="Times New Roman"/>
                <w:color w:val="000000" w:themeColor="text1"/>
              </w:rPr>
              <w:t xml:space="preserve">2020; </w:t>
            </w:r>
            <w:proofErr w:type="spellStart"/>
            <w:r w:rsidRPr="00685BA5">
              <w:rPr>
                <w:rFonts w:ascii="Times New Roman" w:hAnsi="Times New Roman"/>
                <w:color w:val="000000" w:themeColor="text1"/>
              </w:rPr>
              <w:t>Hailegnaw</w:t>
            </w:r>
            <w:proofErr w:type="spellEnd"/>
            <w:r w:rsidRPr="00685BA5">
              <w:rPr>
                <w:rFonts w:ascii="Times New Roman" w:hAnsi="Times New Roman"/>
                <w:color w:val="000000" w:themeColor="text1"/>
              </w:rPr>
              <w:t xml:space="preserve"> et al.</w:t>
            </w:r>
            <w:r w:rsidR="00685BA5">
              <w:rPr>
                <w:rFonts w:ascii="Times New Roman" w:hAnsi="Times New Roman"/>
                <w:color w:val="000000" w:themeColor="text1"/>
              </w:rPr>
              <w:t xml:space="preserve">, </w:t>
            </w:r>
            <w:r w:rsidRPr="00685BA5">
              <w:rPr>
                <w:rFonts w:ascii="Times New Roman" w:hAnsi="Times New Roman"/>
                <w:color w:val="000000" w:themeColor="text1"/>
              </w:rPr>
              <w:t>2023</w:t>
            </w:r>
            <w:r w:rsidR="00685BA5">
              <w:rPr>
                <w:rFonts w:ascii="Times New Roman" w:hAnsi="Times New Roman"/>
                <w:color w:val="000000" w:themeColor="text1"/>
              </w:rPr>
              <w:t>.</w:t>
            </w:r>
          </w:p>
        </w:tc>
      </w:tr>
      <w:tr w:rsidR="00697B8A" w:rsidRPr="00685BA5" w14:paraId="7C30280C" w14:textId="77777777" w:rsidTr="00D25E3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C3F4EDD"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Soil and plant health</w:t>
            </w:r>
          </w:p>
        </w:tc>
        <w:tc>
          <w:tcPr>
            <w:tcW w:w="0" w:type="auto"/>
            <w:shd w:val="clear" w:color="auto" w:fill="FFFFFF" w:themeFill="background1"/>
            <w:hideMark/>
          </w:tcPr>
          <w:p w14:paraId="63C154F1" w14:textId="77777777"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Deteriorated soil structure, altered nutrient availability, and microbial shifts</w:t>
            </w:r>
          </w:p>
        </w:tc>
        <w:tc>
          <w:tcPr>
            <w:tcW w:w="0" w:type="auto"/>
            <w:shd w:val="clear" w:color="auto" w:fill="FFFFFF" w:themeFill="background1"/>
            <w:hideMark/>
          </w:tcPr>
          <w:p w14:paraId="0AE48788" w14:textId="57C92BE1"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rPr>
              <w:t>De Pascale et al.</w:t>
            </w:r>
            <w:r w:rsidR="00685BA5">
              <w:rPr>
                <w:rFonts w:ascii="Times New Roman" w:hAnsi="Times New Roman"/>
                <w:color w:val="000000" w:themeColor="text1"/>
              </w:rPr>
              <w:t xml:space="preserve">, </w:t>
            </w:r>
            <w:r w:rsidRPr="00685BA5">
              <w:rPr>
                <w:rFonts w:ascii="Times New Roman" w:hAnsi="Times New Roman"/>
                <w:color w:val="000000" w:themeColor="text1"/>
              </w:rPr>
              <w:t xml:space="preserve">2012; </w:t>
            </w:r>
            <w:r w:rsidRPr="00685BA5">
              <w:rPr>
                <w:rFonts w:ascii="Times New Roman" w:hAnsi="Times New Roman"/>
                <w:color w:val="000000" w:themeColor="text1"/>
                <w:lang w:val="en-GB"/>
              </w:rPr>
              <w:t>Hui et al.</w:t>
            </w:r>
            <w:r w:rsidR="00685BA5">
              <w:rPr>
                <w:rFonts w:ascii="Times New Roman" w:hAnsi="Times New Roman"/>
                <w:color w:val="000000" w:themeColor="text1"/>
                <w:lang w:val="en-GB"/>
              </w:rPr>
              <w:t xml:space="preserve">, </w:t>
            </w:r>
            <w:r w:rsidRPr="00685BA5">
              <w:rPr>
                <w:rFonts w:ascii="Times New Roman" w:hAnsi="Times New Roman"/>
                <w:color w:val="000000" w:themeColor="text1"/>
                <w:lang w:val="en-GB"/>
              </w:rPr>
              <w:t>2024</w:t>
            </w:r>
            <w:r w:rsidR="00685BA5">
              <w:rPr>
                <w:rFonts w:ascii="Times New Roman" w:hAnsi="Times New Roman"/>
                <w:color w:val="000000" w:themeColor="text1"/>
                <w:lang w:val="en-GB"/>
              </w:rPr>
              <w:t>.</w:t>
            </w:r>
          </w:p>
        </w:tc>
      </w:tr>
      <w:tr w:rsidR="00697B8A" w:rsidRPr="00685BA5" w14:paraId="3E746151" w14:textId="77777777" w:rsidTr="00D25E39">
        <w:trPr>
          <w:trHeight w:val="49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E7D44AD"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Remediation and adaptation</w:t>
            </w:r>
          </w:p>
        </w:tc>
        <w:tc>
          <w:tcPr>
            <w:tcW w:w="0" w:type="auto"/>
            <w:shd w:val="clear" w:color="auto" w:fill="FFFFFF" w:themeFill="background1"/>
            <w:hideMark/>
          </w:tcPr>
          <w:p w14:paraId="06C0857B" w14:textId="77777777" w:rsidR="00697B8A" w:rsidRPr="00685BA5" w:rsidRDefault="00697B8A" w:rsidP="00685BA5">
            <w:pPr>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Use of salt-tolerant crops and soil flushing with fresh water</w:t>
            </w:r>
          </w:p>
        </w:tc>
        <w:tc>
          <w:tcPr>
            <w:tcW w:w="0" w:type="auto"/>
            <w:shd w:val="clear" w:color="auto" w:fill="FFFFFF" w:themeFill="background1"/>
            <w:hideMark/>
          </w:tcPr>
          <w:p w14:paraId="22CD70FD" w14:textId="6967C22E" w:rsidR="00697B8A" w:rsidRPr="00685BA5" w:rsidRDefault="00697B8A" w:rsidP="00685BA5">
            <w:pPr>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en-GB"/>
              </w:rPr>
            </w:pPr>
            <w:proofErr w:type="spellStart"/>
            <w:r w:rsidRPr="00685BA5">
              <w:rPr>
                <w:rFonts w:ascii="Times New Roman" w:hAnsi="Times New Roman"/>
                <w:color w:val="000000" w:themeColor="text1"/>
              </w:rPr>
              <w:t>Chagué</w:t>
            </w:r>
            <w:proofErr w:type="spellEnd"/>
            <w:r w:rsidRPr="00685BA5">
              <w:rPr>
                <w:rFonts w:ascii="Times New Roman" w:hAnsi="Times New Roman"/>
                <w:color w:val="000000" w:themeColor="text1"/>
              </w:rPr>
              <w:t>-Goff et al.</w:t>
            </w:r>
            <w:r w:rsidR="00685BA5">
              <w:rPr>
                <w:rFonts w:ascii="Times New Roman" w:hAnsi="Times New Roman"/>
                <w:color w:val="000000" w:themeColor="text1"/>
              </w:rPr>
              <w:t xml:space="preserve">, </w:t>
            </w:r>
            <w:r w:rsidRPr="00685BA5">
              <w:rPr>
                <w:rFonts w:ascii="Times New Roman" w:hAnsi="Times New Roman"/>
                <w:color w:val="000000" w:themeColor="text1"/>
              </w:rPr>
              <w:t xml:space="preserve">2014; </w:t>
            </w:r>
            <w:r w:rsidRPr="00685BA5">
              <w:rPr>
                <w:rFonts w:ascii="Times New Roman" w:hAnsi="Times New Roman"/>
                <w:color w:val="000000" w:themeColor="text1"/>
                <w:lang w:val="en-GB"/>
              </w:rPr>
              <w:t>Taylor et al.</w:t>
            </w:r>
            <w:r w:rsidR="00685BA5">
              <w:rPr>
                <w:rFonts w:ascii="Times New Roman" w:hAnsi="Times New Roman"/>
                <w:color w:val="000000" w:themeColor="text1"/>
                <w:lang w:val="en-GB"/>
              </w:rPr>
              <w:t xml:space="preserve">, </w:t>
            </w:r>
            <w:r w:rsidRPr="00685BA5">
              <w:rPr>
                <w:rFonts w:ascii="Times New Roman" w:hAnsi="Times New Roman"/>
                <w:color w:val="000000" w:themeColor="text1"/>
                <w:lang w:val="en-GB"/>
              </w:rPr>
              <w:t>2019</w:t>
            </w:r>
            <w:r w:rsidR="00685BA5">
              <w:rPr>
                <w:rFonts w:ascii="Times New Roman" w:hAnsi="Times New Roman"/>
                <w:color w:val="000000" w:themeColor="text1"/>
                <w:lang w:val="en-GB"/>
              </w:rPr>
              <w:t>.</w:t>
            </w:r>
          </w:p>
        </w:tc>
      </w:tr>
      <w:tr w:rsidR="00697B8A" w:rsidRPr="00685BA5" w14:paraId="716A19D2" w14:textId="77777777" w:rsidTr="00D25E3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1C63E3D" w14:textId="77777777" w:rsidR="00697B8A" w:rsidRPr="00685BA5" w:rsidRDefault="00697B8A" w:rsidP="00685BA5">
            <w:pPr>
              <w:spacing w:before="240"/>
              <w:jc w:val="both"/>
              <w:rPr>
                <w:rFonts w:ascii="Times New Roman" w:hAnsi="Times New Roman"/>
                <w:b w:val="0"/>
                <w:bCs w:val="0"/>
                <w:color w:val="000000" w:themeColor="text1"/>
                <w:lang w:val="en-GB"/>
              </w:rPr>
            </w:pPr>
            <w:r w:rsidRPr="00685BA5">
              <w:rPr>
                <w:rFonts w:ascii="Times New Roman" w:hAnsi="Times New Roman"/>
                <w:b w:val="0"/>
                <w:bCs w:val="0"/>
                <w:color w:val="000000" w:themeColor="text1"/>
                <w:lang w:val="en-GB"/>
              </w:rPr>
              <w:t>Environmental and socio-economic</w:t>
            </w:r>
          </w:p>
        </w:tc>
        <w:tc>
          <w:tcPr>
            <w:tcW w:w="0" w:type="auto"/>
            <w:shd w:val="clear" w:color="auto" w:fill="FFFFFF" w:themeFill="background1"/>
            <w:hideMark/>
          </w:tcPr>
          <w:p w14:paraId="7D4E6D84" w14:textId="77777777"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Enhanced saltwater contamination affecting agriculture and livelihoods</w:t>
            </w:r>
          </w:p>
        </w:tc>
        <w:tc>
          <w:tcPr>
            <w:tcW w:w="0" w:type="auto"/>
            <w:shd w:val="clear" w:color="auto" w:fill="FFFFFF" w:themeFill="background1"/>
            <w:hideMark/>
          </w:tcPr>
          <w:p w14:paraId="44CC6C78" w14:textId="2ED3D460" w:rsidR="00697B8A" w:rsidRPr="00685BA5" w:rsidRDefault="00697B8A" w:rsidP="00685BA5">
            <w:pPr>
              <w:spacing w:before="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GB"/>
              </w:rPr>
            </w:pPr>
            <w:r w:rsidRPr="00685BA5">
              <w:rPr>
                <w:rFonts w:ascii="Times New Roman" w:hAnsi="Times New Roman"/>
                <w:color w:val="000000" w:themeColor="text1"/>
                <w:lang w:val="en-GB"/>
              </w:rPr>
              <w:t>Taylor et al.</w:t>
            </w:r>
            <w:r w:rsidR="00685BA5">
              <w:rPr>
                <w:rFonts w:ascii="Times New Roman" w:hAnsi="Times New Roman"/>
                <w:color w:val="000000" w:themeColor="text1"/>
                <w:lang w:val="en-GB"/>
              </w:rPr>
              <w:t xml:space="preserve">, </w:t>
            </w:r>
            <w:r w:rsidRPr="00685BA5">
              <w:rPr>
                <w:rFonts w:ascii="Times New Roman" w:hAnsi="Times New Roman"/>
                <w:color w:val="000000" w:themeColor="text1"/>
                <w:lang w:val="en-GB"/>
              </w:rPr>
              <w:t xml:space="preserve">2019; </w:t>
            </w:r>
            <w:r w:rsidRPr="00685BA5">
              <w:rPr>
                <w:rFonts w:ascii="Times New Roman" w:hAnsi="Times New Roman"/>
                <w:color w:val="000000" w:themeColor="text1"/>
              </w:rPr>
              <w:t>DasGupta et al.</w:t>
            </w:r>
            <w:r w:rsidR="00685BA5">
              <w:rPr>
                <w:rFonts w:ascii="Times New Roman" w:hAnsi="Times New Roman"/>
                <w:color w:val="000000" w:themeColor="text1"/>
              </w:rPr>
              <w:t xml:space="preserve">, </w:t>
            </w:r>
            <w:r w:rsidRPr="00685BA5">
              <w:rPr>
                <w:rFonts w:ascii="Times New Roman" w:hAnsi="Times New Roman"/>
                <w:color w:val="000000" w:themeColor="text1"/>
              </w:rPr>
              <w:t>2019</w:t>
            </w:r>
            <w:r w:rsidR="00685BA5">
              <w:rPr>
                <w:rFonts w:ascii="Times New Roman" w:hAnsi="Times New Roman"/>
                <w:color w:val="000000" w:themeColor="text1"/>
              </w:rPr>
              <w:t>.</w:t>
            </w:r>
          </w:p>
        </w:tc>
      </w:tr>
    </w:tbl>
    <w:p w14:paraId="0E6D9284" w14:textId="77777777" w:rsidR="00697B8A" w:rsidRPr="00685BA5" w:rsidRDefault="00697B8A" w:rsidP="00685BA5">
      <w:pPr>
        <w:spacing w:after="0" w:line="240" w:lineRule="auto"/>
        <w:jc w:val="both"/>
        <w:rPr>
          <w:b/>
          <w:bCs/>
          <w:color w:val="000000" w:themeColor="text1"/>
          <w:lang w:val="en-GB"/>
        </w:rPr>
      </w:pPr>
    </w:p>
    <w:p w14:paraId="3D330190" w14:textId="77777777" w:rsidR="00070FCF" w:rsidRPr="00685BA5" w:rsidRDefault="00070FCF" w:rsidP="00685BA5">
      <w:pPr>
        <w:spacing w:after="0" w:line="240" w:lineRule="auto"/>
        <w:jc w:val="both"/>
      </w:pPr>
    </w:p>
    <w:sectPr w:rsidR="00070FCF" w:rsidRPr="00685BA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0"/>
  </w:compat>
  <w:rsids>
    <w:rsidRoot w:val="00240329"/>
    <w:rsid w:val="00070FCF"/>
    <w:rsid w:val="000A625B"/>
    <w:rsid w:val="00240329"/>
    <w:rsid w:val="002E7BAF"/>
    <w:rsid w:val="003A6115"/>
    <w:rsid w:val="003D37B1"/>
    <w:rsid w:val="004D33D0"/>
    <w:rsid w:val="00663EE7"/>
    <w:rsid w:val="00685BA5"/>
    <w:rsid w:val="00697B8A"/>
    <w:rsid w:val="006E1C8F"/>
    <w:rsid w:val="00905BBD"/>
    <w:rsid w:val="00A771C3"/>
    <w:rsid w:val="00B341DB"/>
    <w:rsid w:val="00C021D5"/>
    <w:rsid w:val="00E37F6F"/>
    <w:rsid w:val="00F60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DE5E"/>
  <w15:chartTrackingRefBased/>
  <w15:docId w15:val="{BDD09026-5BAD-4BE0-BE92-5665355A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29"/>
  </w:style>
  <w:style w:type="paragraph" w:styleId="Heading1">
    <w:name w:val="heading 1"/>
    <w:basedOn w:val="Normal"/>
    <w:next w:val="Normal"/>
    <w:link w:val="Heading1Char"/>
    <w:uiPriority w:val="9"/>
    <w:qFormat/>
    <w:rsid w:val="0024032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4032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4032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4032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4032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2403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03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03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03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32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4032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4032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4032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24032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2403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03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03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03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0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3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32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03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0329"/>
    <w:rPr>
      <w:i/>
      <w:iCs/>
      <w:color w:val="404040" w:themeColor="text1" w:themeTint="BF"/>
    </w:rPr>
  </w:style>
  <w:style w:type="paragraph" w:styleId="ListParagraph">
    <w:name w:val="List Paragraph"/>
    <w:basedOn w:val="Normal"/>
    <w:uiPriority w:val="34"/>
    <w:qFormat/>
    <w:rsid w:val="00240329"/>
    <w:pPr>
      <w:ind w:left="720"/>
      <w:contextualSpacing/>
    </w:pPr>
  </w:style>
  <w:style w:type="character" w:styleId="IntenseEmphasis">
    <w:name w:val="Intense Emphasis"/>
    <w:basedOn w:val="DefaultParagraphFont"/>
    <w:uiPriority w:val="21"/>
    <w:qFormat/>
    <w:rsid w:val="00240329"/>
    <w:rPr>
      <w:i/>
      <w:iCs/>
      <w:color w:val="365F91" w:themeColor="accent1" w:themeShade="BF"/>
    </w:rPr>
  </w:style>
  <w:style w:type="paragraph" w:styleId="IntenseQuote">
    <w:name w:val="Intense Quote"/>
    <w:basedOn w:val="Normal"/>
    <w:next w:val="Normal"/>
    <w:link w:val="IntenseQuoteChar"/>
    <w:uiPriority w:val="30"/>
    <w:qFormat/>
    <w:rsid w:val="0024032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40329"/>
    <w:rPr>
      <w:i/>
      <w:iCs/>
      <w:color w:val="365F91" w:themeColor="accent1" w:themeShade="BF"/>
    </w:rPr>
  </w:style>
  <w:style w:type="character" w:styleId="IntenseReference">
    <w:name w:val="Intense Reference"/>
    <w:basedOn w:val="DefaultParagraphFont"/>
    <w:uiPriority w:val="32"/>
    <w:qFormat/>
    <w:rsid w:val="00240329"/>
    <w:rPr>
      <w:b/>
      <w:bCs/>
      <w:smallCaps/>
      <w:color w:val="365F91" w:themeColor="accent1" w:themeShade="BF"/>
      <w:spacing w:val="5"/>
    </w:rPr>
  </w:style>
  <w:style w:type="table" w:customStyle="1" w:styleId="ListTable6Colorful1">
    <w:name w:val="List Table 6 Colorful1"/>
    <w:basedOn w:val="TableNormal"/>
    <w:uiPriority w:val="51"/>
    <w:rsid w:val="00240329"/>
    <w:pPr>
      <w:spacing w:after="0" w:line="240" w:lineRule="auto"/>
    </w:pPr>
    <w:rPr>
      <w:rFonts w:ascii="Calibri" w:eastAsia="SimSun" w:hAnsi="Calibri"/>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Spacing">
    <w:name w:val="No Spacing"/>
    <w:uiPriority w:val="1"/>
    <w:qFormat/>
    <w:rsid w:val="00685BA5"/>
    <w:pPr>
      <w:spacing w:after="0" w:line="240" w:lineRule="auto"/>
    </w:pPr>
    <w:rPr>
      <w:rFonts w:ascii="Palatino Linotype" w:eastAsia="SimSun" w:hAnsi="Palatino Linotyp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Zubairu</dc:creator>
  <cp:keywords/>
  <dc:description/>
  <cp:lastModifiedBy>Abdulrahman Zubairu</cp:lastModifiedBy>
  <cp:revision>6</cp:revision>
  <dcterms:created xsi:type="dcterms:W3CDTF">2025-05-25T14:22:00Z</dcterms:created>
  <dcterms:modified xsi:type="dcterms:W3CDTF">2025-06-01T17:05:00Z</dcterms:modified>
</cp:coreProperties>
</file>