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8650483" w14:textId="54CC6064" w:rsidR="00D8703B" w:rsidRPr="007F57AD" w:rsidRDefault="00D8703B" w:rsidP="00D8703B">
      <w:pPr>
        <w:jc w:val="both"/>
        <w:rPr>
          <w:rFonts w:ascii="Times New Roman" w:hAnsi="Times New Roman" w:cs="Times New Roman"/>
          <w:b/>
          <w:bCs/>
        </w:rPr>
      </w:pPr>
      <w:r w:rsidRPr="007F57AD">
        <w:rPr>
          <w:rFonts w:ascii="Times New Roman" w:hAnsi="Times New Roman" w:cs="Times New Roman"/>
          <w:b/>
          <w:bCs/>
        </w:rPr>
        <w:t>Appendix</w:t>
      </w:r>
      <w:r w:rsidR="0013374A">
        <w:rPr>
          <w:rFonts w:ascii="Times New Roman" w:hAnsi="Times New Roman" w:cs="Times New Roman"/>
          <w:b/>
          <w:bCs/>
        </w:rPr>
        <w:t xml:space="preserve"> A.1</w:t>
      </w:r>
    </w:p>
    <w:p w14:paraId="766ACD8F" w14:textId="77777777" w:rsidR="00D8703B" w:rsidRPr="007F57AD" w:rsidRDefault="00D8703B" w:rsidP="00D8703B">
      <w:pPr>
        <w:pStyle w:val="ListParagraph"/>
        <w:numPr>
          <w:ilvl w:val="0"/>
          <w:numId w:val="1"/>
        </w:numPr>
        <w:spacing w:after="0" w:line="360" w:lineRule="auto"/>
        <w:jc w:val="both"/>
        <w:rPr>
          <w:rFonts w:ascii="Times New Roman" w:hAnsi="Times New Roman" w:cs="Times New Roman"/>
          <w:b/>
          <w:bCs/>
        </w:rPr>
      </w:pPr>
      <w:bookmarkStart w:id="0" w:name="_Hlk71812071"/>
      <w:r w:rsidRPr="007F57AD">
        <w:rPr>
          <w:rFonts w:ascii="Times New Roman" w:hAnsi="Times New Roman" w:cs="Times New Roman"/>
          <w:b/>
          <w:bCs/>
        </w:rPr>
        <w:t>Construction of Lerner Index</w:t>
      </w:r>
    </w:p>
    <w:bookmarkEnd w:id="0"/>
    <w:p w14:paraId="7A5CDB16" w14:textId="77777777" w:rsidR="00D8703B" w:rsidRPr="007F57AD" w:rsidRDefault="00D8703B" w:rsidP="00D8703B">
      <w:pPr>
        <w:pStyle w:val="Paragraph"/>
        <w:spacing w:line="276" w:lineRule="auto"/>
        <w:jc w:val="both"/>
      </w:pPr>
      <w:r w:rsidRPr="007F57AD">
        <w:t xml:space="preserve">According to </w:t>
      </w:r>
      <w:proofErr w:type="spellStart"/>
      <w:r w:rsidRPr="007F57AD">
        <w:t>Repková</w:t>
      </w:r>
      <w:proofErr w:type="spellEnd"/>
      <w:r w:rsidRPr="007F57AD">
        <w:t xml:space="preserve"> (2012), th</w:t>
      </w:r>
      <w:bookmarkStart w:id="1" w:name="_GoBack"/>
      <w:bookmarkEnd w:id="1"/>
      <w:r w:rsidRPr="007F57AD">
        <w:t xml:space="preserve">e Lerner index is a useful tool for determining the degree of market power that banks wield because it measures deviations from both monopoly and perfect competition behaviours. The Lerner index, which denotes monopoly power, is considered by </w:t>
      </w:r>
      <w:proofErr w:type="spellStart"/>
      <w:r w:rsidRPr="007F57AD">
        <w:t>Casu</w:t>
      </w:r>
      <w:proofErr w:type="spellEnd"/>
      <w:r w:rsidRPr="007F57AD">
        <w:t xml:space="preserve"> and </w:t>
      </w:r>
      <w:proofErr w:type="spellStart"/>
      <w:r w:rsidRPr="007F57AD">
        <w:t>Girardone</w:t>
      </w:r>
      <w:proofErr w:type="spellEnd"/>
      <w:r w:rsidRPr="007F57AD">
        <w:t xml:space="preserve"> (2009) to be one of the reliable metrics used in the banking literature to evaluate market dominance. </w:t>
      </w:r>
      <w:proofErr w:type="spellStart"/>
      <w:r w:rsidRPr="007F57AD">
        <w:t>Demirguc-Kunt</w:t>
      </w:r>
      <w:proofErr w:type="spellEnd"/>
      <w:r w:rsidRPr="007F57AD">
        <w:t xml:space="preserve"> and </w:t>
      </w:r>
      <w:proofErr w:type="spellStart"/>
      <w:r w:rsidRPr="007F57AD">
        <w:t>Peria</w:t>
      </w:r>
      <w:proofErr w:type="spellEnd"/>
      <w:r w:rsidRPr="007F57AD">
        <w:t xml:space="preserve"> (2010), in contrast, offer an alternate method for examining banking competition. They support the calculation of direct measures of market power because of their correlation with lower levels of competition. The Lerner index is frequently employed in assessing the market dominance of banks, as various scholars have observed (</w:t>
      </w:r>
      <w:proofErr w:type="spellStart"/>
      <w:r w:rsidRPr="007F57AD">
        <w:t>Ariss</w:t>
      </w:r>
      <w:proofErr w:type="spellEnd"/>
      <w:r w:rsidRPr="007F57AD">
        <w:t xml:space="preserve">, 2010; </w:t>
      </w:r>
      <w:proofErr w:type="spellStart"/>
      <w:r w:rsidRPr="007F57AD">
        <w:t>Elzinga</w:t>
      </w:r>
      <w:proofErr w:type="spellEnd"/>
      <w:r w:rsidRPr="007F57AD">
        <w:t xml:space="preserve"> and Mills, 2011; </w:t>
      </w:r>
      <w:proofErr w:type="spellStart"/>
      <w:r w:rsidRPr="007F57AD">
        <w:t>Haque</w:t>
      </w:r>
      <w:proofErr w:type="spellEnd"/>
      <w:r w:rsidRPr="007F57AD">
        <w:t xml:space="preserve"> and Brown, 2017). The formula used to calculate the Lerner index is based on the strategy described by (</w:t>
      </w:r>
      <w:proofErr w:type="spellStart"/>
      <w:r w:rsidRPr="007F57AD">
        <w:t>Agoraki</w:t>
      </w:r>
      <w:proofErr w:type="spellEnd"/>
      <w:r w:rsidRPr="007F57AD">
        <w:t xml:space="preserve"> et al. 2011</w:t>
      </w:r>
      <w:proofErr w:type="gramStart"/>
      <w:r w:rsidRPr="007F57AD">
        <w:t>)  (</w:t>
      </w:r>
      <w:proofErr w:type="gramEnd"/>
      <w:r w:rsidRPr="007F57AD">
        <w:t>Eq-1).</w:t>
      </w:r>
    </w:p>
    <w:p w14:paraId="574DC9CF" w14:textId="77777777" w:rsidR="00D8703B" w:rsidRPr="007F57AD" w:rsidRDefault="00D8703B" w:rsidP="00D8703B">
      <w:pPr>
        <w:pStyle w:val="Displayedequation"/>
        <w:jc w:val="both"/>
        <w:rPr>
          <w:rFonts w:eastAsiaTheme="minorEastAsia"/>
        </w:rPr>
      </w:pPr>
      <m:oMath>
        <m:r>
          <m:rPr>
            <m:sty m:val="p"/>
          </m:rPr>
          <w:rPr>
            <w:rFonts w:ascii="Cambria Math" w:hAnsi="Cambria Math"/>
          </w:rPr>
          <m:t xml:space="preserve">                                                   </m:t>
        </m:r>
        <m:r>
          <w:rPr>
            <w:rFonts w:ascii="Cambria Math" w:hAnsi="Cambria Math"/>
          </w:rPr>
          <m:t>L</m:t>
        </m:r>
        <m:r>
          <m:rPr>
            <m:sty m:val="p"/>
          </m:rPr>
          <w:rPr>
            <w:rFonts w:ascii="Cambria Math" w:hAnsi="Cambria Math"/>
          </w:rPr>
          <m:t>ⅈ</m:t>
        </m:r>
        <m:r>
          <w:rPr>
            <w:rFonts w:ascii="Cambria Math" w:hAnsi="Cambria Math"/>
          </w:rPr>
          <m:t>t</m:t>
        </m:r>
        <m:r>
          <m:rPr>
            <m:sty m:val="p"/>
          </m:rPr>
          <w:rPr>
            <w:rFonts w:ascii="Cambria Math" w:hAnsi="Cambria Math"/>
          </w:rPr>
          <m:t>=</m:t>
        </m:r>
        <m:f>
          <m:fPr>
            <m:ctrlPr>
              <w:rPr>
                <w:rFonts w:ascii="Cambria Math" w:hAnsi="Cambria Math"/>
              </w:rPr>
            </m:ctrlPr>
          </m:fPr>
          <m:num>
            <m:d>
              <m:dPr>
                <m:ctrlPr>
                  <w:rPr>
                    <w:rFonts w:ascii="Cambria Math" w:hAnsi="Cambria Math"/>
                  </w:rPr>
                </m:ctrlPr>
              </m:dPr>
              <m:e>
                <m:sSubSup>
                  <m:sSubSupPr>
                    <m:ctrlPr>
                      <w:rPr>
                        <w:rFonts w:ascii="Cambria Math" w:hAnsi="Cambria Math"/>
                      </w:rPr>
                    </m:ctrlPr>
                  </m:sSubSupPr>
                  <m:e>
                    <m:r>
                      <w:rPr>
                        <w:rFonts w:ascii="Cambria Math" w:hAnsi="Cambria Math"/>
                      </w:rPr>
                      <m:t>p</m:t>
                    </m:r>
                  </m:e>
                  <m:sub>
                    <m:r>
                      <m:rPr>
                        <m:sty m:val="p"/>
                      </m:rPr>
                      <w:rPr>
                        <w:rFonts w:ascii="Cambria Math" w:hAnsi="Cambria Math"/>
                      </w:rPr>
                      <m:t>ⅈ</m:t>
                    </m:r>
                    <m:r>
                      <w:rPr>
                        <w:rFonts w:ascii="Cambria Math" w:hAnsi="Cambria Math"/>
                      </w:rPr>
                      <m:t>t</m:t>
                    </m:r>
                  </m:sub>
                  <m:sup>
                    <m:r>
                      <w:rPr>
                        <w:rFonts w:ascii="Cambria Math" w:hAnsi="Cambria Math"/>
                      </w:rPr>
                      <m:t>q</m:t>
                    </m:r>
                  </m:sup>
                </m:sSubSup>
                <m:r>
                  <m:rPr>
                    <m:sty m:val="p"/>
                  </m:rPr>
                  <w:rPr>
                    <w:rFonts w:ascii="Cambria Math" w:hAnsi="Cambria Math"/>
                  </w:rPr>
                  <m:t>-</m:t>
                </m:r>
                <m:r>
                  <w:rPr>
                    <w:rFonts w:ascii="Cambria Math" w:hAnsi="Cambria Math"/>
                  </w:rPr>
                  <m:t>MCt</m:t>
                </m:r>
              </m:e>
            </m:d>
          </m:num>
          <m:den>
            <m:sSubSup>
              <m:sSubSupPr>
                <m:ctrlPr>
                  <w:rPr>
                    <w:rFonts w:ascii="Cambria Math" w:hAnsi="Cambria Math"/>
                  </w:rPr>
                </m:ctrlPr>
              </m:sSubSupPr>
              <m:e>
                <m:r>
                  <w:rPr>
                    <w:rFonts w:ascii="Cambria Math" w:hAnsi="Cambria Math"/>
                  </w:rPr>
                  <m:t>p</m:t>
                </m:r>
              </m:e>
              <m:sub>
                <m:r>
                  <m:rPr>
                    <m:sty m:val="p"/>
                  </m:rPr>
                  <w:rPr>
                    <w:rFonts w:ascii="Cambria Math" w:hAnsi="Cambria Math"/>
                  </w:rPr>
                  <m:t>ⅈ</m:t>
                </m:r>
                <m:r>
                  <w:rPr>
                    <w:rFonts w:ascii="Cambria Math" w:hAnsi="Cambria Math"/>
                  </w:rPr>
                  <m:t>t</m:t>
                </m:r>
              </m:sub>
              <m:sup>
                <m:r>
                  <w:rPr>
                    <w:rFonts w:ascii="Cambria Math" w:hAnsi="Cambria Math"/>
                  </w:rPr>
                  <m:t>q</m:t>
                </m:r>
              </m:sup>
            </m:sSubSup>
          </m:den>
        </m:f>
      </m:oMath>
      <w:r w:rsidRPr="007F57AD">
        <w:rPr>
          <w:rFonts w:eastAsiaTheme="minorEastAsia"/>
        </w:rPr>
        <w:tab/>
        <w:t>Eq-1</w:t>
      </w:r>
    </w:p>
    <w:p w14:paraId="5E43FCEA" w14:textId="77777777" w:rsidR="00D8703B" w:rsidRPr="007F57AD" w:rsidRDefault="00D8703B" w:rsidP="00D8703B">
      <w:pPr>
        <w:pStyle w:val="Paragraph"/>
        <w:spacing w:before="0"/>
        <w:jc w:val="both"/>
        <w:rPr>
          <w:rFonts w:eastAsiaTheme="minorEastAsia"/>
        </w:rPr>
      </w:pPr>
      <w:r w:rsidRPr="007F57AD">
        <w:rPr>
          <w:rFonts w:eastAsiaTheme="minorEastAsia"/>
        </w:rPr>
        <w:t xml:space="preserve">In this case, </w:t>
      </w:r>
      <w:proofErr w:type="spellStart"/>
      <w:r w:rsidRPr="007F57AD">
        <w:rPr>
          <w:b/>
          <w:bCs/>
          <w:i/>
          <w:iCs/>
        </w:rPr>
        <w:t>p</w:t>
      </w:r>
      <w:r w:rsidRPr="007F57AD">
        <w:rPr>
          <w:b/>
          <w:bCs/>
          <w:i/>
          <w:iCs/>
          <w:vertAlign w:val="superscript"/>
        </w:rPr>
        <w:t>q</w:t>
      </w:r>
      <w:r w:rsidRPr="007F57AD">
        <w:rPr>
          <w:b/>
          <w:bCs/>
          <w:i/>
          <w:iCs/>
          <w:vertAlign w:val="subscript"/>
        </w:rPr>
        <w:t>it</w:t>
      </w:r>
      <w:proofErr w:type="spellEnd"/>
      <w:r w:rsidRPr="007F57AD">
        <w:rPr>
          <w:rFonts w:eastAsiaTheme="minorEastAsia"/>
        </w:rPr>
        <w:t xml:space="preserve"> stands for the </w:t>
      </w:r>
      <w:proofErr w:type="spellStart"/>
      <w:r w:rsidRPr="007F57AD">
        <w:rPr>
          <w:rFonts w:eastAsiaTheme="minorEastAsia"/>
        </w:rPr>
        <w:t>ith</w:t>
      </w:r>
      <w:proofErr w:type="spellEnd"/>
      <w:r w:rsidRPr="007F57AD">
        <w:rPr>
          <w:rFonts w:eastAsiaTheme="minorEastAsia"/>
        </w:rPr>
        <w:t xml:space="preserve"> bank's output price at the specified time in t. The marginal cost, which is denoted by MC, is calculated using equation to determine the bank's output price, which is calculated as the percent change from interest revenue on the bank's total assets (Eq-2).</w:t>
      </w:r>
    </w:p>
    <w:p w14:paraId="714A7A5E" w14:textId="77777777" w:rsidR="00D8703B" w:rsidRPr="007F57AD" w:rsidRDefault="00C313E3" w:rsidP="00D8703B">
      <w:pPr>
        <w:pStyle w:val="Displayedequation"/>
        <w:jc w:val="both"/>
      </w:pPr>
      <m:oMath>
        <m:func>
          <m:funcPr>
            <m:ctrlPr>
              <w:rPr>
                <w:rFonts w:ascii="Cambria Math" w:hAnsi="Cambria Math"/>
              </w:rPr>
            </m:ctrlPr>
          </m:funcPr>
          <m:fName>
            <m:r>
              <m:rPr>
                <m:sty m:val="p"/>
              </m:rPr>
              <w:rPr>
                <w:rFonts w:ascii="Cambria Math" w:hAnsi="Cambria Math"/>
              </w:rPr>
              <m:t>ln</m:t>
            </m:r>
          </m:fName>
          <m:e>
            <m:r>
              <w:rPr>
                <w:rFonts w:ascii="Cambria Math" w:hAnsi="Cambria Math"/>
              </w:rPr>
              <m:t>C</m:t>
            </m:r>
            <m:r>
              <m:rPr>
                <m:sty m:val="p"/>
              </m:rPr>
              <w:rPr>
                <w:rFonts w:ascii="Cambria Math" w:hAnsi="Cambria Math"/>
              </w:rPr>
              <m:t>ⅈ</m:t>
            </m:r>
            <m:r>
              <w:rPr>
                <w:rFonts w:ascii="Cambria Math" w:hAnsi="Cambria Math"/>
              </w:rPr>
              <m:t>t</m:t>
            </m:r>
          </m:e>
        </m:func>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0</m:t>
            </m:r>
          </m:sub>
        </m:sSub>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1</m:t>
            </m:r>
          </m:sub>
        </m:sSub>
        <m:acc>
          <m:accPr>
            <m:chr m:val="̅"/>
            <m:ctrlPr>
              <w:rPr>
                <w:rFonts w:ascii="Cambria Math" w:hAnsi="Cambria Math"/>
              </w:rPr>
            </m:ctrlPr>
          </m:accPr>
          <m:e>
            <m:func>
              <m:funcPr>
                <m:ctrlPr>
                  <w:rPr>
                    <w:rFonts w:ascii="Cambria Math" w:hAnsi="Cambria Math"/>
                  </w:rPr>
                </m:ctrlPr>
              </m:funcPr>
              <m:fName>
                <m:r>
                  <m:rPr>
                    <m:sty m:val="p"/>
                  </m:rPr>
                  <w:rPr>
                    <w:rFonts w:ascii="Cambria Math" w:hAnsi="Cambria Math"/>
                  </w:rPr>
                  <m:t>ln</m:t>
                </m:r>
              </m:fName>
              <m:e>
                <m:sSub>
                  <m:sSubPr>
                    <m:ctrlPr>
                      <w:rPr>
                        <w:rFonts w:ascii="Cambria Math" w:hAnsi="Cambria Math"/>
                      </w:rPr>
                    </m:ctrlPr>
                  </m:sSubPr>
                  <m:e>
                    <m:r>
                      <w:rPr>
                        <w:rFonts w:ascii="Cambria Math" w:hAnsi="Cambria Math"/>
                      </w:rPr>
                      <m:t>q</m:t>
                    </m:r>
                  </m:e>
                  <m:sub>
                    <m:r>
                      <w:rPr>
                        <w:rFonts w:ascii="Cambria Math" w:hAnsi="Cambria Math"/>
                      </w:rPr>
                      <m:t>it</m:t>
                    </m:r>
                  </m:sub>
                </m:sSub>
              </m:e>
            </m:func>
          </m:e>
        </m:acc>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b>
          <m:sSubPr>
            <m:ctrlPr>
              <w:rPr>
                <w:rFonts w:ascii="Cambria Math" w:hAnsi="Cambria Math"/>
              </w:rPr>
            </m:ctrlPr>
          </m:sSubPr>
          <m:e>
            <m:r>
              <w:rPr>
                <w:rFonts w:ascii="Cambria Math" w:hAnsi="Cambria Math"/>
              </w:rPr>
              <m:t>b</m:t>
            </m:r>
          </m:e>
          <m:sub>
            <m:r>
              <m:rPr>
                <m:sty m:val="p"/>
              </m:rPr>
              <w:rPr>
                <w:rFonts w:ascii="Cambria Math" w:hAnsi="Cambria Math"/>
              </w:rPr>
              <m:t>2</m:t>
            </m:r>
          </m:sub>
        </m:sSub>
        <m:sSup>
          <m:sSupPr>
            <m:ctrlPr>
              <w:rPr>
                <w:rFonts w:ascii="Cambria Math" w:hAnsi="Cambria Math"/>
              </w:rPr>
            </m:ctrlPr>
          </m:sSupPr>
          <m:e>
            <m:d>
              <m:dPr>
                <m:ctrlPr>
                  <w:rPr>
                    <w:rFonts w:ascii="Cambria Math" w:hAnsi="Cambria Math"/>
                  </w:rPr>
                </m:ctrlPr>
              </m:dPr>
              <m:e>
                <m:acc>
                  <m:accPr>
                    <m:chr m:val="̅"/>
                    <m:ctrlPr>
                      <w:rPr>
                        <w:rFonts w:ascii="Cambria Math" w:hAnsi="Cambria Math"/>
                      </w:rPr>
                    </m:ctrlPr>
                  </m:accPr>
                  <m:e>
                    <m:func>
                      <m:funcPr>
                        <m:ctrlPr>
                          <w:rPr>
                            <w:rFonts w:ascii="Cambria Math" w:hAnsi="Cambria Math"/>
                          </w:rPr>
                        </m:ctrlPr>
                      </m:funcPr>
                      <m:fName>
                        <m:r>
                          <m:rPr>
                            <m:sty m:val="p"/>
                          </m:rPr>
                          <w:rPr>
                            <w:rFonts w:ascii="Cambria Math" w:hAnsi="Cambria Math"/>
                          </w:rPr>
                          <m:t>ln</m:t>
                        </m:r>
                      </m:fName>
                      <m:e>
                        <m:sSub>
                          <m:sSubPr>
                            <m:ctrlPr>
                              <w:rPr>
                                <w:rFonts w:ascii="Cambria Math" w:hAnsi="Cambria Math"/>
                              </w:rPr>
                            </m:ctrlPr>
                          </m:sSubPr>
                          <m:e>
                            <m:r>
                              <w:rPr>
                                <w:rFonts w:ascii="Cambria Math" w:hAnsi="Cambria Math"/>
                              </w:rPr>
                              <m:t>q</m:t>
                            </m:r>
                          </m:e>
                          <m:sub>
                            <m:r>
                              <w:rPr>
                                <w:rFonts w:ascii="Cambria Math" w:hAnsi="Cambria Math"/>
                              </w:rPr>
                              <m:t>it</m:t>
                            </m:r>
                          </m:sub>
                        </m:sSub>
                      </m:e>
                    </m:func>
                  </m:e>
                </m:acc>
              </m:e>
            </m:d>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3</m:t>
            </m:r>
          </m:sub>
        </m:sSub>
        <m:acc>
          <m:accPr>
            <m:chr m:val="̅"/>
            <m:ctrlPr>
              <w:rPr>
                <w:rFonts w:ascii="Cambria Math" w:hAnsi="Cambria Math"/>
              </w:rPr>
            </m:ctrlPr>
          </m:accPr>
          <m:e>
            <m:func>
              <m:funcPr>
                <m:ctrlPr>
                  <w:rPr>
                    <w:rFonts w:ascii="Cambria Math" w:hAnsi="Cambria Math"/>
                  </w:rPr>
                </m:ctrlPr>
              </m:funcPr>
              <m:fName>
                <m:r>
                  <m:rPr>
                    <m:sty m:val="p"/>
                  </m:rPr>
                  <w:rPr>
                    <w:rFonts w:ascii="Cambria Math" w:hAnsi="Cambria Math"/>
                  </w:rPr>
                  <m:t>ln</m:t>
                </m:r>
              </m:fName>
              <m:e>
                <m:r>
                  <w:rPr>
                    <w:rFonts w:ascii="Cambria Math" w:hAnsi="Cambria Math"/>
                  </w:rPr>
                  <m:t>d</m:t>
                </m:r>
                <m:r>
                  <m:rPr>
                    <m:sty m:val="p"/>
                  </m:rPr>
                  <w:rPr>
                    <w:rFonts w:ascii="Cambria Math" w:hAnsi="Cambria Math"/>
                  </w:rPr>
                  <m:t>ⅈ</m:t>
                </m:r>
                <m:r>
                  <w:rPr>
                    <w:rFonts w:ascii="Cambria Math" w:hAnsi="Cambria Math"/>
                  </w:rPr>
                  <m:t>t</m:t>
                </m:r>
              </m:e>
            </m:func>
          </m:e>
        </m:acc>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b>
          <m:sSubPr>
            <m:ctrlPr>
              <w:rPr>
                <w:rFonts w:ascii="Cambria Math" w:hAnsi="Cambria Math"/>
              </w:rPr>
            </m:ctrlPr>
          </m:sSubPr>
          <m:e>
            <m:r>
              <w:rPr>
                <w:rFonts w:ascii="Cambria Math" w:hAnsi="Cambria Math"/>
              </w:rPr>
              <m:t>b</m:t>
            </m:r>
          </m:e>
          <m:sub>
            <m:r>
              <m:rPr>
                <m:sty m:val="p"/>
              </m:rPr>
              <w:rPr>
                <w:rFonts w:ascii="Cambria Math" w:hAnsi="Cambria Math"/>
              </w:rPr>
              <m:t>4</m:t>
            </m:r>
          </m:sub>
        </m:sSub>
        <m:sSup>
          <m:sSupPr>
            <m:ctrlPr>
              <w:rPr>
                <w:rFonts w:ascii="Cambria Math" w:hAnsi="Cambria Math"/>
              </w:rPr>
            </m:ctrlPr>
          </m:sSupPr>
          <m:e>
            <m:d>
              <m:dPr>
                <m:ctrlPr>
                  <w:rPr>
                    <w:rFonts w:ascii="Cambria Math" w:hAnsi="Cambria Math"/>
                  </w:rPr>
                </m:ctrlPr>
              </m:dPr>
              <m:e>
                <m:acc>
                  <m:accPr>
                    <m:chr m:val="̅"/>
                    <m:ctrlPr>
                      <w:rPr>
                        <w:rFonts w:ascii="Cambria Math" w:hAnsi="Cambria Math"/>
                      </w:rPr>
                    </m:ctrlPr>
                  </m:accPr>
                  <m:e>
                    <m:func>
                      <m:funcPr>
                        <m:ctrlPr>
                          <w:rPr>
                            <w:rFonts w:ascii="Cambria Math" w:hAnsi="Cambria Math"/>
                          </w:rPr>
                        </m:ctrlPr>
                      </m:funcPr>
                      <m:fName>
                        <m:r>
                          <m:rPr>
                            <m:sty m:val="p"/>
                          </m:rPr>
                          <w:rPr>
                            <w:rFonts w:ascii="Cambria Math" w:hAnsi="Cambria Math"/>
                          </w:rPr>
                          <m:t>ln</m:t>
                        </m:r>
                      </m:fName>
                      <m:e>
                        <m:r>
                          <w:rPr>
                            <w:rFonts w:ascii="Cambria Math" w:hAnsi="Cambria Math"/>
                          </w:rPr>
                          <m:t>d</m:t>
                        </m:r>
                        <m:r>
                          <m:rPr>
                            <m:sty m:val="p"/>
                          </m:rPr>
                          <w:rPr>
                            <w:rFonts w:ascii="Cambria Math" w:hAnsi="Cambria Math"/>
                          </w:rPr>
                          <m:t>ⅈ</m:t>
                        </m:r>
                        <m:r>
                          <w:rPr>
                            <w:rFonts w:ascii="Cambria Math" w:hAnsi="Cambria Math"/>
                          </w:rPr>
                          <m:t>t</m:t>
                        </m:r>
                      </m:e>
                    </m:func>
                  </m:e>
                </m:acc>
              </m:e>
            </m:d>
          </m:e>
          <m:sup>
            <m:r>
              <m:rPr>
                <m:sty m:val="p"/>
              </m:rPr>
              <w:rPr>
                <w:rFonts w:ascii="Cambria Math" w:hAnsi="Cambria Math"/>
              </w:rPr>
              <m:t>2</m:t>
            </m:r>
          </m:sup>
        </m:sSup>
      </m:oMath>
      <w:r w:rsidR="00D8703B" w:rsidRPr="007F57AD">
        <w:rPr>
          <w:rFonts w:eastAsiaTheme="minorEastAsia"/>
        </w:rPr>
        <w:tab/>
        <w:t>Eq-2</w:t>
      </w:r>
    </w:p>
    <w:p w14:paraId="51454E6D" w14:textId="77777777" w:rsidR="00D8703B" w:rsidRPr="007F57AD" w:rsidRDefault="00D8703B" w:rsidP="00D8703B">
      <w:pPr>
        <w:pStyle w:val="Displayedequation"/>
        <w:jc w:val="both"/>
      </w:pPr>
      <w:r w:rsidRPr="007F57AD">
        <w:t xml:space="preserve">                                               + </w:t>
      </w:r>
      <m:oMath>
        <m:sSub>
          <m:sSubPr>
            <m:ctrlPr>
              <w:rPr>
                <w:rFonts w:ascii="Cambria Math" w:hAnsi="Cambria Math"/>
              </w:rPr>
            </m:ctrlPr>
          </m:sSubPr>
          <m:e>
            <m:r>
              <w:rPr>
                <w:rFonts w:ascii="Cambria Math" w:hAnsi="Cambria Math"/>
              </w:rPr>
              <m:t>b</m:t>
            </m:r>
          </m:e>
          <m:sub>
            <m:r>
              <m:rPr>
                <m:sty m:val="p"/>
              </m:rPr>
              <w:rPr>
                <w:rFonts w:ascii="Cambria Math" w:hAnsi="Cambria Math"/>
              </w:rPr>
              <m:t>5</m:t>
            </m:r>
          </m:sub>
        </m:sSub>
        <m:acc>
          <m:accPr>
            <m:chr m:val="̅"/>
            <m:ctrlPr>
              <w:rPr>
                <w:rFonts w:ascii="Cambria Math" w:hAnsi="Cambria Math"/>
              </w:rPr>
            </m:ctrlPr>
          </m:accPr>
          <m:e>
            <m:func>
              <m:funcPr>
                <m:ctrlPr>
                  <w:rPr>
                    <w:rFonts w:ascii="Cambria Math" w:hAnsi="Cambria Math"/>
                  </w:rPr>
                </m:ctrlPr>
              </m:funcPr>
              <m:fName>
                <m:r>
                  <m:rPr>
                    <m:sty m:val="p"/>
                  </m:rPr>
                  <w:rPr>
                    <w:rFonts w:ascii="Cambria Math" w:hAnsi="Cambria Math"/>
                  </w:rPr>
                  <m:t>ln</m:t>
                </m:r>
              </m:fName>
              <m:e>
                <m:sSub>
                  <m:sSubPr>
                    <m:ctrlPr>
                      <w:rPr>
                        <w:rFonts w:ascii="Cambria Math" w:hAnsi="Cambria Math"/>
                      </w:rPr>
                    </m:ctrlPr>
                  </m:sSubPr>
                  <m:e>
                    <m:r>
                      <w:rPr>
                        <w:rFonts w:ascii="Cambria Math" w:hAnsi="Cambria Math"/>
                      </w:rPr>
                      <m:t>w</m:t>
                    </m:r>
                  </m:e>
                  <m:sub>
                    <m:r>
                      <w:rPr>
                        <w:rFonts w:ascii="Cambria Math" w:hAnsi="Cambria Math"/>
                      </w:rPr>
                      <m:t>it</m:t>
                    </m:r>
                  </m:sub>
                </m:sSub>
              </m:e>
            </m:func>
          </m:e>
        </m:acc>
        <m:r>
          <m:rPr>
            <m:sty m:val="p"/>
          </m:rPr>
          <w:rPr>
            <w:rFonts w:ascii="Cambria Math" w:hAnsi="Cambria Math"/>
          </w:rPr>
          <m:t>+</m:t>
        </m:r>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sSub>
          <m:sSubPr>
            <m:ctrlPr>
              <w:rPr>
                <w:rFonts w:ascii="Cambria Math" w:hAnsi="Cambria Math"/>
              </w:rPr>
            </m:ctrlPr>
          </m:sSubPr>
          <m:e>
            <m:r>
              <w:rPr>
                <w:rFonts w:ascii="Cambria Math" w:hAnsi="Cambria Math"/>
              </w:rPr>
              <m:t>b</m:t>
            </m:r>
          </m:e>
          <m:sub>
            <m:r>
              <m:rPr>
                <m:sty m:val="p"/>
              </m:rPr>
              <w:rPr>
                <w:rFonts w:ascii="Cambria Math" w:hAnsi="Cambria Math"/>
              </w:rPr>
              <m:t>6</m:t>
            </m:r>
          </m:sub>
        </m:sSub>
        <m:sSup>
          <m:sSupPr>
            <m:ctrlPr>
              <w:rPr>
                <w:rFonts w:ascii="Cambria Math" w:hAnsi="Cambria Math"/>
              </w:rPr>
            </m:ctrlPr>
          </m:sSupPr>
          <m:e>
            <m:d>
              <m:dPr>
                <m:ctrlPr>
                  <w:rPr>
                    <w:rFonts w:ascii="Cambria Math" w:hAnsi="Cambria Math"/>
                  </w:rPr>
                </m:ctrlPr>
              </m:dPr>
              <m:e>
                <m:acc>
                  <m:accPr>
                    <m:chr m:val="̅"/>
                    <m:ctrlPr>
                      <w:rPr>
                        <w:rFonts w:ascii="Cambria Math" w:hAnsi="Cambria Math"/>
                      </w:rPr>
                    </m:ctrlPr>
                  </m:accPr>
                  <m:e>
                    <m:func>
                      <m:funcPr>
                        <m:ctrlPr>
                          <w:rPr>
                            <w:rFonts w:ascii="Cambria Math" w:hAnsi="Cambria Math"/>
                          </w:rPr>
                        </m:ctrlPr>
                      </m:funcPr>
                      <m:fName>
                        <m:r>
                          <m:rPr>
                            <m:sty m:val="p"/>
                          </m:rPr>
                          <w:rPr>
                            <w:rFonts w:ascii="Cambria Math" w:hAnsi="Cambria Math"/>
                          </w:rPr>
                          <m:t>ln</m:t>
                        </m:r>
                      </m:fName>
                      <m:e>
                        <m:sSub>
                          <m:sSubPr>
                            <m:ctrlPr>
                              <w:rPr>
                                <w:rFonts w:ascii="Cambria Math" w:hAnsi="Cambria Math"/>
                              </w:rPr>
                            </m:ctrlPr>
                          </m:sSubPr>
                          <m:e>
                            <m:r>
                              <w:rPr>
                                <w:rFonts w:ascii="Cambria Math" w:hAnsi="Cambria Math"/>
                              </w:rPr>
                              <m:t>w</m:t>
                            </m:r>
                          </m:e>
                          <m:sub>
                            <m:r>
                              <w:rPr>
                                <w:rFonts w:ascii="Cambria Math" w:hAnsi="Cambria Math"/>
                              </w:rPr>
                              <m:t>it</m:t>
                            </m:r>
                          </m:sub>
                        </m:sSub>
                      </m:e>
                    </m:func>
                  </m:e>
                </m:acc>
              </m:e>
            </m:d>
          </m:e>
          <m:sup>
            <m:r>
              <m:rPr>
                <m:sty m:val="p"/>
              </m:rPr>
              <w:rPr>
                <w:rFonts w:ascii="Cambria Math" w:hAnsi="Cambria Math"/>
              </w:rPr>
              <m:t>2</m:t>
            </m:r>
          </m:sup>
        </m:sSup>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7</m:t>
            </m:r>
          </m:sub>
        </m:sSub>
        <m:d>
          <m:dPr>
            <m:ctrlPr>
              <w:rPr>
                <w:rFonts w:ascii="Cambria Math" w:hAnsi="Cambria Math"/>
              </w:rPr>
            </m:ctrlPr>
          </m:dPr>
          <m:e>
            <m:acc>
              <m:accPr>
                <m:chr m:val="̅"/>
                <m:ctrlPr>
                  <w:rPr>
                    <w:rFonts w:ascii="Cambria Math" w:hAnsi="Cambria Math"/>
                  </w:rPr>
                </m:ctrlPr>
              </m:accPr>
              <m:e>
                <m:func>
                  <m:funcPr>
                    <m:ctrlPr>
                      <w:rPr>
                        <w:rFonts w:ascii="Cambria Math" w:hAnsi="Cambria Math"/>
                      </w:rPr>
                    </m:ctrlPr>
                  </m:funcPr>
                  <m:fName>
                    <m:r>
                      <m:rPr>
                        <m:sty m:val="p"/>
                      </m:rPr>
                      <w:rPr>
                        <w:rFonts w:ascii="Cambria Math" w:hAnsi="Cambria Math"/>
                      </w:rPr>
                      <m:t>ln</m:t>
                    </m:r>
                  </m:fName>
                  <m:e>
                    <m:sSub>
                      <m:sSubPr>
                        <m:ctrlPr>
                          <w:rPr>
                            <w:rFonts w:ascii="Cambria Math" w:hAnsi="Cambria Math"/>
                          </w:rPr>
                        </m:ctrlPr>
                      </m:sSubPr>
                      <m:e>
                        <m:r>
                          <w:rPr>
                            <w:rFonts w:ascii="Cambria Math" w:hAnsi="Cambria Math"/>
                          </w:rPr>
                          <m:t>q</m:t>
                        </m:r>
                      </m:e>
                      <m:sub>
                        <m:r>
                          <w:rPr>
                            <w:rFonts w:ascii="Cambria Math" w:hAnsi="Cambria Math"/>
                          </w:rPr>
                          <m:t>it</m:t>
                        </m:r>
                      </m:sub>
                    </m:sSub>
                  </m:e>
                </m:func>
              </m:e>
            </m:acc>
          </m:e>
        </m:d>
        <m:d>
          <m:dPr>
            <m:ctrlPr>
              <w:rPr>
                <w:rFonts w:ascii="Cambria Math" w:hAnsi="Cambria Math"/>
              </w:rPr>
            </m:ctrlPr>
          </m:dPr>
          <m:e>
            <m:acc>
              <m:accPr>
                <m:chr m:val="̅"/>
                <m:ctrlPr>
                  <w:rPr>
                    <w:rFonts w:ascii="Cambria Math" w:hAnsi="Cambria Math"/>
                  </w:rPr>
                </m:ctrlPr>
              </m:accPr>
              <m:e>
                <m:func>
                  <m:funcPr>
                    <m:ctrlPr>
                      <w:rPr>
                        <w:rFonts w:ascii="Cambria Math" w:hAnsi="Cambria Math"/>
                      </w:rPr>
                    </m:ctrlPr>
                  </m:funcPr>
                  <m:fName>
                    <m:r>
                      <m:rPr>
                        <m:sty m:val="p"/>
                      </m:rPr>
                      <w:rPr>
                        <w:rFonts w:ascii="Cambria Math" w:hAnsi="Cambria Math"/>
                      </w:rPr>
                      <m:t>ln</m:t>
                    </m:r>
                  </m:fName>
                  <m:e>
                    <m:sSub>
                      <m:sSubPr>
                        <m:ctrlPr>
                          <w:rPr>
                            <w:rFonts w:ascii="Cambria Math" w:hAnsi="Cambria Math"/>
                          </w:rPr>
                        </m:ctrlPr>
                      </m:sSubPr>
                      <m:e>
                        <m:r>
                          <w:rPr>
                            <w:rFonts w:ascii="Cambria Math" w:hAnsi="Cambria Math"/>
                          </w:rPr>
                          <m:t>w</m:t>
                        </m:r>
                      </m:e>
                      <m:sub>
                        <m:r>
                          <w:rPr>
                            <w:rFonts w:ascii="Cambria Math" w:hAnsi="Cambria Math"/>
                          </w:rPr>
                          <m:t>it</m:t>
                        </m:r>
                      </m:sub>
                    </m:sSub>
                  </m:e>
                </m:func>
              </m:e>
            </m:acc>
          </m:e>
        </m:d>
      </m:oMath>
    </w:p>
    <w:p w14:paraId="6ADE8330" w14:textId="77777777" w:rsidR="00D8703B" w:rsidRPr="007F57AD" w:rsidRDefault="00D8703B" w:rsidP="00D8703B">
      <w:pPr>
        <w:pStyle w:val="Displayedequation"/>
        <w:jc w:val="both"/>
        <w:rPr>
          <w:rFonts w:eastAsiaTheme="minorEastAsia"/>
        </w:rPr>
      </w:pPr>
      <w:r w:rsidRPr="007F57AD">
        <w:t xml:space="preserve">                                               + +</w:t>
      </w:r>
      <m:oMath>
        <m:sSub>
          <m:sSubPr>
            <m:ctrlPr>
              <w:rPr>
                <w:rFonts w:ascii="Cambria Math" w:hAnsi="Cambria Math"/>
              </w:rPr>
            </m:ctrlPr>
          </m:sSubPr>
          <m:e>
            <m:r>
              <w:rPr>
                <w:rFonts w:ascii="Cambria Math" w:hAnsi="Cambria Math"/>
              </w:rPr>
              <m:t>b</m:t>
            </m:r>
          </m:e>
          <m:sub>
            <m:r>
              <m:rPr>
                <m:sty m:val="p"/>
              </m:rPr>
              <w:rPr>
                <w:rFonts w:ascii="Cambria Math" w:hAnsi="Cambria Math"/>
              </w:rPr>
              <m:t>8</m:t>
            </m:r>
          </m:sub>
        </m:sSub>
        <m:d>
          <m:dPr>
            <m:ctrlPr>
              <w:rPr>
                <w:rFonts w:ascii="Cambria Math" w:hAnsi="Cambria Math"/>
              </w:rPr>
            </m:ctrlPr>
          </m:dPr>
          <m:e>
            <m:acc>
              <m:accPr>
                <m:chr m:val="̅"/>
                <m:ctrlPr>
                  <w:rPr>
                    <w:rFonts w:ascii="Cambria Math" w:hAnsi="Cambria Math"/>
                  </w:rPr>
                </m:ctrlPr>
              </m:accPr>
              <m:e>
                <m:func>
                  <m:funcPr>
                    <m:ctrlPr>
                      <w:rPr>
                        <w:rFonts w:ascii="Cambria Math" w:hAnsi="Cambria Math"/>
                      </w:rPr>
                    </m:ctrlPr>
                  </m:funcPr>
                  <m:fName>
                    <m:r>
                      <m:rPr>
                        <m:sty m:val="p"/>
                      </m:rPr>
                      <w:rPr>
                        <w:rFonts w:ascii="Cambria Math" w:hAnsi="Cambria Math"/>
                      </w:rPr>
                      <m:t>ln</m:t>
                    </m:r>
                  </m:fName>
                  <m:e>
                    <m:sSub>
                      <m:sSubPr>
                        <m:ctrlPr>
                          <w:rPr>
                            <w:rFonts w:ascii="Cambria Math" w:hAnsi="Cambria Math"/>
                          </w:rPr>
                        </m:ctrlPr>
                      </m:sSubPr>
                      <m:e>
                        <m:r>
                          <w:rPr>
                            <w:rFonts w:ascii="Cambria Math" w:hAnsi="Cambria Math"/>
                          </w:rPr>
                          <m:t>q</m:t>
                        </m:r>
                      </m:e>
                      <m:sub>
                        <m:r>
                          <w:rPr>
                            <w:rFonts w:ascii="Cambria Math" w:hAnsi="Cambria Math"/>
                          </w:rPr>
                          <m:t>it</m:t>
                        </m:r>
                      </m:sub>
                    </m:sSub>
                  </m:e>
                </m:func>
              </m:e>
            </m:acc>
          </m:e>
        </m:d>
        <m:d>
          <m:dPr>
            <m:ctrlPr>
              <w:rPr>
                <w:rFonts w:ascii="Cambria Math" w:hAnsi="Cambria Math"/>
              </w:rPr>
            </m:ctrlPr>
          </m:dPr>
          <m:e>
            <m:acc>
              <m:accPr>
                <m:chr m:val="̅"/>
                <m:ctrlPr>
                  <w:rPr>
                    <w:rFonts w:ascii="Cambria Math" w:hAnsi="Cambria Math"/>
                  </w:rPr>
                </m:ctrlPr>
              </m:accPr>
              <m:e>
                <m:func>
                  <m:funcPr>
                    <m:ctrlPr>
                      <w:rPr>
                        <w:rFonts w:ascii="Cambria Math" w:hAnsi="Cambria Math"/>
                      </w:rPr>
                    </m:ctrlPr>
                  </m:funcPr>
                  <m:fName>
                    <m:r>
                      <m:rPr>
                        <m:sty m:val="p"/>
                      </m:rPr>
                      <w:rPr>
                        <w:rFonts w:ascii="Cambria Math" w:hAnsi="Cambria Math"/>
                      </w:rPr>
                      <m:t>ln</m:t>
                    </m:r>
                  </m:fName>
                  <m:e>
                    <m:r>
                      <w:rPr>
                        <w:rFonts w:ascii="Cambria Math" w:hAnsi="Cambria Math"/>
                      </w:rPr>
                      <m:t>d</m:t>
                    </m:r>
                    <m:r>
                      <m:rPr>
                        <m:sty m:val="p"/>
                      </m:rPr>
                      <w:rPr>
                        <w:rFonts w:ascii="Cambria Math" w:hAnsi="Cambria Math"/>
                      </w:rPr>
                      <m:t>ⅈ</m:t>
                    </m:r>
                    <m:r>
                      <w:rPr>
                        <w:rFonts w:ascii="Cambria Math" w:hAnsi="Cambria Math"/>
                      </w:rPr>
                      <m:t>t</m:t>
                    </m:r>
                  </m:e>
                </m:func>
              </m:e>
            </m:acc>
          </m:e>
        </m:d>
        <m:r>
          <m:rPr>
            <m:sty m:val="p"/>
          </m:rPr>
          <w:rPr>
            <w:rFonts w:ascii="Cambria Math" w:hAnsi="Cambria Math"/>
          </w:rPr>
          <m:t>+</m:t>
        </m:r>
        <m:sSub>
          <m:sSubPr>
            <m:ctrlPr>
              <w:rPr>
                <w:rFonts w:ascii="Cambria Math" w:hAnsi="Cambria Math"/>
              </w:rPr>
            </m:ctrlPr>
          </m:sSubPr>
          <m:e>
            <m:r>
              <w:rPr>
                <w:rFonts w:ascii="Cambria Math" w:hAnsi="Cambria Math"/>
              </w:rPr>
              <m:t>b</m:t>
            </m:r>
          </m:e>
          <m:sub>
            <m:r>
              <m:rPr>
                <m:sty m:val="p"/>
              </m:rPr>
              <w:rPr>
                <w:rFonts w:ascii="Cambria Math" w:hAnsi="Cambria Math"/>
              </w:rPr>
              <m:t>9</m:t>
            </m:r>
          </m:sub>
        </m:sSub>
        <m:d>
          <m:dPr>
            <m:ctrlPr>
              <w:rPr>
                <w:rFonts w:ascii="Cambria Math" w:hAnsi="Cambria Math"/>
              </w:rPr>
            </m:ctrlPr>
          </m:dPr>
          <m:e>
            <m:acc>
              <m:accPr>
                <m:chr m:val="̅"/>
                <m:ctrlPr>
                  <w:rPr>
                    <w:rFonts w:ascii="Cambria Math" w:hAnsi="Cambria Math"/>
                  </w:rPr>
                </m:ctrlPr>
              </m:accPr>
              <m:e>
                <m:func>
                  <m:funcPr>
                    <m:ctrlPr>
                      <w:rPr>
                        <w:rFonts w:ascii="Cambria Math" w:hAnsi="Cambria Math"/>
                      </w:rPr>
                    </m:ctrlPr>
                  </m:funcPr>
                  <m:fName>
                    <m:r>
                      <m:rPr>
                        <m:sty m:val="p"/>
                      </m:rPr>
                      <w:rPr>
                        <w:rFonts w:ascii="Cambria Math" w:hAnsi="Cambria Math"/>
                      </w:rPr>
                      <m:t>ln</m:t>
                    </m:r>
                  </m:fName>
                  <m:e>
                    <m:r>
                      <w:rPr>
                        <w:rFonts w:ascii="Cambria Math" w:hAnsi="Cambria Math"/>
                      </w:rPr>
                      <m:t>d</m:t>
                    </m:r>
                    <m:r>
                      <m:rPr>
                        <m:sty m:val="p"/>
                      </m:rPr>
                      <w:rPr>
                        <w:rFonts w:ascii="Cambria Math" w:hAnsi="Cambria Math"/>
                      </w:rPr>
                      <m:t>ⅈ</m:t>
                    </m:r>
                    <m:r>
                      <w:rPr>
                        <w:rFonts w:ascii="Cambria Math" w:hAnsi="Cambria Math"/>
                      </w:rPr>
                      <m:t>t</m:t>
                    </m:r>
                  </m:e>
                </m:func>
              </m:e>
            </m:acc>
          </m:e>
        </m:d>
        <m:d>
          <m:dPr>
            <m:ctrlPr>
              <w:rPr>
                <w:rFonts w:ascii="Cambria Math" w:hAnsi="Cambria Math"/>
              </w:rPr>
            </m:ctrlPr>
          </m:dPr>
          <m:e>
            <m:acc>
              <m:accPr>
                <m:chr m:val="̅"/>
                <m:ctrlPr>
                  <w:rPr>
                    <w:rFonts w:ascii="Cambria Math" w:hAnsi="Cambria Math"/>
                  </w:rPr>
                </m:ctrlPr>
              </m:accPr>
              <m:e>
                <m:func>
                  <m:funcPr>
                    <m:ctrlPr>
                      <w:rPr>
                        <w:rFonts w:ascii="Cambria Math" w:hAnsi="Cambria Math"/>
                      </w:rPr>
                    </m:ctrlPr>
                  </m:funcPr>
                  <m:fName>
                    <m:r>
                      <m:rPr>
                        <m:sty m:val="p"/>
                      </m:rPr>
                      <w:rPr>
                        <w:rFonts w:ascii="Cambria Math" w:hAnsi="Cambria Math"/>
                      </w:rPr>
                      <m:t>ln</m:t>
                    </m:r>
                  </m:fName>
                  <m:e>
                    <m:sSub>
                      <m:sSubPr>
                        <m:ctrlPr>
                          <w:rPr>
                            <w:rFonts w:ascii="Cambria Math" w:hAnsi="Cambria Math"/>
                          </w:rPr>
                        </m:ctrlPr>
                      </m:sSubPr>
                      <m:e>
                        <m:r>
                          <w:rPr>
                            <w:rFonts w:ascii="Cambria Math" w:hAnsi="Cambria Math"/>
                          </w:rPr>
                          <m:t>w</m:t>
                        </m:r>
                      </m:e>
                      <m:sub>
                        <m:r>
                          <w:rPr>
                            <w:rFonts w:ascii="Cambria Math" w:hAnsi="Cambria Math"/>
                          </w:rPr>
                          <m:t>it</m:t>
                        </m:r>
                      </m:sub>
                    </m:sSub>
                  </m:e>
                </m:func>
              </m:e>
            </m:acc>
          </m:e>
        </m:d>
        <m:r>
          <m:rPr>
            <m:sty m:val="p"/>
          </m:rPr>
          <w:rPr>
            <w:rFonts w:ascii="Cambria Math" w:hAnsi="Cambria Math"/>
          </w:rPr>
          <m:t>+</m:t>
        </m:r>
        <m:sSub>
          <m:sSubPr>
            <m:ctrlPr>
              <w:rPr>
                <w:rFonts w:ascii="Cambria Math" w:hAnsi="Cambria Math"/>
              </w:rPr>
            </m:ctrlPr>
          </m:sSubPr>
          <m:e>
            <m:r>
              <w:rPr>
                <w:rFonts w:ascii="Cambria Math" w:hAnsi="Cambria Math"/>
              </w:rPr>
              <m:t>e</m:t>
            </m:r>
          </m:e>
          <m:sub>
            <m:r>
              <w:rPr>
                <w:rFonts w:ascii="Cambria Math" w:hAnsi="Cambria Math"/>
              </w:rPr>
              <m:t>it</m:t>
            </m:r>
          </m:sub>
        </m:sSub>
      </m:oMath>
    </w:p>
    <w:p w14:paraId="755BAF3C" w14:textId="77777777" w:rsidR="00D8703B" w:rsidRPr="007F57AD" w:rsidRDefault="00D8703B" w:rsidP="00D8703B">
      <w:pPr>
        <w:spacing w:line="276" w:lineRule="auto"/>
        <w:jc w:val="both"/>
        <w:rPr>
          <w:rFonts w:ascii="Times New Roman" w:eastAsiaTheme="minorEastAsia" w:hAnsi="Times New Roman" w:cs="Times New Roman"/>
          <w:sz w:val="24"/>
          <w:szCs w:val="24"/>
          <w:lang w:val="en-GB" w:eastAsia="en-GB"/>
        </w:rPr>
      </w:pPr>
      <w:r w:rsidRPr="007F57AD">
        <w:rPr>
          <w:rFonts w:ascii="Times New Roman" w:eastAsiaTheme="minorEastAsia" w:hAnsi="Times New Roman" w:cs="Times New Roman"/>
          <w:sz w:val="24"/>
          <w:szCs w:val="24"/>
          <w:lang w:val="en-GB" w:eastAsia="en-GB"/>
        </w:rPr>
        <w:t xml:space="preserve">The following definitions apply to the symbols used to explain Equation 2: C stands for the bank's expenses, q for the output level limited by the total amount of earning assets, and d for the total amount of deposits received. W is the sum of the three input prices, which are labour, capital, and funds or deposits, represented by the symbols w1, w2, and w3, respectively, in the frameworks developed by </w:t>
      </w:r>
      <w:proofErr w:type="spellStart"/>
      <w:r w:rsidRPr="007F57AD">
        <w:rPr>
          <w:rFonts w:ascii="Times New Roman" w:eastAsiaTheme="minorEastAsia" w:hAnsi="Times New Roman" w:cs="Times New Roman"/>
          <w:sz w:val="24"/>
          <w:szCs w:val="24"/>
          <w:lang w:val="en-GB" w:eastAsia="en-GB"/>
        </w:rPr>
        <w:t>Agoraki</w:t>
      </w:r>
      <w:proofErr w:type="spellEnd"/>
      <w:r w:rsidRPr="007F57AD">
        <w:rPr>
          <w:rFonts w:ascii="Times New Roman" w:eastAsiaTheme="minorEastAsia" w:hAnsi="Times New Roman" w:cs="Times New Roman"/>
          <w:sz w:val="24"/>
          <w:szCs w:val="24"/>
          <w:lang w:val="en-GB" w:eastAsia="en-GB"/>
        </w:rPr>
        <w:t xml:space="preserve"> et al. (2011) and </w:t>
      </w:r>
      <w:proofErr w:type="spellStart"/>
      <w:r w:rsidRPr="007F57AD">
        <w:rPr>
          <w:rFonts w:ascii="Times New Roman" w:eastAsiaTheme="minorEastAsia" w:hAnsi="Times New Roman" w:cs="Times New Roman"/>
          <w:sz w:val="24"/>
          <w:szCs w:val="24"/>
          <w:lang w:val="en-GB" w:eastAsia="en-GB"/>
        </w:rPr>
        <w:t>Repková</w:t>
      </w:r>
      <w:proofErr w:type="spellEnd"/>
      <w:r w:rsidRPr="007F57AD">
        <w:rPr>
          <w:rFonts w:ascii="Times New Roman" w:eastAsiaTheme="minorEastAsia" w:hAnsi="Times New Roman" w:cs="Times New Roman"/>
          <w:sz w:val="24"/>
          <w:szCs w:val="24"/>
          <w:lang w:val="en-GB" w:eastAsia="en-GB"/>
        </w:rPr>
        <w:t xml:space="preserve"> (2012). To be more precise, w1 stands for labour expenses, which are expressed as the labour costs to total assets ratio; w2 is for physical capital costs, which are expressed as the other non-interest costs to fixed assets ratio; and w3 is for costs related to borrowed money, which are defined as</w:t>
      </w:r>
      <w:r w:rsidRPr="007F57AD">
        <w:rPr>
          <w:rFonts w:ascii="Times New Roman" w:hAnsi="Times New Roman" w:cs="Times New Roman"/>
        </w:rPr>
        <w:t xml:space="preserve"> </w:t>
      </w:r>
      <w:r w:rsidRPr="007F57AD">
        <w:rPr>
          <w:rFonts w:ascii="Times New Roman" w:eastAsiaTheme="minorEastAsia" w:hAnsi="Times New Roman" w:cs="Times New Roman"/>
          <w:sz w:val="24"/>
          <w:szCs w:val="24"/>
          <w:lang w:val="en-GB" w:eastAsia="en-GB"/>
        </w:rPr>
        <w:t xml:space="preserve">expressed as the ratio of interest expenses to total funds. The variable E represents random disturbance. </w:t>
      </w:r>
      <w:r w:rsidRPr="007F57AD">
        <w:rPr>
          <w:rFonts w:ascii="Times New Roman" w:eastAsiaTheme="minorEastAsia" w:hAnsi="Times New Roman" w:cs="Times New Roman"/>
          <w:sz w:val="24"/>
          <w:szCs w:val="24"/>
          <w:lang w:val="en-GB" w:eastAsia="en-GB"/>
        </w:rPr>
        <w:lastRenderedPageBreak/>
        <w:t xml:space="preserve">Specifically, using bars over the variables as recommended by </w:t>
      </w:r>
      <w:proofErr w:type="spellStart"/>
      <w:r w:rsidRPr="007F57AD">
        <w:rPr>
          <w:rFonts w:ascii="Times New Roman" w:eastAsiaTheme="minorEastAsia" w:hAnsi="Times New Roman" w:cs="Times New Roman"/>
          <w:sz w:val="24"/>
          <w:szCs w:val="24"/>
          <w:lang w:val="en-GB" w:eastAsia="en-GB"/>
        </w:rPr>
        <w:t>Brissimis</w:t>
      </w:r>
      <w:proofErr w:type="spellEnd"/>
      <w:r w:rsidRPr="007F57AD">
        <w:rPr>
          <w:rFonts w:ascii="Times New Roman" w:eastAsiaTheme="minorEastAsia" w:hAnsi="Times New Roman" w:cs="Times New Roman"/>
          <w:sz w:val="24"/>
          <w:szCs w:val="24"/>
          <w:lang w:val="en-GB" w:eastAsia="en-GB"/>
        </w:rPr>
        <w:t xml:space="preserve"> et al. (2008) and Uchida and </w:t>
      </w:r>
      <w:proofErr w:type="spellStart"/>
      <w:r w:rsidRPr="007F57AD">
        <w:rPr>
          <w:rFonts w:ascii="Times New Roman" w:eastAsiaTheme="minorEastAsia" w:hAnsi="Times New Roman" w:cs="Times New Roman"/>
          <w:sz w:val="24"/>
          <w:szCs w:val="24"/>
          <w:lang w:val="en-GB" w:eastAsia="en-GB"/>
        </w:rPr>
        <w:t>Tsutsui</w:t>
      </w:r>
      <w:proofErr w:type="spellEnd"/>
      <w:r w:rsidRPr="007F57AD">
        <w:rPr>
          <w:rFonts w:ascii="Times New Roman" w:eastAsiaTheme="minorEastAsia" w:hAnsi="Times New Roman" w:cs="Times New Roman"/>
          <w:sz w:val="24"/>
          <w:szCs w:val="24"/>
          <w:lang w:val="en-GB" w:eastAsia="en-GB"/>
        </w:rPr>
        <w:t xml:space="preserve"> (2005) may help to lessen the problem of multicollinearity.</w:t>
      </w:r>
    </w:p>
    <w:p w14:paraId="595E9917" w14:textId="77777777" w:rsidR="00D8703B" w:rsidRPr="006E5569" w:rsidRDefault="00D8703B" w:rsidP="00D8703B">
      <w:pPr>
        <w:spacing w:line="276" w:lineRule="auto"/>
        <w:jc w:val="both"/>
        <w:rPr>
          <w:rFonts w:ascii="Times New Roman" w:hAnsi="Times New Roman" w:cs="Times New Roman"/>
          <w:lang w:val="en-GB"/>
        </w:rPr>
      </w:pPr>
      <w:proofErr w:type="spellStart"/>
      <w:r w:rsidRPr="007F57AD">
        <w:rPr>
          <w:rFonts w:ascii="Times New Roman" w:eastAsiaTheme="minorEastAsia" w:hAnsi="Times New Roman" w:cs="Times New Roman"/>
          <w:sz w:val="24"/>
          <w:szCs w:val="24"/>
          <w:lang w:val="en-GB" w:eastAsia="en-GB"/>
        </w:rPr>
        <w:t>Repková</w:t>
      </w:r>
      <w:proofErr w:type="spellEnd"/>
      <w:r w:rsidRPr="007F57AD">
        <w:rPr>
          <w:rFonts w:ascii="Times New Roman" w:eastAsiaTheme="minorEastAsia" w:hAnsi="Times New Roman" w:cs="Times New Roman"/>
          <w:sz w:val="24"/>
          <w:szCs w:val="24"/>
          <w:lang w:val="en-GB" w:eastAsia="en-GB"/>
        </w:rPr>
        <w:t xml:space="preserve"> (2012) and </w:t>
      </w:r>
      <w:proofErr w:type="spellStart"/>
      <w:r w:rsidRPr="007F57AD">
        <w:rPr>
          <w:rFonts w:ascii="Times New Roman" w:eastAsiaTheme="minorEastAsia" w:hAnsi="Times New Roman" w:cs="Times New Roman"/>
          <w:sz w:val="24"/>
          <w:szCs w:val="24"/>
          <w:lang w:val="en-GB" w:eastAsia="en-GB"/>
        </w:rPr>
        <w:t>Ariss</w:t>
      </w:r>
      <w:proofErr w:type="spellEnd"/>
      <w:r w:rsidRPr="007F57AD">
        <w:rPr>
          <w:rFonts w:ascii="Times New Roman" w:eastAsiaTheme="minorEastAsia" w:hAnsi="Times New Roman" w:cs="Times New Roman"/>
          <w:sz w:val="24"/>
          <w:szCs w:val="24"/>
          <w:lang w:val="en-GB" w:eastAsia="en-GB"/>
        </w:rPr>
        <w:t xml:space="preserve"> (2010) state that the Lerner index, represented by the symbol Lit, is a number between "0" and "1"; a value of L=0 indicates that banks do not have pricing power, but a value of L=1 indicates that the institution has a larger </w:t>
      </w:r>
      <w:proofErr w:type="spellStart"/>
      <w:r w:rsidRPr="007F57AD">
        <w:rPr>
          <w:rFonts w:ascii="Times New Roman" w:eastAsiaTheme="minorEastAsia" w:hAnsi="Times New Roman" w:cs="Times New Roman"/>
          <w:sz w:val="24"/>
          <w:szCs w:val="24"/>
          <w:lang w:val="en-GB" w:eastAsia="en-GB"/>
        </w:rPr>
        <w:t>markup</w:t>
      </w:r>
      <w:proofErr w:type="spellEnd"/>
      <w:r w:rsidRPr="007F57AD">
        <w:rPr>
          <w:rFonts w:ascii="Times New Roman" w:eastAsiaTheme="minorEastAsia" w:hAnsi="Times New Roman" w:cs="Times New Roman"/>
          <w:sz w:val="24"/>
          <w:szCs w:val="24"/>
          <w:lang w:val="en-GB" w:eastAsia="en-GB"/>
        </w:rPr>
        <w:t xml:space="preserve"> on marginal costs and, as a result, market power. The bank is engaged in less-than-ideal operations if its L value is negative.</w:t>
      </w:r>
    </w:p>
    <w:p w14:paraId="2310355F" w14:textId="77777777" w:rsidR="00BA0D42" w:rsidRPr="00D8703B" w:rsidRDefault="00BA0D42">
      <w:pPr>
        <w:rPr>
          <w:lang w:val="en-GB"/>
        </w:rPr>
      </w:pPr>
    </w:p>
    <w:sectPr w:rsidR="00BA0D42" w:rsidRPr="00D8703B" w:rsidSect="002A1B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CA4820"/>
    <w:multiLevelType w:val="hybridMultilevel"/>
    <w:tmpl w:val="73A2A9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03B"/>
    <w:rsid w:val="0013374A"/>
    <w:rsid w:val="002A1B0D"/>
    <w:rsid w:val="00846A54"/>
    <w:rsid w:val="008E14A1"/>
    <w:rsid w:val="00BA0D42"/>
    <w:rsid w:val="00BD18D2"/>
    <w:rsid w:val="00C313E3"/>
    <w:rsid w:val="00D8703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3E042"/>
  <w15:chartTrackingRefBased/>
  <w15:docId w15:val="{D5C9BC89-1881-442C-A863-1C9496288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703B"/>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703B"/>
    <w:pPr>
      <w:ind w:left="720"/>
      <w:contextualSpacing/>
    </w:pPr>
  </w:style>
  <w:style w:type="paragraph" w:customStyle="1" w:styleId="Paragraph">
    <w:name w:val="Paragraph"/>
    <w:basedOn w:val="Normal"/>
    <w:next w:val="Normal"/>
    <w:qFormat/>
    <w:rsid w:val="00D8703B"/>
    <w:pPr>
      <w:widowControl w:val="0"/>
      <w:spacing w:before="240" w:after="0" w:line="480" w:lineRule="auto"/>
    </w:pPr>
    <w:rPr>
      <w:rFonts w:ascii="Times New Roman" w:eastAsia="Times New Roman" w:hAnsi="Times New Roman" w:cs="Times New Roman"/>
      <w:sz w:val="24"/>
      <w:szCs w:val="24"/>
      <w:lang w:val="en-GB" w:eastAsia="en-GB"/>
    </w:rPr>
  </w:style>
  <w:style w:type="paragraph" w:customStyle="1" w:styleId="Displayedequation">
    <w:name w:val="Displayed equation"/>
    <w:basedOn w:val="Normal"/>
    <w:next w:val="Paragraph"/>
    <w:qFormat/>
    <w:rsid w:val="00D8703B"/>
    <w:pPr>
      <w:tabs>
        <w:tab w:val="center" w:pos="4253"/>
        <w:tab w:val="right" w:pos="8222"/>
      </w:tabs>
      <w:spacing w:before="240" w:after="240" w:line="480" w:lineRule="auto"/>
      <w:jc w:val="center"/>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474</Words>
  <Characters>2702</Characters>
  <Application>Microsoft Office Word</Application>
  <DocSecurity>0</DocSecurity>
  <Lines>22</Lines>
  <Paragraphs>6</Paragraphs>
  <ScaleCrop>false</ScaleCrop>
  <Company/>
  <LinksUpToDate>false</LinksUpToDate>
  <CharactersWithSpaces>3170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bhakti agarwal</dc:creator>
  <cp:keywords/>
  <dc:description/>
  <cp:lastModifiedBy>Senthil M</cp:lastModifiedBy>
  <cp:revision>5</cp:revision>
  <dcterms:created xsi:type="dcterms:W3CDTF">2025-07-09T09:56:00Z</dcterms:created>
  <dcterms:modified xsi:type="dcterms:W3CDTF">2025-11-19T05:30:00Z</dcterms:modified>
</cp:coreProperties>
</file>