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E402E" w14:textId="1E5F7965" w:rsidR="00DB454F" w:rsidRDefault="00901E5C">
      <w:r w:rsidRPr="00901E5C">
        <w:t>Walker, K., &amp; Wan, F. (2012). The harm of symbolic actions and green-washing: Corporate actions and communications on environmental performance and their financial implications. Journal of Business Ethics, 109(2), 227–242.</w:t>
      </w:r>
    </w:p>
    <w:p w14:paraId="322DC312" w14:textId="730E08BB" w:rsidR="00901E5C" w:rsidRDefault="00901E5C">
      <w:r w:rsidRPr="00901E5C">
        <w:t>Lyon TP and Maxwell JW (2011) Greenwash: Corporate environmental disclosure under threat of audit. Journal of Economics &amp; Management Strategy 20(1):3–41</w:t>
      </w:r>
    </w:p>
    <w:p w14:paraId="33AECBE6" w14:textId="13CDCE54" w:rsidR="00EC60CE" w:rsidRDefault="00EC60CE">
      <w:r w:rsidRPr="00EC60CE">
        <w:t>Ahmed A (2025) Green sukuk and infrastructure expansion: The mediating role of ESG compliance in Pakistan's sustainable development. Journal of Islamic Economics and Finance</w:t>
      </w:r>
    </w:p>
    <w:p w14:paraId="65271675" w14:textId="2E72501F" w:rsidR="00EC60CE" w:rsidRDefault="00EC60CE" w:rsidP="00EC60CE">
      <w:r w:rsidRPr="00EC60CE">
        <w:t>Barberis, N., &amp; Thaler, R. (2003).</w:t>
      </w:r>
      <w:r>
        <w:t xml:space="preserve"> </w:t>
      </w:r>
      <w:r w:rsidRPr="00EC60CE">
        <w:t xml:space="preserve">A survey of </w:t>
      </w:r>
      <w:proofErr w:type="spellStart"/>
      <w:r w:rsidRPr="00EC60CE">
        <w:t>behavioral</w:t>
      </w:r>
      <w:proofErr w:type="spellEnd"/>
      <w:r w:rsidRPr="00EC60CE">
        <w:t xml:space="preserve"> finance. In G. M. Constantinides, M. Harris, &amp; R. M. Stulz (Eds.), </w:t>
      </w:r>
      <w:r w:rsidRPr="00EC60CE">
        <w:rPr>
          <w:i/>
          <w:iCs/>
        </w:rPr>
        <w:t>Handbook of the Economics of Finance</w:t>
      </w:r>
      <w:r w:rsidRPr="00EC60CE">
        <w:t xml:space="preserve"> (Vol. 1, pp. 1053–1128). </w:t>
      </w:r>
    </w:p>
    <w:p w14:paraId="555A7E43" w14:textId="04B27CD9" w:rsidR="002F78F2" w:rsidRDefault="002F78F2" w:rsidP="00EC60CE">
      <w:proofErr w:type="spellStart"/>
      <w:r w:rsidRPr="002F78F2">
        <w:t>Gassouma</w:t>
      </w:r>
      <w:proofErr w:type="spellEnd"/>
      <w:r w:rsidRPr="002F78F2">
        <w:t xml:space="preserve"> MS, </w:t>
      </w:r>
      <w:proofErr w:type="spellStart"/>
      <w:r w:rsidRPr="002F78F2">
        <w:t>Benhamed</w:t>
      </w:r>
      <w:proofErr w:type="spellEnd"/>
      <w:r w:rsidRPr="002F78F2">
        <w:t xml:space="preserve"> A and El Montasser G (2023) Investigating similarities between Islamic and conventional banks in GCC countries: A dynamic time warping approach. International Journal of Islamic and Middle Eastern Finance and Management 16(5):1003–1023</w:t>
      </w:r>
    </w:p>
    <w:sectPr w:rsidR="002F7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5C"/>
    <w:rsid w:val="00050E54"/>
    <w:rsid w:val="002F78F2"/>
    <w:rsid w:val="00646628"/>
    <w:rsid w:val="00705680"/>
    <w:rsid w:val="007F5DD4"/>
    <w:rsid w:val="00851DDA"/>
    <w:rsid w:val="00901E5C"/>
    <w:rsid w:val="009E26A4"/>
    <w:rsid w:val="00DB454F"/>
    <w:rsid w:val="00EC60CE"/>
    <w:rsid w:val="00EE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T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FBDB"/>
  <w15:chartTrackingRefBased/>
  <w15:docId w15:val="{2C21E247-1946-46C0-9727-7715FA09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T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901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01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01E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01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01E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01E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01E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01E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01E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01E5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901E5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901E5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901E5C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901E5C"/>
    <w:rPr>
      <w:rFonts w:eastAsiaTheme="majorEastAsia" w:cstheme="majorBidi"/>
      <w:color w:val="0F4761" w:themeColor="accent1" w:themeShade="BF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901E5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901E5C"/>
    <w:rPr>
      <w:rFonts w:eastAsiaTheme="majorEastAsia" w:cstheme="majorBidi"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901E5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901E5C"/>
    <w:rPr>
      <w:rFonts w:eastAsiaTheme="majorEastAsia" w:cstheme="majorBidi"/>
      <w:color w:val="272727" w:themeColor="text1" w:themeTint="D8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901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01E5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1E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01E5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901E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01E5C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901E5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01E5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1E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01E5C"/>
    <w:rPr>
      <w:i/>
      <w:iCs/>
      <w:color w:val="0F4761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901E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SADOK</dc:creator>
  <cp:keywords/>
  <dc:description/>
  <cp:lastModifiedBy>SADOK</cp:lastModifiedBy>
  <cp:revision>2</cp:revision>
  <dcterms:created xsi:type="dcterms:W3CDTF">2026-04-06T23:24:00Z</dcterms:created>
  <dcterms:modified xsi:type="dcterms:W3CDTF">2026-04-07T00:15:00Z</dcterms:modified>
</cp:coreProperties>
</file>