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27D42" w14:textId="77777777" w:rsidR="001B3C31" w:rsidRDefault="001B3C31"/>
    <w:tbl>
      <w:tblPr>
        <w:tblW w:w="8472" w:type="dxa"/>
        <w:tblLook w:val="04A0" w:firstRow="1" w:lastRow="0" w:firstColumn="1" w:lastColumn="0" w:noHBand="0" w:noVBand="1"/>
      </w:tblPr>
      <w:tblGrid>
        <w:gridCol w:w="2468"/>
        <w:gridCol w:w="4908"/>
        <w:gridCol w:w="1096"/>
      </w:tblGrid>
      <w:tr w:rsidR="001B3C31" w:rsidRPr="001B3C31" w14:paraId="3B35A911" w14:textId="77777777" w:rsidTr="001B3C31">
        <w:trPr>
          <w:trHeight w:val="315"/>
        </w:trPr>
        <w:tc>
          <w:tcPr>
            <w:tcW w:w="73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9C1CB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Climate change disclosures (TCFD index)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C7372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</w:tr>
      <w:tr w:rsidR="001B3C31" w:rsidRPr="001B3C31" w14:paraId="058E2FD3" w14:textId="77777777" w:rsidTr="001B3C31">
        <w:trPr>
          <w:trHeight w:val="600"/>
        </w:trPr>
        <w:tc>
          <w:tcPr>
            <w:tcW w:w="2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3C40D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GOVERNANCE</w:t>
            </w:r>
          </w:p>
        </w:tc>
        <w:tc>
          <w:tcPr>
            <w:tcW w:w="4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9A4D626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the </w:t>
            </w:r>
            <w:r w:rsidRPr="001B3C31">
              <w:rPr>
                <w:rFonts w:ascii="Arial" w:eastAsia="Times New Roman" w:hAnsi="Arial" w:cs="Arial"/>
                <w:color w:val="000000"/>
                <w:kern w:val="0"/>
                <w:lang w:eastAsia="en-ID"/>
                <w14:ligatures w14:val="none"/>
              </w:rPr>
              <w:t>board’s oversight of climate-related risks and opportunities</w:t>
            </w:r>
          </w:p>
        </w:tc>
        <w:tc>
          <w:tcPr>
            <w:tcW w:w="10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3B86F2E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GOV1</w:t>
            </w:r>
          </w:p>
        </w:tc>
      </w:tr>
      <w:tr w:rsidR="001B3C31" w:rsidRPr="001B3C31" w14:paraId="7BA08F29" w14:textId="77777777" w:rsidTr="001B3C31">
        <w:trPr>
          <w:trHeight w:val="630"/>
        </w:trPr>
        <w:tc>
          <w:tcPr>
            <w:tcW w:w="2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D6BB9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5AA6947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management’s role in assessing and managing climate-related risks and opportunities.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2595B72A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GOV2</w:t>
            </w:r>
          </w:p>
        </w:tc>
      </w:tr>
      <w:tr w:rsidR="001B3C31" w:rsidRPr="001B3C31" w14:paraId="3C82F0B7" w14:textId="77777777" w:rsidTr="001B3C31">
        <w:trPr>
          <w:trHeight w:val="930"/>
        </w:trPr>
        <w:tc>
          <w:tcPr>
            <w:tcW w:w="24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10DFB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STRATEGY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2A23A37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the climate-related risks and opportunities the organization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has identified over the short, medium, and long term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74A01643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STR1</w:t>
            </w:r>
          </w:p>
        </w:tc>
      </w:tr>
      <w:tr w:rsidR="001B3C31" w:rsidRPr="001B3C31" w14:paraId="661EFE0A" w14:textId="77777777" w:rsidTr="001B3C31">
        <w:trPr>
          <w:trHeight w:val="945"/>
        </w:trPr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59775F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14537A7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the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impact of climate-related risks and opportunities on the organization’s businesses, strategy, and financial planning.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774C7BA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STR2</w:t>
            </w:r>
          </w:p>
        </w:tc>
      </w:tr>
      <w:tr w:rsidR="001B3C31" w:rsidRPr="001B3C31" w14:paraId="60A5A50E" w14:textId="77777777" w:rsidTr="001B3C31">
        <w:trPr>
          <w:trHeight w:val="1260"/>
        </w:trPr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4ACCF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24665F9C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the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resilience of the organization’s strategy, taking into consideration different climate related scenarios, including a 2°C or lower scenario.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066EB86B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STR3</w:t>
            </w:r>
          </w:p>
        </w:tc>
      </w:tr>
      <w:tr w:rsidR="001B3C31" w:rsidRPr="001B3C31" w14:paraId="7BEDD5B7" w14:textId="77777777" w:rsidTr="001B3C31">
        <w:trPr>
          <w:trHeight w:val="630"/>
        </w:trPr>
        <w:tc>
          <w:tcPr>
            <w:tcW w:w="24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9EF2A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RISK MANAGEMENT 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7118F95E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the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organization’s processes for identifying and assessing climate-related risks.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6623868E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RM1</w:t>
            </w:r>
          </w:p>
        </w:tc>
      </w:tr>
      <w:tr w:rsidR="001B3C31" w:rsidRPr="001B3C31" w14:paraId="6165E055" w14:textId="77777777" w:rsidTr="001B3C31">
        <w:trPr>
          <w:trHeight w:val="630"/>
        </w:trPr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CCF67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81DA16C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the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organization’s processes for managing climate-related risks.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3C68194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RM2</w:t>
            </w:r>
          </w:p>
        </w:tc>
      </w:tr>
      <w:tr w:rsidR="001B3C31" w:rsidRPr="001B3C31" w14:paraId="128E5A36" w14:textId="77777777" w:rsidTr="001B3C31">
        <w:trPr>
          <w:trHeight w:val="1230"/>
        </w:trPr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C075B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192E5CF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how processes for identifying, assessing, and managing climate-related risks are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integrated into the organization’s overall risk management.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B86EF12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RM3</w:t>
            </w:r>
          </w:p>
        </w:tc>
      </w:tr>
      <w:tr w:rsidR="001B3C31" w:rsidRPr="001B3C31" w14:paraId="7A36276D" w14:textId="77777777" w:rsidTr="001B3C31">
        <w:trPr>
          <w:trHeight w:val="1260"/>
        </w:trPr>
        <w:tc>
          <w:tcPr>
            <w:tcW w:w="24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786D5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METRICS AND TARGETS</w:t>
            </w: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6C8294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Disclose the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metrics used by the organization to assess climate-related risks and opportunities in line with its strategy and risk management process.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32DA4281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MT1</w:t>
            </w:r>
          </w:p>
        </w:tc>
      </w:tr>
      <w:tr w:rsidR="001B3C31" w:rsidRPr="001B3C31" w14:paraId="7F041244" w14:textId="77777777" w:rsidTr="001B3C31">
        <w:trPr>
          <w:trHeight w:val="945"/>
        </w:trPr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37544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6065E22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Disclose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Scope 1, Scope 2, and, if appropriate, Scope 3 greenhouse gas (GHG) emissions, and the related risks.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4D56338A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MT2</w:t>
            </w:r>
          </w:p>
        </w:tc>
      </w:tr>
      <w:tr w:rsidR="001B3C31" w:rsidRPr="001B3C31" w14:paraId="287C8F00" w14:textId="77777777" w:rsidTr="001B3C31">
        <w:trPr>
          <w:trHeight w:val="945"/>
        </w:trPr>
        <w:tc>
          <w:tcPr>
            <w:tcW w:w="24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DB270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49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0BF356B8" w14:textId="77777777" w:rsidR="001B3C31" w:rsidRPr="001B3C31" w:rsidRDefault="001B3C31" w:rsidP="001B3C31">
            <w:pPr>
              <w:spacing w:after="0" w:line="240" w:lineRule="auto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 xml:space="preserve">Describe the </w:t>
            </w:r>
            <w:r w:rsidRPr="001B3C31">
              <w:rPr>
                <w:rFonts w:ascii="Calisto MT" w:eastAsia="Times New Roman" w:hAnsi="Calisto MT" w:cs="Calibri"/>
                <w:color w:val="000000"/>
                <w:kern w:val="0"/>
                <w:lang w:eastAsia="en-ID"/>
                <w14:ligatures w14:val="none"/>
              </w:rPr>
              <w:t>targets used by the organization to manage climate-related risks and opportunities and performance against targets.</w:t>
            </w:r>
          </w:p>
        </w:tc>
        <w:tc>
          <w:tcPr>
            <w:tcW w:w="109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hideMark/>
          </w:tcPr>
          <w:p w14:paraId="11529721" w14:textId="77777777" w:rsidR="001B3C31" w:rsidRPr="001B3C31" w:rsidRDefault="001B3C31" w:rsidP="001B3C31">
            <w:pPr>
              <w:spacing w:after="0" w:line="240" w:lineRule="auto"/>
              <w:jc w:val="center"/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</w:pPr>
            <w:r w:rsidRPr="001B3C31">
              <w:rPr>
                <w:rFonts w:ascii="Lustria" w:eastAsia="Times New Roman" w:hAnsi="Lustria" w:cs="Calibri"/>
                <w:color w:val="000000"/>
                <w:kern w:val="0"/>
                <w:lang w:eastAsia="en-ID"/>
                <w14:ligatures w14:val="none"/>
              </w:rPr>
              <w:t>MT3</w:t>
            </w:r>
          </w:p>
        </w:tc>
      </w:tr>
    </w:tbl>
    <w:p w14:paraId="52BD1441" w14:textId="2623F84F" w:rsidR="001B3C31" w:rsidRPr="001B3C31" w:rsidRDefault="001B3C31" w:rsidP="001B3C31"/>
    <w:sectPr w:rsidR="001B3C31" w:rsidRPr="001B3C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stria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31"/>
    <w:rsid w:val="001B3C31"/>
    <w:rsid w:val="00A22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C8A31"/>
  <w15:chartTrackingRefBased/>
  <w15:docId w15:val="{6D38FD71-F8E5-4911-9E05-AB76260AF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C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C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C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C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C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C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C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C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C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C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C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C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2025-12-01T04:12:00Z</dcterms:created>
  <dcterms:modified xsi:type="dcterms:W3CDTF">2025-12-01T04:13:00Z</dcterms:modified>
</cp:coreProperties>
</file>