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6DE" w:rsidRPr="00CB3C0B" w:rsidRDefault="008976DE" w:rsidP="008976DE">
      <w:pPr>
        <w:rPr>
          <w:rFonts w:ascii="Times New Roman" w:hAnsi="Times New Roman" w:cs="Times New Roman"/>
          <w:b/>
          <w:sz w:val="24"/>
        </w:rPr>
      </w:pPr>
      <w:r w:rsidRPr="00CB3C0B">
        <w:rPr>
          <w:rFonts w:ascii="Times New Roman" w:hAnsi="Times New Roman" w:cs="Times New Roman"/>
          <w:b/>
          <w:sz w:val="24"/>
        </w:rPr>
        <w:t>Table S1. Summary of final statistical models and significant effects retained for interpretation for maize seedling traits under salinity stress.</w:t>
      </w:r>
    </w:p>
    <w:tbl>
      <w:tblPr>
        <w:tblStyle w:val="TableGrid"/>
        <w:tblpPr w:leftFromText="180" w:rightFromText="180" w:vertAnchor="page" w:horzAnchor="margin" w:tblpY="3100"/>
        <w:tblW w:w="0" w:type="auto"/>
        <w:tblLook w:val="04A0" w:firstRow="1" w:lastRow="0" w:firstColumn="1" w:lastColumn="0" w:noHBand="0" w:noVBand="1"/>
      </w:tblPr>
      <w:tblGrid>
        <w:gridCol w:w="1853"/>
        <w:gridCol w:w="2916"/>
        <w:gridCol w:w="2416"/>
        <w:gridCol w:w="2165"/>
      </w:tblGrid>
      <w:tr w:rsidR="008976DE" w:rsidRPr="00653378" w:rsidTr="002241F1">
        <w:tc>
          <w:tcPr>
            <w:tcW w:w="0" w:type="auto"/>
            <w:hideMark/>
          </w:tcPr>
          <w:p w:rsidR="008976DE" w:rsidRPr="00653378" w:rsidRDefault="008976DE" w:rsidP="002241F1">
            <w:pPr>
              <w:jc w:val="center"/>
              <w:rPr>
                <w:rFonts w:ascii="Times New Roman" w:eastAsia="Times New Roman" w:hAnsi="Times New Roman" w:cs="Times New Roman"/>
                <w:b/>
                <w:bCs/>
                <w:sz w:val="24"/>
                <w:szCs w:val="24"/>
              </w:rPr>
            </w:pPr>
            <w:r w:rsidRPr="00653378">
              <w:rPr>
                <w:rFonts w:ascii="Times New Roman" w:eastAsia="Times New Roman" w:hAnsi="Times New Roman" w:cs="Times New Roman"/>
                <w:b/>
                <w:bCs/>
                <w:sz w:val="24"/>
                <w:szCs w:val="24"/>
              </w:rPr>
              <w:t>Trait</w:t>
            </w:r>
          </w:p>
        </w:tc>
        <w:tc>
          <w:tcPr>
            <w:tcW w:w="0" w:type="auto"/>
            <w:hideMark/>
          </w:tcPr>
          <w:p w:rsidR="008976DE" w:rsidRPr="00653378" w:rsidRDefault="008976DE" w:rsidP="002241F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r w:rsidRPr="00653378">
              <w:rPr>
                <w:rFonts w:ascii="Times New Roman" w:eastAsia="Times New Roman" w:hAnsi="Times New Roman" w:cs="Times New Roman"/>
                <w:b/>
                <w:bCs/>
                <w:sz w:val="24"/>
                <w:szCs w:val="24"/>
              </w:rPr>
              <w:t>nalysis/model</w:t>
            </w:r>
          </w:p>
        </w:tc>
        <w:tc>
          <w:tcPr>
            <w:tcW w:w="0" w:type="auto"/>
            <w:hideMark/>
          </w:tcPr>
          <w:p w:rsidR="008976DE" w:rsidRPr="00653378" w:rsidRDefault="008976DE" w:rsidP="002241F1">
            <w:pPr>
              <w:jc w:val="center"/>
              <w:rPr>
                <w:rFonts w:ascii="Times New Roman" w:eastAsia="Times New Roman" w:hAnsi="Times New Roman" w:cs="Times New Roman"/>
                <w:b/>
                <w:bCs/>
                <w:sz w:val="24"/>
                <w:szCs w:val="24"/>
              </w:rPr>
            </w:pPr>
            <w:r w:rsidRPr="00653378">
              <w:rPr>
                <w:rFonts w:ascii="Times New Roman" w:eastAsia="Times New Roman" w:hAnsi="Times New Roman" w:cs="Times New Roman"/>
                <w:b/>
                <w:bCs/>
                <w:sz w:val="24"/>
                <w:szCs w:val="24"/>
              </w:rPr>
              <w:t>Significant effect(s) retained for interpretation</w:t>
            </w:r>
          </w:p>
        </w:tc>
        <w:tc>
          <w:tcPr>
            <w:tcW w:w="0" w:type="auto"/>
            <w:hideMark/>
          </w:tcPr>
          <w:p w:rsidR="008976DE" w:rsidRPr="00653378" w:rsidRDefault="008976DE" w:rsidP="002241F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r w:rsidRPr="00653378">
              <w:rPr>
                <w:rFonts w:ascii="Times New Roman" w:eastAsia="Times New Roman" w:hAnsi="Times New Roman" w:cs="Times New Roman"/>
                <w:b/>
                <w:bCs/>
                <w:sz w:val="24"/>
                <w:szCs w:val="24"/>
              </w:rPr>
              <w:t>nterpretation level</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Germination percentage (%)</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Binomial GLM, logit link; 7 DAS only</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(p = 0.0036); S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Main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Germination vigor index</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two-way ANOVA; 7 DAS only</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(p &lt; 0.001); S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Main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Shoot length (cm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S (p = 0.0132); 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Root length (cm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Plant height (cm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Number of leaves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Poisson GLM, log link</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Day main effect</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Seedling length (cm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S (p &lt; 0.001); 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Shoot fresh weight (g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Root fresh weight (g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Whole-plant fresh weight (g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Shoot dry weight (g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Root dry weight (g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Whole-plant dry weight (g plant⁻¹)</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Root-to-shoot ratio</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Log-transformed Type III three-way ANOVA</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lastRenderedPageBreak/>
              <w:t>Chlorophyll a (mg g⁻¹ FW)</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&lt; 0.001); S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simple effects; salinity main effect</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Chlorophyll b (mg g⁻¹ FW)</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(p = 0.0342); S (p &lt; 0.001); D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Main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Total chlorophyll (mg g⁻¹ FW)</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 0.0122); S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simple effects; salinity main effect</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Proline content (µmol g⁻¹ FW)</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(p = 0.0035); S (p &lt; 0.001); D (p = 0.0439)</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Main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Na⁺ content (mg g⁻¹ DW)</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S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K⁺ content (mg g⁻¹ DW)</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Type III three-way ANOVA, raw scale</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(p = 0.0042); S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D simple effects; salinity main effect</w:t>
            </w:r>
          </w:p>
        </w:tc>
      </w:tr>
      <w:tr w:rsidR="008976DE" w:rsidRPr="00653378" w:rsidTr="002241F1">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Na⁺/K⁺ ratio</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Log-transformed Type III three-way ANOVA</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V × S (p &lt; 0.001)</w:t>
            </w:r>
          </w:p>
        </w:tc>
        <w:tc>
          <w:tcPr>
            <w:tcW w:w="0" w:type="auto"/>
            <w:hideMark/>
          </w:tcPr>
          <w:p w:rsidR="008976DE" w:rsidRPr="00653378" w:rsidRDefault="008976DE" w:rsidP="002241F1">
            <w:pPr>
              <w:rPr>
                <w:rFonts w:ascii="Times New Roman" w:eastAsia="Times New Roman" w:hAnsi="Times New Roman" w:cs="Times New Roman"/>
                <w:sz w:val="24"/>
                <w:szCs w:val="24"/>
              </w:rPr>
            </w:pPr>
            <w:r w:rsidRPr="00653378">
              <w:rPr>
                <w:rFonts w:ascii="Times New Roman" w:eastAsia="Times New Roman" w:hAnsi="Times New Roman" w:cs="Times New Roman"/>
                <w:sz w:val="24"/>
                <w:szCs w:val="24"/>
              </w:rPr>
              <w:t>Two-way simple effects</w:t>
            </w:r>
          </w:p>
        </w:tc>
      </w:tr>
      <w:tr w:rsidR="008976DE" w:rsidRPr="00653378" w:rsidTr="002241F1">
        <w:tc>
          <w:tcPr>
            <w:tcW w:w="0" w:type="auto"/>
          </w:tcPr>
          <w:p w:rsidR="008976DE" w:rsidRPr="00653378" w:rsidRDefault="008976DE" w:rsidP="002241F1">
            <w:pPr>
              <w:rPr>
                <w:rFonts w:ascii="Times New Roman" w:eastAsia="Times New Roman" w:hAnsi="Times New Roman" w:cs="Times New Roman"/>
                <w:sz w:val="24"/>
                <w:szCs w:val="24"/>
              </w:rPr>
            </w:pPr>
            <w:r w:rsidRPr="00653378">
              <w:rPr>
                <w:rFonts w:ascii="Times New Roman" w:hAnsi="Times New Roman" w:cs="Times New Roman"/>
              </w:rPr>
              <w:t>Survival percentage (%)</w:t>
            </w:r>
          </w:p>
        </w:tc>
        <w:tc>
          <w:tcPr>
            <w:tcW w:w="0" w:type="auto"/>
          </w:tcPr>
          <w:p w:rsidR="008976DE" w:rsidRPr="00653378" w:rsidRDefault="008976DE" w:rsidP="002241F1">
            <w:pPr>
              <w:rPr>
                <w:rFonts w:ascii="Times New Roman" w:eastAsia="Times New Roman" w:hAnsi="Times New Roman" w:cs="Times New Roman"/>
                <w:sz w:val="24"/>
                <w:szCs w:val="24"/>
              </w:rPr>
            </w:pPr>
            <w:r w:rsidRPr="00653378">
              <w:rPr>
                <w:rFonts w:ascii="Times New Roman" w:hAnsi="Times New Roman" w:cs="Times New Roman"/>
              </w:rPr>
              <w:t>Bias-reduced/Firth-type binomial GLM, logit link; 14 and 21 DAS analyzed separately</w:t>
            </w:r>
          </w:p>
        </w:tc>
        <w:tc>
          <w:tcPr>
            <w:tcW w:w="0" w:type="auto"/>
          </w:tcPr>
          <w:p w:rsidR="008976DE" w:rsidRPr="00653378" w:rsidRDefault="008976DE" w:rsidP="002241F1">
            <w:pPr>
              <w:rPr>
                <w:rFonts w:ascii="Times New Roman" w:eastAsia="Times New Roman" w:hAnsi="Times New Roman" w:cs="Times New Roman"/>
                <w:sz w:val="24"/>
                <w:szCs w:val="24"/>
              </w:rPr>
            </w:pPr>
            <w:r w:rsidRPr="00653378">
              <w:rPr>
                <w:rFonts w:ascii="Times New Roman" w:hAnsi="Times New Roman" w:cs="Times New Roman"/>
              </w:rPr>
              <w:t>14 DAS: S (p &lt; 0.001); 21 DAS: S (p &lt; 0.001)</w:t>
            </w:r>
          </w:p>
        </w:tc>
        <w:tc>
          <w:tcPr>
            <w:tcW w:w="0" w:type="auto"/>
          </w:tcPr>
          <w:p w:rsidR="008976DE" w:rsidRPr="00653378" w:rsidRDefault="008976DE" w:rsidP="002241F1">
            <w:pPr>
              <w:rPr>
                <w:rFonts w:ascii="Times New Roman" w:eastAsia="Times New Roman" w:hAnsi="Times New Roman" w:cs="Times New Roman"/>
                <w:sz w:val="24"/>
                <w:szCs w:val="24"/>
              </w:rPr>
            </w:pPr>
            <w:r w:rsidRPr="00653378">
              <w:rPr>
                <w:rFonts w:ascii="Times New Roman" w:hAnsi="Times New Roman" w:cs="Times New Roman"/>
              </w:rPr>
              <w:t>Salinity main effect within each sampling day</w:t>
            </w:r>
          </w:p>
        </w:tc>
      </w:tr>
    </w:tbl>
    <w:p w:rsidR="008976DE" w:rsidRPr="0089790E" w:rsidRDefault="008976DE" w:rsidP="0089790E">
      <w:pPr>
        <w:jc w:val="both"/>
        <w:rPr>
          <w:rFonts w:ascii="Times New Roman" w:hAnsi="Times New Roman" w:cs="Times New Roman"/>
          <w:b/>
          <w:sz w:val="20"/>
        </w:rPr>
      </w:pPr>
      <w:r w:rsidRPr="0089790E">
        <w:rPr>
          <w:rStyle w:val="Strong"/>
          <w:rFonts w:ascii="Times New Roman" w:hAnsi="Times New Roman" w:cs="Times New Roman"/>
          <w:b w:val="0"/>
          <w:sz w:val="20"/>
        </w:rPr>
        <w:t>Note: V = variety/hybrid; S = salinity level; D = sampling day. Effects were retained according to the hierarchy rule. When an interaction was significant, simple effects were interpreted for the factors involved in that interaction. Main effects were interpreted only when they were not involved in a significant higher-order interaction. Reported p-values refer to overall model effect tests, not post hoc pairwise comparisons. Germination percentage and germination vigor index were analyzed only at 7 DAS. PCA is not included because it was used as exploratory multivariate visualization, not as a treatment-effect significance test.</w:t>
      </w:r>
    </w:p>
    <w:p w:rsidR="00C20FCD" w:rsidRDefault="00494D53">
      <w:pPr>
        <w:rPr>
          <w:rFonts w:ascii="Times New Roman" w:hAnsi="Times New Roman" w:cs="Times New Roman"/>
          <w:sz w:val="24"/>
        </w:rPr>
      </w:pPr>
    </w:p>
    <w:p w:rsidR="00CB3C0B" w:rsidRPr="00A664A0" w:rsidRDefault="00CB3C0B" w:rsidP="00CB3C0B">
      <w:pPr>
        <w:spacing w:before="100" w:beforeAutospacing="1" w:after="100" w:afterAutospacing="1" w:line="240" w:lineRule="auto"/>
        <w:rPr>
          <w:rFonts w:ascii="Times New Roman" w:eastAsia="Times New Roman" w:hAnsi="Times New Roman" w:cs="Times New Roman"/>
          <w:sz w:val="24"/>
          <w:szCs w:val="24"/>
        </w:rPr>
      </w:pPr>
      <w:r w:rsidRPr="00A664A0">
        <w:rPr>
          <w:rFonts w:ascii="Times New Roman" w:eastAsia="Times New Roman" w:hAnsi="Times New Roman" w:cs="Times New Roman"/>
          <w:b/>
          <w:bCs/>
          <w:sz w:val="24"/>
          <w:szCs w:val="24"/>
        </w:rPr>
        <w:t>Table S2. Estimated marginal means of supporting seedling growth traits under graded salinity across sampling days.</w:t>
      </w:r>
    </w:p>
    <w:tbl>
      <w:tblPr>
        <w:tblStyle w:val="TableGrid"/>
        <w:tblW w:w="0" w:type="auto"/>
        <w:tblLook w:val="04A0" w:firstRow="1" w:lastRow="0" w:firstColumn="1" w:lastColumn="0" w:noHBand="0" w:noVBand="1"/>
      </w:tblPr>
      <w:tblGrid>
        <w:gridCol w:w="1624"/>
        <w:gridCol w:w="1530"/>
        <w:gridCol w:w="2727"/>
        <w:gridCol w:w="3047"/>
      </w:tblGrid>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b/>
                <w:bCs/>
                <w:sz w:val="24"/>
                <w:szCs w:val="24"/>
              </w:rPr>
            </w:pPr>
            <w:r w:rsidRPr="00A664A0">
              <w:rPr>
                <w:rFonts w:ascii="Times New Roman" w:eastAsia="Times New Roman" w:hAnsi="Times New Roman" w:cs="Times New Roman"/>
                <w:b/>
                <w:bCs/>
                <w:sz w:val="24"/>
                <w:szCs w:val="24"/>
              </w:rPr>
              <w:t>Sampling day</w:t>
            </w:r>
          </w:p>
        </w:tc>
        <w:tc>
          <w:tcPr>
            <w:tcW w:w="0" w:type="auto"/>
            <w:hideMark/>
          </w:tcPr>
          <w:p w:rsidR="00CB3C0B" w:rsidRPr="00A664A0" w:rsidRDefault="00CB3C0B" w:rsidP="00CB3C0B">
            <w:pPr>
              <w:jc w:val="center"/>
              <w:rPr>
                <w:rFonts w:ascii="Times New Roman" w:eastAsia="Times New Roman" w:hAnsi="Times New Roman" w:cs="Times New Roman"/>
                <w:b/>
                <w:bCs/>
                <w:sz w:val="24"/>
                <w:szCs w:val="24"/>
              </w:rPr>
            </w:pPr>
            <w:r w:rsidRPr="00A664A0">
              <w:rPr>
                <w:rFonts w:ascii="Times New Roman" w:eastAsia="Times New Roman" w:hAnsi="Times New Roman" w:cs="Times New Roman"/>
                <w:b/>
                <w:bCs/>
                <w:sz w:val="24"/>
                <w:szCs w:val="24"/>
              </w:rPr>
              <w:t>Salinity level</w:t>
            </w:r>
          </w:p>
        </w:tc>
        <w:tc>
          <w:tcPr>
            <w:tcW w:w="0" w:type="auto"/>
            <w:hideMark/>
          </w:tcPr>
          <w:p w:rsidR="00CB3C0B" w:rsidRPr="00A664A0" w:rsidRDefault="00CB3C0B" w:rsidP="00CB3C0B">
            <w:pPr>
              <w:jc w:val="center"/>
              <w:rPr>
                <w:rFonts w:ascii="Times New Roman" w:eastAsia="Times New Roman" w:hAnsi="Times New Roman" w:cs="Times New Roman"/>
                <w:b/>
                <w:bCs/>
                <w:sz w:val="24"/>
                <w:szCs w:val="24"/>
              </w:rPr>
            </w:pPr>
            <w:r w:rsidRPr="00A664A0">
              <w:rPr>
                <w:rFonts w:ascii="Times New Roman" w:eastAsia="Times New Roman" w:hAnsi="Times New Roman" w:cs="Times New Roman"/>
                <w:b/>
                <w:bCs/>
                <w:sz w:val="24"/>
                <w:szCs w:val="24"/>
              </w:rPr>
              <w:t>Plant height (cm plant⁻¹)</w:t>
            </w:r>
          </w:p>
        </w:tc>
        <w:tc>
          <w:tcPr>
            <w:tcW w:w="0" w:type="auto"/>
            <w:hideMark/>
          </w:tcPr>
          <w:p w:rsidR="00CB3C0B" w:rsidRPr="00A664A0" w:rsidRDefault="00CB3C0B" w:rsidP="00CB3C0B">
            <w:pPr>
              <w:jc w:val="center"/>
              <w:rPr>
                <w:rFonts w:ascii="Times New Roman" w:eastAsia="Times New Roman" w:hAnsi="Times New Roman" w:cs="Times New Roman"/>
                <w:b/>
                <w:bCs/>
                <w:sz w:val="24"/>
                <w:szCs w:val="24"/>
              </w:rPr>
            </w:pPr>
            <w:r w:rsidRPr="00A664A0">
              <w:rPr>
                <w:rFonts w:ascii="Times New Roman" w:eastAsia="Times New Roman" w:hAnsi="Times New Roman" w:cs="Times New Roman"/>
                <w:b/>
                <w:bCs/>
                <w:sz w:val="24"/>
                <w:szCs w:val="24"/>
              </w:rPr>
              <w:t>Seedling length (cm plant⁻¹)</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7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0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9.171 ± 0.227 a</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17.316 ± 0.265 a</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7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8.745 ± 0.227 a</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16.534 ± 0.265 a</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7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4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7.746 ± 0.227 b</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14.748 ± 0.265 b</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7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8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6.371 ± 0.227 c</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12.067 ± 0.265 c</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7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10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5.353 ± 0.227 d</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10.149 ± 0.265 d</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14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0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16.236 ± 0.227 a</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30.203 ± 0.265 a</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14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15.578 ± 0.227 a</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28.964 ± 0.265 b</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14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4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13.916 ± 0.227 b</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25.873 ± 0.265 c</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14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8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11.416 ± 0.227 c</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21.358 ± 0.265 d</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14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10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9.707 ± 0.227 d</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18.100 ± 0.265 e</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21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0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24.461 ± 0.227 a</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44.178 ± 0.265 a</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21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23.256 ± 0.227 b</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42.121 ± 0.265 b</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21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4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20.705 ± 0.227 c</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37.299 ± 0.265 c</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lastRenderedPageBreak/>
              <w:t>21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8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17.332 ± 0.227 d</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31.607 ± 0.265 d</w:t>
            </w:r>
          </w:p>
        </w:tc>
      </w:tr>
      <w:tr w:rsidR="00CB3C0B" w:rsidRPr="00A664A0" w:rsidTr="002241F1">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21 DAS</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10 dS m⁻¹</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14.776 ± 0.227 e</w:t>
            </w:r>
          </w:p>
        </w:tc>
        <w:tc>
          <w:tcPr>
            <w:tcW w:w="0" w:type="auto"/>
            <w:hideMark/>
          </w:tcPr>
          <w:p w:rsidR="00CB3C0B" w:rsidRPr="00A664A0" w:rsidRDefault="00CB3C0B" w:rsidP="00CB3C0B">
            <w:pPr>
              <w:jc w:val="center"/>
              <w:rPr>
                <w:rFonts w:ascii="Times New Roman" w:eastAsia="Times New Roman" w:hAnsi="Times New Roman" w:cs="Times New Roman"/>
                <w:sz w:val="24"/>
                <w:szCs w:val="24"/>
              </w:rPr>
            </w:pPr>
            <w:r w:rsidRPr="00A664A0">
              <w:rPr>
                <w:rFonts w:ascii="Times New Roman" w:eastAsia="Times New Roman" w:hAnsi="Times New Roman" w:cs="Times New Roman"/>
                <w:sz w:val="24"/>
                <w:szCs w:val="24"/>
              </w:rPr>
              <w:t>26.455 ± 0.265 e</w:t>
            </w:r>
          </w:p>
        </w:tc>
      </w:tr>
    </w:tbl>
    <w:p w:rsidR="00CB3C0B" w:rsidRPr="00CB3C0B" w:rsidRDefault="00CB3C0B" w:rsidP="00CB3C0B">
      <w:pPr>
        <w:spacing w:before="100" w:beforeAutospacing="1" w:after="100" w:afterAutospacing="1" w:line="240" w:lineRule="auto"/>
        <w:jc w:val="both"/>
        <w:rPr>
          <w:rFonts w:ascii="Times New Roman" w:eastAsia="Times New Roman" w:hAnsi="Times New Roman" w:cs="Times New Roman"/>
          <w:sz w:val="20"/>
          <w:szCs w:val="24"/>
        </w:rPr>
      </w:pPr>
      <w:r w:rsidRPr="00CB3C0B">
        <w:rPr>
          <w:rFonts w:ascii="Times New Roman" w:eastAsia="Times New Roman" w:hAnsi="Times New Roman" w:cs="Times New Roman"/>
          <w:bCs/>
          <w:sz w:val="20"/>
          <w:szCs w:val="24"/>
        </w:rPr>
        <w:t>Note</w:t>
      </w:r>
      <w:r w:rsidRPr="00CB3C0B">
        <w:rPr>
          <w:rFonts w:ascii="Times New Roman" w:eastAsia="Times New Roman" w:hAnsi="Times New Roman" w:cs="Times New Roman"/>
          <w:bCs/>
          <w:sz w:val="20"/>
          <w:szCs w:val="24"/>
        </w:rPr>
        <w:t>:</w:t>
      </w:r>
      <w:r w:rsidRPr="00CB3C0B">
        <w:rPr>
          <w:rFonts w:ascii="Times New Roman" w:eastAsia="Times New Roman" w:hAnsi="Times New Roman" w:cs="Times New Roman"/>
          <w:sz w:val="20"/>
          <w:szCs w:val="24"/>
        </w:rPr>
        <w:t xml:space="preserve"> Values are estimated marginal means ± SE, averaged across hybrids. Within each sampling day and trait, means sharing at least one lowercase letter are not significantly different at p &lt; 0.05. Letters compare salinity levels within the same sampling day using Tukey-adjusted comparisons. Plant height and seedling length were analyzed using Type III three-way ANOVA. Seedling length is included as a supporting derived growth trait.</w:t>
      </w:r>
    </w:p>
    <w:p w:rsidR="00167D85" w:rsidRPr="00BB2807" w:rsidRDefault="00167D85" w:rsidP="00167D85">
      <w:pPr>
        <w:spacing w:before="100" w:beforeAutospacing="1" w:after="100" w:afterAutospacing="1" w:line="240" w:lineRule="auto"/>
        <w:outlineLvl w:val="1"/>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Table S3. Estimated marginal means of supporting biomass and allocation traits of maize seedlings under salinity stress</w:t>
      </w:r>
    </w:p>
    <w:tbl>
      <w:tblPr>
        <w:tblStyle w:val="TableGrid"/>
        <w:tblW w:w="0" w:type="auto"/>
        <w:tblLook w:val="04A0" w:firstRow="1" w:lastRow="0" w:firstColumn="1" w:lastColumn="0" w:noHBand="0" w:noVBand="1"/>
      </w:tblPr>
      <w:tblGrid>
        <w:gridCol w:w="1319"/>
        <w:gridCol w:w="1159"/>
        <w:gridCol w:w="1792"/>
        <w:gridCol w:w="1634"/>
        <w:gridCol w:w="1606"/>
        <w:gridCol w:w="1840"/>
      </w:tblGrid>
      <w:tr w:rsidR="00167D85" w:rsidRPr="00BB2807" w:rsidTr="002241F1">
        <w:tc>
          <w:tcPr>
            <w:tcW w:w="0" w:type="auto"/>
            <w:gridSpan w:val="6"/>
          </w:tcPr>
          <w:p w:rsidR="00167D85" w:rsidRPr="00BB2807" w:rsidRDefault="00167D85" w:rsidP="002241F1">
            <w:pP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A. Supporting biomass traits under graded salinity across sampling days</w:t>
            </w:r>
          </w:p>
        </w:tc>
      </w:tr>
      <w:tr w:rsidR="00167D85" w:rsidRPr="00BB2807" w:rsidTr="002241F1">
        <w:tc>
          <w:tcPr>
            <w:tcW w:w="0" w:type="auto"/>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Sampling day</w:t>
            </w:r>
          </w:p>
        </w:tc>
        <w:tc>
          <w:tcPr>
            <w:tcW w:w="0" w:type="auto"/>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Salinity level</w:t>
            </w:r>
          </w:p>
        </w:tc>
        <w:tc>
          <w:tcPr>
            <w:tcW w:w="0" w:type="auto"/>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Whole-plant dry weight (g plant⁻¹)</w:t>
            </w:r>
          </w:p>
        </w:tc>
        <w:tc>
          <w:tcPr>
            <w:tcW w:w="0" w:type="auto"/>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Shoot fresh weight (g plant⁻¹)</w:t>
            </w:r>
          </w:p>
        </w:tc>
        <w:tc>
          <w:tcPr>
            <w:tcW w:w="0" w:type="auto"/>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Root fresh weight (g plant⁻¹)</w:t>
            </w:r>
          </w:p>
        </w:tc>
        <w:tc>
          <w:tcPr>
            <w:tcW w:w="0" w:type="auto"/>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Whole-plant fresh weight (g plant⁻¹)</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1.653 ± 0.041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4.824 ± 0.120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1.976 ± 0.065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6.845 ± 0.147 a</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1.568 ± 0.041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4.573 ± 0.120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1.870 ± 0.065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6.489 ± 0.147 a</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1.438 ± 0.041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4.111 ± 0.120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1.691 ± 0.065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5.774 ± 0.147 b</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8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1.161 ± 0.041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3.362 ± 0.120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1.396 ± 0.065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4.747 ± 0.147 c</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10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0.974 ± 0.041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2.854 ± 0.120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1.169 ± 0.065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4.029 ± 0.147 d</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2.813 ± 0.041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8.238 ± 0.120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3.337 ± 0.065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11.604 ± 0.147 a</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2.668 ± 0.041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7.932 ± 0.120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3.211 ± 0.065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11.159 ± 0.147 a</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2.404 ± 0.041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7.067 ± 0.120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2.843 ± 0.065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9.950 ± 0.147 b</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8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1.977 ± 0.041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5.784 ± 0.120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2.351 ± 0.065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8.116 ± 0.147 c</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10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1.668 ± 0.041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4.894 ± 0.120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1.976 ± 0.065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6.836 ± 0.147 d</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4.108 ± 0.041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11.606 ± 0.120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5.100 ± 0.065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16.824 ± 0.147 a</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3.953 ± 0.041 a</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11.014 ± 0.120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4.806 ± 0.065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15.749 ± 0.147 b</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3.429 ± 0.041 b</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9.755 ± 0.120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4.294 ± 0.065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14.094 ± 0.147 c</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8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2.925 ± 0.041 c</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8.265 ± 0.120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3.629 ± 0.065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11.793 ± 0.147 d</w:t>
            </w:r>
          </w:p>
        </w:tc>
      </w:tr>
      <w:tr w:rsidR="00167D85" w:rsidRPr="00BB2807" w:rsidTr="002241F1">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10 dS m⁻¹</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2.469 ± 0.041 d</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6.941 ± 0.120 e</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3.060 ± 0.065 e</w:t>
            </w:r>
          </w:p>
        </w:tc>
        <w:tc>
          <w:tcPr>
            <w:tcW w:w="0" w:type="auto"/>
            <w:hideMark/>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10.013 ± 0.147 e</w:t>
            </w:r>
          </w:p>
        </w:tc>
      </w:tr>
      <w:tr w:rsidR="00167D85" w:rsidRPr="00BB2807" w:rsidTr="002241F1">
        <w:tc>
          <w:tcPr>
            <w:tcW w:w="0" w:type="auto"/>
            <w:gridSpan w:val="6"/>
          </w:tcPr>
          <w:p w:rsidR="00167D85" w:rsidRPr="00B9322B" w:rsidRDefault="00167D85" w:rsidP="002241F1">
            <w:pPr>
              <w:spacing w:before="100" w:beforeAutospacing="1" w:after="100" w:afterAutospacing="1"/>
              <w:outlineLvl w:val="2"/>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B. Biomass allocation trait: root-to-shoot ratio by hybrid and sampling day</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lastRenderedPageBreak/>
              <w:t>Sampling day</w:t>
            </w:r>
          </w:p>
        </w:tc>
        <w:tc>
          <w:tcPr>
            <w:tcW w:w="0" w:type="auto"/>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Hybrid</w:t>
            </w:r>
          </w:p>
        </w:tc>
        <w:tc>
          <w:tcPr>
            <w:tcW w:w="0" w:type="auto"/>
            <w:gridSpan w:val="3"/>
          </w:tcPr>
          <w:p w:rsidR="00167D85" w:rsidRPr="00BB2807" w:rsidRDefault="00167D85" w:rsidP="002241F1">
            <w:pPr>
              <w:jc w:val="center"/>
              <w:rPr>
                <w:rFonts w:ascii="Times New Roman" w:eastAsia="Times New Roman" w:hAnsi="Times New Roman" w:cs="Times New Roman"/>
                <w:b/>
                <w:bCs/>
                <w:sz w:val="24"/>
                <w:szCs w:val="24"/>
              </w:rPr>
            </w:pPr>
            <w:r w:rsidRPr="00BB2807">
              <w:rPr>
                <w:rFonts w:ascii="Times New Roman" w:eastAsia="Times New Roman" w:hAnsi="Times New Roman" w:cs="Times New Roman"/>
                <w:b/>
                <w:bCs/>
                <w:sz w:val="24"/>
                <w:szCs w:val="24"/>
              </w:rPr>
              <w:t>Root-to-shoot ratio</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999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0.503 ± 0.015 b</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139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0.427 ± 0.012 a</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KING CORN</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0.428 ± 0.012 a</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7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339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0.472 ± 0.014 ab</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999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0.470 ± 0.014 b</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139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0.489 ± 0.014 b</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KING CORN</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0.447 ± 0.013 ab</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14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339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0.415 ± 0.012 a</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999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0.505 ± 0.015 b</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139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0.425 ± 0.012 a</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KING CORN</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0.465 ± 0.014 ab</w:t>
            </w:r>
          </w:p>
        </w:tc>
      </w:tr>
      <w:tr w:rsidR="00167D85" w:rsidRPr="00BB2807" w:rsidTr="002241F1">
        <w:tc>
          <w:tcPr>
            <w:tcW w:w="0" w:type="auto"/>
            <w:gridSpan w:val="2"/>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21 DAS</w:t>
            </w:r>
          </w:p>
        </w:tc>
        <w:tc>
          <w:tcPr>
            <w:tcW w:w="0" w:type="auto"/>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PAC 339</w:t>
            </w:r>
          </w:p>
        </w:tc>
        <w:tc>
          <w:tcPr>
            <w:tcW w:w="0" w:type="auto"/>
            <w:gridSpan w:val="3"/>
          </w:tcPr>
          <w:p w:rsidR="00167D85" w:rsidRPr="00BB2807" w:rsidRDefault="00167D85" w:rsidP="002241F1">
            <w:pPr>
              <w:jc w:val="center"/>
              <w:rPr>
                <w:rFonts w:ascii="Times New Roman" w:eastAsia="Times New Roman" w:hAnsi="Times New Roman" w:cs="Times New Roman"/>
                <w:sz w:val="24"/>
                <w:szCs w:val="24"/>
              </w:rPr>
            </w:pPr>
            <w:r w:rsidRPr="00BB2807">
              <w:rPr>
                <w:rFonts w:ascii="Times New Roman" w:eastAsia="Times New Roman" w:hAnsi="Times New Roman" w:cs="Times New Roman"/>
                <w:sz w:val="24"/>
                <w:szCs w:val="24"/>
              </w:rPr>
              <w:t>0.510 ± 0.015 b</w:t>
            </w:r>
          </w:p>
        </w:tc>
      </w:tr>
    </w:tbl>
    <w:p w:rsidR="00167D85" w:rsidRPr="00B9322B" w:rsidRDefault="00167D85" w:rsidP="00167D85">
      <w:pPr>
        <w:spacing w:before="100" w:beforeAutospacing="1" w:after="100" w:afterAutospacing="1" w:line="240" w:lineRule="auto"/>
        <w:jc w:val="both"/>
        <w:rPr>
          <w:rFonts w:ascii="Times New Roman" w:eastAsia="Times New Roman" w:hAnsi="Times New Roman" w:cs="Times New Roman"/>
          <w:sz w:val="20"/>
          <w:szCs w:val="24"/>
        </w:rPr>
      </w:pPr>
      <w:r w:rsidRPr="00B9322B">
        <w:rPr>
          <w:rFonts w:ascii="Times New Roman" w:eastAsia="Times New Roman" w:hAnsi="Times New Roman" w:cs="Times New Roman"/>
          <w:b/>
          <w:bCs/>
          <w:sz w:val="20"/>
          <w:szCs w:val="24"/>
        </w:rPr>
        <w:t>Note:</w:t>
      </w:r>
      <w:r w:rsidRPr="00B9322B">
        <w:rPr>
          <w:rFonts w:ascii="Times New Roman" w:eastAsia="Times New Roman" w:hAnsi="Times New Roman" w:cs="Times New Roman"/>
          <w:sz w:val="20"/>
          <w:szCs w:val="24"/>
        </w:rPr>
        <w:t xml:space="preserve"> Values are estimated marginal means ± SE. In Panel A, letters compare salinity levels within each sampling day for each trait, averaged across hybrids. In Panel B, letters compare hybrids within each sampling day, averaged across salinity levels. Means sharing at least one lowercase letter are not significantly different at p &lt; 0.05. Whole-plant dry weight and fresh-weight traits were analyzed using Type III three-way ANOVA. Root-to-shoot ratio was analyzed after log transformation and back-transformed for presentation.</w:t>
      </w:r>
    </w:p>
    <w:p w:rsidR="00885D44" w:rsidRPr="00D42C1E" w:rsidRDefault="00885D44" w:rsidP="00885D44">
      <w:pPr>
        <w:pStyle w:val="pdq2pgselectionanchorcontainer"/>
      </w:pPr>
      <w:r w:rsidRPr="00D42C1E">
        <w:rPr>
          <w:rStyle w:val="Strong"/>
        </w:rPr>
        <w:t>Table S4. Estimated marginal means of physiological traits by hybrid and sampling day.</w:t>
      </w:r>
    </w:p>
    <w:tbl>
      <w:tblPr>
        <w:tblStyle w:val="TableGrid"/>
        <w:tblW w:w="0" w:type="auto"/>
        <w:tblLook w:val="04A0" w:firstRow="1" w:lastRow="0" w:firstColumn="1" w:lastColumn="0" w:noHBand="0" w:noVBand="1"/>
      </w:tblPr>
      <w:tblGrid>
        <w:gridCol w:w="1795"/>
        <w:gridCol w:w="2070"/>
        <w:gridCol w:w="2700"/>
        <w:gridCol w:w="2785"/>
      </w:tblGrid>
      <w:tr w:rsidR="00885D44" w:rsidRPr="00D42C1E" w:rsidTr="002241F1">
        <w:tc>
          <w:tcPr>
            <w:tcW w:w="9350" w:type="dxa"/>
            <w:gridSpan w:val="4"/>
          </w:tcPr>
          <w:p w:rsidR="00885D44" w:rsidRPr="00D42C1E" w:rsidRDefault="00885D44" w:rsidP="002241F1">
            <w:pPr>
              <w:rPr>
                <w:rFonts w:ascii="Times New Roman" w:hAnsi="Times New Roman" w:cs="Times New Roman"/>
                <w:b/>
                <w:bCs/>
                <w:sz w:val="24"/>
                <w:szCs w:val="24"/>
              </w:rPr>
            </w:pPr>
            <w:r w:rsidRPr="00D42C1E">
              <w:rPr>
                <w:rFonts w:ascii="Times New Roman" w:hAnsi="Times New Roman" w:cs="Times New Roman"/>
                <w:b/>
                <w:sz w:val="24"/>
                <w:szCs w:val="24"/>
              </w:rPr>
              <w:t>A. Hybrid × sampling-day effects for chlorophyll a and total chlorophyll</w:t>
            </w:r>
          </w:p>
        </w:tc>
      </w:tr>
      <w:tr w:rsidR="00885D44" w:rsidRPr="00D42C1E" w:rsidTr="002241F1">
        <w:tc>
          <w:tcPr>
            <w:tcW w:w="1795"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Sampling day</w:t>
            </w:r>
          </w:p>
        </w:tc>
        <w:tc>
          <w:tcPr>
            <w:tcW w:w="2070"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Hybrid</w:t>
            </w:r>
          </w:p>
        </w:tc>
        <w:tc>
          <w:tcPr>
            <w:tcW w:w="2700"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Chlorophyll a (mg g⁻¹ FW)</w:t>
            </w:r>
          </w:p>
        </w:tc>
        <w:tc>
          <w:tcPr>
            <w:tcW w:w="2785"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Total chlorophyll (mg g⁻¹ FW)</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7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999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1.261 ± 0.014 a</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1.903 ± 0.022 a</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7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139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1.306 ± 0.014 ab</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1.927 ± 0.022 ab</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7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KING CORN</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1.359 ± 0.014 c</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2.008 ± 0.022 c</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7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339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1.356 ± 0.014 bc</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2.003 ± 0.022 bc</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999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1.503 ± 0.014 b</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2.250 ± 0.022 b</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139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1.447 ± 0.014 a</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2.164 ± 0.022 a</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KING CORN</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1.488 ± 0.014 ab</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2.212 ± 0.022 ab</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339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1.473 ± 0.014 ab</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2.197 ± 0.022 ab</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21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999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1.534 ± 0.014 a</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2.281 ± 0.022 ab</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21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139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1.490 ± 0.014 a</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2.208 ± 0.022 a</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21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KING CORN</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1.525 ± 0.014 a</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2.292 ± 0.022 b</w:t>
            </w:r>
          </w:p>
        </w:tc>
      </w:tr>
      <w:tr w:rsidR="00885D44" w:rsidRPr="00D42C1E" w:rsidTr="002241F1">
        <w:tc>
          <w:tcPr>
            <w:tcW w:w="179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21 DAS</w:t>
            </w:r>
          </w:p>
        </w:tc>
        <w:tc>
          <w:tcPr>
            <w:tcW w:w="207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339</w:t>
            </w:r>
          </w:p>
        </w:tc>
        <w:tc>
          <w:tcPr>
            <w:tcW w:w="2700"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1.527 ± 0.014 a</w:t>
            </w:r>
          </w:p>
        </w:tc>
        <w:tc>
          <w:tcPr>
            <w:tcW w:w="2785" w:type="dxa"/>
            <w:hideMark/>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2.266 ± 0.022 ab</w:t>
            </w:r>
          </w:p>
        </w:tc>
      </w:tr>
      <w:tr w:rsidR="00885D44" w:rsidRPr="00D42C1E" w:rsidTr="002241F1">
        <w:tc>
          <w:tcPr>
            <w:tcW w:w="9350" w:type="dxa"/>
            <w:gridSpan w:val="4"/>
          </w:tcPr>
          <w:p w:rsidR="00885D44" w:rsidRPr="00D42C1E" w:rsidRDefault="00885D44" w:rsidP="002241F1">
            <w:pPr>
              <w:pStyle w:val="Heading3"/>
              <w:rPr>
                <w:sz w:val="24"/>
                <w:szCs w:val="24"/>
              </w:rPr>
            </w:pPr>
            <w:r w:rsidRPr="00D42C1E">
              <w:rPr>
                <w:sz w:val="24"/>
                <w:szCs w:val="24"/>
              </w:rPr>
              <w:t>B. Hybrid main effects for chlorophyll b and proline</w:t>
            </w:r>
          </w:p>
        </w:tc>
      </w:tr>
      <w:tr w:rsidR="00885D44" w:rsidRPr="00D42C1E" w:rsidTr="002241F1">
        <w:tc>
          <w:tcPr>
            <w:tcW w:w="1795"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Hybrid</w:t>
            </w:r>
          </w:p>
        </w:tc>
        <w:tc>
          <w:tcPr>
            <w:tcW w:w="4770" w:type="dxa"/>
            <w:gridSpan w:val="2"/>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Chlorophyll b (mg g⁻¹ FW)</w:t>
            </w:r>
          </w:p>
        </w:tc>
        <w:tc>
          <w:tcPr>
            <w:tcW w:w="2785"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Proline content (µmol g⁻¹ FW)</w:t>
            </w:r>
          </w:p>
        </w:tc>
      </w:tr>
      <w:tr w:rsidR="00885D44" w:rsidRPr="00D42C1E" w:rsidTr="002241F1">
        <w:tc>
          <w:tcPr>
            <w:tcW w:w="179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999</w:t>
            </w:r>
          </w:p>
        </w:tc>
        <w:tc>
          <w:tcPr>
            <w:tcW w:w="4770" w:type="dxa"/>
            <w:gridSpan w:val="2"/>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0.708 ± 0.006 b</w:t>
            </w:r>
          </w:p>
        </w:tc>
        <w:tc>
          <w:tcPr>
            <w:tcW w:w="278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8.191 ± 0.158 ab</w:t>
            </w:r>
          </w:p>
        </w:tc>
      </w:tr>
      <w:tr w:rsidR="00885D44" w:rsidRPr="00D42C1E" w:rsidTr="002241F1">
        <w:tc>
          <w:tcPr>
            <w:tcW w:w="179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139</w:t>
            </w:r>
          </w:p>
        </w:tc>
        <w:tc>
          <w:tcPr>
            <w:tcW w:w="4770" w:type="dxa"/>
            <w:gridSpan w:val="2"/>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0.685 ± 0.006 a</w:t>
            </w:r>
          </w:p>
        </w:tc>
        <w:tc>
          <w:tcPr>
            <w:tcW w:w="278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8.023 ± 0.158 a</w:t>
            </w:r>
          </w:p>
        </w:tc>
      </w:tr>
      <w:tr w:rsidR="00885D44" w:rsidRPr="00D42C1E" w:rsidTr="002241F1">
        <w:tc>
          <w:tcPr>
            <w:tcW w:w="179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KING CORN</w:t>
            </w:r>
          </w:p>
        </w:tc>
        <w:tc>
          <w:tcPr>
            <w:tcW w:w="4770" w:type="dxa"/>
            <w:gridSpan w:val="2"/>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0.702 ± 0.006 ab</w:t>
            </w:r>
          </w:p>
        </w:tc>
        <w:tc>
          <w:tcPr>
            <w:tcW w:w="278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7.899 ± 0.158 a</w:t>
            </w:r>
          </w:p>
        </w:tc>
      </w:tr>
      <w:tr w:rsidR="00885D44" w:rsidRPr="00D42C1E" w:rsidTr="002241F1">
        <w:tc>
          <w:tcPr>
            <w:tcW w:w="179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PAC 339</w:t>
            </w:r>
          </w:p>
        </w:tc>
        <w:tc>
          <w:tcPr>
            <w:tcW w:w="4770" w:type="dxa"/>
            <w:gridSpan w:val="2"/>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0.704 ± 0.006 ab</w:t>
            </w:r>
          </w:p>
        </w:tc>
        <w:tc>
          <w:tcPr>
            <w:tcW w:w="278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8.677 ± 0.158 b</w:t>
            </w:r>
          </w:p>
        </w:tc>
      </w:tr>
      <w:tr w:rsidR="00885D44" w:rsidRPr="00D42C1E" w:rsidTr="002241F1">
        <w:tc>
          <w:tcPr>
            <w:tcW w:w="9350" w:type="dxa"/>
            <w:gridSpan w:val="4"/>
          </w:tcPr>
          <w:p w:rsidR="00885D44" w:rsidRPr="00D42C1E" w:rsidRDefault="00885D44" w:rsidP="002241F1">
            <w:pPr>
              <w:pStyle w:val="Heading3"/>
              <w:rPr>
                <w:sz w:val="24"/>
                <w:szCs w:val="24"/>
              </w:rPr>
            </w:pPr>
            <w:r w:rsidRPr="00D42C1E">
              <w:rPr>
                <w:sz w:val="24"/>
                <w:szCs w:val="24"/>
              </w:rPr>
              <w:t>C. Sampling-day main effects for chlorophyll b and proline</w:t>
            </w:r>
          </w:p>
        </w:tc>
      </w:tr>
      <w:tr w:rsidR="00885D44" w:rsidRPr="00D42C1E" w:rsidTr="002241F1">
        <w:tc>
          <w:tcPr>
            <w:tcW w:w="1795"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lastRenderedPageBreak/>
              <w:t>Sampling day</w:t>
            </w:r>
          </w:p>
        </w:tc>
        <w:tc>
          <w:tcPr>
            <w:tcW w:w="4770" w:type="dxa"/>
            <w:gridSpan w:val="2"/>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Chlorophyll b (mg g⁻¹ FW)</w:t>
            </w:r>
          </w:p>
        </w:tc>
        <w:tc>
          <w:tcPr>
            <w:tcW w:w="2785" w:type="dxa"/>
          </w:tcPr>
          <w:p w:rsidR="00885D44" w:rsidRPr="00D42C1E" w:rsidRDefault="00885D44" w:rsidP="002241F1">
            <w:pPr>
              <w:jc w:val="center"/>
              <w:rPr>
                <w:rFonts w:ascii="Times New Roman" w:hAnsi="Times New Roman" w:cs="Times New Roman"/>
                <w:b/>
                <w:bCs/>
                <w:sz w:val="24"/>
                <w:szCs w:val="24"/>
              </w:rPr>
            </w:pPr>
            <w:r w:rsidRPr="00D42C1E">
              <w:rPr>
                <w:rFonts w:ascii="Times New Roman" w:hAnsi="Times New Roman" w:cs="Times New Roman"/>
                <w:b/>
                <w:bCs/>
                <w:sz w:val="24"/>
                <w:szCs w:val="24"/>
              </w:rPr>
              <w:t>Proline content (µmol g⁻¹ FW)</w:t>
            </w:r>
          </w:p>
        </w:tc>
      </w:tr>
      <w:tr w:rsidR="00885D44" w:rsidRPr="00D42C1E" w:rsidTr="002241F1">
        <w:tc>
          <w:tcPr>
            <w:tcW w:w="179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7 DAS</w:t>
            </w:r>
          </w:p>
        </w:tc>
        <w:tc>
          <w:tcPr>
            <w:tcW w:w="4770" w:type="dxa"/>
            <w:gridSpan w:val="2"/>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0.641 ± 0.005 a</w:t>
            </w:r>
          </w:p>
        </w:tc>
        <w:tc>
          <w:tcPr>
            <w:tcW w:w="278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7.925 ± 0.136 a</w:t>
            </w:r>
          </w:p>
        </w:tc>
      </w:tr>
      <w:tr w:rsidR="00885D44" w:rsidRPr="00D42C1E" w:rsidTr="002241F1">
        <w:tc>
          <w:tcPr>
            <w:tcW w:w="179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14 DAS</w:t>
            </w:r>
          </w:p>
        </w:tc>
        <w:tc>
          <w:tcPr>
            <w:tcW w:w="4770" w:type="dxa"/>
            <w:gridSpan w:val="2"/>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0.717 ± 0.005 b</w:t>
            </w:r>
          </w:p>
        </w:tc>
        <w:tc>
          <w:tcPr>
            <w:tcW w:w="278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8.273 ± 0.136 ab</w:t>
            </w:r>
          </w:p>
        </w:tc>
      </w:tr>
      <w:tr w:rsidR="00885D44" w:rsidRPr="00D42C1E" w:rsidTr="002241F1">
        <w:tc>
          <w:tcPr>
            <w:tcW w:w="179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21 DAS</w:t>
            </w:r>
          </w:p>
        </w:tc>
        <w:tc>
          <w:tcPr>
            <w:tcW w:w="4770" w:type="dxa"/>
            <w:gridSpan w:val="2"/>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0.741 ± 0.005 c</w:t>
            </w:r>
          </w:p>
        </w:tc>
        <w:tc>
          <w:tcPr>
            <w:tcW w:w="2785" w:type="dxa"/>
          </w:tcPr>
          <w:p w:rsidR="00885D44" w:rsidRPr="00D42C1E" w:rsidRDefault="00885D44" w:rsidP="002241F1">
            <w:pPr>
              <w:jc w:val="center"/>
              <w:rPr>
                <w:rFonts w:ascii="Times New Roman" w:hAnsi="Times New Roman" w:cs="Times New Roman"/>
                <w:sz w:val="24"/>
                <w:szCs w:val="24"/>
              </w:rPr>
            </w:pPr>
            <w:r w:rsidRPr="00D42C1E">
              <w:rPr>
                <w:rFonts w:ascii="Times New Roman" w:hAnsi="Times New Roman" w:cs="Times New Roman"/>
                <w:sz w:val="24"/>
                <w:szCs w:val="24"/>
              </w:rPr>
              <w:t>8.394 ± 0.136 b</w:t>
            </w:r>
          </w:p>
        </w:tc>
      </w:tr>
    </w:tbl>
    <w:p w:rsidR="00885D44" w:rsidRPr="00D42C1E" w:rsidRDefault="00885D44" w:rsidP="00885D44">
      <w:pPr>
        <w:pStyle w:val="NormalWeb"/>
        <w:jc w:val="both"/>
        <w:rPr>
          <w:sz w:val="20"/>
        </w:rPr>
      </w:pPr>
      <w:r w:rsidRPr="00D42C1E">
        <w:rPr>
          <w:rStyle w:val="Strong"/>
          <w:sz w:val="20"/>
        </w:rPr>
        <w:t>Note:</w:t>
      </w:r>
      <w:r w:rsidRPr="00D42C1E">
        <w:rPr>
          <w:sz w:val="20"/>
        </w:rPr>
        <w:t xml:space="preserve"> Values are estimated marginal means ± SE. In Panel A, letters compare hybrids within each sampling day for each trait. In Panel B, letters compare hybrids averaged across salinity levels and sampling days. In Panel C, letters compare sampling days averaged across hybrids and salinity levels. Means sharing at least one lowercase letter are not significantly different at p &lt; 0.05. Total chlorophyll is included as a supporting derived pigment trait.</w:t>
      </w:r>
    </w:p>
    <w:p w:rsidR="00885D44" w:rsidRPr="00D42C1E" w:rsidRDefault="00885D44" w:rsidP="00885D44">
      <w:pPr>
        <w:rPr>
          <w:rFonts w:ascii="Times New Roman" w:hAnsi="Times New Roman" w:cs="Times New Roman"/>
          <w:sz w:val="24"/>
          <w:szCs w:val="24"/>
        </w:rPr>
      </w:pPr>
    </w:p>
    <w:p w:rsidR="00494D53" w:rsidRPr="003F352E" w:rsidRDefault="00494D53" w:rsidP="00494D53">
      <w:pPr>
        <w:rPr>
          <w:rFonts w:ascii="Times New Roman" w:hAnsi="Times New Roman" w:cs="Times New Roman"/>
          <w:b/>
          <w:sz w:val="24"/>
          <w:szCs w:val="24"/>
        </w:rPr>
      </w:pPr>
      <w:r w:rsidRPr="003F352E">
        <w:rPr>
          <w:rFonts w:ascii="Times New Roman" w:hAnsi="Times New Roman" w:cs="Times New Roman"/>
          <w:b/>
          <w:sz w:val="24"/>
          <w:szCs w:val="24"/>
        </w:rPr>
        <w:t>Table S5. Summary of PCA variance explained and major trait loadings at 7, 14, and 21 DAS.</w:t>
      </w:r>
    </w:p>
    <w:tbl>
      <w:tblPr>
        <w:tblStyle w:val="TableGrid"/>
        <w:tblW w:w="0" w:type="auto"/>
        <w:tblLook w:val="04A0" w:firstRow="1" w:lastRow="0" w:firstColumn="1" w:lastColumn="0" w:noHBand="0" w:noVBand="1"/>
      </w:tblPr>
      <w:tblGrid>
        <w:gridCol w:w="1200"/>
        <w:gridCol w:w="1116"/>
        <w:gridCol w:w="1115"/>
        <w:gridCol w:w="1444"/>
        <w:gridCol w:w="1652"/>
        <w:gridCol w:w="1154"/>
        <w:gridCol w:w="1669"/>
      </w:tblGrid>
      <w:tr w:rsidR="00494D53" w:rsidRPr="003F352E" w:rsidTr="002241F1">
        <w:tc>
          <w:tcPr>
            <w:tcW w:w="0" w:type="auto"/>
            <w:hideMark/>
          </w:tcPr>
          <w:p w:rsidR="00494D53" w:rsidRPr="003F352E" w:rsidRDefault="00494D53" w:rsidP="002241F1">
            <w:pPr>
              <w:jc w:val="center"/>
              <w:rPr>
                <w:rFonts w:ascii="Times New Roman" w:eastAsia="Times New Roman" w:hAnsi="Times New Roman" w:cs="Times New Roman"/>
                <w:b/>
                <w:bCs/>
                <w:sz w:val="24"/>
                <w:szCs w:val="24"/>
              </w:rPr>
            </w:pPr>
            <w:r w:rsidRPr="003F352E">
              <w:rPr>
                <w:rFonts w:ascii="Times New Roman" w:eastAsia="Times New Roman" w:hAnsi="Times New Roman" w:cs="Times New Roman"/>
                <w:b/>
                <w:bCs/>
                <w:sz w:val="24"/>
                <w:szCs w:val="24"/>
              </w:rPr>
              <w:t>Sampling day</w:t>
            </w:r>
          </w:p>
        </w:tc>
        <w:tc>
          <w:tcPr>
            <w:tcW w:w="0" w:type="auto"/>
            <w:hideMark/>
          </w:tcPr>
          <w:p w:rsidR="00494D53" w:rsidRPr="003F352E" w:rsidRDefault="00494D53" w:rsidP="002241F1">
            <w:pPr>
              <w:jc w:val="right"/>
              <w:rPr>
                <w:rFonts w:ascii="Times New Roman" w:eastAsia="Times New Roman" w:hAnsi="Times New Roman" w:cs="Times New Roman"/>
                <w:b/>
                <w:bCs/>
                <w:sz w:val="24"/>
                <w:szCs w:val="24"/>
              </w:rPr>
            </w:pPr>
            <w:r w:rsidRPr="003F352E">
              <w:rPr>
                <w:rFonts w:ascii="Times New Roman" w:eastAsia="Times New Roman" w:hAnsi="Times New Roman" w:cs="Times New Roman"/>
                <w:b/>
                <w:bCs/>
                <w:sz w:val="24"/>
                <w:szCs w:val="24"/>
              </w:rPr>
              <w:t>PC1 variance (%)</w:t>
            </w:r>
          </w:p>
        </w:tc>
        <w:tc>
          <w:tcPr>
            <w:tcW w:w="0" w:type="auto"/>
            <w:hideMark/>
          </w:tcPr>
          <w:p w:rsidR="00494D53" w:rsidRPr="003F352E" w:rsidRDefault="00494D53" w:rsidP="002241F1">
            <w:pPr>
              <w:jc w:val="right"/>
              <w:rPr>
                <w:rFonts w:ascii="Times New Roman" w:eastAsia="Times New Roman" w:hAnsi="Times New Roman" w:cs="Times New Roman"/>
                <w:b/>
                <w:bCs/>
                <w:sz w:val="24"/>
                <w:szCs w:val="24"/>
              </w:rPr>
            </w:pPr>
            <w:r w:rsidRPr="003F352E">
              <w:rPr>
                <w:rFonts w:ascii="Times New Roman" w:eastAsia="Times New Roman" w:hAnsi="Times New Roman" w:cs="Times New Roman"/>
                <w:b/>
                <w:bCs/>
                <w:sz w:val="24"/>
                <w:szCs w:val="24"/>
              </w:rPr>
              <w:t>PC2 variance (%)</w:t>
            </w:r>
          </w:p>
        </w:tc>
        <w:tc>
          <w:tcPr>
            <w:tcW w:w="0" w:type="auto"/>
            <w:hideMark/>
          </w:tcPr>
          <w:p w:rsidR="00494D53" w:rsidRPr="003F352E" w:rsidRDefault="00494D53" w:rsidP="002241F1">
            <w:pPr>
              <w:jc w:val="right"/>
              <w:rPr>
                <w:rFonts w:ascii="Times New Roman" w:eastAsia="Times New Roman" w:hAnsi="Times New Roman" w:cs="Times New Roman"/>
                <w:b/>
                <w:bCs/>
                <w:sz w:val="24"/>
                <w:szCs w:val="24"/>
              </w:rPr>
            </w:pPr>
            <w:r w:rsidRPr="003F352E">
              <w:rPr>
                <w:rFonts w:ascii="Times New Roman" w:eastAsia="Times New Roman" w:hAnsi="Times New Roman" w:cs="Times New Roman"/>
                <w:b/>
                <w:bCs/>
                <w:sz w:val="24"/>
                <w:szCs w:val="24"/>
              </w:rPr>
              <w:t>Cumulative variance (%)</w:t>
            </w:r>
          </w:p>
        </w:tc>
        <w:tc>
          <w:tcPr>
            <w:tcW w:w="0" w:type="auto"/>
            <w:hideMark/>
          </w:tcPr>
          <w:p w:rsidR="00494D53" w:rsidRPr="003F352E" w:rsidRDefault="00494D53" w:rsidP="002241F1">
            <w:pPr>
              <w:jc w:val="center"/>
              <w:rPr>
                <w:rFonts w:ascii="Times New Roman" w:eastAsia="Times New Roman" w:hAnsi="Times New Roman" w:cs="Times New Roman"/>
                <w:b/>
                <w:bCs/>
                <w:sz w:val="24"/>
                <w:szCs w:val="24"/>
              </w:rPr>
            </w:pPr>
            <w:r w:rsidRPr="003F352E">
              <w:rPr>
                <w:rFonts w:ascii="Times New Roman" w:eastAsia="Times New Roman" w:hAnsi="Times New Roman" w:cs="Times New Roman"/>
                <w:b/>
                <w:bCs/>
                <w:sz w:val="24"/>
                <w:szCs w:val="24"/>
              </w:rPr>
              <w:t>Major positive PC1 loadings</w:t>
            </w:r>
          </w:p>
        </w:tc>
        <w:tc>
          <w:tcPr>
            <w:tcW w:w="0" w:type="auto"/>
            <w:hideMark/>
          </w:tcPr>
          <w:p w:rsidR="00494D53" w:rsidRPr="003F352E" w:rsidRDefault="00494D53" w:rsidP="002241F1">
            <w:pPr>
              <w:jc w:val="center"/>
              <w:rPr>
                <w:rFonts w:ascii="Times New Roman" w:eastAsia="Times New Roman" w:hAnsi="Times New Roman" w:cs="Times New Roman"/>
                <w:b/>
                <w:bCs/>
                <w:sz w:val="24"/>
                <w:szCs w:val="24"/>
              </w:rPr>
            </w:pPr>
            <w:r w:rsidRPr="003F352E">
              <w:rPr>
                <w:rFonts w:ascii="Times New Roman" w:eastAsia="Times New Roman" w:hAnsi="Times New Roman" w:cs="Times New Roman"/>
                <w:b/>
                <w:bCs/>
                <w:sz w:val="24"/>
                <w:szCs w:val="24"/>
              </w:rPr>
              <w:t>Major negative PC1 loadings</w:t>
            </w:r>
          </w:p>
        </w:tc>
        <w:tc>
          <w:tcPr>
            <w:tcW w:w="0" w:type="auto"/>
            <w:hideMark/>
          </w:tcPr>
          <w:p w:rsidR="00494D53" w:rsidRPr="003F352E" w:rsidRDefault="00494D53" w:rsidP="002241F1">
            <w:pPr>
              <w:jc w:val="center"/>
              <w:rPr>
                <w:rFonts w:ascii="Times New Roman" w:eastAsia="Times New Roman" w:hAnsi="Times New Roman" w:cs="Times New Roman"/>
                <w:b/>
                <w:bCs/>
                <w:sz w:val="24"/>
                <w:szCs w:val="24"/>
              </w:rPr>
            </w:pPr>
            <w:r w:rsidRPr="003F352E">
              <w:rPr>
                <w:rFonts w:ascii="Times New Roman" w:eastAsia="Times New Roman" w:hAnsi="Times New Roman" w:cs="Times New Roman"/>
                <w:b/>
                <w:bCs/>
                <w:sz w:val="24"/>
                <w:szCs w:val="24"/>
              </w:rPr>
              <w:t>Major PC2 contributors</w:t>
            </w:r>
          </w:p>
        </w:tc>
      </w:tr>
      <w:tr w:rsidR="00494D53" w:rsidRPr="003F352E" w:rsidTr="002241F1">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7 DAS</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76.32</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7.93</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84.25</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Shoot length (0.333), germination percentage (0.325), root length (0.322), shoot dry weight (0.316), K⁺ (0.311), root dry weight (0.305)</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Na⁺ (−0.330), proline (−0.312)</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Number of leaves (33.29%), chlorophyll a (22.70%), chlorophyll b (19.32%), root dry weight (9.01%)</w:t>
            </w:r>
          </w:p>
        </w:tc>
      </w:tr>
      <w:tr w:rsidR="00494D53" w:rsidRPr="003F352E" w:rsidTr="002241F1">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14 DAS</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77.56</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6.98</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84.54</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Survival percentage (0.328), root length (0.326), shoot length (0.324), shoot dry weight (0.308), K⁺ (0.302), root dry weight (0.296), chlorophyll a (0.292)</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Na⁺ (−0.320), proline (−0.310)</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Number of leaves (41.01%), chlorophyll a (14.90%), proline (9.59%), chlorophyll b (9.34%)</w:t>
            </w:r>
          </w:p>
        </w:tc>
      </w:tr>
      <w:tr w:rsidR="00494D53" w:rsidRPr="003F352E" w:rsidTr="002241F1">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21 DAS</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79.48</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6.38</w:t>
            </w:r>
          </w:p>
        </w:tc>
        <w:tc>
          <w:tcPr>
            <w:tcW w:w="0" w:type="auto"/>
            <w:hideMark/>
          </w:tcPr>
          <w:p w:rsidR="00494D53" w:rsidRPr="003F352E" w:rsidRDefault="00494D53" w:rsidP="002241F1">
            <w:pPr>
              <w:jc w:val="right"/>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85.86</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t xml:space="preserve">Survival percentage </w:t>
            </w:r>
            <w:r w:rsidRPr="003F352E">
              <w:rPr>
                <w:rFonts w:ascii="Times New Roman" w:eastAsia="Times New Roman" w:hAnsi="Times New Roman" w:cs="Times New Roman"/>
                <w:sz w:val="24"/>
                <w:szCs w:val="24"/>
              </w:rPr>
              <w:lastRenderedPageBreak/>
              <w:t>(0.327), shoot length (0.324), shoot dry weight (0.315), root length (0.310), K⁺ (0.302), root dry weight (0.297), chlorophyll a (0.292)</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lastRenderedPageBreak/>
              <w:t xml:space="preserve">Na⁺ (−0.327), </w:t>
            </w:r>
            <w:r w:rsidRPr="003F352E">
              <w:rPr>
                <w:rFonts w:ascii="Times New Roman" w:eastAsia="Times New Roman" w:hAnsi="Times New Roman" w:cs="Times New Roman"/>
                <w:sz w:val="24"/>
                <w:szCs w:val="24"/>
              </w:rPr>
              <w:lastRenderedPageBreak/>
              <w:t>proline (−0.312)</w:t>
            </w:r>
          </w:p>
        </w:tc>
        <w:tc>
          <w:tcPr>
            <w:tcW w:w="0" w:type="auto"/>
            <w:hideMark/>
          </w:tcPr>
          <w:p w:rsidR="00494D53" w:rsidRPr="003F352E" w:rsidRDefault="00494D53" w:rsidP="002241F1">
            <w:pPr>
              <w:rPr>
                <w:rFonts w:ascii="Times New Roman" w:eastAsia="Times New Roman" w:hAnsi="Times New Roman" w:cs="Times New Roman"/>
                <w:sz w:val="24"/>
                <w:szCs w:val="24"/>
              </w:rPr>
            </w:pPr>
            <w:r w:rsidRPr="003F352E">
              <w:rPr>
                <w:rFonts w:ascii="Times New Roman" w:eastAsia="Times New Roman" w:hAnsi="Times New Roman" w:cs="Times New Roman"/>
                <w:sz w:val="24"/>
                <w:szCs w:val="24"/>
              </w:rPr>
              <w:lastRenderedPageBreak/>
              <w:t xml:space="preserve">Chlorophyll b (45.45%), root </w:t>
            </w:r>
            <w:r w:rsidRPr="003F352E">
              <w:rPr>
                <w:rFonts w:ascii="Times New Roman" w:eastAsia="Times New Roman" w:hAnsi="Times New Roman" w:cs="Times New Roman"/>
                <w:sz w:val="24"/>
                <w:szCs w:val="24"/>
              </w:rPr>
              <w:lastRenderedPageBreak/>
              <w:t>length (16.13%), root dry weight (13.54%), shoot dry weight (7.56%)</w:t>
            </w:r>
          </w:p>
        </w:tc>
      </w:tr>
    </w:tbl>
    <w:p w:rsidR="00494D53" w:rsidRPr="00505925" w:rsidRDefault="00494D53" w:rsidP="00494D53">
      <w:pPr>
        <w:jc w:val="both"/>
        <w:rPr>
          <w:rFonts w:ascii="Times New Roman" w:hAnsi="Times New Roman" w:cs="Times New Roman"/>
          <w:sz w:val="20"/>
          <w:szCs w:val="24"/>
        </w:rPr>
      </w:pPr>
      <w:r w:rsidRPr="00505925">
        <w:rPr>
          <w:rStyle w:val="Strong"/>
          <w:rFonts w:ascii="Times New Roman" w:hAnsi="Times New Roman" w:cs="Times New Roman"/>
          <w:sz w:val="20"/>
          <w:szCs w:val="24"/>
        </w:rPr>
        <w:lastRenderedPageBreak/>
        <w:t>Note:</w:t>
      </w:r>
      <w:r w:rsidRPr="00505925">
        <w:rPr>
          <w:rFonts w:ascii="Times New Roman" w:hAnsi="Times New Roman" w:cs="Times New Roman"/>
          <w:sz w:val="20"/>
          <w:szCs w:val="24"/>
        </w:rPr>
        <w:t xml:space="preserve"> PC1 and PC2 values indicate the percentage of total variance explained by each principal component. PC1 loadings are shown for the major traits contributing to the integrated salinity-response axis. PC2 contributors are presented as percentage contributions. At 21 DAS, the PC1 orientation-corrected output was used so that positive PC1 values consistently represent stronger growth, biomass, survival, chlorophyll, and K⁺ retention, whereas negative PC1 values represent higher Na⁺ accumulation and proline response. PCA was used as an exploratory multivariate summary and not as a statistical test of hybrid tolerance.</w:t>
      </w:r>
    </w:p>
    <w:p w:rsidR="00494D53" w:rsidRPr="00C1425A" w:rsidRDefault="00494D53" w:rsidP="00494D53">
      <w:pPr>
        <w:spacing w:before="100" w:beforeAutospacing="1" w:after="100" w:afterAutospacing="1" w:line="240" w:lineRule="auto"/>
        <w:outlineLvl w:val="1"/>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Table S6. Estimated marginal means of shoot length for significant hybrid × salinity and hybrid × sampling-day effects.</w:t>
      </w:r>
    </w:p>
    <w:p w:rsidR="00494D53" w:rsidRPr="00C1425A" w:rsidRDefault="00494D53" w:rsidP="00494D53">
      <w:pPr>
        <w:spacing w:before="100" w:beforeAutospacing="1" w:after="100" w:afterAutospacing="1" w:line="240" w:lineRule="auto"/>
        <w:outlineLvl w:val="2"/>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A. Hybrid × salinity effect for shoot length</w:t>
      </w:r>
    </w:p>
    <w:tbl>
      <w:tblPr>
        <w:tblStyle w:val="TableGrid"/>
        <w:tblW w:w="0" w:type="auto"/>
        <w:tblLook w:val="04A0" w:firstRow="1" w:lastRow="0" w:firstColumn="1" w:lastColumn="0" w:noHBand="0" w:noVBand="1"/>
      </w:tblPr>
      <w:tblGrid>
        <w:gridCol w:w="2065"/>
        <w:gridCol w:w="2970"/>
        <w:gridCol w:w="4230"/>
      </w:tblGrid>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Salinity level</w:t>
            </w:r>
          </w:p>
        </w:tc>
        <w:tc>
          <w:tcPr>
            <w:tcW w:w="2970" w:type="dxa"/>
            <w:hideMark/>
          </w:tcPr>
          <w:p w:rsidR="00494D53" w:rsidRPr="00C1425A" w:rsidRDefault="00494D53" w:rsidP="002241F1">
            <w:pPr>
              <w:jc w:val="center"/>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Hybrid</w:t>
            </w:r>
          </w:p>
        </w:tc>
        <w:tc>
          <w:tcPr>
            <w:tcW w:w="4230" w:type="dxa"/>
            <w:hideMark/>
          </w:tcPr>
          <w:p w:rsidR="00494D53" w:rsidRPr="00C1425A" w:rsidRDefault="00494D53" w:rsidP="002241F1">
            <w:pPr>
              <w:jc w:val="center"/>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Shoot length (cm plant⁻¹)</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14.364 ± 0.189 a</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13.886 ± 0.189 ab</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13.380 ± 0.189 bc</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12.702 ± 0.189 c</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14.110 ± 0.189 a</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13.116 ± 0.189 b</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12.773 ± 0.189 b</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11.927 ± 0.189 c</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4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12.787 ± 0.189 a</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4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12.076 ± 0.189 b</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4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11.215 ± 0.189 c</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4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10.064 ± 0.189 d</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8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11.214 ± 0.189 a</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8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9.976 ± 0.189 b</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8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9.218 ± 0.189 c</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8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7.943 ± 0.189 d</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9.346 ± 0.189 a</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8.722 ± 0.189 a</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7.612 ± 0.189 b</w:t>
            </w:r>
          </w:p>
        </w:tc>
      </w:tr>
      <w:tr w:rsidR="00494D53" w:rsidRPr="00C1425A" w:rsidTr="002241F1">
        <w:tc>
          <w:tcPr>
            <w:tcW w:w="2065"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10 dS m⁻¹</w:t>
            </w:r>
          </w:p>
        </w:tc>
        <w:tc>
          <w:tcPr>
            <w:tcW w:w="297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hideMark/>
          </w:tcPr>
          <w:p w:rsidR="00494D53" w:rsidRPr="00C1425A" w:rsidRDefault="00494D53" w:rsidP="002241F1">
            <w:pPr>
              <w:jc w:val="cente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6.827 ± 0.189 c</w:t>
            </w:r>
          </w:p>
        </w:tc>
      </w:tr>
      <w:tr w:rsidR="00494D53" w:rsidRPr="00C1425A" w:rsidTr="002241F1">
        <w:tc>
          <w:tcPr>
            <w:tcW w:w="9265" w:type="dxa"/>
            <w:gridSpan w:val="3"/>
          </w:tcPr>
          <w:p w:rsidR="00494D53" w:rsidRPr="00C1425A" w:rsidRDefault="00494D53" w:rsidP="002241F1">
            <w:pPr>
              <w:spacing w:before="100" w:beforeAutospacing="1" w:after="100" w:afterAutospacing="1"/>
              <w:outlineLvl w:val="2"/>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B. Hybrid × sampling-day effect for shoot length</w:t>
            </w:r>
          </w:p>
        </w:tc>
      </w:tr>
      <w:tr w:rsidR="00494D53" w:rsidRPr="00C1425A" w:rsidTr="002241F1">
        <w:tc>
          <w:tcPr>
            <w:tcW w:w="2065" w:type="dxa"/>
          </w:tcPr>
          <w:p w:rsidR="00494D53" w:rsidRPr="00C1425A" w:rsidRDefault="00494D53" w:rsidP="002241F1">
            <w:pPr>
              <w:jc w:val="center"/>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lastRenderedPageBreak/>
              <w:t>Sampling day</w:t>
            </w:r>
          </w:p>
        </w:tc>
        <w:tc>
          <w:tcPr>
            <w:tcW w:w="2970" w:type="dxa"/>
          </w:tcPr>
          <w:p w:rsidR="00494D53" w:rsidRPr="00C1425A" w:rsidRDefault="00494D53" w:rsidP="002241F1">
            <w:pPr>
              <w:jc w:val="center"/>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Hybrid</w:t>
            </w:r>
          </w:p>
        </w:tc>
        <w:tc>
          <w:tcPr>
            <w:tcW w:w="4230" w:type="dxa"/>
          </w:tcPr>
          <w:p w:rsidR="00494D53" w:rsidRPr="00C1425A" w:rsidRDefault="00494D53" w:rsidP="002241F1">
            <w:pPr>
              <w:jc w:val="center"/>
              <w:rPr>
                <w:rFonts w:ascii="Times New Roman" w:eastAsia="Times New Roman" w:hAnsi="Times New Roman" w:cs="Times New Roman"/>
                <w:b/>
                <w:bCs/>
                <w:sz w:val="24"/>
                <w:szCs w:val="24"/>
              </w:rPr>
            </w:pPr>
            <w:r w:rsidRPr="00C1425A">
              <w:rPr>
                <w:rFonts w:ascii="Times New Roman" w:eastAsia="Times New Roman" w:hAnsi="Times New Roman" w:cs="Times New Roman"/>
                <w:b/>
                <w:bCs/>
                <w:sz w:val="24"/>
                <w:szCs w:val="24"/>
              </w:rPr>
              <w:t>Shoot length (cm plant⁻¹)</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7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6.724 ± 0.147 a</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7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6.581 ± 0.147 a</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7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6.283 ± 0.147 a</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7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5.584 ± 0.147 b</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14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12.603 ± 0.147 a</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14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11.913 ± 0.147 b</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14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10.345 ± 0.147 c</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14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9.538 ± 0.147 d</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21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999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17.765 ± 0.147 a</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21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339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16.171 ± 0.147 b</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21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PAC 139</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15.891 ± 0.147 b</w:t>
            </w:r>
          </w:p>
        </w:tc>
      </w:tr>
      <w:tr w:rsidR="00494D53" w:rsidRPr="00C1425A" w:rsidTr="002241F1">
        <w:tc>
          <w:tcPr>
            <w:tcW w:w="2065"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21 DAS</w:t>
            </w:r>
          </w:p>
        </w:tc>
        <w:tc>
          <w:tcPr>
            <w:tcW w:w="297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KING CORN</w:t>
            </w:r>
          </w:p>
        </w:tc>
        <w:tc>
          <w:tcPr>
            <w:tcW w:w="4230" w:type="dxa"/>
          </w:tcPr>
          <w:p w:rsidR="00494D53" w:rsidRPr="00C1425A" w:rsidRDefault="00494D53" w:rsidP="002241F1">
            <w:pPr>
              <w:rPr>
                <w:rFonts w:ascii="Times New Roman" w:eastAsia="Times New Roman" w:hAnsi="Times New Roman" w:cs="Times New Roman"/>
                <w:sz w:val="24"/>
                <w:szCs w:val="24"/>
              </w:rPr>
            </w:pPr>
            <w:r w:rsidRPr="00C1425A">
              <w:rPr>
                <w:rFonts w:ascii="Times New Roman" w:eastAsia="Times New Roman" w:hAnsi="Times New Roman" w:cs="Times New Roman"/>
                <w:sz w:val="24"/>
                <w:szCs w:val="24"/>
              </w:rPr>
              <w:t>14.556 ± 0.147 c</w:t>
            </w:r>
          </w:p>
        </w:tc>
      </w:tr>
    </w:tbl>
    <w:p w:rsidR="00494D53" w:rsidRPr="00C1425A" w:rsidRDefault="00494D53" w:rsidP="00494D53">
      <w:pPr>
        <w:spacing w:before="100" w:beforeAutospacing="1" w:after="100" w:afterAutospacing="1" w:line="240" w:lineRule="auto"/>
        <w:jc w:val="both"/>
        <w:rPr>
          <w:rFonts w:ascii="Times New Roman" w:eastAsia="Times New Roman" w:hAnsi="Times New Roman" w:cs="Times New Roman"/>
          <w:sz w:val="20"/>
          <w:szCs w:val="24"/>
        </w:rPr>
      </w:pPr>
      <w:r w:rsidRPr="00C1425A">
        <w:rPr>
          <w:rFonts w:ascii="Times New Roman" w:eastAsia="Times New Roman" w:hAnsi="Times New Roman" w:cs="Times New Roman"/>
          <w:b/>
          <w:bCs/>
          <w:sz w:val="20"/>
          <w:szCs w:val="24"/>
        </w:rPr>
        <w:t>Note:</w:t>
      </w:r>
      <w:r w:rsidRPr="00C1425A">
        <w:rPr>
          <w:rFonts w:ascii="Times New Roman" w:eastAsia="Times New Roman" w:hAnsi="Times New Roman" w:cs="Times New Roman"/>
          <w:sz w:val="20"/>
          <w:szCs w:val="24"/>
        </w:rPr>
        <w:t xml:space="preserve"> Values are estimated marginal means ± SE. In Panel A, letters compare hybrids within the same salinity level, averaged across sampling days. In Panel B, letters compare hybrids within the same sampling day, averaged across salinity levels. Means sharing at least one lowercase letter are not significantly different at </w:t>
      </w:r>
      <w:r w:rsidRPr="00C1425A">
        <w:rPr>
          <w:rFonts w:ascii="Times New Roman" w:eastAsia="Times New Roman" w:hAnsi="Times New Roman" w:cs="Times New Roman"/>
          <w:i/>
          <w:iCs/>
          <w:sz w:val="20"/>
          <w:szCs w:val="24"/>
        </w:rPr>
        <w:t>p</w:t>
      </w:r>
      <w:r w:rsidRPr="00C1425A">
        <w:rPr>
          <w:rFonts w:ascii="Times New Roman" w:eastAsia="Times New Roman" w:hAnsi="Times New Roman" w:cs="Times New Roman"/>
          <w:sz w:val="20"/>
          <w:szCs w:val="24"/>
        </w:rPr>
        <w:t xml:space="preserve"> &lt; 0.05 based on Tukey-adjusted comparisons. Letters were arranged so that larger means receive earlier letters within each comparison; the statistical grouping is unchanged from the compact-letter display output.</w:t>
      </w:r>
    </w:p>
    <w:p w:rsidR="00494D53" w:rsidRPr="00C1425A" w:rsidRDefault="00494D53" w:rsidP="00494D53">
      <w:pPr>
        <w:rPr>
          <w:rFonts w:ascii="Times New Roman" w:hAnsi="Times New Roman" w:cs="Times New Roman"/>
          <w:sz w:val="24"/>
          <w:szCs w:val="24"/>
        </w:rPr>
      </w:pPr>
    </w:p>
    <w:p w:rsidR="00167D85" w:rsidRPr="00BB2807" w:rsidRDefault="00167D85" w:rsidP="00167D85">
      <w:pPr>
        <w:rPr>
          <w:sz w:val="24"/>
          <w:szCs w:val="24"/>
        </w:rPr>
      </w:pPr>
      <w:bookmarkStart w:id="0" w:name="_GoBack"/>
      <w:bookmarkEnd w:id="0"/>
    </w:p>
    <w:p w:rsidR="00CB3C0B" w:rsidRDefault="00CB3C0B" w:rsidP="00CB3C0B"/>
    <w:p w:rsidR="00134BF5" w:rsidRPr="008976DE" w:rsidRDefault="00134BF5">
      <w:pPr>
        <w:rPr>
          <w:rFonts w:ascii="Times New Roman" w:hAnsi="Times New Roman" w:cs="Times New Roman"/>
          <w:sz w:val="24"/>
        </w:rPr>
      </w:pPr>
    </w:p>
    <w:sectPr w:rsidR="00134BF5" w:rsidRPr="008976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2A0"/>
    <w:rsid w:val="00134BF5"/>
    <w:rsid w:val="00167D85"/>
    <w:rsid w:val="00494D53"/>
    <w:rsid w:val="004E6E20"/>
    <w:rsid w:val="006E1584"/>
    <w:rsid w:val="00885D44"/>
    <w:rsid w:val="008976DE"/>
    <w:rsid w:val="0089790E"/>
    <w:rsid w:val="00C252A0"/>
    <w:rsid w:val="00C53FEE"/>
    <w:rsid w:val="00CB3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6107"/>
  <w15:chartTrackingRefBased/>
  <w15:docId w15:val="{4390D35E-C802-4EE0-A313-08C0C7E9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6DE"/>
  </w:style>
  <w:style w:type="paragraph" w:styleId="Heading3">
    <w:name w:val="heading 3"/>
    <w:basedOn w:val="Normal"/>
    <w:link w:val="Heading3Char"/>
    <w:uiPriority w:val="9"/>
    <w:qFormat/>
    <w:rsid w:val="00885D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7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976DE"/>
    <w:rPr>
      <w:b/>
      <w:bCs/>
    </w:rPr>
  </w:style>
  <w:style w:type="character" w:customStyle="1" w:styleId="Heading3Char">
    <w:name w:val="Heading 3 Char"/>
    <w:basedOn w:val="DefaultParagraphFont"/>
    <w:link w:val="Heading3"/>
    <w:uiPriority w:val="9"/>
    <w:rsid w:val="00885D44"/>
    <w:rPr>
      <w:rFonts w:ascii="Times New Roman" w:eastAsia="Times New Roman" w:hAnsi="Times New Roman" w:cs="Times New Roman"/>
      <w:b/>
      <w:bCs/>
      <w:sz w:val="27"/>
      <w:szCs w:val="27"/>
    </w:rPr>
  </w:style>
  <w:style w:type="paragraph" w:customStyle="1" w:styleId="pdq2pgselectionanchorcontainer">
    <w:name w:val="pdq2pg_selectionanchorcontainer"/>
    <w:basedOn w:val="Normal"/>
    <w:rsid w:val="00885D4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85D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1970</Words>
  <Characters>11234</Characters>
  <Application>Microsoft Office Word</Application>
  <DocSecurity>0</DocSecurity>
  <Lines>93</Lines>
  <Paragraphs>26</Paragraphs>
  <ScaleCrop>false</ScaleCrop>
  <Company/>
  <LinksUpToDate>false</LinksUpToDate>
  <CharactersWithSpaces>13178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Fagun</dc:creator>
  <cp:keywords/>
  <dc:description/>
  <cp:lastModifiedBy>Fagun</cp:lastModifiedBy>
  <cp:revision>16</cp:revision>
  <dcterms:created xsi:type="dcterms:W3CDTF">2026-07-14T13:51:00Z</dcterms:created>
  <dcterms:modified xsi:type="dcterms:W3CDTF">2026-07-14T14:06:00Z</dcterms:modified>
</cp:coreProperties>
</file>