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854BF" w14:textId="4ED3B492" w:rsidR="00A87A24" w:rsidRPr="00DC751F" w:rsidRDefault="00220BFE" w:rsidP="00A87A24">
      <w:pPr>
        <w:jc w:val="center"/>
        <w:rPr>
          <w:rFonts w:ascii="Times New Roman" w:hAnsi="Times New Roman" w:cs="Times New Roman"/>
          <w:b/>
          <w:sz w:val="24"/>
          <w:szCs w:val="24"/>
        </w:rPr>
      </w:pPr>
      <w:r>
        <w:rPr>
          <w:rFonts w:ascii="Times New Roman" w:hAnsi="Times New Roman" w:cs="Times New Roman"/>
          <w:b/>
          <w:sz w:val="24"/>
          <w:szCs w:val="24"/>
        </w:rPr>
        <w:t>Supplementary Information</w:t>
      </w:r>
      <w:r w:rsidR="00A87A24" w:rsidRPr="00DC751F">
        <w:rPr>
          <w:rFonts w:ascii="Times New Roman" w:hAnsi="Times New Roman" w:cs="Times New Roman"/>
          <w:b/>
          <w:sz w:val="24"/>
          <w:szCs w:val="24"/>
        </w:rPr>
        <w:t xml:space="preserve"> 1</w:t>
      </w:r>
    </w:p>
    <w:p w14:paraId="71D7E3AC" w14:textId="77777777" w:rsidR="00A87A24" w:rsidRPr="008027F6" w:rsidRDefault="00A87A24" w:rsidP="008027F6">
      <w:pPr>
        <w:shd w:val="clear" w:color="auto" w:fill="FFFFFF"/>
        <w:spacing w:before="100" w:beforeAutospacing="1" w:after="100" w:afterAutospacing="1" w:line="240" w:lineRule="auto"/>
        <w:jc w:val="center"/>
        <w:rPr>
          <w:rFonts w:ascii="Times New Roman" w:hAnsi="Times New Roman" w:cs="Times New Roman"/>
          <w:b/>
          <w:bCs/>
          <w:sz w:val="24"/>
          <w:szCs w:val="24"/>
        </w:rPr>
      </w:pPr>
      <w:r w:rsidRPr="008027F6">
        <w:rPr>
          <w:rFonts w:ascii="Times New Roman" w:hAnsi="Times New Roman" w:cs="Times New Roman"/>
          <w:b/>
          <w:bCs/>
          <w:sz w:val="24"/>
          <w:szCs w:val="24"/>
        </w:rPr>
        <w:t>Definitions of the standard financial ratios.</w:t>
      </w:r>
    </w:p>
    <w:tbl>
      <w:tblPr>
        <w:tblStyle w:val="TableGrid"/>
        <w:tblW w:w="9253" w:type="dxa"/>
        <w:jc w:val="center"/>
        <w:tblInd w:w="0" w:type="dxa"/>
        <w:tblLook w:val="04A0" w:firstRow="1" w:lastRow="0" w:firstColumn="1" w:lastColumn="0" w:noHBand="0" w:noVBand="1"/>
      </w:tblPr>
      <w:tblGrid>
        <w:gridCol w:w="1555"/>
        <w:gridCol w:w="5296"/>
        <w:gridCol w:w="2402"/>
      </w:tblGrid>
      <w:tr w:rsidR="00695722" w:rsidRPr="00DC751F" w14:paraId="57648876" w14:textId="77777777" w:rsidTr="00611626">
        <w:trPr>
          <w:trHeight w:val="467"/>
          <w:jc w:val="center"/>
        </w:trPr>
        <w:tc>
          <w:tcPr>
            <w:tcW w:w="6851" w:type="dxa"/>
            <w:gridSpan w:val="2"/>
            <w:tcBorders>
              <w:top w:val="single" w:sz="4" w:space="0" w:color="auto"/>
              <w:left w:val="single" w:sz="4" w:space="0" w:color="auto"/>
              <w:bottom w:val="single" w:sz="4" w:space="0" w:color="auto"/>
              <w:right w:val="single" w:sz="4" w:space="0" w:color="auto"/>
            </w:tcBorders>
            <w:vAlign w:val="center"/>
            <w:hideMark/>
          </w:tcPr>
          <w:p w14:paraId="024637D9" w14:textId="77777777" w:rsidR="00A87A24" w:rsidRPr="00DC751F" w:rsidRDefault="00A87A24" w:rsidP="00611626">
            <w:pPr>
              <w:keepNext/>
              <w:shd w:val="clear" w:color="auto" w:fill="FFFFFF"/>
              <w:ind w:right="26" w:hanging="10"/>
              <w:jc w:val="center"/>
              <w:rPr>
                <w:rFonts w:ascii="Times New Roman" w:hAnsi="Times New Roman"/>
                <w:b/>
                <w:sz w:val="24"/>
                <w:szCs w:val="24"/>
              </w:rPr>
            </w:pPr>
            <w:r w:rsidRPr="00DC751F">
              <w:rPr>
                <w:rFonts w:ascii="Times New Roman" w:hAnsi="Times New Roman"/>
                <w:b/>
                <w:sz w:val="24"/>
                <w:szCs w:val="24"/>
              </w:rPr>
              <w:t>Financial ratios</w:t>
            </w:r>
          </w:p>
        </w:tc>
        <w:tc>
          <w:tcPr>
            <w:tcW w:w="2402" w:type="dxa"/>
            <w:tcBorders>
              <w:top w:val="single" w:sz="4" w:space="0" w:color="auto"/>
              <w:left w:val="single" w:sz="4" w:space="0" w:color="auto"/>
              <w:bottom w:val="single" w:sz="4" w:space="0" w:color="auto"/>
              <w:right w:val="single" w:sz="4" w:space="0" w:color="auto"/>
            </w:tcBorders>
            <w:vAlign w:val="center"/>
            <w:hideMark/>
          </w:tcPr>
          <w:p w14:paraId="5AD924C5" w14:textId="77777777" w:rsidR="00A87A24" w:rsidRPr="00DC751F" w:rsidRDefault="00A87A24" w:rsidP="00611626">
            <w:pPr>
              <w:keepNext/>
              <w:shd w:val="clear" w:color="auto" w:fill="FFFFFF"/>
              <w:ind w:right="26" w:hanging="10"/>
              <w:jc w:val="center"/>
              <w:rPr>
                <w:rFonts w:ascii="Times New Roman" w:hAnsi="Times New Roman"/>
                <w:b/>
                <w:sz w:val="24"/>
                <w:szCs w:val="24"/>
              </w:rPr>
            </w:pPr>
            <w:r w:rsidRPr="00DC751F">
              <w:rPr>
                <w:rFonts w:ascii="Times New Roman" w:hAnsi="Times New Roman"/>
                <w:b/>
                <w:sz w:val="24"/>
                <w:szCs w:val="24"/>
              </w:rPr>
              <w:t>Formula</w:t>
            </w:r>
          </w:p>
        </w:tc>
      </w:tr>
      <w:tr w:rsidR="00695722" w:rsidRPr="00DC751F" w14:paraId="7FD5F38A" w14:textId="77777777" w:rsidTr="00611626">
        <w:trPr>
          <w:trHeight w:val="802"/>
          <w:jc w:val="center"/>
        </w:trPr>
        <w:tc>
          <w:tcPr>
            <w:tcW w:w="1555" w:type="dxa"/>
            <w:vMerge w:val="restart"/>
            <w:tcBorders>
              <w:top w:val="single" w:sz="4" w:space="0" w:color="auto"/>
              <w:left w:val="single" w:sz="4" w:space="0" w:color="auto"/>
              <w:right w:val="single" w:sz="4" w:space="0" w:color="auto"/>
            </w:tcBorders>
            <w:vAlign w:val="center"/>
          </w:tcPr>
          <w:p w14:paraId="46D4011E" w14:textId="77777777" w:rsidR="00A87A24" w:rsidRPr="00DC751F" w:rsidRDefault="00A87A24" w:rsidP="00611626">
            <w:pPr>
              <w:keepNext/>
              <w:shd w:val="clear" w:color="auto" w:fill="FFFFFF"/>
              <w:ind w:right="26" w:hanging="10"/>
              <w:jc w:val="center"/>
              <w:rPr>
                <w:rFonts w:ascii="Times New Roman" w:hAnsi="Times New Roman"/>
                <w:sz w:val="24"/>
                <w:szCs w:val="24"/>
              </w:rPr>
            </w:pPr>
            <w:r w:rsidRPr="00DC751F">
              <w:rPr>
                <w:rFonts w:ascii="Times New Roman" w:hAnsi="Times New Roman"/>
                <w:sz w:val="24"/>
                <w:szCs w:val="24"/>
              </w:rPr>
              <w:t>Ratios related to Profitability</w:t>
            </w:r>
          </w:p>
        </w:tc>
        <w:tc>
          <w:tcPr>
            <w:tcW w:w="5296" w:type="dxa"/>
            <w:tcBorders>
              <w:top w:val="single" w:sz="4" w:space="0" w:color="auto"/>
              <w:left w:val="single" w:sz="4" w:space="0" w:color="auto"/>
              <w:bottom w:val="single" w:sz="4" w:space="0" w:color="auto"/>
              <w:right w:val="single" w:sz="4" w:space="0" w:color="auto"/>
            </w:tcBorders>
            <w:vAlign w:val="center"/>
          </w:tcPr>
          <w:p w14:paraId="4E3BA51A" w14:textId="4A9D3043" w:rsidR="00A87A24" w:rsidRPr="00DC751F" w:rsidRDefault="00C330FE" w:rsidP="00611626">
            <w:pPr>
              <w:keepNext/>
              <w:shd w:val="clear" w:color="auto" w:fill="FFFFFF"/>
              <w:tabs>
                <w:tab w:val="left" w:pos="2724"/>
              </w:tabs>
              <w:ind w:right="26" w:hanging="10"/>
              <w:rPr>
                <w:rFonts w:ascii="Times New Roman" w:hAnsi="Times New Roman"/>
                <w:sz w:val="24"/>
                <w:szCs w:val="24"/>
              </w:rPr>
            </w:pPr>
            <w:r>
              <w:rPr>
                <w:rFonts w:ascii="Times New Roman" w:hAnsi="Times New Roman"/>
                <w:sz w:val="24"/>
                <w:szCs w:val="24"/>
              </w:rPr>
              <w:t>Return on Assets</w:t>
            </w:r>
            <w:r w:rsidR="00A87A24" w:rsidRPr="00DC751F">
              <w:rPr>
                <w:rFonts w:ascii="Times New Roman" w:hAnsi="Times New Roman"/>
                <w:sz w:val="24"/>
                <w:szCs w:val="24"/>
              </w:rPr>
              <w:t xml:space="preserve"> (ROA) =</w:t>
            </w:r>
            <m:oMath>
              <m:f>
                <m:fPr>
                  <m:ctrlPr>
                    <w:rPr>
                      <w:rFonts w:ascii="Cambria Math" w:hAnsi="Cambria Math"/>
                      <w:i/>
                      <w:sz w:val="24"/>
                      <w:szCs w:val="24"/>
                    </w:rPr>
                  </m:ctrlPr>
                </m:fPr>
                <m:num>
                  <m:r>
                    <w:rPr>
                      <w:rFonts w:ascii="Cambria Math" w:hAnsi="Cambria Math"/>
                      <w:sz w:val="24"/>
                      <w:szCs w:val="24"/>
                    </w:rPr>
                    <m:t>Net income</m:t>
                  </m:r>
                </m:num>
                <m:den>
                  <m:r>
                    <w:rPr>
                      <w:rFonts w:ascii="Cambria Math" w:hAnsi="Cambria Math"/>
                      <w:sz w:val="24"/>
                      <w:szCs w:val="24"/>
                    </w:rPr>
                    <m:t>Total assets</m:t>
                  </m:r>
                </m:den>
              </m:f>
            </m:oMath>
          </w:p>
        </w:tc>
        <w:tc>
          <w:tcPr>
            <w:tcW w:w="2402" w:type="dxa"/>
            <w:tcBorders>
              <w:top w:val="single" w:sz="4" w:space="0" w:color="auto"/>
              <w:left w:val="single" w:sz="4" w:space="0" w:color="auto"/>
              <w:bottom w:val="single" w:sz="4" w:space="0" w:color="auto"/>
              <w:right w:val="single" w:sz="4" w:space="0" w:color="auto"/>
            </w:tcBorders>
            <w:vAlign w:val="center"/>
          </w:tcPr>
          <w:p w14:paraId="6139C20A" w14:textId="77777777" w:rsidR="00A87A24" w:rsidRPr="00DC751F" w:rsidRDefault="00000000" w:rsidP="00611626">
            <w:pPr>
              <w:keepNext/>
              <w:shd w:val="clear" w:color="auto" w:fill="FFFFFF"/>
              <w:ind w:right="26" w:hanging="10"/>
              <w:jc w:val="center"/>
              <w:rPr>
                <w:rFonts w:ascii="Times New Roman" w:hAnsi="Times New Roman"/>
                <w:sz w:val="24"/>
                <w:szCs w:val="24"/>
              </w:rPr>
            </w:pPr>
            <m:oMathPara>
              <m:oMath>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5</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6</m:t>
                        </m:r>
                      </m:sub>
                    </m:sSub>
                  </m:num>
                  <m:den>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2</m:t>
                        </m:r>
                      </m:sub>
                    </m:sSub>
                  </m:den>
                </m:f>
              </m:oMath>
            </m:oMathPara>
          </w:p>
        </w:tc>
      </w:tr>
      <w:tr w:rsidR="00695722" w:rsidRPr="00DC751F" w14:paraId="7B108931" w14:textId="77777777" w:rsidTr="00611626">
        <w:trPr>
          <w:trHeight w:val="802"/>
          <w:jc w:val="center"/>
        </w:trPr>
        <w:tc>
          <w:tcPr>
            <w:tcW w:w="1555" w:type="dxa"/>
            <w:vMerge/>
            <w:tcBorders>
              <w:left w:val="single" w:sz="4" w:space="0" w:color="auto"/>
              <w:right w:val="single" w:sz="4" w:space="0" w:color="auto"/>
            </w:tcBorders>
            <w:vAlign w:val="center"/>
          </w:tcPr>
          <w:p w14:paraId="4DECE347" w14:textId="77777777" w:rsidR="00A87A24" w:rsidRPr="00DC751F" w:rsidRDefault="00A87A24" w:rsidP="00611626">
            <w:pPr>
              <w:keepNext/>
              <w:shd w:val="clear" w:color="auto" w:fill="FFFFFF"/>
              <w:ind w:right="26" w:hanging="10"/>
              <w:jc w:val="center"/>
              <w:rPr>
                <w:rFonts w:ascii="Times New Roman" w:hAnsi="Times New Roman"/>
                <w:sz w:val="24"/>
                <w:szCs w:val="24"/>
              </w:rPr>
            </w:pPr>
          </w:p>
        </w:tc>
        <w:tc>
          <w:tcPr>
            <w:tcW w:w="5296" w:type="dxa"/>
            <w:tcBorders>
              <w:top w:val="single" w:sz="4" w:space="0" w:color="auto"/>
              <w:left w:val="single" w:sz="4" w:space="0" w:color="auto"/>
              <w:bottom w:val="single" w:sz="4" w:space="0" w:color="auto"/>
              <w:right w:val="single" w:sz="4" w:space="0" w:color="auto"/>
            </w:tcBorders>
            <w:vAlign w:val="center"/>
          </w:tcPr>
          <w:p w14:paraId="13D7F53C" w14:textId="258454C8" w:rsidR="00A87A24" w:rsidRPr="00DC751F" w:rsidRDefault="00C330FE" w:rsidP="00611626">
            <w:pPr>
              <w:keepNext/>
              <w:shd w:val="clear" w:color="auto" w:fill="FFFFFF"/>
              <w:tabs>
                <w:tab w:val="left" w:pos="2724"/>
              </w:tabs>
              <w:ind w:right="26" w:hanging="10"/>
              <w:rPr>
                <w:rFonts w:ascii="Times New Roman" w:hAnsi="Times New Roman"/>
                <w:sz w:val="24"/>
                <w:szCs w:val="24"/>
              </w:rPr>
            </w:pPr>
            <w:r>
              <w:rPr>
                <w:rFonts w:ascii="Times New Roman" w:hAnsi="Times New Roman"/>
                <w:sz w:val="24"/>
                <w:szCs w:val="24"/>
              </w:rPr>
              <w:t>Return on Equity</w:t>
            </w:r>
            <w:r w:rsidR="00A87A24" w:rsidRPr="00DC751F">
              <w:rPr>
                <w:rFonts w:ascii="Times New Roman" w:hAnsi="Times New Roman"/>
                <w:sz w:val="24"/>
                <w:szCs w:val="24"/>
              </w:rPr>
              <w:t xml:space="preserve"> (ROE) = </w:t>
            </w:r>
            <m:oMath>
              <m:f>
                <m:fPr>
                  <m:ctrlPr>
                    <w:rPr>
                      <w:rFonts w:ascii="Cambria Math" w:hAnsi="Cambria Math"/>
                      <w:i/>
                      <w:sz w:val="24"/>
                      <w:szCs w:val="24"/>
                    </w:rPr>
                  </m:ctrlPr>
                </m:fPr>
                <m:num>
                  <m:r>
                    <w:rPr>
                      <w:rFonts w:ascii="Cambria Math" w:hAnsi="Cambria Math"/>
                      <w:sz w:val="24"/>
                      <w:szCs w:val="24"/>
                    </w:rPr>
                    <m:t>Net income</m:t>
                  </m:r>
                </m:num>
                <m:den>
                  <m:r>
                    <w:rPr>
                      <w:rFonts w:ascii="Cambria Math" w:hAnsi="Cambria Math"/>
                      <w:sz w:val="24"/>
                      <w:szCs w:val="24"/>
                    </w:rPr>
                    <m:t>Equity</m:t>
                  </m:r>
                </m:den>
              </m:f>
            </m:oMath>
          </w:p>
        </w:tc>
        <w:tc>
          <w:tcPr>
            <w:tcW w:w="2402" w:type="dxa"/>
            <w:tcBorders>
              <w:top w:val="single" w:sz="4" w:space="0" w:color="auto"/>
              <w:left w:val="single" w:sz="4" w:space="0" w:color="auto"/>
              <w:bottom w:val="single" w:sz="4" w:space="0" w:color="auto"/>
              <w:right w:val="single" w:sz="4" w:space="0" w:color="auto"/>
            </w:tcBorders>
            <w:vAlign w:val="center"/>
          </w:tcPr>
          <w:p w14:paraId="5EE7BB7D" w14:textId="77777777" w:rsidR="00A87A24" w:rsidRPr="00DC751F" w:rsidRDefault="00000000" w:rsidP="00611626">
            <w:pPr>
              <w:keepNext/>
              <w:shd w:val="clear" w:color="auto" w:fill="FFFFFF"/>
              <w:ind w:right="26" w:hanging="10"/>
              <w:jc w:val="center"/>
              <w:rPr>
                <w:rFonts w:ascii="Times New Roman" w:hAnsi="Times New Roman"/>
                <w:sz w:val="24"/>
                <w:szCs w:val="24"/>
              </w:rPr>
            </w:pPr>
            <m:oMathPara>
              <m:oMath>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5</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6</m:t>
                        </m:r>
                      </m:sub>
                    </m:sSub>
                  </m:num>
                  <m:den>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2</m:t>
                            </m:r>
                          </m:sub>
                        </m:sSub>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3</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4</m:t>
                        </m:r>
                      </m:sub>
                    </m:sSub>
                    <m:r>
                      <w:rPr>
                        <w:rFonts w:ascii="Cambria Math" w:hAnsi="Cambria Math"/>
                        <w:sz w:val="24"/>
                        <w:szCs w:val="24"/>
                      </w:rPr>
                      <m:t>)</m:t>
                    </m:r>
                  </m:den>
                </m:f>
              </m:oMath>
            </m:oMathPara>
          </w:p>
        </w:tc>
      </w:tr>
      <w:tr w:rsidR="00695722" w:rsidRPr="00DC751F" w14:paraId="1B7D8D4E" w14:textId="77777777" w:rsidTr="00611626">
        <w:trPr>
          <w:trHeight w:val="802"/>
          <w:jc w:val="center"/>
        </w:trPr>
        <w:tc>
          <w:tcPr>
            <w:tcW w:w="1555" w:type="dxa"/>
            <w:vMerge/>
            <w:tcBorders>
              <w:left w:val="single" w:sz="4" w:space="0" w:color="auto"/>
              <w:right w:val="single" w:sz="4" w:space="0" w:color="auto"/>
            </w:tcBorders>
            <w:vAlign w:val="center"/>
          </w:tcPr>
          <w:p w14:paraId="446C1463" w14:textId="77777777" w:rsidR="00A87A24" w:rsidRPr="00DC751F" w:rsidRDefault="00A87A24" w:rsidP="00611626">
            <w:pPr>
              <w:keepNext/>
              <w:shd w:val="clear" w:color="auto" w:fill="FFFFFF"/>
              <w:ind w:right="26" w:hanging="10"/>
              <w:jc w:val="center"/>
              <w:rPr>
                <w:rFonts w:ascii="Times New Roman" w:hAnsi="Times New Roman"/>
                <w:sz w:val="24"/>
                <w:szCs w:val="24"/>
              </w:rPr>
            </w:pPr>
          </w:p>
        </w:tc>
        <w:tc>
          <w:tcPr>
            <w:tcW w:w="5296" w:type="dxa"/>
            <w:tcBorders>
              <w:top w:val="single" w:sz="4" w:space="0" w:color="auto"/>
              <w:left w:val="single" w:sz="4" w:space="0" w:color="auto"/>
              <w:bottom w:val="single" w:sz="4" w:space="0" w:color="auto"/>
              <w:right w:val="single" w:sz="4" w:space="0" w:color="auto"/>
            </w:tcBorders>
            <w:vAlign w:val="center"/>
          </w:tcPr>
          <w:p w14:paraId="0156EFE9" w14:textId="77777777" w:rsidR="00A87A24" w:rsidRPr="00DC751F" w:rsidRDefault="00A87A24" w:rsidP="00611626">
            <w:pPr>
              <w:keepNext/>
              <w:shd w:val="clear" w:color="auto" w:fill="FFFFFF"/>
              <w:tabs>
                <w:tab w:val="left" w:pos="2724"/>
              </w:tabs>
              <w:ind w:right="26" w:hanging="10"/>
              <w:rPr>
                <w:rFonts w:ascii="Times New Roman" w:hAnsi="Times New Roman"/>
                <w:sz w:val="24"/>
                <w:szCs w:val="24"/>
              </w:rPr>
            </w:pPr>
            <w:r w:rsidRPr="00DC751F">
              <w:rPr>
                <w:rFonts w:ascii="Times New Roman" w:hAnsi="Times New Roman"/>
                <w:sz w:val="24"/>
                <w:szCs w:val="24"/>
              </w:rPr>
              <w:t xml:space="preserve">Net Income Margin (NIM) = </w:t>
            </w:r>
            <m:oMath>
              <m:f>
                <m:fPr>
                  <m:ctrlPr>
                    <w:rPr>
                      <w:rFonts w:ascii="Cambria Math" w:hAnsi="Cambria Math"/>
                      <w:i/>
                      <w:sz w:val="24"/>
                      <w:szCs w:val="24"/>
                    </w:rPr>
                  </m:ctrlPr>
                </m:fPr>
                <m:num>
                  <m:r>
                    <w:rPr>
                      <w:rFonts w:ascii="Cambria Math" w:hAnsi="Cambria Math"/>
                      <w:sz w:val="24"/>
                      <w:szCs w:val="24"/>
                    </w:rPr>
                    <m:t>Net income</m:t>
                  </m:r>
                </m:num>
                <m:den>
                  <m:r>
                    <w:rPr>
                      <w:rFonts w:ascii="Cambria Math" w:hAnsi="Cambria Math"/>
                      <w:sz w:val="24"/>
                      <w:szCs w:val="24"/>
                    </w:rPr>
                    <m:t>Revenues</m:t>
                  </m:r>
                </m:den>
              </m:f>
            </m:oMath>
          </w:p>
        </w:tc>
        <w:tc>
          <w:tcPr>
            <w:tcW w:w="2402" w:type="dxa"/>
            <w:tcBorders>
              <w:top w:val="single" w:sz="4" w:space="0" w:color="auto"/>
              <w:left w:val="single" w:sz="4" w:space="0" w:color="auto"/>
              <w:bottom w:val="single" w:sz="4" w:space="0" w:color="auto"/>
              <w:right w:val="single" w:sz="4" w:space="0" w:color="auto"/>
            </w:tcBorders>
            <w:vAlign w:val="center"/>
          </w:tcPr>
          <w:p w14:paraId="7F3E7E3B" w14:textId="77777777" w:rsidR="00A87A24" w:rsidRPr="00DC751F" w:rsidRDefault="00000000" w:rsidP="00611626">
            <w:pPr>
              <w:keepNext/>
              <w:shd w:val="clear" w:color="auto" w:fill="FFFFFF"/>
              <w:ind w:right="26" w:hanging="10"/>
              <w:jc w:val="center"/>
              <w:rPr>
                <w:rFonts w:ascii="Times New Roman" w:hAnsi="Times New Roman"/>
                <w:sz w:val="24"/>
                <w:szCs w:val="24"/>
              </w:rPr>
            </w:pPr>
            <m:oMathPara>
              <m:oMath>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5</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6</m:t>
                        </m:r>
                      </m:sub>
                    </m:sSub>
                  </m:num>
                  <m:den>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5</m:t>
                        </m:r>
                      </m:sub>
                    </m:sSub>
                  </m:den>
                </m:f>
              </m:oMath>
            </m:oMathPara>
          </w:p>
        </w:tc>
      </w:tr>
      <w:tr w:rsidR="00695722" w:rsidRPr="00DC751F" w14:paraId="731F32D4" w14:textId="77777777" w:rsidTr="00611626">
        <w:trPr>
          <w:trHeight w:val="802"/>
          <w:jc w:val="center"/>
        </w:trPr>
        <w:tc>
          <w:tcPr>
            <w:tcW w:w="1555" w:type="dxa"/>
            <w:vMerge w:val="restart"/>
            <w:tcBorders>
              <w:top w:val="single" w:sz="4" w:space="0" w:color="auto"/>
              <w:left w:val="single" w:sz="4" w:space="0" w:color="auto"/>
              <w:right w:val="single" w:sz="4" w:space="0" w:color="auto"/>
            </w:tcBorders>
            <w:vAlign w:val="center"/>
            <w:hideMark/>
          </w:tcPr>
          <w:p w14:paraId="7482057F" w14:textId="77777777" w:rsidR="00A87A24" w:rsidRPr="00DC751F" w:rsidRDefault="00A87A24" w:rsidP="00611626">
            <w:pPr>
              <w:keepNext/>
              <w:shd w:val="clear" w:color="auto" w:fill="FFFFFF"/>
              <w:ind w:right="26" w:hanging="10"/>
              <w:jc w:val="center"/>
              <w:rPr>
                <w:rFonts w:ascii="Times New Roman" w:hAnsi="Times New Roman"/>
                <w:sz w:val="24"/>
                <w:szCs w:val="24"/>
              </w:rPr>
            </w:pPr>
            <w:r w:rsidRPr="00DC751F">
              <w:rPr>
                <w:rFonts w:ascii="Times New Roman" w:hAnsi="Times New Roman"/>
                <w:sz w:val="24"/>
                <w:szCs w:val="24"/>
              </w:rPr>
              <w:t>Ratios related to Risk</w:t>
            </w:r>
          </w:p>
        </w:tc>
        <w:tc>
          <w:tcPr>
            <w:tcW w:w="5296" w:type="dxa"/>
            <w:tcBorders>
              <w:top w:val="single" w:sz="4" w:space="0" w:color="auto"/>
              <w:left w:val="single" w:sz="4" w:space="0" w:color="auto"/>
              <w:bottom w:val="single" w:sz="4" w:space="0" w:color="auto"/>
              <w:right w:val="single" w:sz="4" w:space="0" w:color="auto"/>
            </w:tcBorders>
            <w:vAlign w:val="center"/>
            <w:hideMark/>
          </w:tcPr>
          <w:p w14:paraId="3B19BDFE" w14:textId="77777777" w:rsidR="00A87A24" w:rsidRPr="00DC751F" w:rsidRDefault="00A87A24" w:rsidP="00611626">
            <w:pPr>
              <w:keepNext/>
              <w:shd w:val="clear" w:color="auto" w:fill="FFFFFF"/>
              <w:tabs>
                <w:tab w:val="left" w:pos="2724"/>
              </w:tabs>
              <w:ind w:right="26" w:hanging="10"/>
              <w:rPr>
                <w:rFonts w:ascii="Times New Roman" w:hAnsi="Times New Roman"/>
                <w:sz w:val="24"/>
                <w:szCs w:val="24"/>
              </w:rPr>
            </w:pPr>
            <w:r w:rsidRPr="00DC751F">
              <w:rPr>
                <w:rFonts w:ascii="Times New Roman" w:hAnsi="Times New Roman"/>
                <w:sz w:val="24"/>
                <w:szCs w:val="24"/>
              </w:rPr>
              <w:t xml:space="preserve">Current ratio (CR) = </w:t>
            </w:r>
            <m:oMath>
              <m:f>
                <m:fPr>
                  <m:ctrlPr>
                    <w:rPr>
                      <w:rFonts w:ascii="Cambria Math" w:hAnsi="Cambria Math"/>
                      <w:i/>
                      <w:sz w:val="24"/>
                      <w:szCs w:val="24"/>
                    </w:rPr>
                  </m:ctrlPr>
                </m:fPr>
                <m:num>
                  <m:r>
                    <w:rPr>
                      <w:rFonts w:ascii="Cambria Math" w:hAnsi="Cambria Math"/>
                      <w:sz w:val="24"/>
                      <w:szCs w:val="24"/>
                    </w:rPr>
                    <m:t>Current assets</m:t>
                  </m:r>
                </m:num>
                <m:den>
                  <m:r>
                    <w:rPr>
                      <w:rFonts w:ascii="Cambria Math" w:hAnsi="Cambria Math"/>
                      <w:sz w:val="24"/>
                      <w:szCs w:val="24"/>
                    </w:rPr>
                    <m:t>Current liabilities</m:t>
                  </m:r>
                </m:den>
              </m:f>
            </m:oMath>
          </w:p>
        </w:tc>
        <w:tc>
          <w:tcPr>
            <w:tcW w:w="2402" w:type="dxa"/>
            <w:tcBorders>
              <w:top w:val="single" w:sz="4" w:space="0" w:color="auto"/>
              <w:left w:val="single" w:sz="4" w:space="0" w:color="auto"/>
              <w:bottom w:val="single" w:sz="4" w:space="0" w:color="auto"/>
              <w:right w:val="single" w:sz="4" w:space="0" w:color="auto"/>
            </w:tcBorders>
            <w:vAlign w:val="center"/>
            <w:hideMark/>
          </w:tcPr>
          <w:p w14:paraId="659A7FA1" w14:textId="77777777" w:rsidR="00A87A24" w:rsidRPr="00DC751F" w:rsidRDefault="00000000" w:rsidP="00611626">
            <w:pPr>
              <w:keepNext/>
              <w:shd w:val="clear" w:color="auto" w:fill="FFFFFF"/>
              <w:ind w:right="26" w:hanging="10"/>
              <w:jc w:val="center"/>
              <w:rPr>
                <w:rFonts w:ascii="Times New Roman" w:hAnsi="Times New Roman"/>
                <w:sz w:val="24"/>
                <w:szCs w:val="24"/>
              </w:rPr>
            </w:pPr>
            <m:oMathPara>
              <m:oMath>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2</m:t>
                        </m:r>
                      </m:sub>
                    </m:sSub>
                  </m:num>
                  <m:den>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4</m:t>
                        </m:r>
                      </m:sub>
                    </m:sSub>
                  </m:den>
                </m:f>
              </m:oMath>
            </m:oMathPara>
          </w:p>
        </w:tc>
      </w:tr>
      <w:tr w:rsidR="00695722" w:rsidRPr="00DC751F" w14:paraId="329FE912" w14:textId="77777777" w:rsidTr="00611626">
        <w:trPr>
          <w:trHeight w:val="841"/>
          <w:jc w:val="center"/>
        </w:trPr>
        <w:tc>
          <w:tcPr>
            <w:tcW w:w="1555" w:type="dxa"/>
            <w:vMerge/>
            <w:tcBorders>
              <w:left w:val="single" w:sz="4" w:space="0" w:color="auto"/>
              <w:right w:val="single" w:sz="4" w:space="0" w:color="auto"/>
            </w:tcBorders>
            <w:vAlign w:val="center"/>
            <w:hideMark/>
          </w:tcPr>
          <w:p w14:paraId="0EEDEC13" w14:textId="77777777" w:rsidR="00A87A24" w:rsidRPr="00DC751F" w:rsidRDefault="00A87A24" w:rsidP="00611626">
            <w:pPr>
              <w:ind w:hanging="10"/>
              <w:jc w:val="center"/>
              <w:rPr>
                <w:rFonts w:ascii="Times New Roman" w:hAnsi="Times New Roman"/>
                <w:sz w:val="24"/>
                <w:szCs w:val="24"/>
              </w:rPr>
            </w:pPr>
          </w:p>
        </w:tc>
        <w:tc>
          <w:tcPr>
            <w:tcW w:w="5296" w:type="dxa"/>
            <w:tcBorders>
              <w:top w:val="single" w:sz="4" w:space="0" w:color="auto"/>
              <w:left w:val="single" w:sz="4" w:space="0" w:color="auto"/>
              <w:bottom w:val="single" w:sz="4" w:space="0" w:color="auto"/>
              <w:right w:val="single" w:sz="4" w:space="0" w:color="auto"/>
            </w:tcBorders>
            <w:vAlign w:val="center"/>
            <w:hideMark/>
          </w:tcPr>
          <w:p w14:paraId="58864E85" w14:textId="77777777" w:rsidR="00A87A24" w:rsidRPr="00DC751F" w:rsidRDefault="00A87A24" w:rsidP="00611626">
            <w:pPr>
              <w:keepNext/>
              <w:shd w:val="clear" w:color="auto" w:fill="FFFFFF"/>
              <w:ind w:right="26" w:hanging="10"/>
              <w:rPr>
                <w:rFonts w:ascii="Times New Roman" w:hAnsi="Times New Roman"/>
                <w:sz w:val="24"/>
                <w:szCs w:val="24"/>
              </w:rPr>
            </w:pPr>
            <w:r w:rsidRPr="00DC751F">
              <w:rPr>
                <w:rFonts w:ascii="Times New Roman" w:hAnsi="Times New Roman"/>
                <w:sz w:val="24"/>
                <w:szCs w:val="24"/>
              </w:rPr>
              <w:t xml:space="preserve">Debt-maturity ratio (DebtM) = </w:t>
            </w:r>
            <m:oMath>
              <m:f>
                <m:fPr>
                  <m:ctrlPr>
                    <w:rPr>
                      <w:rFonts w:ascii="Cambria Math" w:hAnsi="Cambria Math"/>
                      <w:i/>
                      <w:sz w:val="24"/>
                      <w:szCs w:val="24"/>
                    </w:rPr>
                  </m:ctrlPr>
                </m:fPr>
                <m:num>
                  <m:r>
                    <w:rPr>
                      <w:rFonts w:ascii="Cambria Math" w:hAnsi="Cambria Math"/>
                      <w:sz w:val="24"/>
                      <w:szCs w:val="24"/>
                    </w:rPr>
                    <m:t>Non Current liabilities</m:t>
                  </m:r>
                </m:num>
                <m:den>
                  <m:r>
                    <w:rPr>
                      <w:rFonts w:ascii="Cambria Math" w:hAnsi="Cambria Math"/>
                      <w:sz w:val="24"/>
                      <w:szCs w:val="24"/>
                    </w:rPr>
                    <m:t>Total liabilities</m:t>
                  </m:r>
                </m:den>
              </m:f>
            </m:oMath>
          </w:p>
        </w:tc>
        <w:tc>
          <w:tcPr>
            <w:tcW w:w="2402" w:type="dxa"/>
            <w:tcBorders>
              <w:top w:val="single" w:sz="4" w:space="0" w:color="auto"/>
              <w:left w:val="single" w:sz="4" w:space="0" w:color="auto"/>
              <w:bottom w:val="single" w:sz="4" w:space="0" w:color="auto"/>
              <w:right w:val="single" w:sz="4" w:space="0" w:color="auto"/>
            </w:tcBorders>
            <w:vAlign w:val="center"/>
            <w:hideMark/>
          </w:tcPr>
          <w:p w14:paraId="337F384E" w14:textId="77777777" w:rsidR="00A87A24" w:rsidRPr="00DC751F" w:rsidRDefault="00000000" w:rsidP="00611626">
            <w:pPr>
              <w:keepNext/>
              <w:shd w:val="clear" w:color="auto" w:fill="FFFFFF"/>
              <w:ind w:right="26" w:hanging="10"/>
              <w:jc w:val="center"/>
              <w:rPr>
                <w:rFonts w:ascii="Times New Roman" w:hAnsi="Times New Roman"/>
                <w:sz w:val="24"/>
                <w:szCs w:val="24"/>
              </w:rPr>
            </w:pPr>
            <m:oMathPara>
              <m:oMath>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3</m:t>
                        </m:r>
                      </m:sub>
                    </m:sSub>
                  </m:num>
                  <m:den>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3</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4</m:t>
                        </m:r>
                      </m:sub>
                    </m:sSub>
                  </m:den>
                </m:f>
              </m:oMath>
            </m:oMathPara>
          </w:p>
        </w:tc>
      </w:tr>
      <w:tr w:rsidR="00695722" w:rsidRPr="00DC751F" w14:paraId="3EC97662" w14:textId="77777777" w:rsidTr="00611626">
        <w:trPr>
          <w:trHeight w:val="840"/>
          <w:jc w:val="center"/>
        </w:trPr>
        <w:tc>
          <w:tcPr>
            <w:tcW w:w="1555" w:type="dxa"/>
            <w:vMerge/>
            <w:tcBorders>
              <w:left w:val="single" w:sz="4" w:space="0" w:color="auto"/>
              <w:right w:val="single" w:sz="4" w:space="0" w:color="auto"/>
            </w:tcBorders>
            <w:vAlign w:val="center"/>
            <w:hideMark/>
          </w:tcPr>
          <w:p w14:paraId="3BBD1E1F" w14:textId="77777777" w:rsidR="00A87A24" w:rsidRPr="00DC751F" w:rsidRDefault="00A87A24" w:rsidP="00611626">
            <w:pPr>
              <w:ind w:hanging="10"/>
              <w:jc w:val="center"/>
              <w:rPr>
                <w:rFonts w:ascii="Times New Roman" w:hAnsi="Times New Roman"/>
                <w:sz w:val="24"/>
                <w:szCs w:val="24"/>
              </w:rPr>
            </w:pPr>
          </w:p>
        </w:tc>
        <w:tc>
          <w:tcPr>
            <w:tcW w:w="5296" w:type="dxa"/>
            <w:tcBorders>
              <w:top w:val="single" w:sz="4" w:space="0" w:color="auto"/>
              <w:left w:val="single" w:sz="4" w:space="0" w:color="auto"/>
              <w:bottom w:val="single" w:sz="4" w:space="0" w:color="auto"/>
              <w:right w:val="single" w:sz="4" w:space="0" w:color="auto"/>
            </w:tcBorders>
            <w:vAlign w:val="center"/>
            <w:hideMark/>
          </w:tcPr>
          <w:p w14:paraId="61396925" w14:textId="77777777" w:rsidR="00A87A24" w:rsidRPr="00DC751F" w:rsidRDefault="00A87A24" w:rsidP="00611626">
            <w:pPr>
              <w:keepNext/>
              <w:shd w:val="clear" w:color="auto" w:fill="FFFFFF"/>
              <w:ind w:right="26" w:hanging="10"/>
              <w:rPr>
                <w:rFonts w:ascii="Times New Roman" w:hAnsi="Times New Roman"/>
                <w:sz w:val="24"/>
                <w:szCs w:val="24"/>
              </w:rPr>
            </w:pPr>
            <w:r w:rsidRPr="00DC751F">
              <w:rPr>
                <w:rFonts w:ascii="Times New Roman" w:hAnsi="Times New Roman"/>
                <w:sz w:val="24"/>
                <w:szCs w:val="24"/>
              </w:rPr>
              <w:t xml:space="preserve">Capital structure (CS) = </w:t>
            </w:r>
            <m:oMath>
              <m:f>
                <m:fPr>
                  <m:ctrlPr>
                    <w:rPr>
                      <w:rFonts w:ascii="Cambria Math" w:hAnsi="Cambria Math"/>
                      <w:i/>
                      <w:sz w:val="24"/>
                      <w:szCs w:val="24"/>
                    </w:rPr>
                  </m:ctrlPr>
                </m:fPr>
                <m:num>
                  <m:r>
                    <w:rPr>
                      <w:rFonts w:ascii="Cambria Math" w:hAnsi="Cambria Math"/>
                      <w:sz w:val="24"/>
                      <w:szCs w:val="24"/>
                    </w:rPr>
                    <m:t>Total liabilities</m:t>
                  </m:r>
                </m:num>
                <m:den>
                  <m:r>
                    <w:rPr>
                      <w:rFonts w:ascii="Cambria Math" w:hAnsi="Cambria Math"/>
                      <w:sz w:val="24"/>
                      <w:szCs w:val="24"/>
                    </w:rPr>
                    <m:t>Total assets</m:t>
                  </m:r>
                </m:den>
              </m:f>
            </m:oMath>
          </w:p>
        </w:tc>
        <w:tc>
          <w:tcPr>
            <w:tcW w:w="2402" w:type="dxa"/>
            <w:tcBorders>
              <w:top w:val="single" w:sz="4" w:space="0" w:color="auto"/>
              <w:left w:val="single" w:sz="4" w:space="0" w:color="auto"/>
              <w:bottom w:val="single" w:sz="4" w:space="0" w:color="auto"/>
              <w:right w:val="single" w:sz="4" w:space="0" w:color="auto"/>
            </w:tcBorders>
            <w:vAlign w:val="center"/>
            <w:hideMark/>
          </w:tcPr>
          <w:p w14:paraId="7283A121" w14:textId="77777777" w:rsidR="00A87A24" w:rsidRPr="00DC751F" w:rsidRDefault="00000000" w:rsidP="00611626">
            <w:pPr>
              <w:keepNext/>
              <w:shd w:val="clear" w:color="auto" w:fill="FFFFFF"/>
              <w:ind w:hanging="10"/>
              <w:jc w:val="center"/>
              <w:rPr>
                <w:rFonts w:ascii="Times New Roman" w:hAnsi="Times New Roman"/>
                <w:sz w:val="24"/>
                <w:szCs w:val="24"/>
              </w:rPr>
            </w:pPr>
            <m:oMathPara>
              <m:oMath>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3</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4</m:t>
                        </m:r>
                      </m:sub>
                    </m:sSub>
                  </m:num>
                  <m:den>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2</m:t>
                        </m:r>
                      </m:sub>
                    </m:sSub>
                  </m:den>
                </m:f>
              </m:oMath>
            </m:oMathPara>
          </w:p>
        </w:tc>
      </w:tr>
      <w:tr w:rsidR="00695722" w:rsidRPr="00DC751F" w14:paraId="04C1E055" w14:textId="77777777" w:rsidTr="00611626">
        <w:trPr>
          <w:trHeight w:val="840"/>
          <w:jc w:val="center"/>
        </w:trPr>
        <w:tc>
          <w:tcPr>
            <w:tcW w:w="1555" w:type="dxa"/>
            <w:vMerge/>
            <w:tcBorders>
              <w:left w:val="single" w:sz="4" w:space="0" w:color="auto"/>
              <w:bottom w:val="single" w:sz="4" w:space="0" w:color="auto"/>
              <w:right w:val="single" w:sz="4" w:space="0" w:color="auto"/>
            </w:tcBorders>
            <w:vAlign w:val="center"/>
          </w:tcPr>
          <w:p w14:paraId="51CF7022" w14:textId="77777777" w:rsidR="00A87A24" w:rsidRPr="00DC751F" w:rsidRDefault="00A87A24" w:rsidP="00611626">
            <w:pPr>
              <w:ind w:hanging="10"/>
              <w:jc w:val="center"/>
              <w:rPr>
                <w:rFonts w:ascii="Times New Roman" w:hAnsi="Times New Roman"/>
                <w:sz w:val="24"/>
                <w:szCs w:val="24"/>
              </w:rPr>
            </w:pPr>
          </w:p>
        </w:tc>
        <w:tc>
          <w:tcPr>
            <w:tcW w:w="5296" w:type="dxa"/>
            <w:tcBorders>
              <w:top w:val="single" w:sz="4" w:space="0" w:color="auto"/>
              <w:left w:val="single" w:sz="4" w:space="0" w:color="auto"/>
              <w:bottom w:val="single" w:sz="4" w:space="0" w:color="auto"/>
              <w:right w:val="single" w:sz="4" w:space="0" w:color="auto"/>
            </w:tcBorders>
            <w:vAlign w:val="center"/>
          </w:tcPr>
          <w:p w14:paraId="1E0D9CB9" w14:textId="77777777" w:rsidR="00A87A24" w:rsidRPr="00DC751F" w:rsidRDefault="00A87A24" w:rsidP="00611626">
            <w:pPr>
              <w:keepNext/>
              <w:shd w:val="clear" w:color="auto" w:fill="FFFFFF"/>
              <w:ind w:right="26" w:hanging="10"/>
              <w:rPr>
                <w:rFonts w:ascii="Times New Roman" w:hAnsi="Times New Roman"/>
                <w:sz w:val="24"/>
                <w:szCs w:val="24"/>
              </w:rPr>
            </w:pPr>
            <w:r w:rsidRPr="00DC751F">
              <w:rPr>
                <w:rFonts w:ascii="Times New Roman" w:hAnsi="Times New Roman"/>
                <w:sz w:val="24"/>
                <w:szCs w:val="24"/>
              </w:rPr>
              <w:t xml:space="preserve">Leverage (LEV) = </w:t>
            </w:r>
            <m:oMath>
              <m:f>
                <m:fPr>
                  <m:ctrlPr>
                    <w:rPr>
                      <w:rFonts w:ascii="Cambria Math" w:hAnsi="Cambria Math"/>
                      <w:i/>
                      <w:sz w:val="24"/>
                      <w:szCs w:val="24"/>
                    </w:rPr>
                  </m:ctrlPr>
                </m:fPr>
                <m:num>
                  <m:r>
                    <w:rPr>
                      <w:rFonts w:ascii="Cambria Math" w:hAnsi="Cambria Math"/>
                      <w:sz w:val="24"/>
                      <w:szCs w:val="24"/>
                    </w:rPr>
                    <m:t>Total assets</m:t>
                  </m:r>
                </m:num>
                <m:den>
                  <m:r>
                    <w:rPr>
                      <w:rFonts w:ascii="Cambria Math" w:hAnsi="Cambria Math"/>
                      <w:sz w:val="24"/>
                      <w:szCs w:val="24"/>
                    </w:rPr>
                    <m:t>Equity</m:t>
                  </m:r>
                </m:den>
              </m:f>
            </m:oMath>
          </w:p>
        </w:tc>
        <w:tc>
          <w:tcPr>
            <w:tcW w:w="2402" w:type="dxa"/>
            <w:tcBorders>
              <w:top w:val="single" w:sz="4" w:space="0" w:color="auto"/>
              <w:left w:val="single" w:sz="4" w:space="0" w:color="auto"/>
              <w:bottom w:val="single" w:sz="4" w:space="0" w:color="auto"/>
              <w:right w:val="single" w:sz="4" w:space="0" w:color="auto"/>
            </w:tcBorders>
            <w:vAlign w:val="center"/>
          </w:tcPr>
          <w:p w14:paraId="0B422CEB" w14:textId="77777777" w:rsidR="00A87A24" w:rsidRPr="00DC751F" w:rsidRDefault="00000000" w:rsidP="00611626">
            <w:pPr>
              <w:keepNext/>
              <w:shd w:val="clear" w:color="auto" w:fill="FFFFFF"/>
              <w:ind w:hanging="10"/>
              <w:jc w:val="center"/>
              <w:rPr>
                <w:rFonts w:ascii="Times New Roman" w:hAnsi="Times New Roman"/>
                <w:sz w:val="24"/>
                <w:szCs w:val="24"/>
              </w:rPr>
            </w:pPr>
            <m:oMathPara>
              <m:oMath>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2</m:t>
                        </m:r>
                      </m:sub>
                    </m:sSub>
                  </m:num>
                  <m:den>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2</m:t>
                            </m:r>
                          </m:sub>
                        </m:sSub>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3</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4</m:t>
                        </m:r>
                      </m:sub>
                    </m:sSub>
                    <m:r>
                      <w:rPr>
                        <w:rFonts w:ascii="Cambria Math" w:hAnsi="Cambria Math"/>
                        <w:sz w:val="24"/>
                        <w:szCs w:val="24"/>
                      </w:rPr>
                      <m:t>)</m:t>
                    </m:r>
                  </m:den>
                </m:f>
              </m:oMath>
            </m:oMathPara>
          </w:p>
        </w:tc>
      </w:tr>
      <w:tr w:rsidR="00695722" w:rsidRPr="00DC751F" w14:paraId="6579E3C1" w14:textId="77777777" w:rsidTr="00611626">
        <w:trPr>
          <w:trHeight w:val="570"/>
          <w:jc w:val="center"/>
        </w:trPr>
        <w:tc>
          <w:tcPr>
            <w:tcW w:w="1555" w:type="dxa"/>
            <w:vMerge w:val="restart"/>
            <w:tcBorders>
              <w:top w:val="single" w:sz="4" w:space="0" w:color="auto"/>
              <w:left w:val="single" w:sz="4" w:space="0" w:color="auto"/>
              <w:right w:val="single" w:sz="4" w:space="0" w:color="auto"/>
            </w:tcBorders>
            <w:vAlign w:val="center"/>
          </w:tcPr>
          <w:p w14:paraId="1CC7CFC2" w14:textId="77777777" w:rsidR="00A87A24" w:rsidRPr="00DC751F" w:rsidRDefault="00A87A24" w:rsidP="00611626">
            <w:pPr>
              <w:ind w:hanging="10"/>
              <w:jc w:val="center"/>
              <w:rPr>
                <w:rFonts w:ascii="Times New Roman" w:hAnsi="Times New Roman"/>
                <w:sz w:val="24"/>
                <w:szCs w:val="24"/>
              </w:rPr>
            </w:pPr>
            <w:r w:rsidRPr="00DC751F">
              <w:rPr>
                <w:rFonts w:ascii="Times New Roman" w:hAnsi="Times New Roman"/>
                <w:sz w:val="24"/>
                <w:szCs w:val="24"/>
              </w:rPr>
              <w:t>Ratios related to Management Efficiency</w:t>
            </w:r>
          </w:p>
        </w:tc>
        <w:tc>
          <w:tcPr>
            <w:tcW w:w="5296" w:type="dxa"/>
            <w:tcBorders>
              <w:top w:val="single" w:sz="4" w:space="0" w:color="auto"/>
              <w:left w:val="single" w:sz="4" w:space="0" w:color="auto"/>
              <w:bottom w:val="single" w:sz="4" w:space="0" w:color="auto"/>
              <w:right w:val="single" w:sz="4" w:space="0" w:color="auto"/>
            </w:tcBorders>
            <w:vAlign w:val="center"/>
          </w:tcPr>
          <w:p w14:paraId="387A05C4" w14:textId="6D86B4D7" w:rsidR="00A87A24" w:rsidRPr="00DC751F" w:rsidRDefault="00CA6036" w:rsidP="00611626">
            <w:pPr>
              <w:keepNext/>
              <w:shd w:val="clear" w:color="auto" w:fill="FFFFFF"/>
              <w:ind w:right="26" w:hanging="10"/>
              <w:rPr>
                <w:rFonts w:ascii="Times New Roman" w:hAnsi="Times New Roman"/>
                <w:sz w:val="24"/>
                <w:szCs w:val="24"/>
              </w:rPr>
            </w:pPr>
            <w:r>
              <w:rPr>
                <w:rFonts w:ascii="Times New Roman" w:hAnsi="Times New Roman"/>
                <w:sz w:val="24"/>
                <w:szCs w:val="24"/>
              </w:rPr>
              <w:t>Assets Turnover</w:t>
            </w:r>
            <w:r w:rsidR="00A87A24" w:rsidRPr="00DC751F">
              <w:rPr>
                <w:rFonts w:ascii="Times New Roman" w:hAnsi="Times New Roman"/>
                <w:sz w:val="24"/>
                <w:szCs w:val="24"/>
              </w:rPr>
              <w:t xml:space="preserve"> (ATO) = </w:t>
            </w:r>
            <m:oMath>
              <m:f>
                <m:fPr>
                  <m:ctrlPr>
                    <w:rPr>
                      <w:rFonts w:ascii="Cambria Math" w:hAnsi="Cambria Math"/>
                      <w:i/>
                      <w:sz w:val="24"/>
                      <w:szCs w:val="24"/>
                    </w:rPr>
                  </m:ctrlPr>
                </m:fPr>
                <m:num>
                  <m:r>
                    <w:rPr>
                      <w:rFonts w:ascii="Cambria Math" w:hAnsi="Cambria Math"/>
                      <w:sz w:val="24"/>
                      <w:szCs w:val="24"/>
                    </w:rPr>
                    <m:t>Revenues</m:t>
                  </m:r>
                </m:num>
                <m:den>
                  <m:r>
                    <w:rPr>
                      <w:rFonts w:ascii="Cambria Math" w:hAnsi="Cambria Math"/>
                      <w:sz w:val="24"/>
                      <w:szCs w:val="24"/>
                    </w:rPr>
                    <m:t>Total assets</m:t>
                  </m:r>
                </m:den>
              </m:f>
            </m:oMath>
          </w:p>
        </w:tc>
        <w:tc>
          <w:tcPr>
            <w:tcW w:w="2402" w:type="dxa"/>
            <w:tcBorders>
              <w:top w:val="single" w:sz="4" w:space="0" w:color="auto"/>
              <w:left w:val="single" w:sz="4" w:space="0" w:color="auto"/>
              <w:bottom w:val="single" w:sz="4" w:space="0" w:color="auto"/>
              <w:right w:val="single" w:sz="4" w:space="0" w:color="auto"/>
            </w:tcBorders>
            <w:vAlign w:val="center"/>
          </w:tcPr>
          <w:p w14:paraId="3C3C0433" w14:textId="77777777" w:rsidR="00A87A24" w:rsidRPr="00DC751F" w:rsidRDefault="00000000" w:rsidP="00611626">
            <w:pPr>
              <w:keepNext/>
              <w:shd w:val="clear" w:color="auto" w:fill="FFFFFF"/>
              <w:ind w:hanging="10"/>
              <w:jc w:val="center"/>
              <w:rPr>
                <w:rFonts w:ascii="Times New Roman" w:hAnsi="Times New Roman"/>
                <w:sz w:val="24"/>
                <w:szCs w:val="24"/>
              </w:rPr>
            </w:pPr>
            <m:oMathPara>
              <m:oMath>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5</m:t>
                        </m:r>
                      </m:sub>
                    </m:sSub>
                  </m:num>
                  <m:den>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2</m:t>
                        </m:r>
                      </m:sub>
                    </m:sSub>
                  </m:den>
                </m:f>
              </m:oMath>
            </m:oMathPara>
          </w:p>
        </w:tc>
      </w:tr>
      <w:tr w:rsidR="00695722" w:rsidRPr="00DC751F" w14:paraId="47A2F27C" w14:textId="77777777" w:rsidTr="00611626">
        <w:trPr>
          <w:trHeight w:val="570"/>
          <w:jc w:val="center"/>
        </w:trPr>
        <w:tc>
          <w:tcPr>
            <w:tcW w:w="1555" w:type="dxa"/>
            <w:vMerge/>
            <w:tcBorders>
              <w:left w:val="single" w:sz="4" w:space="0" w:color="auto"/>
              <w:right w:val="single" w:sz="4" w:space="0" w:color="auto"/>
            </w:tcBorders>
            <w:vAlign w:val="center"/>
          </w:tcPr>
          <w:p w14:paraId="10234B0B" w14:textId="77777777" w:rsidR="00A87A24" w:rsidRPr="00DC751F" w:rsidRDefault="00A87A24" w:rsidP="00611626">
            <w:pPr>
              <w:ind w:hanging="10"/>
              <w:jc w:val="center"/>
              <w:rPr>
                <w:rFonts w:ascii="Times New Roman" w:hAnsi="Times New Roman"/>
                <w:sz w:val="24"/>
                <w:szCs w:val="24"/>
              </w:rPr>
            </w:pPr>
          </w:p>
        </w:tc>
        <w:tc>
          <w:tcPr>
            <w:tcW w:w="5296" w:type="dxa"/>
            <w:tcBorders>
              <w:top w:val="single" w:sz="4" w:space="0" w:color="auto"/>
              <w:left w:val="single" w:sz="4" w:space="0" w:color="auto"/>
              <w:bottom w:val="single" w:sz="4" w:space="0" w:color="auto"/>
              <w:right w:val="single" w:sz="4" w:space="0" w:color="auto"/>
            </w:tcBorders>
            <w:vAlign w:val="center"/>
          </w:tcPr>
          <w:p w14:paraId="35029600" w14:textId="77777777" w:rsidR="00A87A24" w:rsidRPr="00DC751F" w:rsidRDefault="00A87A24" w:rsidP="00611626">
            <w:pPr>
              <w:keepNext/>
              <w:shd w:val="clear" w:color="auto" w:fill="FFFFFF"/>
              <w:ind w:right="26" w:hanging="10"/>
              <w:rPr>
                <w:rFonts w:ascii="Times New Roman" w:hAnsi="Times New Roman"/>
                <w:sz w:val="24"/>
                <w:szCs w:val="24"/>
              </w:rPr>
            </w:pPr>
            <w:r w:rsidRPr="00DC751F">
              <w:rPr>
                <w:rFonts w:ascii="Times New Roman" w:hAnsi="Times New Roman"/>
                <w:sz w:val="24"/>
                <w:szCs w:val="24"/>
              </w:rPr>
              <w:t xml:space="preserve">Inventory Turnover (CIO) = </w:t>
            </w:r>
            <m:oMath>
              <m:f>
                <m:fPr>
                  <m:ctrlPr>
                    <w:rPr>
                      <w:rFonts w:ascii="Cambria Math" w:hAnsi="Cambria Math"/>
                      <w:i/>
                      <w:sz w:val="24"/>
                      <w:szCs w:val="24"/>
                    </w:rPr>
                  </m:ctrlPr>
                </m:fPr>
                <m:num>
                  <m:r>
                    <w:rPr>
                      <w:rFonts w:ascii="Cambria Math" w:hAnsi="Cambria Math"/>
                      <w:sz w:val="24"/>
                      <w:szCs w:val="24"/>
                    </w:rPr>
                    <m:t xml:space="preserve">COGS </m:t>
                  </m:r>
                </m:num>
                <m:den>
                  <m:r>
                    <w:rPr>
                      <w:rFonts w:ascii="Cambria Math" w:hAnsi="Cambria Math"/>
                      <w:sz w:val="24"/>
                      <w:szCs w:val="24"/>
                    </w:rPr>
                    <m:t>Inventory</m:t>
                  </m:r>
                </m:den>
              </m:f>
            </m:oMath>
          </w:p>
        </w:tc>
        <w:tc>
          <w:tcPr>
            <w:tcW w:w="2402" w:type="dxa"/>
            <w:tcBorders>
              <w:top w:val="single" w:sz="4" w:space="0" w:color="auto"/>
              <w:left w:val="single" w:sz="4" w:space="0" w:color="auto"/>
              <w:bottom w:val="single" w:sz="4" w:space="0" w:color="auto"/>
              <w:right w:val="single" w:sz="4" w:space="0" w:color="auto"/>
            </w:tcBorders>
            <w:vAlign w:val="center"/>
          </w:tcPr>
          <w:p w14:paraId="3F414FE6" w14:textId="77777777" w:rsidR="00A87A24" w:rsidRPr="00DC751F" w:rsidRDefault="00000000" w:rsidP="00611626">
            <w:pPr>
              <w:keepNext/>
              <w:shd w:val="clear" w:color="auto" w:fill="FFFFFF"/>
              <w:ind w:hanging="10"/>
              <w:jc w:val="center"/>
              <w:rPr>
                <w:rFonts w:ascii="Times New Roman" w:hAnsi="Times New Roman"/>
                <w:sz w:val="24"/>
                <w:szCs w:val="24"/>
              </w:rPr>
            </w:pPr>
            <m:oMathPara>
              <m:oMath>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7</m:t>
                        </m:r>
                      </m:sub>
                    </m:sSub>
                  </m:num>
                  <m:den>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8</m:t>
                        </m:r>
                      </m:sub>
                    </m:sSub>
                  </m:den>
                </m:f>
              </m:oMath>
            </m:oMathPara>
          </w:p>
        </w:tc>
      </w:tr>
      <w:tr w:rsidR="00695722" w:rsidRPr="00DC751F" w14:paraId="3A2676F7" w14:textId="77777777" w:rsidTr="00611626">
        <w:trPr>
          <w:trHeight w:val="800"/>
          <w:jc w:val="center"/>
        </w:trPr>
        <w:tc>
          <w:tcPr>
            <w:tcW w:w="1555" w:type="dxa"/>
            <w:vMerge/>
            <w:tcBorders>
              <w:left w:val="single" w:sz="4" w:space="0" w:color="auto"/>
              <w:right w:val="single" w:sz="4" w:space="0" w:color="auto"/>
            </w:tcBorders>
            <w:vAlign w:val="center"/>
          </w:tcPr>
          <w:p w14:paraId="513D6745" w14:textId="77777777" w:rsidR="00A87A24" w:rsidRPr="00DC751F" w:rsidRDefault="00A87A24" w:rsidP="00611626">
            <w:pPr>
              <w:ind w:hanging="10"/>
              <w:rPr>
                <w:rFonts w:ascii="Times New Roman" w:hAnsi="Times New Roman"/>
                <w:sz w:val="24"/>
                <w:szCs w:val="24"/>
              </w:rPr>
            </w:pPr>
          </w:p>
        </w:tc>
        <w:tc>
          <w:tcPr>
            <w:tcW w:w="5296" w:type="dxa"/>
            <w:tcBorders>
              <w:top w:val="single" w:sz="4" w:space="0" w:color="auto"/>
              <w:left w:val="single" w:sz="4" w:space="0" w:color="auto"/>
              <w:bottom w:val="single" w:sz="4" w:space="0" w:color="auto"/>
              <w:right w:val="single" w:sz="4" w:space="0" w:color="auto"/>
            </w:tcBorders>
            <w:vAlign w:val="center"/>
          </w:tcPr>
          <w:p w14:paraId="3BAFB54F" w14:textId="77777777" w:rsidR="00A87A24" w:rsidRPr="00DC751F" w:rsidRDefault="00A87A24" w:rsidP="00611626">
            <w:pPr>
              <w:keepNext/>
              <w:shd w:val="clear" w:color="auto" w:fill="FFFFFF"/>
              <w:ind w:right="26" w:hanging="10"/>
              <w:rPr>
                <w:rFonts w:ascii="Times New Roman" w:hAnsi="Times New Roman"/>
                <w:sz w:val="24"/>
                <w:szCs w:val="24"/>
              </w:rPr>
            </w:pPr>
            <w:r w:rsidRPr="00DC751F">
              <w:rPr>
                <w:rFonts w:ascii="Times New Roman" w:hAnsi="Times New Roman"/>
                <w:sz w:val="24"/>
                <w:szCs w:val="24"/>
              </w:rPr>
              <w:t xml:space="preserve">Receivable Turnover (CDO) = </w:t>
            </w:r>
            <m:oMath>
              <m:f>
                <m:fPr>
                  <m:ctrlPr>
                    <w:rPr>
                      <w:rFonts w:ascii="Cambria Math" w:hAnsi="Cambria Math"/>
                      <w:i/>
                      <w:sz w:val="24"/>
                      <w:szCs w:val="24"/>
                    </w:rPr>
                  </m:ctrlPr>
                </m:fPr>
                <m:num>
                  <m:r>
                    <w:rPr>
                      <w:rFonts w:ascii="Cambria Math" w:hAnsi="Cambria Math"/>
                      <w:sz w:val="24"/>
                      <w:szCs w:val="24"/>
                    </w:rPr>
                    <m:t>Revenues</m:t>
                  </m:r>
                </m:num>
                <m:den>
                  <m:r>
                    <w:rPr>
                      <w:rFonts w:ascii="Cambria Math" w:hAnsi="Cambria Math"/>
                      <w:sz w:val="24"/>
                      <w:szCs w:val="24"/>
                    </w:rPr>
                    <m:t>Receivables</m:t>
                  </m:r>
                </m:den>
              </m:f>
            </m:oMath>
          </w:p>
        </w:tc>
        <w:tc>
          <w:tcPr>
            <w:tcW w:w="2402" w:type="dxa"/>
            <w:tcBorders>
              <w:top w:val="single" w:sz="4" w:space="0" w:color="auto"/>
              <w:left w:val="single" w:sz="4" w:space="0" w:color="auto"/>
              <w:bottom w:val="single" w:sz="4" w:space="0" w:color="auto"/>
              <w:right w:val="single" w:sz="4" w:space="0" w:color="auto"/>
            </w:tcBorders>
            <w:vAlign w:val="center"/>
          </w:tcPr>
          <w:p w14:paraId="5ECB591C" w14:textId="77777777" w:rsidR="00A87A24" w:rsidRPr="00DC751F" w:rsidRDefault="00000000" w:rsidP="00611626">
            <w:pPr>
              <w:keepNext/>
              <w:shd w:val="clear" w:color="auto" w:fill="FFFFFF"/>
              <w:ind w:hanging="10"/>
              <w:jc w:val="center"/>
              <w:rPr>
                <w:rFonts w:ascii="Times New Roman" w:hAnsi="Times New Roman"/>
                <w:sz w:val="24"/>
                <w:szCs w:val="24"/>
              </w:rPr>
            </w:pPr>
            <m:oMathPara>
              <m:oMath>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5</m:t>
                        </m:r>
                      </m:sub>
                    </m:sSub>
                  </m:num>
                  <m:den>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9</m:t>
                        </m:r>
                      </m:sub>
                    </m:sSub>
                  </m:den>
                </m:f>
              </m:oMath>
            </m:oMathPara>
          </w:p>
        </w:tc>
      </w:tr>
      <w:tr w:rsidR="00695722" w:rsidRPr="00DC751F" w14:paraId="0AADF615" w14:textId="77777777" w:rsidTr="00611626">
        <w:trPr>
          <w:trHeight w:val="809"/>
          <w:jc w:val="center"/>
        </w:trPr>
        <w:tc>
          <w:tcPr>
            <w:tcW w:w="1555" w:type="dxa"/>
            <w:vMerge/>
            <w:tcBorders>
              <w:left w:val="single" w:sz="4" w:space="0" w:color="auto"/>
              <w:right w:val="single" w:sz="4" w:space="0" w:color="auto"/>
            </w:tcBorders>
            <w:vAlign w:val="center"/>
          </w:tcPr>
          <w:p w14:paraId="70AEBBDE" w14:textId="77777777" w:rsidR="00A87A24" w:rsidRPr="00DC751F" w:rsidRDefault="00A87A24" w:rsidP="00611626">
            <w:pPr>
              <w:ind w:hanging="10"/>
              <w:rPr>
                <w:rFonts w:ascii="Times New Roman" w:hAnsi="Times New Roman"/>
                <w:sz w:val="24"/>
                <w:szCs w:val="24"/>
              </w:rPr>
            </w:pPr>
          </w:p>
        </w:tc>
        <w:tc>
          <w:tcPr>
            <w:tcW w:w="5296" w:type="dxa"/>
            <w:tcBorders>
              <w:top w:val="single" w:sz="4" w:space="0" w:color="auto"/>
              <w:left w:val="single" w:sz="4" w:space="0" w:color="auto"/>
              <w:bottom w:val="single" w:sz="4" w:space="0" w:color="auto"/>
              <w:right w:val="single" w:sz="4" w:space="0" w:color="auto"/>
            </w:tcBorders>
            <w:vAlign w:val="center"/>
          </w:tcPr>
          <w:p w14:paraId="7A6A2131" w14:textId="77777777" w:rsidR="00A87A24" w:rsidRPr="00DC751F" w:rsidRDefault="00A87A24" w:rsidP="00611626">
            <w:pPr>
              <w:keepNext/>
              <w:shd w:val="clear" w:color="auto" w:fill="FFFFFF"/>
              <w:ind w:right="26" w:hanging="10"/>
              <w:rPr>
                <w:rFonts w:ascii="Times New Roman" w:hAnsi="Times New Roman"/>
                <w:sz w:val="24"/>
                <w:szCs w:val="24"/>
              </w:rPr>
            </w:pPr>
            <w:r w:rsidRPr="00DC751F">
              <w:rPr>
                <w:rFonts w:ascii="Times New Roman" w:hAnsi="Times New Roman"/>
                <w:sz w:val="24"/>
                <w:szCs w:val="24"/>
              </w:rPr>
              <w:t xml:space="preserve">Payable Turnover (CPO) = </w:t>
            </w:r>
            <m:oMath>
              <m:f>
                <m:fPr>
                  <m:ctrlPr>
                    <w:rPr>
                      <w:rFonts w:ascii="Cambria Math" w:hAnsi="Cambria Math"/>
                      <w:i/>
                      <w:sz w:val="24"/>
                      <w:szCs w:val="24"/>
                    </w:rPr>
                  </m:ctrlPr>
                </m:fPr>
                <m:num>
                  <m:r>
                    <w:rPr>
                      <w:rFonts w:ascii="Cambria Math" w:hAnsi="Cambria Math"/>
                      <w:sz w:val="24"/>
                      <w:szCs w:val="24"/>
                    </w:rPr>
                    <m:t>COGS</m:t>
                  </m:r>
                </m:num>
                <m:den>
                  <m:r>
                    <w:rPr>
                      <w:rFonts w:ascii="Cambria Math" w:hAnsi="Cambria Math"/>
                      <w:sz w:val="24"/>
                      <w:szCs w:val="24"/>
                    </w:rPr>
                    <m:t>Payables</m:t>
                  </m:r>
                </m:den>
              </m:f>
            </m:oMath>
          </w:p>
        </w:tc>
        <w:tc>
          <w:tcPr>
            <w:tcW w:w="2402" w:type="dxa"/>
            <w:tcBorders>
              <w:top w:val="single" w:sz="4" w:space="0" w:color="auto"/>
              <w:left w:val="single" w:sz="4" w:space="0" w:color="auto"/>
              <w:bottom w:val="single" w:sz="4" w:space="0" w:color="auto"/>
              <w:right w:val="single" w:sz="4" w:space="0" w:color="auto"/>
            </w:tcBorders>
            <w:vAlign w:val="center"/>
          </w:tcPr>
          <w:p w14:paraId="54884438" w14:textId="77777777" w:rsidR="00A87A24" w:rsidRPr="00DC751F" w:rsidRDefault="00000000" w:rsidP="00611626">
            <w:pPr>
              <w:keepNext/>
              <w:shd w:val="clear" w:color="auto" w:fill="FFFFFF"/>
              <w:ind w:hanging="10"/>
              <w:jc w:val="center"/>
              <w:rPr>
                <w:rFonts w:ascii="Times New Roman" w:hAnsi="Times New Roman"/>
                <w:sz w:val="24"/>
                <w:szCs w:val="24"/>
              </w:rPr>
            </w:pPr>
            <m:oMathPara>
              <m:oMath>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7</m:t>
                        </m:r>
                      </m:sub>
                    </m:sSub>
                  </m:num>
                  <m:den>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10</m:t>
                        </m:r>
                      </m:sub>
                    </m:sSub>
                  </m:den>
                </m:f>
              </m:oMath>
            </m:oMathPara>
          </w:p>
        </w:tc>
      </w:tr>
    </w:tbl>
    <w:p w14:paraId="4EC64005" w14:textId="1A36C9A2" w:rsidR="00491FB9" w:rsidRDefault="00491FB9" w:rsidP="00A87A24">
      <w:pPr>
        <w:rPr>
          <w:rFonts w:ascii="Times New Roman" w:hAnsi="Times New Roman" w:cs="Times New Roman"/>
          <w:b/>
          <w:sz w:val="24"/>
          <w:szCs w:val="24"/>
        </w:rPr>
      </w:pPr>
    </w:p>
    <w:p w14:paraId="5F2E3204" w14:textId="4BE79926" w:rsidR="00402F03" w:rsidRDefault="00491FB9" w:rsidP="00402F03">
      <w:pPr>
        <w:jc w:val="center"/>
        <w:rPr>
          <w:rFonts w:ascii="Times New Roman" w:hAnsi="Times New Roman" w:cs="Times New Roman"/>
          <w:b/>
          <w:sz w:val="24"/>
          <w:szCs w:val="24"/>
        </w:rPr>
      </w:pPr>
      <w:r>
        <w:rPr>
          <w:rFonts w:ascii="Times New Roman" w:hAnsi="Times New Roman" w:cs="Times New Roman"/>
          <w:b/>
          <w:sz w:val="24"/>
          <w:szCs w:val="24"/>
        </w:rPr>
        <w:br w:type="page"/>
      </w:r>
      <w:r w:rsidR="00402F03">
        <w:rPr>
          <w:rFonts w:ascii="Times New Roman" w:hAnsi="Times New Roman" w:cs="Times New Roman"/>
          <w:b/>
          <w:sz w:val="24"/>
          <w:szCs w:val="24"/>
        </w:rPr>
        <w:lastRenderedPageBreak/>
        <w:t>Supplementary Information</w:t>
      </w:r>
      <w:r w:rsidR="00402F03" w:rsidRPr="00DC751F">
        <w:rPr>
          <w:rFonts w:ascii="Times New Roman" w:hAnsi="Times New Roman" w:cs="Times New Roman"/>
          <w:b/>
          <w:sz w:val="24"/>
          <w:szCs w:val="24"/>
        </w:rPr>
        <w:t xml:space="preserve"> </w:t>
      </w:r>
      <w:r w:rsidR="00402F03">
        <w:rPr>
          <w:rFonts w:ascii="Times New Roman" w:hAnsi="Times New Roman" w:cs="Times New Roman"/>
          <w:b/>
          <w:sz w:val="24"/>
          <w:szCs w:val="24"/>
        </w:rPr>
        <w:t>2</w:t>
      </w:r>
    </w:p>
    <w:p w14:paraId="452976BC" w14:textId="69554F6C" w:rsidR="003F5D57" w:rsidRPr="00DC751F" w:rsidRDefault="003F5D57" w:rsidP="00402F03">
      <w:pPr>
        <w:jc w:val="center"/>
        <w:rPr>
          <w:rFonts w:ascii="Times New Roman" w:hAnsi="Times New Roman" w:cs="Times New Roman"/>
          <w:b/>
          <w:sz w:val="24"/>
          <w:szCs w:val="24"/>
        </w:rPr>
      </w:pPr>
      <w:r>
        <w:rPr>
          <w:rFonts w:ascii="Times New Roman" w:hAnsi="Times New Roman" w:cs="Times New Roman"/>
          <w:b/>
          <w:sz w:val="24"/>
          <w:szCs w:val="24"/>
        </w:rPr>
        <w:t xml:space="preserve">Transition Matrix: </w:t>
      </w:r>
      <w:r w:rsidRPr="003F5D57">
        <w:rPr>
          <w:rFonts w:ascii="Times New Roman" w:hAnsi="Times New Roman" w:cs="Times New Roman"/>
          <w:b/>
          <w:sz w:val="24"/>
          <w:szCs w:val="24"/>
        </w:rPr>
        <w:t>One-year transitions between financial profiles</w:t>
      </w: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5"/>
        <w:gridCol w:w="1549"/>
        <w:gridCol w:w="1549"/>
        <w:gridCol w:w="1549"/>
        <w:gridCol w:w="1550"/>
        <w:gridCol w:w="1363"/>
      </w:tblGrid>
      <w:tr w:rsidR="00402F03" w:rsidRPr="00402F03" w14:paraId="28ADCFD3" w14:textId="77777777" w:rsidTr="003F5D57">
        <w:trPr>
          <w:trHeight w:val="576"/>
        </w:trPr>
        <w:tc>
          <w:tcPr>
            <w:tcW w:w="1525" w:type="dxa"/>
            <w:vAlign w:val="center"/>
            <w:hideMark/>
          </w:tcPr>
          <w:p w14:paraId="5F83E3B8" w14:textId="37939A65" w:rsidR="00402F03" w:rsidRPr="00402F03" w:rsidRDefault="00402F03" w:rsidP="003F5D57">
            <w:pPr>
              <w:spacing w:after="0" w:line="240" w:lineRule="auto"/>
              <w:jc w:val="center"/>
              <w:rPr>
                <w:rFonts w:ascii="Times New Roman" w:eastAsia="Times New Roman" w:hAnsi="Times New Roman" w:cs="Times New Roman"/>
                <w:b/>
                <w:bCs/>
                <w:color w:val="000000"/>
                <w:kern w:val="0"/>
                <w:sz w:val="24"/>
                <w:szCs w:val="24"/>
                <w14:ligatures w14:val="none"/>
              </w:rPr>
            </w:pPr>
            <w:r w:rsidRPr="00402F03">
              <w:rPr>
                <w:rFonts w:ascii="Times New Roman" w:eastAsia="Times New Roman" w:hAnsi="Times New Roman" w:cs="Times New Roman"/>
                <w:b/>
                <w:bCs/>
                <w:color w:val="000000"/>
                <w:kern w:val="0"/>
                <w:sz w:val="24"/>
                <w:szCs w:val="24"/>
                <w14:ligatures w14:val="none"/>
              </w:rPr>
              <w:t xml:space="preserve">Profile at </w:t>
            </w:r>
            <w:r w:rsidR="003F5D57" w:rsidRPr="003F5D57">
              <w:rPr>
                <w:rFonts w:ascii="Times New Roman" w:eastAsia="Times New Roman" w:hAnsi="Times New Roman" w:cs="Times New Roman"/>
                <w:b/>
                <w:bCs/>
                <w:i/>
                <w:iCs/>
                <w:color w:val="000000"/>
                <w:kern w:val="0"/>
                <w:sz w:val="24"/>
                <w:szCs w:val="24"/>
                <w14:ligatures w14:val="none"/>
              </w:rPr>
              <w:t>t-1</w:t>
            </w:r>
          </w:p>
        </w:tc>
        <w:tc>
          <w:tcPr>
            <w:tcW w:w="1549" w:type="dxa"/>
            <w:vAlign w:val="center"/>
            <w:hideMark/>
          </w:tcPr>
          <w:p w14:paraId="61C3FCC8" w14:textId="3496F905" w:rsidR="00402F03" w:rsidRPr="00402F03" w:rsidRDefault="00402F03" w:rsidP="003F5D57">
            <w:pPr>
              <w:spacing w:after="0" w:line="240" w:lineRule="auto"/>
              <w:jc w:val="center"/>
              <w:rPr>
                <w:rFonts w:ascii="Times New Roman" w:eastAsia="Times New Roman" w:hAnsi="Times New Roman" w:cs="Times New Roman"/>
                <w:b/>
                <w:bCs/>
                <w:color w:val="000000"/>
                <w:kern w:val="0"/>
                <w:sz w:val="24"/>
                <w:szCs w:val="24"/>
                <w14:ligatures w14:val="none"/>
              </w:rPr>
            </w:pPr>
            <w:r w:rsidRPr="00402F03">
              <w:rPr>
                <w:rFonts w:ascii="Times New Roman" w:eastAsia="Times New Roman" w:hAnsi="Times New Roman" w:cs="Times New Roman"/>
                <w:b/>
                <w:bCs/>
                <w:color w:val="000000"/>
                <w:kern w:val="0"/>
                <w:sz w:val="24"/>
                <w:szCs w:val="24"/>
                <w14:ligatures w14:val="none"/>
              </w:rPr>
              <w:t xml:space="preserve">Cluster 1 at </w:t>
            </w:r>
            <w:r w:rsidRPr="003F5D57">
              <w:rPr>
                <w:rFonts w:ascii="Times New Roman" w:eastAsia="Times New Roman" w:hAnsi="Times New Roman" w:cs="Times New Roman"/>
                <w:b/>
                <w:bCs/>
                <w:i/>
                <w:iCs/>
                <w:color w:val="000000"/>
                <w:kern w:val="0"/>
                <w:sz w:val="24"/>
                <w:szCs w:val="24"/>
                <w14:ligatures w14:val="none"/>
              </w:rPr>
              <w:t>t</w:t>
            </w:r>
          </w:p>
        </w:tc>
        <w:tc>
          <w:tcPr>
            <w:tcW w:w="1549" w:type="dxa"/>
            <w:vAlign w:val="center"/>
            <w:hideMark/>
          </w:tcPr>
          <w:p w14:paraId="36C576EC" w14:textId="1EDC16FA" w:rsidR="00402F03" w:rsidRPr="00402F03" w:rsidRDefault="00402F03" w:rsidP="003F5D57">
            <w:pPr>
              <w:spacing w:after="0" w:line="240" w:lineRule="auto"/>
              <w:jc w:val="center"/>
              <w:rPr>
                <w:rFonts w:ascii="Times New Roman" w:eastAsia="Times New Roman" w:hAnsi="Times New Roman" w:cs="Times New Roman"/>
                <w:b/>
                <w:bCs/>
                <w:color w:val="000000"/>
                <w:kern w:val="0"/>
                <w:sz w:val="24"/>
                <w:szCs w:val="24"/>
                <w14:ligatures w14:val="none"/>
              </w:rPr>
            </w:pPr>
            <w:r w:rsidRPr="00402F03">
              <w:rPr>
                <w:rFonts w:ascii="Times New Roman" w:eastAsia="Times New Roman" w:hAnsi="Times New Roman" w:cs="Times New Roman"/>
                <w:b/>
                <w:bCs/>
                <w:color w:val="000000"/>
                <w:kern w:val="0"/>
                <w:sz w:val="24"/>
                <w:szCs w:val="24"/>
                <w14:ligatures w14:val="none"/>
              </w:rPr>
              <w:t xml:space="preserve">Cluster 2 at </w:t>
            </w:r>
            <w:r w:rsidRPr="003F5D57">
              <w:rPr>
                <w:rFonts w:ascii="Times New Roman" w:eastAsia="Times New Roman" w:hAnsi="Times New Roman" w:cs="Times New Roman"/>
                <w:b/>
                <w:bCs/>
                <w:i/>
                <w:iCs/>
                <w:color w:val="000000"/>
                <w:kern w:val="0"/>
                <w:sz w:val="24"/>
                <w:szCs w:val="24"/>
                <w14:ligatures w14:val="none"/>
              </w:rPr>
              <w:t>t</w:t>
            </w:r>
          </w:p>
        </w:tc>
        <w:tc>
          <w:tcPr>
            <w:tcW w:w="1549" w:type="dxa"/>
            <w:vAlign w:val="center"/>
            <w:hideMark/>
          </w:tcPr>
          <w:p w14:paraId="507015A6" w14:textId="7C6A2658" w:rsidR="00402F03" w:rsidRPr="00402F03" w:rsidRDefault="00402F03" w:rsidP="003F5D57">
            <w:pPr>
              <w:spacing w:after="0" w:line="240" w:lineRule="auto"/>
              <w:jc w:val="center"/>
              <w:rPr>
                <w:rFonts w:ascii="Times New Roman" w:eastAsia="Times New Roman" w:hAnsi="Times New Roman" w:cs="Times New Roman"/>
                <w:b/>
                <w:bCs/>
                <w:color w:val="000000"/>
                <w:kern w:val="0"/>
                <w:sz w:val="24"/>
                <w:szCs w:val="24"/>
                <w14:ligatures w14:val="none"/>
              </w:rPr>
            </w:pPr>
            <w:r w:rsidRPr="00402F03">
              <w:rPr>
                <w:rFonts w:ascii="Times New Roman" w:eastAsia="Times New Roman" w:hAnsi="Times New Roman" w:cs="Times New Roman"/>
                <w:b/>
                <w:bCs/>
                <w:color w:val="000000"/>
                <w:kern w:val="0"/>
                <w:sz w:val="24"/>
                <w:szCs w:val="24"/>
                <w14:ligatures w14:val="none"/>
              </w:rPr>
              <w:t xml:space="preserve">Cluster 3 at </w:t>
            </w:r>
            <w:r w:rsidRPr="003F5D57">
              <w:rPr>
                <w:rFonts w:ascii="Times New Roman" w:eastAsia="Times New Roman" w:hAnsi="Times New Roman" w:cs="Times New Roman"/>
                <w:b/>
                <w:bCs/>
                <w:i/>
                <w:iCs/>
                <w:color w:val="000000"/>
                <w:kern w:val="0"/>
                <w:sz w:val="24"/>
                <w:szCs w:val="24"/>
                <w14:ligatures w14:val="none"/>
              </w:rPr>
              <w:t>t</w:t>
            </w:r>
          </w:p>
        </w:tc>
        <w:tc>
          <w:tcPr>
            <w:tcW w:w="1550" w:type="dxa"/>
            <w:vAlign w:val="center"/>
            <w:hideMark/>
          </w:tcPr>
          <w:p w14:paraId="76FB59F1" w14:textId="0F4E00A6" w:rsidR="00402F03" w:rsidRPr="00402F03" w:rsidRDefault="00402F03" w:rsidP="003F5D57">
            <w:pPr>
              <w:spacing w:after="0" w:line="240" w:lineRule="auto"/>
              <w:jc w:val="center"/>
              <w:rPr>
                <w:rFonts w:ascii="Times New Roman" w:eastAsia="Times New Roman" w:hAnsi="Times New Roman" w:cs="Times New Roman"/>
                <w:b/>
                <w:bCs/>
                <w:color w:val="000000"/>
                <w:kern w:val="0"/>
                <w:sz w:val="24"/>
                <w:szCs w:val="24"/>
                <w14:ligatures w14:val="none"/>
              </w:rPr>
            </w:pPr>
            <w:r w:rsidRPr="00402F03">
              <w:rPr>
                <w:rFonts w:ascii="Times New Roman" w:eastAsia="Times New Roman" w:hAnsi="Times New Roman" w:cs="Times New Roman"/>
                <w:b/>
                <w:bCs/>
                <w:color w:val="000000"/>
                <w:kern w:val="0"/>
                <w:sz w:val="24"/>
                <w:szCs w:val="24"/>
                <w14:ligatures w14:val="none"/>
              </w:rPr>
              <w:t xml:space="preserve">Cluster 4 at </w:t>
            </w:r>
            <w:r w:rsidRPr="003F5D57">
              <w:rPr>
                <w:rFonts w:ascii="Times New Roman" w:eastAsia="Times New Roman" w:hAnsi="Times New Roman" w:cs="Times New Roman"/>
                <w:b/>
                <w:bCs/>
                <w:i/>
                <w:iCs/>
                <w:color w:val="000000"/>
                <w:kern w:val="0"/>
                <w:sz w:val="24"/>
                <w:szCs w:val="24"/>
                <w14:ligatures w14:val="none"/>
              </w:rPr>
              <w:t>t</w:t>
            </w:r>
          </w:p>
        </w:tc>
        <w:tc>
          <w:tcPr>
            <w:tcW w:w="1363" w:type="dxa"/>
            <w:vAlign w:val="center"/>
            <w:hideMark/>
          </w:tcPr>
          <w:p w14:paraId="23B66E2F" w14:textId="77777777" w:rsidR="00402F03" w:rsidRPr="00402F03" w:rsidRDefault="00402F03" w:rsidP="003F5D57">
            <w:pPr>
              <w:spacing w:after="0" w:line="240" w:lineRule="auto"/>
              <w:jc w:val="center"/>
              <w:rPr>
                <w:rFonts w:ascii="Times New Roman" w:eastAsia="Times New Roman" w:hAnsi="Times New Roman" w:cs="Times New Roman"/>
                <w:b/>
                <w:bCs/>
                <w:color w:val="000000"/>
                <w:kern w:val="0"/>
                <w:sz w:val="24"/>
                <w:szCs w:val="24"/>
                <w14:ligatures w14:val="none"/>
              </w:rPr>
            </w:pPr>
            <w:r w:rsidRPr="00402F03">
              <w:rPr>
                <w:rFonts w:ascii="Times New Roman" w:eastAsia="Times New Roman" w:hAnsi="Times New Roman" w:cs="Times New Roman"/>
                <w:b/>
                <w:bCs/>
                <w:color w:val="000000"/>
                <w:kern w:val="0"/>
                <w:sz w:val="24"/>
                <w:szCs w:val="24"/>
                <w14:ligatures w14:val="none"/>
              </w:rPr>
              <w:t>Persistence</w:t>
            </w:r>
          </w:p>
        </w:tc>
      </w:tr>
      <w:tr w:rsidR="00402F03" w:rsidRPr="00402F03" w14:paraId="4EF7C9DF" w14:textId="77777777" w:rsidTr="003F5D57">
        <w:trPr>
          <w:trHeight w:val="288"/>
        </w:trPr>
        <w:tc>
          <w:tcPr>
            <w:tcW w:w="1525" w:type="dxa"/>
            <w:vAlign w:val="center"/>
            <w:hideMark/>
          </w:tcPr>
          <w:p w14:paraId="2F0AA7D2" w14:textId="77777777" w:rsidR="00402F03" w:rsidRPr="00402F03" w:rsidRDefault="00402F03" w:rsidP="003F5D57">
            <w:pPr>
              <w:spacing w:after="0" w:line="240" w:lineRule="auto"/>
              <w:jc w:val="center"/>
              <w:rPr>
                <w:rFonts w:ascii="Times New Roman" w:eastAsia="Times New Roman" w:hAnsi="Times New Roman" w:cs="Times New Roman"/>
                <w:color w:val="000000"/>
                <w:kern w:val="0"/>
                <w:sz w:val="24"/>
                <w:szCs w:val="24"/>
                <w14:ligatures w14:val="none"/>
              </w:rPr>
            </w:pPr>
            <w:r w:rsidRPr="00402F03">
              <w:rPr>
                <w:rFonts w:ascii="Times New Roman" w:eastAsia="Times New Roman" w:hAnsi="Times New Roman" w:cs="Times New Roman"/>
                <w:color w:val="000000"/>
                <w:kern w:val="0"/>
                <w:sz w:val="24"/>
                <w:szCs w:val="24"/>
                <w14:ligatures w14:val="none"/>
              </w:rPr>
              <w:t>Cluster 1</w:t>
            </w:r>
          </w:p>
        </w:tc>
        <w:tc>
          <w:tcPr>
            <w:tcW w:w="1549" w:type="dxa"/>
            <w:vAlign w:val="center"/>
            <w:hideMark/>
          </w:tcPr>
          <w:p w14:paraId="46D4F8C8" w14:textId="77777777" w:rsidR="00402F03" w:rsidRPr="00402F03" w:rsidRDefault="00402F03" w:rsidP="003F5D57">
            <w:pPr>
              <w:spacing w:after="0" w:line="240" w:lineRule="auto"/>
              <w:jc w:val="center"/>
              <w:rPr>
                <w:rFonts w:ascii="Times New Roman" w:eastAsia="Times New Roman" w:hAnsi="Times New Roman" w:cs="Times New Roman"/>
                <w:color w:val="000000"/>
                <w:kern w:val="0"/>
                <w:sz w:val="24"/>
                <w:szCs w:val="24"/>
                <w14:ligatures w14:val="none"/>
              </w:rPr>
            </w:pPr>
            <w:r w:rsidRPr="00402F03">
              <w:rPr>
                <w:rFonts w:ascii="Times New Roman" w:eastAsia="Times New Roman" w:hAnsi="Times New Roman" w:cs="Times New Roman"/>
                <w:color w:val="000000"/>
                <w:kern w:val="0"/>
                <w:sz w:val="24"/>
                <w:szCs w:val="24"/>
                <w14:ligatures w14:val="none"/>
              </w:rPr>
              <w:t>113</w:t>
            </w:r>
          </w:p>
        </w:tc>
        <w:tc>
          <w:tcPr>
            <w:tcW w:w="1549" w:type="dxa"/>
            <w:vAlign w:val="center"/>
            <w:hideMark/>
          </w:tcPr>
          <w:p w14:paraId="7358F429" w14:textId="77777777" w:rsidR="00402F03" w:rsidRPr="00402F03" w:rsidRDefault="00402F03" w:rsidP="003F5D57">
            <w:pPr>
              <w:spacing w:after="0" w:line="240" w:lineRule="auto"/>
              <w:jc w:val="center"/>
              <w:rPr>
                <w:rFonts w:ascii="Times New Roman" w:eastAsia="Times New Roman" w:hAnsi="Times New Roman" w:cs="Times New Roman"/>
                <w:color w:val="000000"/>
                <w:kern w:val="0"/>
                <w:sz w:val="24"/>
                <w:szCs w:val="24"/>
                <w14:ligatures w14:val="none"/>
              </w:rPr>
            </w:pPr>
            <w:r w:rsidRPr="00402F03">
              <w:rPr>
                <w:rFonts w:ascii="Times New Roman" w:eastAsia="Times New Roman" w:hAnsi="Times New Roman" w:cs="Times New Roman"/>
                <w:color w:val="000000"/>
                <w:kern w:val="0"/>
                <w:sz w:val="24"/>
                <w:szCs w:val="24"/>
                <w14:ligatures w14:val="none"/>
              </w:rPr>
              <w:t>1</w:t>
            </w:r>
          </w:p>
        </w:tc>
        <w:tc>
          <w:tcPr>
            <w:tcW w:w="1549" w:type="dxa"/>
            <w:vAlign w:val="center"/>
            <w:hideMark/>
          </w:tcPr>
          <w:p w14:paraId="369BAB20" w14:textId="77777777" w:rsidR="00402F03" w:rsidRPr="00402F03" w:rsidRDefault="00402F03" w:rsidP="003F5D57">
            <w:pPr>
              <w:spacing w:after="0" w:line="240" w:lineRule="auto"/>
              <w:jc w:val="center"/>
              <w:rPr>
                <w:rFonts w:ascii="Times New Roman" w:eastAsia="Times New Roman" w:hAnsi="Times New Roman" w:cs="Times New Roman"/>
                <w:color w:val="000000"/>
                <w:kern w:val="0"/>
                <w:sz w:val="24"/>
                <w:szCs w:val="24"/>
                <w14:ligatures w14:val="none"/>
              </w:rPr>
            </w:pPr>
            <w:r w:rsidRPr="00402F03">
              <w:rPr>
                <w:rFonts w:ascii="Times New Roman" w:eastAsia="Times New Roman" w:hAnsi="Times New Roman" w:cs="Times New Roman"/>
                <w:color w:val="000000"/>
                <w:kern w:val="0"/>
                <w:sz w:val="24"/>
                <w:szCs w:val="24"/>
                <w14:ligatures w14:val="none"/>
              </w:rPr>
              <w:t>33</w:t>
            </w:r>
          </w:p>
        </w:tc>
        <w:tc>
          <w:tcPr>
            <w:tcW w:w="1550" w:type="dxa"/>
            <w:vAlign w:val="center"/>
            <w:hideMark/>
          </w:tcPr>
          <w:p w14:paraId="0D00C990" w14:textId="77777777" w:rsidR="00402F03" w:rsidRPr="00402F03" w:rsidRDefault="00402F03" w:rsidP="003F5D57">
            <w:pPr>
              <w:spacing w:after="0" w:line="240" w:lineRule="auto"/>
              <w:jc w:val="center"/>
              <w:rPr>
                <w:rFonts w:ascii="Times New Roman" w:eastAsia="Times New Roman" w:hAnsi="Times New Roman" w:cs="Times New Roman"/>
                <w:color w:val="000000"/>
                <w:kern w:val="0"/>
                <w:sz w:val="24"/>
                <w:szCs w:val="24"/>
                <w14:ligatures w14:val="none"/>
              </w:rPr>
            </w:pPr>
            <w:r w:rsidRPr="00402F03">
              <w:rPr>
                <w:rFonts w:ascii="Times New Roman" w:eastAsia="Times New Roman" w:hAnsi="Times New Roman" w:cs="Times New Roman"/>
                <w:color w:val="000000"/>
                <w:kern w:val="0"/>
                <w:sz w:val="24"/>
                <w:szCs w:val="24"/>
                <w14:ligatures w14:val="none"/>
              </w:rPr>
              <w:t>3</w:t>
            </w:r>
          </w:p>
        </w:tc>
        <w:tc>
          <w:tcPr>
            <w:tcW w:w="1363" w:type="dxa"/>
            <w:vAlign w:val="center"/>
            <w:hideMark/>
          </w:tcPr>
          <w:p w14:paraId="7241521B" w14:textId="77777777" w:rsidR="00402F03" w:rsidRPr="00402F03" w:rsidRDefault="00402F03" w:rsidP="003F5D57">
            <w:pPr>
              <w:spacing w:after="0" w:line="240" w:lineRule="auto"/>
              <w:jc w:val="center"/>
              <w:rPr>
                <w:rFonts w:ascii="Times New Roman" w:eastAsia="Times New Roman" w:hAnsi="Times New Roman" w:cs="Times New Roman"/>
                <w:color w:val="000000"/>
                <w:kern w:val="0"/>
                <w:sz w:val="24"/>
                <w:szCs w:val="24"/>
                <w14:ligatures w14:val="none"/>
              </w:rPr>
            </w:pPr>
            <w:r w:rsidRPr="00402F03">
              <w:rPr>
                <w:rFonts w:ascii="Times New Roman" w:eastAsia="Times New Roman" w:hAnsi="Times New Roman" w:cs="Times New Roman"/>
                <w:color w:val="000000"/>
                <w:kern w:val="0"/>
                <w:sz w:val="24"/>
                <w:szCs w:val="24"/>
                <w14:ligatures w14:val="none"/>
              </w:rPr>
              <w:t>75.30%</w:t>
            </w:r>
          </w:p>
        </w:tc>
      </w:tr>
      <w:tr w:rsidR="00402F03" w:rsidRPr="00402F03" w14:paraId="46F8FB43" w14:textId="77777777" w:rsidTr="003F5D57">
        <w:trPr>
          <w:trHeight w:val="288"/>
        </w:trPr>
        <w:tc>
          <w:tcPr>
            <w:tcW w:w="1525" w:type="dxa"/>
            <w:vAlign w:val="center"/>
            <w:hideMark/>
          </w:tcPr>
          <w:p w14:paraId="130857CA" w14:textId="77777777" w:rsidR="00402F03" w:rsidRPr="00402F03" w:rsidRDefault="00402F03" w:rsidP="003F5D57">
            <w:pPr>
              <w:spacing w:after="0" w:line="240" w:lineRule="auto"/>
              <w:jc w:val="center"/>
              <w:rPr>
                <w:rFonts w:ascii="Times New Roman" w:eastAsia="Times New Roman" w:hAnsi="Times New Roman" w:cs="Times New Roman"/>
                <w:color w:val="000000"/>
                <w:kern w:val="0"/>
                <w:sz w:val="24"/>
                <w:szCs w:val="24"/>
                <w14:ligatures w14:val="none"/>
              </w:rPr>
            </w:pPr>
            <w:r w:rsidRPr="00402F03">
              <w:rPr>
                <w:rFonts w:ascii="Times New Roman" w:eastAsia="Times New Roman" w:hAnsi="Times New Roman" w:cs="Times New Roman"/>
                <w:color w:val="000000"/>
                <w:kern w:val="0"/>
                <w:sz w:val="24"/>
                <w:szCs w:val="24"/>
                <w14:ligatures w14:val="none"/>
              </w:rPr>
              <w:t>Cluster 2</w:t>
            </w:r>
          </w:p>
        </w:tc>
        <w:tc>
          <w:tcPr>
            <w:tcW w:w="1549" w:type="dxa"/>
            <w:vAlign w:val="center"/>
            <w:hideMark/>
          </w:tcPr>
          <w:p w14:paraId="421CA9D0" w14:textId="77777777" w:rsidR="00402F03" w:rsidRPr="00402F03" w:rsidRDefault="00402F03" w:rsidP="003F5D57">
            <w:pPr>
              <w:spacing w:after="0" w:line="240" w:lineRule="auto"/>
              <w:jc w:val="center"/>
              <w:rPr>
                <w:rFonts w:ascii="Times New Roman" w:eastAsia="Times New Roman" w:hAnsi="Times New Roman" w:cs="Times New Roman"/>
                <w:color w:val="000000"/>
                <w:kern w:val="0"/>
                <w:sz w:val="24"/>
                <w:szCs w:val="24"/>
                <w14:ligatures w14:val="none"/>
              </w:rPr>
            </w:pPr>
            <w:r w:rsidRPr="00402F03">
              <w:rPr>
                <w:rFonts w:ascii="Times New Roman" w:eastAsia="Times New Roman" w:hAnsi="Times New Roman" w:cs="Times New Roman"/>
                <w:color w:val="000000"/>
                <w:kern w:val="0"/>
                <w:sz w:val="24"/>
                <w:szCs w:val="24"/>
                <w14:ligatures w14:val="none"/>
              </w:rPr>
              <w:t>0</w:t>
            </w:r>
          </w:p>
        </w:tc>
        <w:tc>
          <w:tcPr>
            <w:tcW w:w="1549" w:type="dxa"/>
            <w:vAlign w:val="center"/>
            <w:hideMark/>
          </w:tcPr>
          <w:p w14:paraId="60AB6AB3" w14:textId="77777777" w:rsidR="00402F03" w:rsidRPr="00402F03" w:rsidRDefault="00402F03" w:rsidP="003F5D57">
            <w:pPr>
              <w:spacing w:after="0" w:line="240" w:lineRule="auto"/>
              <w:jc w:val="center"/>
              <w:rPr>
                <w:rFonts w:ascii="Times New Roman" w:eastAsia="Times New Roman" w:hAnsi="Times New Roman" w:cs="Times New Roman"/>
                <w:color w:val="000000"/>
                <w:kern w:val="0"/>
                <w:sz w:val="24"/>
                <w:szCs w:val="24"/>
                <w14:ligatures w14:val="none"/>
              </w:rPr>
            </w:pPr>
            <w:r w:rsidRPr="00402F03">
              <w:rPr>
                <w:rFonts w:ascii="Times New Roman" w:eastAsia="Times New Roman" w:hAnsi="Times New Roman" w:cs="Times New Roman"/>
                <w:color w:val="000000"/>
                <w:kern w:val="0"/>
                <w:sz w:val="24"/>
                <w:szCs w:val="24"/>
                <w14:ligatures w14:val="none"/>
              </w:rPr>
              <w:t>154</w:t>
            </w:r>
          </w:p>
        </w:tc>
        <w:tc>
          <w:tcPr>
            <w:tcW w:w="1549" w:type="dxa"/>
            <w:vAlign w:val="center"/>
            <w:hideMark/>
          </w:tcPr>
          <w:p w14:paraId="2B294293" w14:textId="77777777" w:rsidR="00402F03" w:rsidRPr="00402F03" w:rsidRDefault="00402F03" w:rsidP="003F5D57">
            <w:pPr>
              <w:spacing w:after="0" w:line="240" w:lineRule="auto"/>
              <w:jc w:val="center"/>
              <w:rPr>
                <w:rFonts w:ascii="Times New Roman" w:eastAsia="Times New Roman" w:hAnsi="Times New Roman" w:cs="Times New Roman"/>
                <w:color w:val="000000"/>
                <w:kern w:val="0"/>
                <w:sz w:val="24"/>
                <w:szCs w:val="24"/>
                <w14:ligatures w14:val="none"/>
              </w:rPr>
            </w:pPr>
            <w:r w:rsidRPr="00402F03">
              <w:rPr>
                <w:rFonts w:ascii="Times New Roman" w:eastAsia="Times New Roman" w:hAnsi="Times New Roman" w:cs="Times New Roman"/>
                <w:color w:val="000000"/>
                <w:kern w:val="0"/>
                <w:sz w:val="24"/>
                <w:szCs w:val="24"/>
                <w14:ligatures w14:val="none"/>
              </w:rPr>
              <w:t>1</w:t>
            </w:r>
          </w:p>
        </w:tc>
        <w:tc>
          <w:tcPr>
            <w:tcW w:w="1550" w:type="dxa"/>
            <w:vAlign w:val="center"/>
            <w:hideMark/>
          </w:tcPr>
          <w:p w14:paraId="68EBCA4E" w14:textId="77777777" w:rsidR="00402F03" w:rsidRPr="00402F03" w:rsidRDefault="00402F03" w:rsidP="003F5D57">
            <w:pPr>
              <w:spacing w:after="0" w:line="240" w:lineRule="auto"/>
              <w:jc w:val="center"/>
              <w:rPr>
                <w:rFonts w:ascii="Times New Roman" w:eastAsia="Times New Roman" w:hAnsi="Times New Roman" w:cs="Times New Roman"/>
                <w:color w:val="000000"/>
                <w:kern w:val="0"/>
                <w:sz w:val="24"/>
                <w:szCs w:val="24"/>
                <w14:ligatures w14:val="none"/>
              </w:rPr>
            </w:pPr>
            <w:r w:rsidRPr="00402F03">
              <w:rPr>
                <w:rFonts w:ascii="Times New Roman" w:eastAsia="Times New Roman" w:hAnsi="Times New Roman" w:cs="Times New Roman"/>
                <w:color w:val="000000"/>
                <w:kern w:val="0"/>
                <w:sz w:val="24"/>
                <w:szCs w:val="24"/>
                <w14:ligatures w14:val="none"/>
              </w:rPr>
              <w:t>10</w:t>
            </w:r>
          </w:p>
        </w:tc>
        <w:tc>
          <w:tcPr>
            <w:tcW w:w="1363" w:type="dxa"/>
            <w:vAlign w:val="center"/>
            <w:hideMark/>
          </w:tcPr>
          <w:p w14:paraId="38BD086C" w14:textId="77777777" w:rsidR="00402F03" w:rsidRPr="00402F03" w:rsidRDefault="00402F03" w:rsidP="003F5D57">
            <w:pPr>
              <w:spacing w:after="0" w:line="240" w:lineRule="auto"/>
              <w:jc w:val="center"/>
              <w:rPr>
                <w:rFonts w:ascii="Times New Roman" w:eastAsia="Times New Roman" w:hAnsi="Times New Roman" w:cs="Times New Roman"/>
                <w:color w:val="000000"/>
                <w:kern w:val="0"/>
                <w:sz w:val="24"/>
                <w:szCs w:val="24"/>
                <w14:ligatures w14:val="none"/>
              </w:rPr>
            </w:pPr>
            <w:r w:rsidRPr="00402F03">
              <w:rPr>
                <w:rFonts w:ascii="Times New Roman" w:eastAsia="Times New Roman" w:hAnsi="Times New Roman" w:cs="Times New Roman"/>
                <w:color w:val="000000"/>
                <w:kern w:val="0"/>
                <w:sz w:val="24"/>
                <w:szCs w:val="24"/>
                <w14:ligatures w14:val="none"/>
              </w:rPr>
              <w:t>93.30%</w:t>
            </w:r>
          </w:p>
        </w:tc>
      </w:tr>
      <w:tr w:rsidR="00402F03" w:rsidRPr="00402F03" w14:paraId="7394AE81" w14:textId="77777777" w:rsidTr="003F5D57">
        <w:trPr>
          <w:trHeight w:val="288"/>
        </w:trPr>
        <w:tc>
          <w:tcPr>
            <w:tcW w:w="1525" w:type="dxa"/>
            <w:vAlign w:val="center"/>
            <w:hideMark/>
          </w:tcPr>
          <w:p w14:paraId="58CC25FC" w14:textId="77777777" w:rsidR="00402F03" w:rsidRPr="00402F03" w:rsidRDefault="00402F03" w:rsidP="003F5D57">
            <w:pPr>
              <w:spacing w:after="0" w:line="240" w:lineRule="auto"/>
              <w:jc w:val="center"/>
              <w:rPr>
                <w:rFonts w:ascii="Times New Roman" w:eastAsia="Times New Roman" w:hAnsi="Times New Roman" w:cs="Times New Roman"/>
                <w:color w:val="000000"/>
                <w:kern w:val="0"/>
                <w:sz w:val="24"/>
                <w:szCs w:val="24"/>
                <w14:ligatures w14:val="none"/>
              </w:rPr>
            </w:pPr>
            <w:r w:rsidRPr="00402F03">
              <w:rPr>
                <w:rFonts w:ascii="Times New Roman" w:eastAsia="Times New Roman" w:hAnsi="Times New Roman" w:cs="Times New Roman"/>
                <w:color w:val="000000"/>
                <w:kern w:val="0"/>
                <w:sz w:val="24"/>
                <w:szCs w:val="24"/>
                <w14:ligatures w14:val="none"/>
              </w:rPr>
              <w:t>Cluster 3</w:t>
            </w:r>
          </w:p>
        </w:tc>
        <w:tc>
          <w:tcPr>
            <w:tcW w:w="1549" w:type="dxa"/>
            <w:vAlign w:val="center"/>
            <w:hideMark/>
          </w:tcPr>
          <w:p w14:paraId="2ADA1CEC" w14:textId="77777777" w:rsidR="00402F03" w:rsidRPr="00402F03" w:rsidRDefault="00402F03" w:rsidP="003F5D57">
            <w:pPr>
              <w:spacing w:after="0" w:line="240" w:lineRule="auto"/>
              <w:jc w:val="center"/>
              <w:rPr>
                <w:rFonts w:ascii="Times New Roman" w:eastAsia="Times New Roman" w:hAnsi="Times New Roman" w:cs="Times New Roman"/>
                <w:color w:val="000000"/>
                <w:kern w:val="0"/>
                <w:sz w:val="24"/>
                <w:szCs w:val="24"/>
                <w14:ligatures w14:val="none"/>
              </w:rPr>
            </w:pPr>
            <w:r w:rsidRPr="00402F03">
              <w:rPr>
                <w:rFonts w:ascii="Times New Roman" w:eastAsia="Times New Roman" w:hAnsi="Times New Roman" w:cs="Times New Roman"/>
                <w:color w:val="000000"/>
                <w:kern w:val="0"/>
                <w:sz w:val="24"/>
                <w:szCs w:val="24"/>
                <w14:ligatures w14:val="none"/>
              </w:rPr>
              <w:t>28</w:t>
            </w:r>
          </w:p>
        </w:tc>
        <w:tc>
          <w:tcPr>
            <w:tcW w:w="1549" w:type="dxa"/>
            <w:vAlign w:val="center"/>
            <w:hideMark/>
          </w:tcPr>
          <w:p w14:paraId="0C94648D" w14:textId="77777777" w:rsidR="00402F03" w:rsidRPr="00402F03" w:rsidRDefault="00402F03" w:rsidP="003F5D57">
            <w:pPr>
              <w:spacing w:after="0" w:line="240" w:lineRule="auto"/>
              <w:jc w:val="center"/>
              <w:rPr>
                <w:rFonts w:ascii="Times New Roman" w:eastAsia="Times New Roman" w:hAnsi="Times New Roman" w:cs="Times New Roman"/>
                <w:color w:val="000000"/>
                <w:kern w:val="0"/>
                <w:sz w:val="24"/>
                <w:szCs w:val="24"/>
                <w14:ligatures w14:val="none"/>
              </w:rPr>
            </w:pPr>
            <w:r w:rsidRPr="00402F03">
              <w:rPr>
                <w:rFonts w:ascii="Times New Roman" w:eastAsia="Times New Roman" w:hAnsi="Times New Roman" w:cs="Times New Roman"/>
                <w:color w:val="000000"/>
                <w:kern w:val="0"/>
                <w:sz w:val="24"/>
                <w:szCs w:val="24"/>
                <w14:ligatures w14:val="none"/>
              </w:rPr>
              <w:t>5</w:t>
            </w:r>
          </w:p>
        </w:tc>
        <w:tc>
          <w:tcPr>
            <w:tcW w:w="1549" w:type="dxa"/>
            <w:vAlign w:val="center"/>
            <w:hideMark/>
          </w:tcPr>
          <w:p w14:paraId="33E22E65" w14:textId="77777777" w:rsidR="00402F03" w:rsidRPr="00402F03" w:rsidRDefault="00402F03" w:rsidP="003F5D57">
            <w:pPr>
              <w:spacing w:after="0" w:line="240" w:lineRule="auto"/>
              <w:jc w:val="center"/>
              <w:rPr>
                <w:rFonts w:ascii="Times New Roman" w:eastAsia="Times New Roman" w:hAnsi="Times New Roman" w:cs="Times New Roman"/>
                <w:color w:val="000000"/>
                <w:kern w:val="0"/>
                <w:sz w:val="24"/>
                <w:szCs w:val="24"/>
                <w14:ligatures w14:val="none"/>
              </w:rPr>
            </w:pPr>
            <w:r w:rsidRPr="00402F03">
              <w:rPr>
                <w:rFonts w:ascii="Times New Roman" w:eastAsia="Times New Roman" w:hAnsi="Times New Roman" w:cs="Times New Roman"/>
                <w:color w:val="000000"/>
                <w:kern w:val="0"/>
                <w:sz w:val="24"/>
                <w:szCs w:val="24"/>
                <w14:ligatures w14:val="none"/>
              </w:rPr>
              <w:t>508</w:t>
            </w:r>
          </w:p>
        </w:tc>
        <w:tc>
          <w:tcPr>
            <w:tcW w:w="1550" w:type="dxa"/>
            <w:vAlign w:val="center"/>
            <w:hideMark/>
          </w:tcPr>
          <w:p w14:paraId="071AA2E0" w14:textId="77777777" w:rsidR="00402F03" w:rsidRPr="00402F03" w:rsidRDefault="00402F03" w:rsidP="003F5D57">
            <w:pPr>
              <w:spacing w:after="0" w:line="240" w:lineRule="auto"/>
              <w:jc w:val="center"/>
              <w:rPr>
                <w:rFonts w:ascii="Times New Roman" w:eastAsia="Times New Roman" w:hAnsi="Times New Roman" w:cs="Times New Roman"/>
                <w:color w:val="000000"/>
                <w:kern w:val="0"/>
                <w:sz w:val="24"/>
                <w:szCs w:val="24"/>
                <w14:ligatures w14:val="none"/>
              </w:rPr>
            </w:pPr>
            <w:r w:rsidRPr="00402F03">
              <w:rPr>
                <w:rFonts w:ascii="Times New Roman" w:eastAsia="Times New Roman" w:hAnsi="Times New Roman" w:cs="Times New Roman"/>
                <w:color w:val="000000"/>
                <w:kern w:val="0"/>
                <w:sz w:val="24"/>
                <w:szCs w:val="24"/>
                <w14:ligatures w14:val="none"/>
              </w:rPr>
              <w:t>23</w:t>
            </w:r>
          </w:p>
        </w:tc>
        <w:tc>
          <w:tcPr>
            <w:tcW w:w="1363" w:type="dxa"/>
            <w:vAlign w:val="center"/>
            <w:hideMark/>
          </w:tcPr>
          <w:p w14:paraId="23E7181C" w14:textId="77777777" w:rsidR="00402F03" w:rsidRPr="00402F03" w:rsidRDefault="00402F03" w:rsidP="003F5D57">
            <w:pPr>
              <w:spacing w:after="0" w:line="240" w:lineRule="auto"/>
              <w:jc w:val="center"/>
              <w:rPr>
                <w:rFonts w:ascii="Times New Roman" w:eastAsia="Times New Roman" w:hAnsi="Times New Roman" w:cs="Times New Roman"/>
                <w:color w:val="000000"/>
                <w:kern w:val="0"/>
                <w:sz w:val="24"/>
                <w:szCs w:val="24"/>
                <w14:ligatures w14:val="none"/>
              </w:rPr>
            </w:pPr>
            <w:r w:rsidRPr="00402F03">
              <w:rPr>
                <w:rFonts w:ascii="Times New Roman" w:eastAsia="Times New Roman" w:hAnsi="Times New Roman" w:cs="Times New Roman"/>
                <w:color w:val="000000"/>
                <w:kern w:val="0"/>
                <w:sz w:val="24"/>
                <w:szCs w:val="24"/>
                <w14:ligatures w14:val="none"/>
              </w:rPr>
              <w:t>90.10%</w:t>
            </w:r>
          </w:p>
        </w:tc>
      </w:tr>
      <w:tr w:rsidR="00402F03" w:rsidRPr="00402F03" w14:paraId="5BF494B4" w14:textId="77777777" w:rsidTr="003F5D57">
        <w:trPr>
          <w:trHeight w:val="288"/>
        </w:trPr>
        <w:tc>
          <w:tcPr>
            <w:tcW w:w="1525" w:type="dxa"/>
            <w:vAlign w:val="center"/>
            <w:hideMark/>
          </w:tcPr>
          <w:p w14:paraId="29F77DE1" w14:textId="77777777" w:rsidR="00402F03" w:rsidRPr="00402F03" w:rsidRDefault="00402F03" w:rsidP="003F5D57">
            <w:pPr>
              <w:spacing w:after="0" w:line="240" w:lineRule="auto"/>
              <w:jc w:val="center"/>
              <w:rPr>
                <w:rFonts w:ascii="Times New Roman" w:eastAsia="Times New Roman" w:hAnsi="Times New Roman" w:cs="Times New Roman"/>
                <w:color w:val="000000"/>
                <w:kern w:val="0"/>
                <w:sz w:val="24"/>
                <w:szCs w:val="24"/>
                <w14:ligatures w14:val="none"/>
              </w:rPr>
            </w:pPr>
            <w:r w:rsidRPr="00402F03">
              <w:rPr>
                <w:rFonts w:ascii="Times New Roman" w:eastAsia="Times New Roman" w:hAnsi="Times New Roman" w:cs="Times New Roman"/>
                <w:color w:val="000000"/>
                <w:kern w:val="0"/>
                <w:sz w:val="24"/>
                <w:szCs w:val="24"/>
                <w14:ligatures w14:val="none"/>
              </w:rPr>
              <w:t>Cluster 4</w:t>
            </w:r>
          </w:p>
        </w:tc>
        <w:tc>
          <w:tcPr>
            <w:tcW w:w="1549" w:type="dxa"/>
            <w:vAlign w:val="center"/>
            <w:hideMark/>
          </w:tcPr>
          <w:p w14:paraId="16A4F3B0" w14:textId="77777777" w:rsidR="00402F03" w:rsidRPr="00402F03" w:rsidRDefault="00402F03" w:rsidP="003F5D57">
            <w:pPr>
              <w:spacing w:after="0" w:line="240" w:lineRule="auto"/>
              <w:jc w:val="center"/>
              <w:rPr>
                <w:rFonts w:ascii="Times New Roman" w:eastAsia="Times New Roman" w:hAnsi="Times New Roman" w:cs="Times New Roman"/>
                <w:color w:val="000000"/>
                <w:kern w:val="0"/>
                <w:sz w:val="24"/>
                <w:szCs w:val="24"/>
                <w14:ligatures w14:val="none"/>
              </w:rPr>
            </w:pPr>
            <w:r w:rsidRPr="00402F03">
              <w:rPr>
                <w:rFonts w:ascii="Times New Roman" w:eastAsia="Times New Roman" w:hAnsi="Times New Roman" w:cs="Times New Roman"/>
                <w:color w:val="000000"/>
                <w:kern w:val="0"/>
                <w:sz w:val="24"/>
                <w:szCs w:val="24"/>
                <w14:ligatures w14:val="none"/>
              </w:rPr>
              <w:t>2</w:t>
            </w:r>
          </w:p>
        </w:tc>
        <w:tc>
          <w:tcPr>
            <w:tcW w:w="1549" w:type="dxa"/>
            <w:vAlign w:val="center"/>
            <w:hideMark/>
          </w:tcPr>
          <w:p w14:paraId="51255D56" w14:textId="77777777" w:rsidR="00402F03" w:rsidRPr="00402F03" w:rsidRDefault="00402F03" w:rsidP="003F5D57">
            <w:pPr>
              <w:spacing w:after="0" w:line="240" w:lineRule="auto"/>
              <w:jc w:val="center"/>
              <w:rPr>
                <w:rFonts w:ascii="Times New Roman" w:eastAsia="Times New Roman" w:hAnsi="Times New Roman" w:cs="Times New Roman"/>
                <w:color w:val="000000"/>
                <w:kern w:val="0"/>
                <w:sz w:val="24"/>
                <w:szCs w:val="24"/>
                <w14:ligatures w14:val="none"/>
              </w:rPr>
            </w:pPr>
            <w:r w:rsidRPr="00402F03">
              <w:rPr>
                <w:rFonts w:ascii="Times New Roman" w:eastAsia="Times New Roman" w:hAnsi="Times New Roman" w:cs="Times New Roman"/>
                <w:color w:val="000000"/>
                <w:kern w:val="0"/>
                <w:sz w:val="24"/>
                <w:szCs w:val="24"/>
                <w14:ligatures w14:val="none"/>
              </w:rPr>
              <w:t>9</w:t>
            </w:r>
          </w:p>
        </w:tc>
        <w:tc>
          <w:tcPr>
            <w:tcW w:w="1549" w:type="dxa"/>
            <w:vAlign w:val="center"/>
            <w:hideMark/>
          </w:tcPr>
          <w:p w14:paraId="217A8123" w14:textId="77777777" w:rsidR="00402F03" w:rsidRPr="00402F03" w:rsidRDefault="00402F03" w:rsidP="003F5D57">
            <w:pPr>
              <w:spacing w:after="0" w:line="240" w:lineRule="auto"/>
              <w:jc w:val="center"/>
              <w:rPr>
                <w:rFonts w:ascii="Times New Roman" w:eastAsia="Times New Roman" w:hAnsi="Times New Roman" w:cs="Times New Roman"/>
                <w:color w:val="000000"/>
                <w:kern w:val="0"/>
                <w:sz w:val="24"/>
                <w:szCs w:val="24"/>
                <w14:ligatures w14:val="none"/>
              </w:rPr>
            </w:pPr>
            <w:r w:rsidRPr="00402F03">
              <w:rPr>
                <w:rFonts w:ascii="Times New Roman" w:eastAsia="Times New Roman" w:hAnsi="Times New Roman" w:cs="Times New Roman"/>
                <w:color w:val="000000"/>
                <w:kern w:val="0"/>
                <w:sz w:val="24"/>
                <w:szCs w:val="24"/>
                <w14:ligatures w14:val="none"/>
              </w:rPr>
              <w:t>16</w:t>
            </w:r>
          </w:p>
        </w:tc>
        <w:tc>
          <w:tcPr>
            <w:tcW w:w="1550" w:type="dxa"/>
            <w:vAlign w:val="center"/>
            <w:hideMark/>
          </w:tcPr>
          <w:p w14:paraId="73B8EDD5" w14:textId="77777777" w:rsidR="00402F03" w:rsidRPr="00402F03" w:rsidRDefault="00402F03" w:rsidP="003F5D57">
            <w:pPr>
              <w:spacing w:after="0" w:line="240" w:lineRule="auto"/>
              <w:jc w:val="center"/>
              <w:rPr>
                <w:rFonts w:ascii="Times New Roman" w:eastAsia="Times New Roman" w:hAnsi="Times New Roman" w:cs="Times New Roman"/>
                <w:color w:val="000000"/>
                <w:kern w:val="0"/>
                <w:sz w:val="24"/>
                <w:szCs w:val="24"/>
                <w14:ligatures w14:val="none"/>
              </w:rPr>
            </w:pPr>
            <w:r w:rsidRPr="00402F03">
              <w:rPr>
                <w:rFonts w:ascii="Times New Roman" w:eastAsia="Times New Roman" w:hAnsi="Times New Roman" w:cs="Times New Roman"/>
                <w:color w:val="000000"/>
                <w:kern w:val="0"/>
                <w:sz w:val="24"/>
                <w:szCs w:val="24"/>
                <w14:ligatures w14:val="none"/>
              </w:rPr>
              <w:t>174</w:t>
            </w:r>
          </w:p>
        </w:tc>
        <w:tc>
          <w:tcPr>
            <w:tcW w:w="1363" w:type="dxa"/>
            <w:vAlign w:val="center"/>
            <w:hideMark/>
          </w:tcPr>
          <w:p w14:paraId="18890795" w14:textId="77777777" w:rsidR="00402F03" w:rsidRPr="00402F03" w:rsidRDefault="00402F03" w:rsidP="003F5D57">
            <w:pPr>
              <w:spacing w:after="0" w:line="240" w:lineRule="auto"/>
              <w:jc w:val="center"/>
              <w:rPr>
                <w:rFonts w:ascii="Times New Roman" w:eastAsia="Times New Roman" w:hAnsi="Times New Roman" w:cs="Times New Roman"/>
                <w:color w:val="000000"/>
                <w:kern w:val="0"/>
                <w:sz w:val="24"/>
                <w:szCs w:val="24"/>
                <w14:ligatures w14:val="none"/>
              </w:rPr>
            </w:pPr>
            <w:r w:rsidRPr="00402F03">
              <w:rPr>
                <w:rFonts w:ascii="Times New Roman" w:eastAsia="Times New Roman" w:hAnsi="Times New Roman" w:cs="Times New Roman"/>
                <w:color w:val="000000"/>
                <w:kern w:val="0"/>
                <w:sz w:val="24"/>
                <w:szCs w:val="24"/>
                <w14:ligatures w14:val="none"/>
              </w:rPr>
              <w:t>86.60%</w:t>
            </w:r>
          </w:p>
        </w:tc>
      </w:tr>
    </w:tbl>
    <w:p w14:paraId="6F94D17D" w14:textId="6FE6D2EE" w:rsidR="00402F03" w:rsidRDefault="009B1139" w:rsidP="009B1139">
      <w:pPr>
        <w:jc w:val="both"/>
        <w:rPr>
          <w:rFonts w:ascii="Times New Roman" w:hAnsi="Times New Roman" w:cs="Times New Roman"/>
          <w:b/>
          <w:sz w:val="24"/>
          <w:szCs w:val="24"/>
        </w:rPr>
      </w:pPr>
      <w:r w:rsidRPr="009B1139">
        <w:rPr>
          <w:rFonts w:ascii="Times New Roman" w:hAnsi="Times New Roman" w:cs="Times New Roman"/>
          <w:b/>
          <w:i/>
          <w:iCs/>
          <w:sz w:val="24"/>
          <w:szCs w:val="24"/>
        </w:rPr>
        <w:t>Note</w:t>
      </w:r>
      <w:r w:rsidRPr="009B1139">
        <w:rPr>
          <w:rFonts w:ascii="Times New Roman" w:hAnsi="Times New Roman" w:cs="Times New Roman"/>
          <w:b/>
          <w:sz w:val="24"/>
          <w:szCs w:val="24"/>
        </w:rPr>
        <w:t xml:space="preserve">: </w:t>
      </w:r>
      <w:r w:rsidRPr="009B1139">
        <w:rPr>
          <w:rFonts w:ascii="Times New Roman" w:hAnsi="Times New Roman" w:cs="Times New Roman"/>
          <w:bCs/>
          <w:sz w:val="24"/>
          <w:szCs w:val="24"/>
        </w:rPr>
        <w:t xml:space="preserve">Cells report the number of transitions from the financial profile occupied in year </w:t>
      </w:r>
      <w:r w:rsidRPr="009B1139">
        <w:rPr>
          <w:rFonts w:ascii="Times New Roman" w:hAnsi="Times New Roman" w:cs="Times New Roman"/>
          <w:bCs/>
          <w:i/>
          <w:iCs/>
          <w:sz w:val="24"/>
          <w:szCs w:val="24"/>
        </w:rPr>
        <w:t>t-1</w:t>
      </w:r>
      <w:r w:rsidRPr="009B1139">
        <w:rPr>
          <w:rFonts w:ascii="Times New Roman" w:hAnsi="Times New Roman" w:cs="Times New Roman"/>
          <w:bCs/>
          <w:sz w:val="24"/>
          <w:szCs w:val="24"/>
        </w:rPr>
        <w:t xml:space="preserve"> to the profile occupied in year </w:t>
      </w:r>
      <w:r w:rsidRPr="009B1139">
        <w:rPr>
          <w:rFonts w:ascii="Times New Roman" w:hAnsi="Times New Roman" w:cs="Times New Roman"/>
          <w:bCs/>
          <w:i/>
          <w:iCs/>
          <w:sz w:val="24"/>
          <w:szCs w:val="24"/>
        </w:rPr>
        <w:t>t</w:t>
      </w:r>
      <w:r w:rsidRPr="009B1139">
        <w:rPr>
          <w:rFonts w:ascii="Times New Roman" w:hAnsi="Times New Roman" w:cs="Times New Roman"/>
          <w:bCs/>
          <w:sz w:val="24"/>
          <w:szCs w:val="24"/>
        </w:rPr>
        <w:t>. Persistence is the percentage of transitions remaining within the same profile.</w:t>
      </w:r>
      <w:r w:rsidR="00402F03">
        <w:rPr>
          <w:rFonts w:ascii="Times New Roman" w:hAnsi="Times New Roman" w:cs="Times New Roman"/>
          <w:b/>
          <w:sz w:val="24"/>
          <w:szCs w:val="24"/>
        </w:rPr>
        <w:br w:type="page"/>
      </w:r>
    </w:p>
    <w:p w14:paraId="72E695A3" w14:textId="107C0FDC" w:rsidR="00B85063" w:rsidRPr="00DC751F" w:rsidRDefault="00B85063" w:rsidP="00B85063">
      <w:pPr>
        <w:jc w:val="center"/>
        <w:rPr>
          <w:rFonts w:ascii="Times New Roman" w:hAnsi="Times New Roman" w:cs="Times New Roman"/>
          <w:b/>
          <w:sz w:val="24"/>
          <w:szCs w:val="24"/>
        </w:rPr>
      </w:pPr>
      <w:r>
        <w:rPr>
          <w:rFonts w:ascii="Times New Roman" w:hAnsi="Times New Roman" w:cs="Times New Roman"/>
          <w:b/>
          <w:sz w:val="24"/>
          <w:szCs w:val="24"/>
        </w:rPr>
        <w:lastRenderedPageBreak/>
        <w:t>Supplementary Information</w:t>
      </w:r>
      <w:r w:rsidRPr="00DC751F">
        <w:rPr>
          <w:rFonts w:ascii="Times New Roman" w:hAnsi="Times New Roman" w:cs="Times New Roman"/>
          <w:b/>
          <w:sz w:val="24"/>
          <w:szCs w:val="24"/>
        </w:rPr>
        <w:t xml:space="preserve"> </w:t>
      </w:r>
      <w:r w:rsidR="00402F03">
        <w:rPr>
          <w:rFonts w:ascii="Times New Roman" w:hAnsi="Times New Roman" w:cs="Times New Roman"/>
          <w:b/>
          <w:sz w:val="24"/>
          <w:szCs w:val="24"/>
        </w:rPr>
        <w:t>3</w:t>
      </w:r>
    </w:p>
    <w:p w14:paraId="130793E4" w14:textId="77777777" w:rsidR="00B85063" w:rsidRDefault="00B85063" w:rsidP="00B85063">
      <w:pPr>
        <w:spacing w:before="240" w:after="240" w:line="240" w:lineRule="auto"/>
        <w:ind w:right="29"/>
        <w:jc w:val="center"/>
        <w:rPr>
          <w:rFonts w:ascii="Times New Roman" w:hAnsi="Times New Roman" w:cs="Times New Roman"/>
          <w:b/>
          <w:bCs/>
          <w:sz w:val="24"/>
          <w:szCs w:val="24"/>
        </w:rPr>
      </w:pPr>
      <w:r>
        <w:rPr>
          <w:rFonts w:ascii="Times New Roman" w:hAnsi="Times New Roman" w:cs="Times New Roman"/>
          <w:b/>
          <w:bCs/>
          <w:sz w:val="24"/>
          <w:szCs w:val="24"/>
        </w:rPr>
        <w:t>Panel Model Diagnostic Tests Summary</w:t>
      </w:r>
    </w:p>
    <w:tbl>
      <w:tblPr>
        <w:tblStyle w:val="TableGrid"/>
        <w:tblW w:w="9468" w:type="dxa"/>
        <w:tblInd w:w="-113" w:type="dxa"/>
        <w:tblLook w:val="04A0" w:firstRow="1" w:lastRow="0" w:firstColumn="1" w:lastColumn="0" w:noHBand="0" w:noVBand="1"/>
      </w:tblPr>
      <w:tblGrid>
        <w:gridCol w:w="2358"/>
        <w:gridCol w:w="1890"/>
        <w:gridCol w:w="1710"/>
        <w:gridCol w:w="3510"/>
      </w:tblGrid>
      <w:tr w:rsidR="00B85063" w14:paraId="24D4763C" w14:textId="77777777" w:rsidTr="00355358">
        <w:tc>
          <w:tcPr>
            <w:tcW w:w="2358" w:type="dxa"/>
            <w:vAlign w:val="center"/>
          </w:tcPr>
          <w:p w14:paraId="24C1471B" w14:textId="77777777" w:rsidR="00B85063" w:rsidRPr="000A73DD" w:rsidRDefault="00B85063" w:rsidP="00355358">
            <w:pPr>
              <w:jc w:val="center"/>
              <w:rPr>
                <w:rFonts w:ascii="Times New Roman" w:hAnsi="Times New Roman"/>
                <w:b/>
                <w:bCs/>
                <w:sz w:val="24"/>
                <w:szCs w:val="24"/>
              </w:rPr>
            </w:pPr>
            <w:r w:rsidRPr="000A73DD">
              <w:rPr>
                <w:rFonts w:ascii="Times New Roman" w:hAnsi="Times New Roman"/>
                <w:b/>
                <w:bCs/>
                <w:sz w:val="24"/>
                <w:szCs w:val="24"/>
              </w:rPr>
              <w:t>Test</w:t>
            </w:r>
            <w:r>
              <w:rPr>
                <w:rFonts w:ascii="Times New Roman" w:hAnsi="Times New Roman"/>
                <w:b/>
                <w:bCs/>
                <w:sz w:val="24"/>
                <w:szCs w:val="24"/>
              </w:rPr>
              <w:t>s</w:t>
            </w:r>
          </w:p>
        </w:tc>
        <w:tc>
          <w:tcPr>
            <w:tcW w:w="1890" w:type="dxa"/>
            <w:vAlign w:val="center"/>
          </w:tcPr>
          <w:p w14:paraId="25D18FE8" w14:textId="77777777" w:rsidR="00B85063" w:rsidRPr="000A73DD" w:rsidRDefault="00B85063" w:rsidP="00355358">
            <w:pPr>
              <w:jc w:val="center"/>
              <w:rPr>
                <w:rFonts w:ascii="Times New Roman" w:hAnsi="Times New Roman"/>
                <w:b/>
                <w:bCs/>
                <w:sz w:val="24"/>
                <w:szCs w:val="24"/>
              </w:rPr>
            </w:pPr>
            <w:r w:rsidRPr="000A73DD">
              <w:rPr>
                <w:rFonts w:ascii="Times New Roman" w:hAnsi="Times New Roman"/>
                <w:b/>
                <w:bCs/>
                <w:sz w:val="24"/>
                <w:szCs w:val="24"/>
              </w:rPr>
              <w:t xml:space="preserve">Test </w:t>
            </w:r>
            <w:r>
              <w:rPr>
                <w:rFonts w:ascii="Times New Roman" w:hAnsi="Times New Roman"/>
                <w:b/>
                <w:bCs/>
                <w:sz w:val="24"/>
                <w:szCs w:val="24"/>
              </w:rPr>
              <w:t>Value</w:t>
            </w:r>
          </w:p>
        </w:tc>
        <w:tc>
          <w:tcPr>
            <w:tcW w:w="1710" w:type="dxa"/>
            <w:vAlign w:val="center"/>
          </w:tcPr>
          <w:p w14:paraId="738A7A7D" w14:textId="77777777" w:rsidR="00B85063" w:rsidRPr="000A73DD" w:rsidRDefault="00B85063" w:rsidP="00355358">
            <w:pPr>
              <w:jc w:val="center"/>
              <w:rPr>
                <w:rFonts w:ascii="Times New Roman" w:hAnsi="Times New Roman"/>
                <w:b/>
                <w:bCs/>
                <w:sz w:val="24"/>
                <w:szCs w:val="24"/>
              </w:rPr>
            </w:pPr>
            <w:r w:rsidRPr="000A73DD">
              <w:rPr>
                <w:rFonts w:ascii="Times New Roman" w:hAnsi="Times New Roman"/>
                <w:b/>
                <w:bCs/>
                <w:sz w:val="24"/>
                <w:szCs w:val="24"/>
              </w:rPr>
              <w:t>p-value</w:t>
            </w:r>
          </w:p>
        </w:tc>
        <w:tc>
          <w:tcPr>
            <w:tcW w:w="3510" w:type="dxa"/>
            <w:vAlign w:val="center"/>
          </w:tcPr>
          <w:p w14:paraId="228A0AFE" w14:textId="77777777" w:rsidR="00B85063" w:rsidRPr="000A73DD" w:rsidRDefault="00B85063" w:rsidP="00355358">
            <w:pPr>
              <w:jc w:val="center"/>
              <w:rPr>
                <w:rFonts w:ascii="Times New Roman" w:hAnsi="Times New Roman"/>
                <w:b/>
                <w:bCs/>
                <w:sz w:val="24"/>
                <w:szCs w:val="24"/>
              </w:rPr>
            </w:pPr>
            <w:r w:rsidRPr="000A73DD">
              <w:rPr>
                <w:rFonts w:ascii="Times New Roman" w:hAnsi="Times New Roman"/>
                <w:b/>
                <w:bCs/>
                <w:sz w:val="24"/>
                <w:szCs w:val="24"/>
              </w:rPr>
              <w:t xml:space="preserve">Conclusion </w:t>
            </w:r>
          </w:p>
        </w:tc>
      </w:tr>
      <w:tr w:rsidR="00B85063" w14:paraId="1118A72D" w14:textId="77777777" w:rsidTr="00355358">
        <w:tc>
          <w:tcPr>
            <w:tcW w:w="2358" w:type="dxa"/>
          </w:tcPr>
          <w:p w14:paraId="05C8ABF9" w14:textId="77777777" w:rsidR="00B85063" w:rsidRPr="000A73DD" w:rsidRDefault="00B85063" w:rsidP="00355358">
            <w:pPr>
              <w:rPr>
                <w:rFonts w:ascii="Times New Roman" w:hAnsi="Times New Roman"/>
                <w:sz w:val="24"/>
                <w:szCs w:val="24"/>
              </w:rPr>
            </w:pPr>
            <w:r w:rsidRPr="000A73DD">
              <w:rPr>
                <w:rFonts w:ascii="Times New Roman" w:hAnsi="Times New Roman"/>
                <w:sz w:val="24"/>
                <w:szCs w:val="24"/>
              </w:rPr>
              <w:t>Hausman Test</w:t>
            </w:r>
          </w:p>
        </w:tc>
        <w:tc>
          <w:tcPr>
            <w:tcW w:w="1890" w:type="dxa"/>
          </w:tcPr>
          <w:p w14:paraId="7E7A3091" w14:textId="77777777" w:rsidR="00B85063" w:rsidRPr="000A73DD" w:rsidRDefault="00B85063" w:rsidP="00355358">
            <w:pPr>
              <w:jc w:val="center"/>
              <w:rPr>
                <w:rFonts w:ascii="Times New Roman" w:hAnsi="Times New Roman"/>
                <w:sz w:val="24"/>
                <w:szCs w:val="24"/>
              </w:rPr>
            </w:pPr>
            <w:r w:rsidRPr="000A73DD">
              <w:rPr>
                <w:rFonts w:ascii="Times New Roman" w:hAnsi="Times New Roman"/>
                <w:sz w:val="24"/>
                <w:szCs w:val="24"/>
              </w:rPr>
              <w:t xml:space="preserve">χ² = </w:t>
            </w:r>
            <w:r>
              <w:rPr>
                <w:rFonts w:ascii="Times New Roman" w:hAnsi="Times New Roman"/>
                <w:sz w:val="24"/>
                <w:szCs w:val="24"/>
              </w:rPr>
              <w:t>55.869</w:t>
            </w:r>
          </w:p>
        </w:tc>
        <w:tc>
          <w:tcPr>
            <w:tcW w:w="1710" w:type="dxa"/>
          </w:tcPr>
          <w:p w14:paraId="30A624F6" w14:textId="69DEC815" w:rsidR="00B85063" w:rsidRPr="000A73DD" w:rsidRDefault="00B85063" w:rsidP="00355358">
            <w:pPr>
              <w:jc w:val="center"/>
              <w:rPr>
                <w:rFonts w:ascii="Times New Roman" w:hAnsi="Times New Roman"/>
                <w:sz w:val="24"/>
                <w:szCs w:val="24"/>
              </w:rPr>
            </w:pPr>
            <w:r>
              <w:rPr>
                <w:rFonts w:ascii="Times New Roman" w:hAnsi="Times New Roman"/>
                <w:sz w:val="24"/>
                <w:szCs w:val="24"/>
              </w:rPr>
              <w:t xml:space="preserve">p </w:t>
            </w:r>
            <w:r w:rsidR="0050413D">
              <w:rPr>
                <w:rFonts w:ascii="Times New Roman" w:hAnsi="Times New Roman"/>
                <w:sz w:val="24"/>
                <w:szCs w:val="24"/>
              </w:rPr>
              <w:t>=</w:t>
            </w:r>
            <w:r>
              <w:rPr>
                <w:rFonts w:ascii="Times New Roman" w:hAnsi="Times New Roman"/>
                <w:sz w:val="24"/>
                <w:szCs w:val="24"/>
              </w:rPr>
              <w:t xml:space="preserve"> </w:t>
            </w:r>
            <w:r w:rsidRPr="0077373D">
              <w:rPr>
                <w:rFonts w:ascii="Times New Roman" w:hAnsi="Times New Roman"/>
                <w:sz w:val="24"/>
                <w:szCs w:val="24"/>
              </w:rPr>
              <w:t>5.371e-08</w:t>
            </w:r>
          </w:p>
        </w:tc>
        <w:tc>
          <w:tcPr>
            <w:tcW w:w="3510" w:type="dxa"/>
          </w:tcPr>
          <w:p w14:paraId="70E4B5A0" w14:textId="77777777" w:rsidR="00B85063" w:rsidRPr="000A73DD" w:rsidRDefault="00B85063" w:rsidP="00355358">
            <w:pPr>
              <w:rPr>
                <w:rFonts w:ascii="Times New Roman" w:hAnsi="Times New Roman"/>
                <w:sz w:val="24"/>
                <w:szCs w:val="24"/>
              </w:rPr>
            </w:pPr>
            <w:r w:rsidRPr="000A73DD">
              <w:rPr>
                <w:rFonts w:ascii="Times New Roman" w:hAnsi="Times New Roman"/>
                <w:sz w:val="24"/>
                <w:szCs w:val="24"/>
              </w:rPr>
              <w:t>Reject the null hypothesis</w:t>
            </w:r>
            <w:r>
              <w:rPr>
                <w:rFonts w:ascii="Times New Roman" w:hAnsi="Times New Roman"/>
                <w:sz w:val="24"/>
                <w:szCs w:val="24"/>
              </w:rPr>
              <w:t>;</w:t>
            </w:r>
            <w:r w:rsidRPr="000A73DD">
              <w:rPr>
                <w:rFonts w:ascii="Times New Roman" w:hAnsi="Times New Roman"/>
                <w:sz w:val="24"/>
                <w:szCs w:val="24"/>
              </w:rPr>
              <w:t xml:space="preserve"> </w:t>
            </w:r>
            <w:r>
              <w:rPr>
                <w:rFonts w:ascii="Times New Roman" w:hAnsi="Times New Roman"/>
                <w:sz w:val="24"/>
                <w:szCs w:val="24"/>
              </w:rPr>
              <w:t>T</w:t>
            </w:r>
            <w:r w:rsidRPr="000A73DD">
              <w:rPr>
                <w:rFonts w:ascii="Times New Roman" w:hAnsi="Times New Roman"/>
                <w:sz w:val="24"/>
                <w:szCs w:val="24"/>
              </w:rPr>
              <w:t>he Fixed Effects model is preferred.</w:t>
            </w:r>
          </w:p>
        </w:tc>
      </w:tr>
      <w:tr w:rsidR="00B85063" w14:paraId="58454675" w14:textId="77777777" w:rsidTr="00355358">
        <w:tc>
          <w:tcPr>
            <w:tcW w:w="2358" w:type="dxa"/>
          </w:tcPr>
          <w:p w14:paraId="79D21A1F" w14:textId="77777777" w:rsidR="00B85063" w:rsidRPr="000A73DD" w:rsidRDefault="00B85063" w:rsidP="00355358">
            <w:pPr>
              <w:rPr>
                <w:rFonts w:ascii="Times New Roman" w:hAnsi="Times New Roman"/>
                <w:sz w:val="24"/>
                <w:szCs w:val="24"/>
              </w:rPr>
            </w:pPr>
            <w:r w:rsidRPr="000A73DD">
              <w:rPr>
                <w:rFonts w:ascii="Times New Roman" w:hAnsi="Times New Roman"/>
                <w:sz w:val="24"/>
                <w:szCs w:val="24"/>
              </w:rPr>
              <w:t>F-test for Individual Effects</w:t>
            </w:r>
          </w:p>
        </w:tc>
        <w:tc>
          <w:tcPr>
            <w:tcW w:w="1890" w:type="dxa"/>
          </w:tcPr>
          <w:p w14:paraId="0C4120FC" w14:textId="77777777" w:rsidR="00B85063" w:rsidRPr="000A73DD" w:rsidRDefault="00B85063" w:rsidP="00355358">
            <w:pPr>
              <w:jc w:val="center"/>
              <w:rPr>
                <w:rFonts w:ascii="Times New Roman" w:hAnsi="Times New Roman"/>
                <w:sz w:val="24"/>
                <w:szCs w:val="24"/>
              </w:rPr>
            </w:pPr>
            <w:r w:rsidRPr="000A73DD">
              <w:rPr>
                <w:rFonts w:ascii="Times New Roman" w:hAnsi="Times New Roman"/>
                <w:sz w:val="24"/>
                <w:szCs w:val="24"/>
              </w:rPr>
              <w:t xml:space="preserve">F = </w:t>
            </w:r>
            <w:r>
              <w:rPr>
                <w:rFonts w:ascii="Times New Roman" w:hAnsi="Times New Roman"/>
                <w:sz w:val="24"/>
                <w:szCs w:val="24"/>
              </w:rPr>
              <w:t>3.887</w:t>
            </w:r>
          </w:p>
        </w:tc>
        <w:tc>
          <w:tcPr>
            <w:tcW w:w="1710" w:type="dxa"/>
          </w:tcPr>
          <w:p w14:paraId="399B11A1" w14:textId="77777777" w:rsidR="00B85063" w:rsidRPr="000A73DD" w:rsidRDefault="00B85063" w:rsidP="00355358">
            <w:pPr>
              <w:jc w:val="center"/>
              <w:rPr>
                <w:rFonts w:ascii="Times New Roman" w:hAnsi="Times New Roman"/>
                <w:sz w:val="24"/>
                <w:szCs w:val="24"/>
              </w:rPr>
            </w:pPr>
            <w:r w:rsidRPr="000A73DD">
              <w:rPr>
                <w:rFonts w:ascii="Times New Roman" w:hAnsi="Times New Roman"/>
                <w:sz w:val="24"/>
                <w:szCs w:val="24"/>
              </w:rPr>
              <w:t>p &lt; 2.2e-16</w:t>
            </w:r>
          </w:p>
        </w:tc>
        <w:tc>
          <w:tcPr>
            <w:tcW w:w="3510" w:type="dxa"/>
          </w:tcPr>
          <w:p w14:paraId="0D001C2B" w14:textId="77777777" w:rsidR="00B85063" w:rsidRPr="000A73DD" w:rsidRDefault="00B85063" w:rsidP="00355358">
            <w:pPr>
              <w:rPr>
                <w:rFonts w:ascii="Times New Roman" w:hAnsi="Times New Roman"/>
                <w:sz w:val="24"/>
                <w:szCs w:val="24"/>
              </w:rPr>
            </w:pPr>
            <w:r w:rsidRPr="000A73DD">
              <w:rPr>
                <w:rFonts w:ascii="Times New Roman" w:hAnsi="Times New Roman"/>
                <w:sz w:val="24"/>
                <w:szCs w:val="24"/>
              </w:rPr>
              <w:t>Reject the null hypothesis</w:t>
            </w:r>
            <w:r>
              <w:rPr>
                <w:rFonts w:ascii="Times New Roman" w:hAnsi="Times New Roman"/>
                <w:sz w:val="24"/>
                <w:szCs w:val="24"/>
              </w:rPr>
              <w:t>;</w:t>
            </w:r>
            <w:r w:rsidRPr="000A73DD">
              <w:rPr>
                <w:rFonts w:ascii="Times New Roman" w:hAnsi="Times New Roman"/>
                <w:sz w:val="24"/>
                <w:szCs w:val="24"/>
              </w:rPr>
              <w:t xml:space="preserve"> </w:t>
            </w:r>
            <w:r>
              <w:rPr>
                <w:rFonts w:ascii="Times New Roman" w:hAnsi="Times New Roman"/>
                <w:sz w:val="24"/>
                <w:szCs w:val="24"/>
              </w:rPr>
              <w:t>T</w:t>
            </w:r>
            <w:r w:rsidRPr="000A73DD">
              <w:rPr>
                <w:rFonts w:ascii="Times New Roman" w:hAnsi="Times New Roman"/>
                <w:sz w:val="24"/>
                <w:szCs w:val="24"/>
              </w:rPr>
              <w:t>he Fixed Effects model is preferred over Pooled OLS.</w:t>
            </w:r>
          </w:p>
        </w:tc>
      </w:tr>
      <w:tr w:rsidR="00B85063" w14:paraId="3AA1B253" w14:textId="77777777" w:rsidTr="00355358">
        <w:tc>
          <w:tcPr>
            <w:tcW w:w="2358" w:type="dxa"/>
          </w:tcPr>
          <w:p w14:paraId="74ACD01E" w14:textId="77777777" w:rsidR="00B85063" w:rsidRPr="000A73DD" w:rsidRDefault="00B85063" w:rsidP="00355358">
            <w:pPr>
              <w:rPr>
                <w:rFonts w:ascii="Times New Roman" w:hAnsi="Times New Roman"/>
                <w:sz w:val="24"/>
                <w:szCs w:val="24"/>
              </w:rPr>
            </w:pPr>
            <w:r w:rsidRPr="000A73DD">
              <w:rPr>
                <w:rFonts w:ascii="Times New Roman" w:hAnsi="Times New Roman"/>
                <w:sz w:val="24"/>
                <w:szCs w:val="24"/>
              </w:rPr>
              <w:t>Lagrange Multiplier (LM) Test (Breusch-Pagan)</w:t>
            </w:r>
          </w:p>
        </w:tc>
        <w:tc>
          <w:tcPr>
            <w:tcW w:w="1890" w:type="dxa"/>
          </w:tcPr>
          <w:p w14:paraId="24B8F208" w14:textId="77777777" w:rsidR="00B85063" w:rsidRPr="000A73DD" w:rsidRDefault="00B85063" w:rsidP="00355358">
            <w:pPr>
              <w:jc w:val="center"/>
              <w:rPr>
                <w:rFonts w:ascii="Times New Roman" w:hAnsi="Times New Roman"/>
                <w:sz w:val="24"/>
                <w:szCs w:val="24"/>
              </w:rPr>
            </w:pPr>
            <w:r w:rsidRPr="000A73DD">
              <w:rPr>
                <w:rFonts w:ascii="Times New Roman" w:hAnsi="Times New Roman"/>
                <w:sz w:val="24"/>
                <w:szCs w:val="24"/>
              </w:rPr>
              <w:t xml:space="preserve">χ² = </w:t>
            </w:r>
            <w:r>
              <w:rPr>
                <w:rFonts w:ascii="Times New Roman" w:hAnsi="Times New Roman"/>
                <w:sz w:val="24"/>
                <w:szCs w:val="24"/>
              </w:rPr>
              <w:t>86.889</w:t>
            </w:r>
          </w:p>
        </w:tc>
        <w:tc>
          <w:tcPr>
            <w:tcW w:w="1710" w:type="dxa"/>
          </w:tcPr>
          <w:p w14:paraId="6629DC5E" w14:textId="77777777" w:rsidR="00B85063" w:rsidRPr="000A73DD" w:rsidRDefault="00B85063" w:rsidP="00355358">
            <w:pPr>
              <w:jc w:val="center"/>
              <w:rPr>
                <w:rFonts w:ascii="Times New Roman" w:hAnsi="Times New Roman"/>
                <w:sz w:val="24"/>
                <w:szCs w:val="24"/>
              </w:rPr>
            </w:pPr>
            <w:r w:rsidRPr="000A73DD">
              <w:rPr>
                <w:rFonts w:ascii="Times New Roman" w:hAnsi="Times New Roman"/>
                <w:sz w:val="24"/>
                <w:szCs w:val="24"/>
              </w:rPr>
              <w:t>p &lt; 2.2e-16</w:t>
            </w:r>
          </w:p>
        </w:tc>
        <w:tc>
          <w:tcPr>
            <w:tcW w:w="3510" w:type="dxa"/>
          </w:tcPr>
          <w:p w14:paraId="6EF7FC94" w14:textId="77777777" w:rsidR="00B85063" w:rsidRPr="000A73DD" w:rsidRDefault="00B85063" w:rsidP="00355358">
            <w:pPr>
              <w:rPr>
                <w:rFonts w:ascii="Times New Roman" w:hAnsi="Times New Roman"/>
                <w:sz w:val="24"/>
                <w:szCs w:val="24"/>
              </w:rPr>
            </w:pPr>
            <w:r w:rsidRPr="000A73DD">
              <w:rPr>
                <w:rFonts w:ascii="Times New Roman" w:hAnsi="Times New Roman"/>
                <w:sz w:val="24"/>
                <w:szCs w:val="24"/>
              </w:rPr>
              <w:t>Reject the null hypothesis</w:t>
            </w:r>
            <w:r>
              <w:rPr>
                <w:rFonts w:ascii="Times New Roman" w:hAnsi="Times New Roman"/>
                <w:sz w:val="24"/>
                <w:szCs w:val="24"/>
              </w:rPr>
              <w:t>;</w:t>
            </w:r>
            <w:r w:rsidRPr="000A73DD">
              <w:rPr>
                <w:rFonts w:ascii="Times New Roman" w:hAnsi="Times New Roman"/>
                <w:sz w:val="24"/>
                <w:szCs w:val="24"/>
              </w:rPr>
              <w:t xml:space="preserve"> Random Effects is preferred over Pooled OLS.</w:t>
            </w:r>
          </w:p>
        </w:tc>
      </w:tr>
      <w:tr w:rsidR="00B85063" w14:paraId="761C4E61" w14:textId="77777777" w:rsidTr="00355358">
        <w:tc>
          <w:tcPr>
            <w:tcW w:w="2358" w:type="dxa"/>
          </w:tcPr>
          <w:p w14:paraId="6842FE08" w14:textId="77777777" w:rsidR="00B85063" w:rsidRPr="000A73DD" w:rsidRDefault="00B85063" w:rsidP="00355358">
            <w:pPr>
              <w:rPr>
                <w:rFonts w:ascii="Times New Roman" w:hAnsi="Times New Roman"/>
                <w:sz w:val="24"/>
                <w:szCs w:val="24"/>
              </w:rPr>
            </w:pPr>
            <w:r w:rsidRPr="000A73DD">
              <w:rPr>
                <w:rFonts w:ascii="Times New Roman" w:hAnsi="Times New Roman"/>
                <w:sz w:val="24"/>
                <w:szCs w:val="24"/>
              </w:rPr>
              <w:t>Pesaran CD Test</w:t>
            </w:r>
          </w:p>
        </w:tc>
        <w:tc>
          <w:tcPr>
            <w:tcW w:w="1890" w:type="dxa"/>
          </w:tcPr>
          <w:p w14:paraId="6D18579D" w14:textId="4EB28071" w:rsidR="00B85063" w:rsidRPr="000A73DD" w:rsidRDefault="00B85063" w:rsidP="00355358">
            <w:pPr>
              <w:jc w:val="center"/>
              <w:rPr>
                <w:rFonts w:ascii="Times New Roman" w:hAnsi="Times New Roman"/>
                <w:sz w:val="24"/>
                <w:szCs w:val="24"/>
              </w:rPr>
            </w:pPr>
            <w:r w:rsidRPr="000A73DD">
              <w:rPr>
                <w:rFonts w:ascii="Times New Roman" w:hAnsi="Times New Roman"/>
                <w:sz w:val="24"/>
                <w:szCs w:val="24"/>
              </w:rPr>
              <w:t xml:space="preserve">z = </w:t>
            </w:r>
            <w:r w:rsidR="009D378F">
              <w:rPr>
                <w:rFonts w:ascii="Times New Roman" w:hAnsi="Times New Roman"/>
                <w:sz w:val="24"/>
                <w:szCs w:val="24"/>
              </w:rPr>
              <w:t>20.664</w:t>
            </w:r>
          </w:p>
        </w:tc>
        <w:tc>
          <w:tcPr>
            <w:tcW w:w="1710" w:type="dxa"/>
          </w:tcPr>
          <w:p w14:paraId="59E612A7" w14:textId="257788EF" w:rsidR="00B85063" w:rsidRPr="000A73DD" w:rsidRDefault="00B85063" w:rsidP="00355358">
            <w:pPr>
              <w:jc w:val="center"/>
              <w:rPr>
                <w:rFonts w:ascii="Times New Roman" w:hAnsi="Times New Roman"/>
                <w:sz w:val="24"/>
                <w:szCs w:val="24"/>
              </w:rPr>
            </w:pPr>
            <w:r w:rsidRPr="000A73DD">
              <w:rPr>
                <w:rFonts w:ascii="Times New Roman" w:hAnsi="Times New Roman"/>
                <w:sz w:val="24"/>
                <w:szCs w:val="24"/>
              </w:rPr>
              <w:t xml:space="preserve">p </w:t>
            </w:r>
            <w:r w:rsidR="0050413D">
              <w:rPr>
                <w:rFonts w:ascii="Times New Roman" w:hAnsi="Times New Roman"/>
                <w:sz w:val="24"/>
                <w:szCs w:val="24"/>
              </w:rPr>
              <w:t>&lt;</w:t>
            </w:r>
            <w:r w:rsidRPr="000A73DD">
              <w:rPr>
                <w:rFonts w:ascii="Times New Roman" w:hAnsi="Times New Roman"/>
                <w:sz w:val="24"/>
                <w:szCs w:val="24"/>
              </w:rPr>
              <w:t xml:space="preserve"> </w:t>
            </w:r>
            <w:r w:rsidR="00765D49">
              <w:rPr>
                <w:rFonts w:ascii="Times New Roman" w:hAnsi="Times New Roman"/>
                <w:sz w:val="24"/>
                <w:szCs w:val="24"/>
              </w:rPr>
              <w:t>2.2</w:t>
            </w:r>
            <w:r w:rsidRPr="002C7F4E">
              <w:rPr>
                <w:rFonts w:ascii="Times New Roman" w:hAnsi="Times New Roman"/>
                <w:sz w:val="24"/>
                <w:szCs w:val="24"/>
              </w:rPr>
              <w:t>e-1</w:t>
            </w:r>
            <w:r w:rsidR="00765D49">
              <w:rPr>
                <w:rFonts w:ascii="Times New Roman" w:hAnsi="Times New Roman"/>
                <w:sz w:val="24"/>
                <w:szCs w:val="24"/>
              </w:rPr>
              <w:t>6</w:t>
            </w:r>
          </w:p>
        </w:tc>
        <w:tc>
          <w:tcPr>
            <w:tcW w:w="3510" w:type="dxa"/>
          </w:tcPr>
          <w:p w14:paraId="6A666ACE" w14:textId="77777777" w:rsidR="00B85063" w:rsidRPr="000A73DD" w:rsidRDefault="00B85063" w:rsidP="00355358">
            <w:pPr>
              <w:rPr>
                <w:rFonts w:ascii="Times New Roman" w:hAnsi="Times New Roman"/>
                <w:sz w:val="24"/>
                <w:szCs w:val="24"/>
              </w:rPr>
            </w:pPr>
            <w:r w:rsidRPr="000A73DD">
              <w:rPr>
                <w:rFonts w:ascii="Times New Roman" w:hAnsi="Times New Roman"/>
                <w:sz w:val="24"/>
                <w:szCs w:val="24"/>
              </w:rPr>
              <w:t>Reject the null hypothesis. Cross-sectional dependence is present among the firms in the panel.</w:t>
            </w:r>
          </w:p>
        </w:tc>
      </w:tr>
      <w:tr w:rsidR="00B85063" w14:paraId="23865FC3" w14:textId="77777777" w:rsidTr="00355358">
        <w:tc>
          <w:tcPr>
            <w:tcW w:w="2358" w:type="dxa"/>
          </w:tcPr>
          <w:p w14:paraId="36F7CE82" w14:textId="77777777" w:rsidR="00B85063" w:rsidRPr="000A73DD" w:rsidRDefault="00B85063" w:rsidP="00355358">
            <w:pPr>
              <w:rPr>
                <w:rFonts w:ascii="Times New Roman" w:hAnsi="Times New Roman"/>
                <w:sz w:val="24"/>
                <w:szCs w:val="24"/>
              </w:rPr>
            </w:pPr>
            <w:r w:rsidRPr="000A73DD">
              <w:rPr>
                <w:rFonts w:ascii="Times New Roman" w:hAnsi="Times New Roman"/>
                <w:sz w:val="24"/>
                <w:szCs w:val="24"/>
              </w:rPr>
              <w:t>Breusch-Pagan Test (Heteroscedasticity) - Base Model</w:t>
            </w:r>
          </w:p>
        </w:tc>
        <w:tc>
          <w:tcPr>
            <w:tcW w:w="1890" w:type="dxa"/>
          </w:tcPr>
          <w:p w14:paraId="5BBA2106" w14:textId="77777777" w:rsidR="00B85063" w:rsidRPr="000A73DD" w:rsidRDefault="00B85063" w:rsidP="00355358">
            <w:pPr>
              <w:jc w:val="center"/>
              <w:rPr>
                <w:rFonts w:ascii="Times New Roman" w:hAnsi="Times New Roman"/>
                <w:sz w:val="24"/>
                <w:szCs w:val="24"/>
              </w:rPr>
            </w:pPr>
            <w:r w:rsidRPr="000A73DD">
              <w:rPr>
                <w:rFonts w:ascii="Times New Roman" w:hAnsi="Times New Roman"/>
                <w:sz w:val="24"/>
                <w:szCs w:val="24"/>
              </w:rPr>
              <w:t xml:space="preserve">BP = </w:t>
            </w:r>
            <w:r>
              <w:rPr>
                <w:rFonts w:ascii="Times New Roman" w:hAnsi="Times New Roman"/>
                <w:sz w:val="24"/>
                <w:szCs w:val="24"/>
              </w:rPr>
              <w:t>47,563</w:t>
            </w:r>
          </w:p>
        </w:tc>
        <w:tc>
          <w:tcPr>
            <w:tcW w:w="1710" w:type="dxa"/>
          </w:tcPr>
          <w:p w14:paraId="0E91CE2E" w14:textId="77777777" w:rsidR="00B85063" w:rsidRPr="000A73DD" w:rsidRDefault="00B85063" w:rsidP="00355358">
            <w:pPr>
              <w:jc w:val="center"/>
              <w:rPr>
                <w:rFonts w:ascii="Times New Roman" w:hAnsi="Times New Roman"/>
                <w:sz w:val="24"/>
                <w:szCs w:val="24"/>
              </w:rPr>
            </w:pPr>
            <w:r w:rsidRPr="000A73DD">
              <w:rPr>
                <w:rFonts w:ascii="Times New Roman" w:hAnsi="Times New Roman"/>
                <w:sz w:val="24"/>
                <w:szCs w:val="24"/>
              </w:rPr>
              <w:t>p &lt; 2.2e-16</w:t>
            </w:r>
          </w:p>
        </w:tc>
        <w:tc>
          <w:tcPr>
            <w:tcW w:w="3510" w:type="dxa"/>
          </w:tcPr>
          <w:p w14:paraId="0A9F7CE0" w14:textId="77777777" w:rsidR="00B85063" w:rsidRPr="000A73DD" w:rsidRDefault="00B85063" w:rsidP="00355358">
            <w:pPr>
              <w:rPr>
                <w:rFonts w:ascii="Times New Roman" w:hAnsi="Times New Roman"/>
                <w:sz w:val="24"/>
                <w:szCs w:val="24"/>
              </w:rPr>
            </w:pPr>
            <w:r w:rsidRPr="000A73DD">
              <w:rPr>
                <w:rFonts w:ascii="Times New Roman" w:hAnsi="Times New Roman"/>
                <w:sz w:val="24"/>
                <w:szCs w:val="24"/>
              </w:rPr>
              <w:t>Reject the null hypothesis. Heteroscedasticity is present</w:t>
            </w:r>
            <w:r>
              <w:rPr>
                <w:rFonts w:ascii="Times New Roman" w:hAnsi="Times New Roman"/>
                <w:sz w:val="24"/>
                <w:szCs w:val="24"/>
              </w:rPr>
              <w:t>ed</w:t>
            </w:r>
          </w:p>
        </w:tc>
      </w:tr>
      <w:tr w:rsidR="00B85063" w14:paraId="79BEE934" w14:textId="77777777" w:rsidTr="00355358">
        <w:tc>
          <w:tcPr>
            <w:tcW w:w="2358" w:type="dxa"/>
          </w:tcPr>
          <w:p w14:paraId="75149321" w14:textId="77777777" w:rsidR="00B85063" w:rsidRPr="000A73DD" w:rsidRDefault="00B85063" w:rsidP="00355358">
            <w:pPr>
              <w:rPr>
                <w:rFonts w:ascii="Times New Roman" w:hAnsi="Times New Roman"/>
                <w:sz w:val="24"/>
                <w:szCs w:val="24"/>
              </w:rPr>
            </w:pPr>
            <w:r w:rsidRPr="000A73DD">
              <w:rPr>
                <w:rFonts w:ascii="Times New Roman" w:hAnsi="Times New Roman"/>
                <w:sz w:val="24"/>
                <w:szCs w:val="24"/>
              </w:rPr>
              <w:t>Breusch-Pagan Test (Heteroscedasticity) - Interactive Model</w:t>
            </w:r>
          </w:p>
        </w:tc>
        <w:tc>
          <w:tcPr>
            <w:tcW w:w="1890" w:type="dxa"/>
          </w:tcPr>
          <w:p w14:paraId="315D4A48" w14:textId="77777777" w:rsidR="00B85063" w:rsidRPr="000A73DD" w:rsidRDefault="00B85063" w:rsidP="00355358">
            <w:pPr>
              <w:jc w:val="center"/>
              <w:rPr>
                <w:rFonts w:ascii="Times New Roman" w:hAnsi="Times New Roman"/>
                <w:sz w:val="24"/>
                <w:szCs w:val="24"/>
              </w:rPr>
            </w:pPr>
            <w:r w:rsidRPr="000A73DD">
              <w:rPr>
                <w:rFonts w:ascii="Times New Roman" w:hAnsi="Times New Roman"/>
                <w:sz w:val="24"/>
                <w:szCs w:val="24"/>
              </w:rPr>
              <w:t xml:space="preserve">BP = </w:t>
            </w:r>
            <w:r>
              <w:rPr>
                <w:rFonts w:ascii="Times New Roman" w:hAnsi="Times New Roman"/>
                <w:sz w:val="24"/>
                <w:szCs w:val="24"/>
              </w:rPr>
              <w:t>58,361</w:t>
            </w:r>
          </w:p>
        </w:tc>
        <w:tc>
          <w:tcPr>
            <w:tcW w:w="1710" w:type="dxa"/>
          </w:tcPr>
          <w:p w14:paraId="62F77835" w14:textId="77777777" w:rsidR="00B85063" w:rsidRPr="000A73DD" w:rsidRDefault="00B85063" w:rsidP="00355358">
            <w:pPr>
              <w:jc w:val="center"/>
              <w:rPr>
                <w:rFonts w:ascii="Times New Roman" w:hAnsi="Times New Roman"/>
                <w:sz w:val="24"/>
                <w:szCs w:val="24"/>
              </w:rPr>
            </w:pPr>
            <w:r w:rsidRPr="000A73DD">
              <w:rPr>
                <w:rFonts w:ascii="Times New Roman" w:hAnsi="Times New Roman"/>
                <w:sz w:val="24"/>
                <w:szCs w:val="24"/>
              </w:rPr>
              <w:t>p &lt; 2.2e-16</w:t>
            </w:r>
          </w:p>
        </w:tc>
        <w:tc>
          <w:tcPr>
            <w:tcW w:w="3510" w:type="dxa"/>
          </w:tcPr>
          <w:p w14:paraId="4ACB711B" w14:textId="77777777" w:rsidR="00B85063" w:rsidRPr="000A73DD" w:rsidRDefault="00B85063" w:rsidP="00355358">
            <w:pPr>
              <w:rPr>
                <w:rFonts w:ascii="Times New Roman" w:hAnsi="Times New Roman"/>
                <w:sz w:val="24"/>
                <w:szCs w:val="24"/>
              </w:rPr>
            </w:pPr>
            <w:r w:rsidRPr="000A73DD">
              <w:rPr>
                <w:rFonts w:ascii="Times New Roman" w:hAnsi="Times New Roman"/>
                <w:sz w:val="24"/>
                <w:szCs w:val="24"/>
              </w:rPr>
              <w:t>Reject the null hypothesis. Heteroscedasticity is present</w:t>
            </w:r>
            <w:r>
              <w:rPr>
                <w:rFonts w:ascii="Times New Roman" w:hAnsi="Times New Roman"/>
                <w:sz w:val="24"/>
                <w:szCs w:val="24"/>
              </w:rPr>
              <w:t>ed</w:t>
            </w:r>
            <w:r w:rsidRPr="000A73DD">
              <w:rPr>
                <w:rFonts w:ascii="Times New Roman" w:hAnsi="Times New Roman"/>
                <w:sz w:val="24"/>
                <w:szCs w:val="24"/>
              </w:rPr>
              <w:t xml:space="preserve"> in the interactive model</w:t>
            </w:r>
          </w:p>
        </w:tc>
      </w:tr>
      <w:tr w:rsidR="00B85063" w14:paraId="78A706FE" w14:textId="77777777" w:rsidTr="00355358">
        <w:tc>
          <w:tcPr>
            <w:tcW w:w="2358" w:type="dxa"/>
          </w:tcPr>
          <w:p w14:paraId="2C056C46" w14:textId="77777777" w:rsidR="00B85063" w:rsidRDefault="00B85063" w:rsidP="00355358">
            <w:pPr>
              <w:rPr>
                <w:rFonts w:ascii="Times New Roman" w:hAnsi="Times New Roman"/>
                <w:sz w:val="24"/>
                <w:szCs w:val="24"/>
              </w:rPr>
            </w:pPr>
            <w:r>
              <w:rPr>
                <w:rFonts w:ascii="Times New Roman" w:hAnsi="Times New Roman"/>
                <w:sz w:val="24"/>
                <w:szCs w:val="24"/>
              </w:rPr>
              <w:t xml:space="preserve">Wald Test  </w:t>
            </w:r>
          </w:p>
          <w:p w14:paraId="671780FC" w14:textId="77777777" w:rsidR="00B85063" w:rsidRPr="000A73DD" w:rsidRDefault="00B85063" w:rsidP="00355358">
            <w:pPr>
              <w:rPr>
                <w:rFonts w:ascii="Times New Roman" w:hAnsi="Times New Roman"/>
                <w:sz w:val="24"/>
                <w:szCs w:val="24"/>
              </w:rPr>
            </w:pPr>
            <w:r>
              <w:rPr>
                <w:rFonts w:ascii="Times New Roman" w:hAnsi="Times New Roman"/>
                <w:sz w:val="24"/>
                <w:szCs w:val="24"/>
              </w:rPr>
              <w:t>(adding Total Assets and Revenues)</w:t>
            </w:r>
          </w:p>
        </w:tc>
        <w:tc>
          <w:tcPr>
            <w:tcW w:w="1890" w:type="dxa"/>
          </w:tcPr>
          <w:p w14:paraId="0BBC2F4C" w14:textId="77777777" w:rsidR="00B85063" w:rsidRPr="000A73DD" w:rsidRDefault="00B85063" w:rsidP="00355358">
            <w:pPr>
              <w:jc w:val="center"/>
              <w:rPr>
                <w:rFonts w:ascii="Times New Roman" w:hAnsi="Times New Roman"/>
                <w:sz w:val="24"/>
                <w:szCs w:val="24"/>
              </w:rPr>
            </w:pPr>
            <w:r w:rsidRPr="000A73DD">
              <w:rPr>
                <w:rFonts w:ascii="Times New Roman" w:hAnsi="Times New Roman"/>
                <w:sz w:val="24"/>
                <w:szCs w:val="24"/>
              </w:rPr>
              <w:t xml:space="preserve">χ² = </w:t>
            </w:r>
            <w:r>
              <w:rPr>
                <w:rFonts w:ascii="Times New Roman" w:hAnsi="Times New Roman"/>
                <w:sz w:val="24"/>
                <w:szCs w:val="24"/>
              </w:rPr>
              <w:t>0.0016</w:t>
            </w:r>
          </w:p>
        </w:tc>
        <w:tc>
          <w:tcPr>
            <w:tcW w:w="1710" w:type="dxa"/>
          </w:tcPr>
          <w:p w14:paraId="4D6F31BA" w14:textId="556EEB28" w:rsidR="00B85063" w:rsidRPr="000A73DD" w:rsidRDefault="00B85063" w:rsidP="00355358">
            <w:pPr>
              <w:jc w:val="center"/>
              <w:rPr>
                <w:rFonts w:ascii="Times New Roman" w:hAnsi="Times New Roman"/>
                <w:sz w:val="24"/>
                <w:szCs w:val="24"/>
              </w:rPr>
            </w:pPr>
            <w:r>
              <w:rPr>
                <w:rFonts w:ascii="Times New Roman" w:hAnsi="Times New Roman"/>
                <w:sz w:val="24"/>
                <w:szCs w:val="24"/>
              </w:rPr>
              <w:t xml:space="preserve">p </w:t>
            </w:r>
            <w:r w:rsidR="0050413D">
              <w:rPr>
                <w:rFonts w:ascii="Times New Roman" w:hAnsi="Times New Roman"/>
                <w:sz w:val="24"/>
                <w:szCs w:val="24"/>
              </w:rPr>
              <w:t>=</w:t>
            </w:r>
            <w:r>
              <w:rPr>
                <w:rFonts w:ascii="Times New Roman" w:hAnsi="Times New Roman"/>
                <w:sz w:val="24"/>
                <w:szCs w:val="24"/>
              </w:rPr>
              <w:t xml:space="preserve"> 0.9992</w:t>
            </w:r>
          </w:p>
        </w:tc>
        <w:tc>
          <w:tcPr>
            <w:tcW w:w="3510" w:type="dxa"/>
          </w:tcPr>
          <w:p w14:paraId="3DD39279" w14:textId="4703484C" w:rsidR="00B85063" w:rsidRPr="000A73DD" w:rsidRDefault="00B85063" w:rsidP="00355358">
            <w:pPr>
              <w:rPr>
                <w:rFonts w:ascii="Times New Roman" w:hAnsi="Times New Roman"/>
                <w:sz w:val="24"/>
                <w:szCs w:val="24"/>
              </w:rPr>
            </w:pPr>
            <w:r>
              <w:rPr>
                <w:rFonts w:ascii="Times New Roman" w:hAnsi="Times New Roman"/>
                <w:sz w:val="24"/>
                <w:szCs w:val="24"/>
              </w:rPr>
              <w:t xml:space="preserve">Not reject the null hypothesis. </w:t>
            </w:r>
            <w:r w:rsidR="00705344" w:rsidRPr="00705344">
              <w:rPr>
                <w:rFonts w:ascii="Times New Roman" w:hAnsi="Times New Roman"/>
                <w:sz w:val="24"/>
                <w:szCs w:val="24"/>
              </w:rPr>
              <w:t>Fail to reject the null hypothesis that the coefficients on Total Assets and Revenues are jointly zero</w:t>
            </w:r>
            <w:r>
              <w:rPr>
                <w:rFonts w:ascii="Times New Roman" w:hAnsi="Times New Roman"/>
                <w:sz w:val="24"/>
                <w:szCs w:val="24"/>
              </w:rPr>
              <w:t>.</w:t>
            </w:r>
          </w:p>
        </w:tc>
      </w:tr>
    </w:tbl>
    <w:p w14:paraId="3AC432B6" w14:textId="77777777" w:rsidR="00B85063" w:rsidRPr="00491FB9" w:rsidRDefault="00B85063" w:rsidP="00B85063">
      <w:pPr>
        <w:spacing w:before="240" w:after="240" w:line="240" w:lineRule="auto"/>
        <w:ind w:right="29"/>
        <w:rPr>
          <w:rFonts w:ascii="Times New Roman" w:hAnsi="Times New Roman" w:cs="Times New Roman"/>
          <w:b/>
          <w:bCs/>
          <w:sz w:val="24"/>
          <w:szCs w:val="24"/>
        </w:rPr>
      </w:pPr>
    </w:p>
    <w:p w14:paraId="4CDE9E4B" w14:textId="77777777" w:rsidR="00567F73" w:rsidRDefault="00567F73">
      <w:pPr>
        <w:rPr>
          <w:rFonts w:ascii="Times New Roman" w:hAnsi="Times New Roman" w:cs="Times New Roman"/>
          <w:b/>
          <w:sz w:val="24"/>
          <w:szCs w:val="24"/>
        </w:rPr>
        <w:sectPr w:rsidR="00567F73" w:rsidSect="00556080">
          <w:headerReference w:type="even" r:id="rId8"/>
          <w:headerReference w:type="default" r:id="rId9"/>
          <w:footerReference w:type="even" r:id="rId10"/>
          <w:footerReference w:type="default" r:id="rId11"/>
          <w:headerReference w:type="first" r:id="rId12"/>
          <w:footerReference w:type="first" r:id="rId13"/>
          <w:pgSz w:w="11906" w:h="16838" w:code="9"/>
          <w:pgMar w:top="1152" w:right="1440" w:bottom="1152" w:left="1440" w:header="720" w:footer="576" w:gutter="0"/>
          <w:cols w:space="720"/>
          <w:docGrid w:linePitch="360"/>
        </w:sectPr>
      </w:pPr>
    </w:p>
    <w:p w14:paraId="42E212A9" w14:textId="0EC58F6F" w:rsidR="00491FB9" w:rsidRDefault="00567F73" w:rsidP="005A2E11">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Supplementary Information 4: </w:t>
      </w:r>
      <w:r w:rsidR="005A2E11" w:rsidRPr="005A2E11">
        <w:rPr>
          <w:rFonts w:ascii="Times New Roman" w:hAnsi="Times New Roman" w:cs="Times New Roman"/>
          <w:b/>
          <w:sz w:val="24"/>
          <w:szCs w:val="24"/>
        </w:rPr>
        <w:t>Full Panel Regression Results and Estimator Comparisons</w:t>
      </w:r>
    </w:p>
    <w:tbl>
      <w:tblPr>
        <w:tblW w:w="15570" w:type="dxa"/>
        <w:tblInd w:w="-455" w:type="dxa"/>
        <w:tblLayout w:type="fixed"/>
        <w:tblLook w:val="04A0" w:firstRow="1" w:lastRow="0" w:firstColumn="1" w:lastColumn="0" w:noHBand="0" w:noVBand="1"/>
      </w:tblPr>
      <w:tblGrid>
        <w:gridCol w:w="1890"/>
        <w:gridCol w:w="1368"/>
        <w:gridCol w:w="1368"/>
        <w:gridCol w:w="1368"/>
        <w:gridCol w:w="1368"/>
        <w:gridCol w:w="1368"/>
        <w:gridCol w:w="1368"/>
        <w:gridCol w:w="1368"/>
        <w:gridCol w:w="1368"/>
        <w:gridCol w:w="1368"/>
        <w:gridCol w:w="1368"/>
      </w:tblGrid>
      <w:tr w:rsidR="00355FF3" w:rsidRPr="00DF36FD" w14:paraId="747D2436" w14:textId="77777777" w:rsidTr="00283875">
        <w:trPr>
          <w:trHeight w:val="921"/>
        </w:trPr>
        <w:tc>
          <w:tcPr>
            <w:tcW w:w="1890" w:type="dxa"/>
            <w:tcBorders>
              <w:top w:val="single" w:sz="4" w:space="0" w:color="auto"/>
              <w:left w:val="single" w:sz="4" w:space="0" w:color="auto"/>
              <w:bottom w:val="single" w:sz="4" w:space="0" w:color="auto"/>
              <w:right w:val="single" w:sz="4" w:space="0" w:color="auto"/>
            </w:tcBorders>
            <w:shd w:val="clear" w:color="000000" w:fill="A6C9EC"/>
            <w:vAlign w:val="center"/>
            <w:hideMark/>
          </w:tcPr>
          <w:p w14:paraId="42710D60" w14:textId="77777777" w:rsidR="00355FF3" w:rsidRPr="00DF36FD" w:rsidRDefault="00355FF3" w:rsidP="00DF36FD">
            <w:pPr>
              <w:spacing w:after="0" w:line="240" w:lineRule="auto"/>
              <w:jc w:val="center"/>
              <w:rPr>
                <w:rFonts w:ascii="Times New Roman" w:eastAsia="Times New Roman" w:hAnsi="Times New Roman" w:cs="Times New Roman"/>
                <w:b/>
                <w:bCs/>
                <w:kern w:val="0"/>
                <w:sz w:val="24"/>
                <w:szCs w:val="24"/>
                <w14:ligatures w14:val="none"/>
              </w:rPr>
            </w:pPr>
            <w:r w:rsidRPr="00DF36FD">
              <w:rPr>
                <w:rFonts w:ascii="Times New Roman" w:eastAsia="Times New Roman" w:hAnsi="Times New Roman" w:cs="Times New Roman"/>
                <w:b/>
                <w:bCs/>
                <w:kern w:val="0"/>
                <w:sz w:val="24"/>
                <w:szCs w:val="24"/>
                <w14:ligatures w14:val="none"/>
              </w:rPr>
              <w:t>Variables</w:t>
            </w:r>
          </w:p>
        </w:tc>
        <w:tc>
          <w:tcPr>
            <w:tcW w:w="1368" w:type="dxa"/>
            <w:tcBorders>
              <w:top w:val="single" w:sz="4" w:space="0" w:color="auto"/>
              <w:left w:val="nil"/>
              <w:bottom w:val="single" w:sz="4" w:space="0" w:color="auto"/>
              <w:right w:val="single" w:sz="4" w:space="0" w:color="auto"/>
            </w:tcBorders>
            <w:shd w:val="clear" w:color="000000" w:fill="A6C9EC"/>
            <w:vAlign w:val="center"/>
            <w:hideMark/>
          </w:tcPr>
          <w:p w14:paraId="061AF9FD" w14:textId="77777777" w:rsidR="00355FF3" w:rsidRPr="00DF36FD" w:rsidRDefault="00355FF3" w:rsidP="00DF36FD">
            <w:pPr>
              <w:spacing w:after="0" w:line="240" w:lineRule="auto"/>
              <w:jc w:val="center"/>
              <w:rPr>
                <w:rFonts w:ascii="Times New Roman" w:eastAsia="Times New Roman" w:hAnsi="Times New Roman" w:cs="Times New Roman"/>
                <w:b/>
                <w:bCs/>
                <w:kern w:val="0"/>
                <w:sz w:val="24"/>
                <w:szCs w:val="24"/>
                <w14:ligatures w14:val="none"/>
              </w:rPr>
            </w:pPr>
            <w:r w:rsidRPr="00DF36FD">
              <w:rPr>
                <w:rFonts w:ascii="Times New Roman" w:eastAsia="Times New Roman" w:hAnsi="Times New Roman" w:cs="Times New Roman"/>
                <w:b/>
                <w:bCs/>
                <w:kern w:val="0"/>
                <w:sz w:val="24"/>
                <w:szCs w:val="24"/>
                <w14:ligatures w14:val="none"/>
              </w:rPr>
              <w:t>Pooled OLS</w:t>
            </w:r>
          </w:p>
        </w:tc>
        <w:tc>
          <w:tcPr>
            <w:tcW w:w="1368" w:type="dxa"/>
            <w:tcBorders>
              <w:top w:val="single" w:sz="4" w:space="0" w:color="auto"/>
              <w:left w:val="nil"/>
              <w:bottom w:val="single" w:sz="4" w:space="0" w:color="auto"/>
              <w:right w:val="single" w:sz="4" w:space="0" w:color="auto"/>
            </w:tcBorders>
            <w:shd w:val="clear" w:color="000000" w:fill="A6C9EC"/>
            <w:vAlign w:val="center"/>
            <w:hideMark/>
          </w:tcPr>
          <w:p w14:paraId="53F517C8" w14:textId="77777777" w:rsidR="00355FF3" w:rsidRPr="00DF36FD" w:rsidRDefault="00355FF3" w:rsidP="00DF36FD">
            <w:pPr>
              <w:spacing w:after="0" w:line="240" w:lineRule="auto"/>
              <w:jc w:val="center"/>
              <w:rPr>
                <w:rFonts w:ascii="Times New Roman" w:eastAsia="Times New Roman" w:hAnsi="Times New Roman" w:cs="Times New Roman"/>
                <w:b/>
                <w:bCs/>
                <w:kern w:val="0"/>
                <w:sz w:val="24"/>
                <w:szCs w:val="24"/>
                <w14:ligatures w14:val="none"/>
              </w:rPr>
            </w:pPr>
            <w:r w:rsidRPr="00DF36FD">
              <w:rPr>
                <w:rFonts w:ascii="Times New Roman" w:eastAsia="Times New Roman" w:hAnsi="Times New Roman" w:cs="Times New Roman"/>
                <w:b/>
                <w:bCs/>
                <w:kern w:val="0"/>
                <w:sz w:val="24"/>
                <w:szCs w:val="24"/>
                <w14:ligatures w14:val="none"/>
              </w:rPr>
              <w:t>Fixed Effects (FE)</w:t>
            </w:r>
          </w:p>
        </w:tc>
        <w:tc>
          <w:tcPr>
            <w:tcW w:w="1368" w:type="dxa"/>
            <w:tcBorders>
              <w:top w:val="single" w:sz="4" w:space="0" w:color="auto"/>
              <w:left w:val="nil"/>
              <w:bottom w:val="single" w:sz="4" w:space="0" w:color="auto"/>
              <w:right w:val="single" w:sz="4" w:space="0" w:color="auto"/>
            </w:tcBorders>
            <w:shd w:val="clear" w:color="000000" w:fill="A6C9EC"/>
            <w:vAlign w:val="center"/>
            <w:hideMark/>
          </w:tcPr>
          <w:p w14:paraId="7C9E2852" w14:textId="77777777" w:rsidR="00355FF3" w:rsidRPr="00DF36FD" w:rsidRDefault="00355FF3" w:rsidP="00DF36FD">
            <w:pPr>
              <w:spacing w:after="0" w:line="240" w:lineRule="auto"/>
              <w:jc w:val="center"/>
              <w:rPr>
                <w:rFonts w:ascii="Times New Roman" w:eastAsia="Times New Roman" w:hAnsi="Times New Roman" w:cs="Times New Roman"/>
                <w:b/>
                <w:bCs/>
                <w:kern w:val="0"/>
                <w:sz w:val="24"/>
                <w:szCs w:val="24"/>
                <w14:ligatures w14:val="none"/>
              </w:rPr>
            </w:pPr>
            <w:r w:rsidRPr="00DF36FD">
              <w:rPr>
                <w:rFonts w:ascii="Times New Roman" w:eastAsia="Times New Roman" w:hAnsi="Times New Roman" w:cs="Times New Roman"/>
                <w:b/>
                <w:bCs/>
                <w:kern w:val="0"/>
                <w:sz w:val="24"/>
                <w:szCs w:val="24"/>
                <w14:ligatures w14:val="none"/>
              </w:rPr>
              <w:t>Random Effects (RE)</w:t>
            </w:r>
          </w:p>
        </w:tc>
        <w:tc>
          <w:tcPr>
            <w:tcW w:w="1368" w:type="dxa"/>
            <w:tcBorders>
              <w:top w:val="single" w:sz="4" w:space="0" w:color="auto"/>
              <w:left w:val="nil"/>
              <w:bottom w:val="single" w:sz="4" w:space="0" w:color="auto"/>
              <w:right w:val="single" w:sz="4" w:space="0" w:color="auto"/>
            </w:tcBorders>
            <w:shd w:val="clear" w:color="000000" w:fill="A6C9EC"/>
            <w:vAlign w:val="center"/>
            <w:hideMark/>
          </w:tcPr>
          <w:p w14:paraId="5A7DDBBB" w14:textId="77777777" w:rsidR="00355FF3" w:rsidRPr="00DF36FD" w:rsidRDefault="00355FF3" w:rsidP="00DF36FD">
            <w:pPr>
              <w:spacing w:after="0" w:line="240" w:lineRule="auto"/>
              <w:jc w:val="center"/>
              <w:rPr>
                <w:rFonts w:ascii="Times New Roman" w:eastAsia="Times New Roman" w:hAnsi="Times New Roman" w:cs="Times New Roman"/>
                <w:b/>
                <w:bCs/>
                <w:kern w:val="0"/>
                <w:sz w:val="24"/>
                <w:szCs w:val="24"/>
                <w14:ligatures w14:val="none"/>
              </w:rPr>
            </w:pPr>
            <w:r w:rsidRPr="00DF36FD">
              <w:rPr>
                <w:rFonts w:ascii="Times New Roman" w:eastAsia="Times New Roman" w:hAnsi="Times New Roman" w:cs="Times New Roman"/>
                <w:b/>
                <w:bCs/>
                <w:kern w:val="0"/>
                <w:sz w:val="24"/>
                <w:szCs w:val="24"/>
                <w14:ligatures w14:val="none"/>
              </w:rPr>
              <w:t>FGLS Original</w:t>
            </w:r>
          </w:p>
        </w:tc>
        <w:tc>
          <w:tcPr>
            <w:tcW w:w="1368" w:type="dxa"/>
            <w:tcBorders>
              <w:top w:val="single" w:sz="4" w:space="0" w:color="auto"/>
              <w:left w:val="nil"/>
              <w:bottom w:val="single" w:sz="4" w:space="0" w:color="auto"/>
              <w:right w:val="single" w:sz="4" w:space="0" w:color="auto"/>
            </w:tcBorders>
            <w:shd w:val="clear" w:color="000000" w:fill="A6C9EC"/>
            <w:vAlign w:val="center"/>
            <w:hideMark/>
          </w:tcPr>
          <w:p w14:paraId="29637E36" w14:textId="77777777" w:rsidR="00355FF3" w:rsidRPr="00DF36FD" w:rsidRDefault="00355FF3" w:rsidP="00DF36FD">
            <w:pPr>
              <w:spacing w:after="0" w:line="240" w:lineRule="auto"/>
              <w:jc w:val="center"/>
              <w:rPr>
                <w:rFonts w:ascii="Times New Roman" w:eastAsia="Times New Roman" w:hAnsi="Times New Roman" w:cs="Times New Roman"/>
                <w:b/>
                <w:bCs/>
                <w:kern w:val="0"/>
                <w:sz w:val="24"/>
                <w:szCs w:val="24"/>
                <w14:ligatures w14:val="none"/>
              </w:rPr>
            </w:pPr>
            <w:r w:rsidRPr="00DF36FD">
              <w:rPr>
                <w:rFonts w:ascii="Times New Roman" w:eastAsia="Times New Roman" w:hAnsi="Times New Roman" w:cs="Times New Roman"/>
                <w:b/>
                <w:bCs/>
                <w:kern w:val="0"/>
                <w:sz w:val="24"/>
                <w:szCs w:val="24"/>
                <w14:ligatures w14:val="none"/>
              </w:rPr>
              <w:t>FGLS + Year FE</w:t>
            </w:r>
          </w:p>
        </w:tc>
        <w:tc>
          <w:tcPr>
            <w:tcW w:w="1368" w:type="dxa"/>
            <w:tcBorders>
              <w:top w:val="single" w:sz="4" w:space="0" w:color="000000"/>
              <w:left w:val="nil"/>
              <w:bottom w:val="single" w:sz="4" w:space="0" w:color="000000"/>
              <w:right w:val="single" w:sz="4" w:space="0" w:color="000000"/>
            </w:tcBorders>
            <w:shd w:val="clear" w:color="000000" w:fill="A6C9EC"/>
            <w:vAlign w:val="center"/>
            <w:hideMark/>
          </w:tcPr>
          <w:p w14:paraId="7E11E9CF" w14:textId="77777777" w:rsidR="00355FF3" w:rsidRPr="00DF36FD" w:rsidRDefault="00355FF3" w:rsidP="00DF36FD">
            <w:pPr>
              <w:spacing w:after="0" w:line="240" w:lineRule="auto"/>
              <w:jc w:val="center"/>
              <w:rPr>
                <w:rFonts w:ascii="Times New Roman" w:eastAsia="Times New Roman" w:hAnsi="Times New Roman" w:cs="Times New Roman"/>
                <w:b/>
                <w:bCs/>
                <w:kern w:val="0"/>
                <w:sz w:val="24"/>
                <w:szCs w:val="24"/>
                <w14:ligatures w14:val="none"/>
              </w:rPr>
            </w:pPr>
            <w:r w:rsidRPr="00DF36FD">
              <w:rPr>
                <w:rFonts w:ascii="Times New Roman" w:eastAsia="Times New Roman" w:hAnsi="Times New Roman" w:cs="Times New Roman"/>
                <w:b/>
                <w:bCs/>
                <w:kern w:val="0"/>
                <w:sz w:val="24"/>
                <w:szCs w:val="24"/>
                <w14:ligatures w14:val="none"/>
              </w:rPr>
              <w:t>TWFE + Firm-clustered SE</w:t>
            </w:r>
          </w:p>
        </w:tc>
        <w:tc>
          <w:tcPr>
            <w:tcW w:w="1368" w:type="dxa"/>
            <w:tcBorders>
              <w:top w:val="single" w:sz="4" w:space="0" w:color="auto"/>
              <w:left w:val="nil"/>
              <w:bottom w:val="single" w:sz="4" w:space="0" w:color="auto"/>
              <w:right w:val="single" w:sz="4" w:space="0" w:color="auto"/>
            </w:tcBorders>
            <w:shd w:val="clear" w:color="000000" w:fill="A6C9EC"/>
            <w:vAlign w:val="center"/>
            <w:hideMark/>
          </w:tcPr>
          <w:p w14:paraId="10439F3E" w14:textId="77777777" w:rsidR="00355FF3" w:rsidRPr="00DF36FD" w:rsidRDefault="00355FF3" w:rsidP="00DF36FD">
            <w:pPr>
              <w:spacing w:after="0" w:line="240" w:lineRule="auto"/>
              <w:jc w:val="center"/>
              <w:rPr>
                <w:rFonts w:ascii="Times New Roman" w:eastAsia="Times New Roman" w:hAnsi="Times New Roman" w:cs="Times New Roman"/>
                <w:b/>
                <w:bCs/>
                <w:kern w:val="0"/>
                <w:sz w:val="24"/>
                <w:szCs w:val="24"/>
                <w14:ligatures w14:val="none"/>
              </w:rPr>
            </w:pPr>
            <w:r w:rsidRPr="00DF36FD">
              <w:rPr>
                <w:rFonts w:ascii="Times New Roman" w:eastAsia="Times New Roman" w:hAnsi="Times New Roman" w:cs="Times New Roman"/>
                <w:b/>
                <w:bCs/>
                <w:kern w:val="0"/>
                <w:sz w:val="24"/>
                <w:szCs w:val="24"/>
                <w14:ligatures w14:val="none"/>
              </w:rPr>
              <w:t xml:space="preserve">TWFE-DK </w:t>
            </w:r>
            <w:r w:rsidRPr="00DF36FD">
              <w:rPr>
                <w:rFonts w:ascii="Times New Roman" w:eastAsia="Times New Roman" w:hAnsi="Times New Roman" w:cs="Times New Roman"/>
                <w:b/>
                <w:bCs/>
                <w:kern w:val="0"/>
                <w:sz w:val="24"/>
                <w:szCs w:val="24"/>
                <w14:ligatures w14:val="none"/>
              </w:rPr>
              <w:br/>
              <w:t>(maxlag = 1)</w:t>
            </w:r>
          </w:p>
        </w:tc>
        <w:tc>
          <w:tcPr>
            <w:tcW w:w="1368" w:type="dxa"/>
            <w:tcBorders>
              <w:top w:val="single" w:sz="4" w:space="0" w:color="auto"/>
              <w:left w:val="nil"/>
              <w:bottom w:val="single" w:sz="4" w:space="0" w:color="auto"/>
              <w:right w:val="single" w:sz="4" w:space="0" w:color="auto"/>
            </w:tcBorders>
            <w:shd w:val="clear" w:color="000000" w:fill="A6C9EC"/>
            <w:vAlign w:val="center"/>
            <w:hideMark/>
          </w:tcPr>
          <w:p w14:paraId="0D40B683" w14:textId="77777777" w:rsidR="00355FF3" w:rsidRPr="00DF36FD" w:rsidRDefault="00355FF3" w:rsidP="00DF36FD">
            <w:pPr>
              <w:spacing w:after="0" w:line="240" w:lineRule="auto"/>
              <w:jc w:val="center"/>
              <w:rPr>
                <w:rFonts w:ascii="Times New Roman" w:eastAsia="Times New Roman" w:hAnsi="Times New Roman" w:cs="Times New Roman"/>
                <w:b/>
                <w:bCs/>
                <w:kern w:val="0"/>
                <w:sz w:val="24"/>
                <w:szCs w:val="24"/>
                <w14:ligatures w14:val="none"/>
              </w:rPr>
            </w:pPr>
            <w:r w:rsidRPr="00DF36FD">
              <w:rPr>
                <w:rFonts w:ascii="Times New Roman" w:eastAsia="Times New Roman" w:hAnsi="Times New Roman" w:cs="Times New Roman"/>
                <w:b/>
                <w:bCs/>
                <w:kern w:val="0"/>
                <w:sz w:val="24"/>
                <w:szCs w:val="24"/>
                <w14:ligatures w14:val="none"/>
              </w:rPr>
              <w:t xml:space="preserve">TWFE-DK </w:t>
            </w:r>
            <w:r w:rsidRPr="00DF36FD">
              <w:rPr>
                <w:rFonts w:ascii="Times New Roman" w:eastAsia="Times New Roman" w:hAnsi="Times New Roman" w:cs="Times New Roman"/>
                <w:b/>
                <w:bCs/>
                <w:kern w:val="0"/>
                <w:sz w:val="24"/>
                <w:szCs w:val="24"/>
                <w14:ligatures w14:val="none"/>
              </w:rPr>
              <w:br/>
              <w:t>(maxlag = 2)</w:t>
            </w:r>
          </w:p>
        </w:tc>
        <w:tc>
          <w:tcPr>
            <w:tcW w:w="1368" w:type="dxa"/>
            <w:tcBorders>
              <w:top w:val="single" w:sz="4" w:space="0" w:color="auto"/>
              <w:left w:val="nil"/>
              <w:bottom w:val="single" w:sz="4" w:space="0" w:color="auto"/>
              <w:right w:val="single" w:sz="4" w:space="0" w:color="auto"/>
            </w:tcBorders>
            <w:shd w:val="clear" w:color="000000" w:fill="A6C9EC"/>
            <w:vAlign w:val="center"/>
            <w:hideMark/>
          </w:tcPr>
          <w:p w14:paraId="06A680C8" w14:textId="77777777" w:rsidR="00355FF3" w:rsidRPr="00DF36FD" w:rsidRDefault="00355FF3" w:rsidP="00DF36FD">
            <w:pPr>
              <w:spacing w:after="0" w:line="240" w:lineRule="auto"/>
              <w:jc w:val="center"/>
              <w:rPr>
                <w:rFonts w:ascii="Times New Roman" w:eastAsia="Times New Roman" w:hAnsi="Times New Roman" w:cs="Times New Roman"/>
                <w:b/>
                <w:bCs/>
                <w:kern w:val="0"/>
                <w:sz w:val="24"/>
                <w:szCs w:val="24"/>
                <w14:ligatures w14:val="none"/>
              </w:rPr>
            </w:pPr>
            <w:r w:rsidRPr="00DF36FD">
              <w:rPr>
                <w:rFonts w:ascii="Times New Roman" w:eastAsia="Times New Roman" w:hAnsi="Times New Roman" w:cs="Times New Roman"/>
                <w:b/>
                <w:bCs/>
                <w:kern w:val="0"/>
                <w:sz w:val="24"/>
                <w:szCs w:val="24"/>
                <w14:ligatures w14:val="none"/>
              </w:rPr>
              <w:t xml:space="preserve">FGLS + Year FE, </w:t>
            </w:r>
            <w:r w:rsidRPr="00DF36FD">
              <w:rPr>
                <w:rFonts w:ascii="Times New Roman" w:eastAsia="Times New Roman" w:hAnsi="Times New Roman" w:cs="Times New Roman"/>
                <w:b/>
                <w:bCs/>
                <w:kern w:val="0"/>
                <w:sz w:val="24"/>
                <w:szCs w:val="24"/>
                <w14:ligatures w14:val="none"/>
              </w:rPr>
              <w:br/>
              <w:t>Cluster t-1</w:t>
            </w:r>
          </w:p>
        </w:tc>
        <w:tc>
          <w:tcPr>
            <w:tcW w:w="1368" w:type="dxa"/>
            <w:tcBorders>
              <w:top w:val="single" w:sz="4" w:space="0" w:color="000000"/>
              <w:left w:val="nil"/>
              <w:bottom w:val="single" w:sz="4" w:space="0" w:color="000000"/>
              <w:right w:val="single" w:sz="4" w:space="0" w:color="000000"/>
            </w:tcBorders>
            <w:shd w:val="clear" w:color="000000" w:fill="A6C9EC"/>
            <w:vAlign w:val="center"/>
            <w:hideMark/>
          </w:tcPr>
          <w:p w14:paraId="3CA72D2E" w14:textId="77777777" w:rsidR="00355FF3" w:rsidRPr="00DF36FD" w:rsidRDefault="00355FF3" w:rsidP="00DF36FD">
            <w:pPr>
              <w:spacing w:after="0" w:line="240" w:lineRule="auto"/>
              <w:jc w:val="center"/>
              <w:rPr>
                <w:rFonts w:ascii="Times New Roman" w:eastAsia="Times New Roman" w:hAnsi="Times New Roman" w:cs="Times New Roman"/>
                <w:b/>
                <w:bCs/>
                <w:kern w:val="0"/>
                <w:sz w:val="24"/>
                <w:szCs w:val="24"/>
                <w14:ligatures w14:val="none"/>
              </w:rPr>
            </w:pPr>
            <w:r w:rsidRPr="00DF36FD">
              <w:rPr>
                <w:rFonts w:ascii="Times New Roman" w:eastAsia="Times New Roman" w:hAnsi="Times New Roman" w:cs="Times New Roman"/>
                <w:b/>
                <w:bCs/>
                <w:kern w:val="0"/>
                <w:sz w:val="24"/>
                <w:szCs w:val="24"/>
                <w14:ligatures w14:val="none"/>
              </w:rPr>
              <w:t>TWFE + Firm-clustered SE,</w:t>
            </w:r>
            <w:r w:rsidRPr="00DF36FD">
              <w:rPr>
                <w:rFonts w:ascii="Times New Roman" w:eastAsia="Times New Roman" w:hAnsi="Times New Roman" w:cs="Times New Roman"/>
                <w:b/>
                <w:bCs/>
                <w:kern w:val="0"/>
                <w:sz w:val="24"/>
                <w:szCs w:val="24"/>
                <w14:ligatures w14:val="none"/>
              </w:rPr>
              <w:br/>
              <w:t>Cluster t-1</w:t>
            </w:r>
          </w:p>
        </w:tc>
      </w:tr>
      <w:tr w:rsidR="00355FF3" w:rsidRPr="00DF36FD" w14:paraId="06AC4F12" w14:textId="77777777" w:rsidTr="00283875">
        <w:trPr>
          <w:trHeight w:val="681"/>
        </w:trPr>
        <w:tc>
          <w:tcPr>
            <w:tcW w:w="1890" w:type="dxa"/>
            <w:tcBorders>
              <w:top w:val="nil"/>
              <w:left w:val="single" w:sz="4" w:space="0" w:color="auto"/>
              <w:bottom w:val="single" w:sz="4" w:space="0" w:color="auto"/>
              <w:right w:val="single" w:sz="4" w:space="0" w:color="auto"/>
            </w:tcBorders>
            <w:noWrap/>
            <w:vAlign w:val="center"/>
            <w:hideMark/>
          </w:tcPr>
          <w:p w14:paraId="7FE31809" w14:textId="77777777" w:rsidR="00355FF3" w:rsidRPr="00DF36FD" w:rsidRDefault="00355FF3" w:rsidP="00DF36FD">
            <w:pPr>
              <w:spacing w:after="0" w:line="240" w:lineRule="auto"/>
              <w:rPr>
                <w:rFonts w:ascii="Times New Roman" w:eastAsia="Times New Roman" w:hAnsi="Times New Roman" w:cs="Times New Roman"/>
                <w:b/>
                <w:bCs/>
                <w:color w:val="1F1F1F"/>
                <w:kern w:val="0"/>
                <w:sz w:val="24"/>
                <w:szCs w:val="24"/>
                <w14:ligatures w14:val="none"/>
              </w:rPr>
            </w:pPr>
            <w:r w:rsidRPr="00DF36FD">
              <w:rPr>
                <w:rFonts w:ascii="Times New Roman" w:eastAsia="Times New Roman" w:hAnsi="Times New Roman" w:cs="Times New Roman"/>
                <w:b/>
                <w:bCs/>
                <w:color w:val="1F1F1F"/>
                <w:kern w:val="0"/>
                <w:sz w:val="24"/>
                <w:szCs w:val="24"/>
                <w14:ligatures w14:val="none"/>
              </w:rPr>
              <w:t>Intercept</w:t>
            </w:r>
          </w:p>
        </w:tc>
        <w:tc>
          <w:tcPr>
            <w:tcW w:w="1368" w:type="dxa"/>
            <w:tcBorders>
              <w:top w:val="nil"/>
              <w:left w:val="nil"/>
              <w:bottom w:val="single" w:sz="4" w:space="0" w:color="auto"/>
              <w:right w:val="single" w:sz="4" w:space="0" w:color="auto"/>
            </w:tcBorders>
            <w:vAlign w:val="center"/>
            <w:hideMark/>
          </w:tcPr>
          <w:p w14:paraId="461E0B2E" w14:textId="375C98C9"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102.68***</w:t>
            </w:r>
            <w:r w:rsidRPr="00DF36FD">
              <w:rPr>
                <w:rFonts w:ascii="Times New Roman" w:eastAsia="Times New Roman" w:hAnsi="Times New Roman" w:cs="Times New Roman"/>
                <w:color w:val="1F1F1F"/>
                <w:kern w:val="0"/>
                <w:sz w:val="24"/>
                <w:szCs w:val="24"/>
                <w14:ligatures w14:val="none"/>
              </w:rPr>
              <w:br/>
              <w:t>(2.313)</w:t>
            </w:r>
          </w:p>
        </w:tc>
        <w:tc>
          <w:tcPr>
            <w:tcW w:w="1368" w:type="dxa"/>
            <w:tcBorders>
              <w:top w:val="nil"/>
              <w:left w:val="nil"/>
              <w:bottom w:val="single" w:sz="4" w:space="0" w:color="auto"/>
              <w:right w:val="single" w:sz="4" w:space="0" w:color="auto"/>
            </w:tcBorders>
            <w:vAlign w:val="center"/>
            <w:hideMark/>
          </w:tcPr>
          <w:p w14:paraId="099FAB92"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w:t>
            </w:r>
          </w:p>
        </w:tc>
        <w:tc>
          <w:tcPr>
            <w:tcW w:w="1368" w:type="dxa"/>
            <w:tcBorders>
              <w:top w:val="nil"/>
              <w:left w:val="nil"/>
              <w:bottom w:val="single" w:sz="4" w:space="0" w:color="auto"/>
              <w:right w:val="single" w:sz="4" w:space="0" w:color="auto"/>
            </w:tcBorders>
            <w:vAlign w:val="center"/>
            <w:hideMark/>
          </w:tcPr>
          <w:p w14:paraId="4D85BAEF" w14:textId="765E2CA9"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100.59***</w:t>
            </w:r>
            <w:r w:rsidRPr="00DF36FD">
              <w:rPr>
                <w:rFonts w:ascii="Times New Roman" w:eastAsia="Times New Roman" w:hAnsi="Times New Roman" w:cs="Times New Roman"/>
                <w:color w:val="1F1F1F"/>
                <w:kern w:val="0"/>
                <w:sz w:val="24"/>
                <w:szCs w:val="24"/>
                <w14:ligatures w14:val="none"/>
              </w:rPr>
              <w:br/>
              <w:t>(2.487)</w:t>
            </w:r>
          </w:p>
        </w:tc>
        <w:tc>
          <w:tcPr>
            <w:tcW w:w="1368" w:type="dxa"/>
            <w:tcBorders>
              <w:top w:val="nil"/>
              <w:left w:val="nil"/>
              <w:bottom w:val="single" w:sz="4" w:space="0" w:color="auto"/>
              <w:right w:val="single" w:sz="4" w:space="0" w:color="auto"/>
            </w:tcBorders>
            <w:vAlign w:val="center"/>
            <w:hideMark/>
          </w:tcPr>
          <w:p w14:paraId="1E6133D3"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w:t>
            </w:r>
          </w:p>
        </w:tc>
        <w:tc>
          <w:tcPr>
            <w:tcW w:w="1368" w:type="dxa"/>
            <w:tcBorders>
              <w:top w:val="nil"/>
              <w:left w:val="nil"/>
              <w:bottom w:val="single" w:sz="4" w:space="0" w:color="auto"/>
              <w:right w:val="single" w:sz="4" w:space="0" w:color="auto"/>
            </w:tcBorders>
            <w:vAlign w:val="center"/>
            <w:hideMark/>
          </w:tcPr>
          <w:p w14:paraId="120DE6B1"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w:t>
            </w:r>
          </w:p>
        </w:tc>
        <w:tc>
          <w:tcPr>
            <w:tcW w:w="1368" w:type="dxa"/>
            <w:tcBorders>
              <w:top w:val="nil"/>
              <w:left w:val="nil"/>
              <w:bottom w:val="single" w:sz="4" w:space="0" w:color="000000"/>
              <w:right w:val="single" w:sz="4" w:space="0" w:color="000000"/>
            </w:tcBorders>
            <w:shd w:val="clear" w:color="000000" w:fill="FFFFFF"/>
            <w:vAlign w:val="center"/>
            <w:hideMark/>
          </w:tcPr>
          <w:p w14:paraId="586942FE"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w:t>
            </w:r>
          </w:p>
        </w:tc>
        <w:tc>
          <w:tcPr>
            <w:tcW w:w="1368" w:type="dxa"/>
            <w:tcBorders>
              <w:top w:val="nil"/>
              <w:left w:val="nil"/>
              <w:bottom w:val="single" w:sz="4" w:space="0" w:color="auto"/>
              <w:right w:val="single" w:sz="4" w:space="0" w:color="auto"/>
            </w:tcBorders>
            <w:vAlign w:val="center"/>
            <w:hideMark/>
          </w:tcPr>
          <w:p w14:paraId="593BF5F2"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w:t>
            </w:r>
          </w:p>
        </w:tc>
        <w:tc>
          <w:tcPr>
            <w:tcW w:w="1368" w:type="dxa"/>
            <w:tcBorders>
              <w:top w:val="nil"/>
              <w:left w:val="nil"/>
              <w:bottom w:val="single" w:sz="4" w:space="0" w:color="auto"/>
              <w:right w:val="single" w:sz="4" w:space="0" w:color="auto"/>
            </w:tcBorders>
            <w:vAlign w:val="center"/>
            <w:hideMark/>
          </w:tcPr>
          <w:p w14:paraId="6C571F6D"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w:t>
            </w:r>
          </w:p>
        </w:tc>
        <w:tc>
          <w:tcPr>
            <w:tcW w:w="1368" w:type="dxa"/>
            <w:tcBorders>
              <w:top w:val="nil"/>
              <w:left w:val="nil"/>
              <w:bottom w:val="single" w:sz="4" w:space="0" w:color="auto"/>
              <w:right w:val="single" w:sz="4" w:space="0" w:color="auto"/>
            </w:tcBorders>
            <w:vAlign w:val="center"/>
            <w:hideMark/>
          </w:tcPr>
          <w:p w14:paraId="655D829F"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w:t>
            </w:r>
          </w:p>
        </w:tc>
        <w:tc>
          <w:tcPr>
            <w:tcW w:w="1368" w:type="dxa"/>
            <w:tcBorders>
              <w:top w:val="nil"/>
              <w:left w:val="nil"/>
              <w:bottom w:val="single" w:sz="4" w:space="0" w:color="000000"/>
              <w:right w:val="single" w:sz="4" w:space="0" w:color="000000"/>
            </w:tcBorders>
            <w:shd w:val="clear" w:color="000000" w:fill="FFFFFF"/>
            <w:vAlign w:val="center"/>
            <w:hideMark/>
          </w:tcPr>
          <w:p w14:paraId="4F68E880"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w:t>
            </w:r>
          </w:p>
        </w:tc>
      </w:tr>
      <w:tr w:rsidR="00355FF3" w:rsidRPr="00DF36FD" w14:paraId="452EEE02" w14:textId="77777777" w:rsidTr="00283875">
        <w:trPr>
          <w:trHeight w:val="681"/>
        </w:trPr>
        <w:tc>
          <w:tcPr>
            <w:tcW w:w="1890" w:type="dxa"/>
            <w:tcBorders>
              <w:top w:val="nil"/>
              <w:left w:val="single" w:sz="4" w:space="0" w:color="auto"/>
              <w:bottom w:val="single" w:sz="4" w:space="0" w:color="auto"/>
              <w:right w:val="single" w:sz="4" w:space="0" w:color="auto"/>
            </w:tcBorders>
            <w:noWrap/>
            <w:vAlign w:val="center"/>
            <w:hideMark/>
          </w:tcPr>
          <w:p w14:paraId="1B620D7A" w14:textId="77777777" w:rsidR="00355FF3" w:rsidRPr="00DF36FD" w:rsidRDefault="00355FF3" w:rsidP="00DF36FD">
            <w:pPr>
              <w:spacing w:after="0" w:line="240" w:lineRule="auto"/>
              <w:rPr>
                <w:rFonts w:ascii="Times New Roman" w:eastAsia="Times New Roman" w:hAnsi="Times New Roman" w:cs="Times New Roman"/>
                <w:b/>
                <w:bCs/>
                <w:color w:val="1F1F1F"/>
                <w:kern w:val="0"/>
                <w:sz w:val="24"/>
                <w:szCs w:val="24"/>
                <w14:ligatures w14:val="none"/>
              </w:rPr>
            </w:pPr>
            <w:r w:rsidRPr="00DF36FD">
              <w:rPr>
                <w:rFonts w:ascii="Times New Roman" w:eastAsia="Times New Roman" w:hAnsi="Times New Roman" w:cs="Times New Roman"/>
                <w:b/>
                <w:bCs/>
                <w:color w:val="1F1F1F"/>
                <w:kern w:val="0"/>
                <w:sz w:val="24"/>
                <w:szCs w:val="24"/>
                <w14:ligatures w14:val="none"/>
              </w:rPr>
              <w:t>Efficiency</w:t>
            </w:r>
          </w:p>
        </w:tc>
        <w:tc>
          <w:tcPr>
            <w:tcW w:w="1368" w:type="dxa"/>
            <w:tcBorders>
              <w:top w:val="nil"/>
              <w:left w:val="nil"/>
              <w:bottom w:val="single" w:sz="4" w:space="0" w:color="auto"/>
              <w:right w:val="single" w:sz="4" w:space="0" w:color="auto"/>
            </w:tcBorders>
            <w:vAlign w:val="center"/>
            <w:hideMark/>
          </w:tcPr>
          <w:p w14:paraId="1BABD40B"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0.018</w:t>
            </w:r>
            <w:r w:rsidRPr="00DF36FD">
              <w:rPr>
                <w:rFonts w:ascii="Times New Roman" w:eastAsia="Times New Roman" w:hAnsi="Times New Roman" w:cs="Times New Roman"/>
                <w:color w:val="1F1F1F"/>
                <w:kern w:val="0"/>
                <w:sz w:val="24"/>
                <w:szCs w:val="24"/>
                <w14:ligatures w14:val="none"/>
              </w:rPr>
              <w:br/>
              <w:t>(0.017)</w:t>
            </w:r>
          </w:p>
        </w:tc>
        <w:tc>
          <w:tcPr>
            <w:tcW w:w="1368" w:type="dxa"/>
            <w:tcBorders>
              <w:top w:val="nil"/>
              <w:left w:val="nil"/>
              <w:bottom w:val="single" w:sz="4" w:space="0" w:color="auto"/>
              <w:right w:val="single" w:sz="4" w:space="0" w:color="auto"/>
            </w:tcBorders>
            <w:vAlign w:val="center"/>
            <w:hideMark/>
          </w:tcPr>
          <w:p w14:paraId="29F271DB"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0.027</w:t>
            </w:r>
            <w:r w:rsidRPr="00DF36FD">
              <w:rPr>
                <w:rFonts w:ascii="Times New Roman" w:eastAsia="Times New Roman" w:hAnsi="Times New Roman" w:cs="Times New Roman"/>
                <w:color w:val="1F1F1F"/>
                <w:kern w:val="0"/>
                <w:sz w:val="24"/>
                <w:szCs w:val="24"/>
                <w14:ligatures w14:val="none"/>
              </w:rPr>
              <w:br/>
              <w:t>(0.024)</w:t>
            </w:r>
          </w:p>
        </w:tc>
        <w:tc>
          <w:tcPr>
            <w:tcW w:w="1368" w:type="dxa"/>
            <w:tcBorders>
              <w:top w:val="nil"/>
              <w:left w:val="nil"/>
              <w:bottom w:val="single" w:sz="4" w:space="0" w:color="auto"/>
              <w:right w:val="single" w:sz="4" w:space="0" w:color="auto"/>
            </w:tcBorders>
            <w:vAlign w:val="center"/>
            <w:hideMark/>
          </w:tcPr>
          <w:p w14:paraId="55069974"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0.019</w:t>
            </w:r>
            <w:r w:rsidRPr="00DF36FD">
              <w:rPr>
                <w:rFonts w:ascii="Times New Roman" w:eastAsia="Times New Roman" w:hAnsi="Times New Roman" w:cs="Times New Roman"/>
                <w:color w:val="1F1F1F"/>
                <w:kern w:val="0"/>
                <w:sz w:val="24"/>
                <w:szCs w:val="24"/>
                <w14:ligatures w14:val="none"/>
              </w:rPr>
              <w:br/>
              <w:t>(0.019)</w:t>
            </w:r>
          </w:p>
        </w:tc>
        <w:tc>
          <w:tcPr>
            <w:tcW w:w="1368" w:type="dxa"/>
            <w:tcBorders>
              <w:top w:val="nil"/>
              <w:left w:val="nil"/>
              <w:bottom w:val="single" w:sz="4" w:space="0" w:color="auto"/>
              <w:right w:val="single" w:sz="4" w:space="0" w:color="auto"/>
            </w:tcBorders>
            <w:vAlign w:val="center"/>
            <w:hideMark/>
          </w:tcPr>
          <w:p w14:paraId="7939C823"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0.035***</w:t>
            </w:r>
            <w:r w:rsidRPr="00DF36FD">
              <w:rPr>
                <w:rFonts w:ascii="Times New Roman" w:eastAsia="Times New Roman" w:hAnsi="Times New Roman" w:cs="Times New Roman"/>
                <w:color w:val="1F1F1F"/>
                <w:kern w:val="0"/>
                <w:sz w:val="24"/>
                <w:szCs w:val="24"/>
                <w14:ligatures w14:val="none"/>
              </w:rPr>
              <w:br/>
              <w:t>(0.013)</w:t>
            </w:r>
          </w:p>
        </w:tc>
        <w:tc>
          <w:tcPr>
            <w:tcW w:w="1368" w:type="dxa"/>
            <w:tcBorders>
              <w:top w:val="nil"/>
              <w:left w:val="nil"/>
              <w:bottom w:val="single" w:sz="4" w:space="0" w:color="auto"/>
              <w:right w:val="single" w:sz="4" w:space="0" w:color="auto"/>
            </w:tcBorders>
            <w:vAlign w:val="center"/>
            <w:hideMark/>
          </w:tcPr>
          <w:p w14:paraId="38BFCE1E"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0.038***</w:t>
            </w:r>
            <w:r w:rsidRPr="00DF36FD">
              <w:rPr>
                <w:rFonts w:ascii="Times New Roman" w:eastAsia="Times New Roman" w:hAnsi="Times New Roman" w:cs="Times New Roman"/>
                <w:color w:val="1F1F1F"/>
                <w:kern w:val="0"/>
                <w:sz w:val="24"/>
                <w:szCs w:val="24"/>
                <w14:ligatures w14:val="none"/>
              </w:rPr>
              <w:br/>
              <w:t>(0.013)</w:t>
            </w:r>
          </w:p>
        </w:tc>
        <w:tc>
          <w:tcPr>
            <w:tcW w:w="1368" w:type="dxa"/>
            <w:tcBorders>
              <w:top w:val="nil"/>
              <w:left w:val="nil"/>
              <w:bottom w:val="single" w:sz="4" w:space="0" w:color="000000"/>
              <w:right w:val="single" w:sz="4" w:space="0" w:color="000000"/>
            </w:tcBorders>
            <w:shd w:val="clear" w:color="000000" w:fill="FFFFFF"/>
            <w:vAlign w:val="center"/>
            <w:hideMark/>
          </w:tcPr>
          <w:p w14:paraId="5D467093"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0.030***</w:t>
            </w:r>
            <w:r w:rsidRPr="00DF36FD">
              <w:rPr>
                <w:rFonts w:ascii="Times New Roman" w:eastAsia="Times New Roman" w:hAnsi="Times New Roman" w:cs="Times New Roman"/>
                <w:color w:val="1F1F1F"/>
                <w:kern w:val="0"/>
                <w:sz w:val="24"/>
                <w:szCs w:val="24"/>
                <w14:ligatures w14:val="none"/>
              </w:rPr>
              <w:br/>
              <w:t>(0.010)</w:t>
            </w:r>
          </w:p>
        </w:tc>
        <w:tc>
          <w:tcPr>
            <w:tcW w:w="1368" w:type="dxa"/>
            <w:tcBorders>
              <w:top w:val="nil"/>
              <w:left w:val="nil"/>
              <w:bottom w:val="single" w:sz="4" w:space="0" w:color="auto"/>
              <w:right w:val="single" w:sz="4" w:space="0" w:color="auto"/>
            </w:tcBorders>
            <w:vAlign w:val="center"/>
            <w:hideMark/>
          </w:tcPr>
          <w:p w14:paraId="7259A312"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0.030***</w:t>
            </w:r>
            <w:r w:rsidRPr="00DF36FD">
              <w:rPr>
                <w:rFonts w:ascii="Times New Roman" w:eastAsia="Times New Roman" w:hAnsi="Times New Roman" w:cs="Times New Roman"/>
                <w:color w:val="1F1F1F"/>
                <w:kern w:val="0"/>
                <w:sz w:val="24"/>
                <w:szCs w:val="24"/>
                <w14:ligatures w14:val="none"/>
              </w:rPr>
              <w:br/>
              <w:t>(0.010)</w:t>
            </w:r>
          </w:p>
        </w:tc>
        <w:tc>
          <w:tcPr>
            <w:tcW w:w="1368" w:type="dxa"/>
            <w:tcBorders>
              <w:top w:val="nil"/>
              <w:left w:val="nil"/>
              <w:bottom w:val="single" w:sz="4" w:space="0" w:color="auto"/>
              <w:right w:val="single" w:sz="4" w:space="0" w:color="auto"/>
            </w:tcBorders>
            <w:vAlign w:val="center"/>
            <w:hideMark/>
          </w:tcPr>
          <w:p w14:paraId="73D1EA6A"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0.030***</w:t>
            </w:r>
            <w:r w:rsidRPr="00DF36FD">
              <w:rPr>
                <w:rFonts w:ascii="Times New Roman" w:eastAsia="Times New Roman" w:hAnsi="Times New Roman" w:cs="Times New Roman"/>
                <w:color w:val="1F1F1F"/>
                <w:kern w:val="0"/>
                <w:sz w:val="24"/>
                <w:szCs w:val="24"/>
                <w14:ligatures w14:val="none"/>
              </w:rPr>
              <w:br/>
              <w:t>(0.007)</w:t>
            </w:r>
          </w:p>
        </w:tc>
        <w:tc>
          <w:tcPr>
            <w:tcW w:w="1368" w:type="dxa"/>
            <w:tcBorders>
              <w:top w:val="nil"/>
              <w:left w:val="nil"/>
              <w:bottom w:val="single" w:sz="4" w:space="0" w:color="auto"/>
              <w:right w:val="single" w:sz="4" w:space="0" w:color="auto"/>
            </w:tcBorders>
            <w:vAlign w:val="center"/>
            <w:hideMark/>
          </w:tcPr>
          <w:p w14:paraId="571ACE88"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0.015</w:t>
            </w:r>
            <w:r w:rsidRPr="00DF36FD">
              <w:rPr>
                <w:rFonts w:ascii="Times New Roman" w:eastAsia="Times New Roman" w:hAnsi="Times New Roman" w:cs="Times New Roman"/>
                <w:color w:val="1F1F1F"/>
                <w:kern w:val="0"/>
                <w:sz w:val="24"/>
                <w:szCs w:val="24"/>
                <w14:ligatures w14:val="none"/>
              </w:rPr>
              <w:br/>
              <w:t>(0.018)</w:t>
            </w:r>
          </w:p>
        </w:tc>
        <w:tc>
          <w:tcPr>
            <w:tcW w:w="1368" w:type="dxa"/>
            <w:tcBorders>
              <w:top w:val="nil"/>
              <w:left w:val="nil"/>
              <w:bottom w:val="single" w:sz="4" w:space="0" w:color="000000"/>
              <w:right w:val="single" w:sz="4" w:space="0" w:color="000000"/>
            </w:tcBorders>
            <w:shd w:val="clear" w:color="000000" w:fill="FFFFFF"/>
            <w:vAlign w:val="center"/>
            <w:hideMark/>
          </w:tcPr>
          <w:p w14:paraId="3A721225"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0.017*</w:t>
            </w:r>
            <w:r w:rsidRPr="00DF36FD">
              <w:rPr>
                <w:rFonts w:ascii="Times New Roman" w:eastAsia="Times New Roman" w:hAnsi="Times New Roman" w:cs="Times New Roman"/>
                <w:color w:val="1F1F1F"/>
                <w:kern w:val="0"/>
                <w:sz w:val="24"/>
                <w:szCs w:val="24"/>
                <w14:ligatures w14:val="none"/>
              </w:rPr>
              <w:br/>
              <w:t>(0.009)</w:t>
            </w:r>
          </w:p>
        </w:tc>
      </w:tr>
      <w:tr w:rsidR="00355FF3" w:rsidRPr="00DF36FD" w14:paraId="143A5987" w14:textId="77777777" w:rsidTr="00283875">
        <w:trPr>
          <w:trHeight w:val="681"/>
        </w:trPr>
        <w:tc>
          <w:tcPr>
            <w:tcW w:w="1890" w:type="dxa"/>
            <w:tcBorders>
              <w:top w:val="nil"/>
              <w:left w:val="single" w:sz="4" w:space="0" w:color="auto"/>
              <w:bottom w:val="single" w:sz="4" w:space="0" w:color="auto"/>
              <w:right w:val="single" w:sz="4" w:space="0" w:color="auto"/>
            </w:tcBorders>
            <w:noWrap/>
            <w:vAlign w:val="center"/>
            <w:hideMark/>
          </w:tcPr>
          <w:p w14:paraId="346D9107" w14:textId="77777777" w:rsidR="00355FF3" w:rsidRPr="00DF36FD" w:rsidRDefault="00355FF3" w:rsidP="00DF36FD">
            <w:pPr>
              <w:spacing w:after="0" w:line="240" w:lineRule="auto"/>
              <w:rPr>
                <w:rFonts w:ascii="Times New Roman" w:eastAsia="Times New Roman" w:hAnsi="Times New Roman" w:cs="Times New Roman"/>
                <w:b/>
                <w:bCs/>
                <w:color w:val="1F1F1F"/>
                <w:kern w:val="0"/>
                <w:sz w:val="24"/>
                <w:szCs w:val="24"/>
                <w14:ligatures w14:val="none"/>
              </w:rPr>
            </w:pPr>
            <w:r w:rsidRPr="00DF36FD">
              <w:rPr>
                <w:rFonts w:ascii="Times New Roman" w:eastAsia="Times New Roman" w:hAnsi="Times New Roman" w:cs="Times New Roman"/>
                <w:b/>
                <w:bCs/>
                <w:color w:val="1F1F1F"/>
                <w:kern w:val="0"/>
                <w:sz w:val="24"/>
                <w:szCs w:val="24"/>
                <w14:ligatures w14:val="none"/>
              </w:rPr>
              <w:t>Risk</w:t>
            </w:r>
          </w:p>
        </w:tc>
        <w:tc>
          <w:tcPr>
            <w:tcW w:w="1368" w:type="dxa"/>
            <w:tcBorders>
              <w:top w:val="nil"/>
              <w:left w:val="nil"/>
              <w:bottom w:val="single" w:sz="4" w:space="0" w:color="auto"/>
              <w:right w:val="single" w:sz="4" w:space="0" w:color="auto"/>
            </w:tcBorders>
            <w:vAlign w:val="center"/>
            <w:hideMark/>
          </w:tcPr>
          <w:p w14:paraId="6A618C43"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-0.351***</w:t>
            </w:r>
            <w:r w:rsidRPr="00DF36FD">
              <w:rPr>
                <w:rFonts w:ascii="Times New Roman" w:eastAsia="Times New Roman" w:hAnsi="Times New Roman" w:cs="Times New Roman"/>
                <w:color w:val="1F1F1F"/>
                <w:kern w:val="0"/>
                <w:sz w:val="24"/>
                <w:szCs w:val="24"/>
                <w14:ligatures w14:val="none"/>
              </w:rPr>
              <w:br/>
              <w:t>(0.071)</w:t>
            </w:r>
          </w:p>
        </w:tc>
        <w:tc>
          <w:tcPr>
            <w:tcW w:w="1368" w:type="dxa"/>
            <w:tcBorders>
              <w:top w:val="nil"/>
              <w:left w:val="nil"/>
              <w:bottom w:val="single" w:sz="4" w:space="0" w:color="auto"/>
              <w:right w:val="single" w:sz="4" w:space="0" w:color="auto"/>
            </w:tcBorders>
            <w:vAlign w:val="center"/>
            <w:hideMark/>
          </w:tcPr>
          <w:p w14:paraId="3B4ED48F"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-0.210**</w:t>
            </w:r>
            <w:r w:rsidRPr="00DF36FD">
              <w:rPr>
                <w:rFonts w:ascii="Times New Roman" w:eastAsia="Times New Roman" w:hAnsi="Times New Roman" w:cs="Times New Roman"/>
                <w:color w:val="1F1F1F"/>
                <w:kern w:val="0"/>
                <w:sz w:val="24"/>
                <w:szCs w:val="24"/>
                <w14:ligatures w14:val="none"/>
              </w:rPr>
              <w:br/>
              <w:t>(0.087)</w:t>
            </w:r>
          </w:p>
        </w:tc>
        <w:tc>
          <w:tcPr>
            <w:tcW w:w="1368" w:type="dxa"/>
            <w:tcBorders>
              <w:top w:val="nil"/>
              <w:left w:val="nil"/>
              <w:bottom w:val="single" w:sz="4" w:space="0" w:color="auto"/>
              <w:right w:val="single" w:sz="4" w:space="0" w:color="auto"/>
            </w:tcBorders>
            <w:vAlign w:val="center"/>
            <w:hideMark/>
          </w:tcPr>
          <w:p w14:paraId="5A3D5334"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-0.288***</w:t>
            </w:r>
            <w:r w:rsidRPr="00DF36FD">
              <w:rPr>
                <w:rFonts w:ascii="Times New Roman" w:eastAsia="Times New Roman" w:hAnsi="Times New Roman" w:cs="Times New Roman"/>
                <w:color w:val="1F1F1F"/>
                <w:kern w:val="0"/>
                <w:sz w:val="24"/>
                <w:szCs w:val="24"/>
                <w14:ligatures w14:val="none"/>
              </w:rPr>
              <w:br/>
              <w:t>(0.075)</w:t>
            </w:r>
          </w:p>
        </w:tc>
        <w:tc>
          <w:tcPr>
            <w:tcW w:w="1368" w:type="dxa"/>
            <w:tcBorders>
              <w:top w:val="nil"/>
              <w:left w:val="nil"/>
              <w:bottom w:val="single" w:sz="4" w:space="0" w:color="auto"/>
              <w:right w:val="single" w:sz="4" w:space="0" w:color="auto"/>
            </w:tcBorders>
            <w:vAlign w:val="center"/>
            <w:hideMark/>
          </w:tcPr>
          <w:p w14:paraId="7DADE93F"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-0.224***</w:t>
            </w:r>
            <w:r w:rsidRPr="00DF36FD">
              <w:rPr>
                <w:rFonts w:ascii="Times New Roman" w:eastAsia="Times New Roman" w:hAnsi="Times New Roman" w:cs="Times New Roman"/>
                <w:color w:val="1F1F1F"/>
                <w:kern w:val="0"/>
                <w:sz w:val="24"/>
                <w:szCs w:val="24"/>
                <w14:ligatures w14:val="none"/>
              </w:rPr>
              <w:br/>
              <w:t>(0.044)</w:t>
            </w:r>
          </w:p>
        </w:tc>
        <w:tc>
          <w:tcPr>
            <w:tcW w:w="1368" w:type="dxa"/>
            <w:tcBorders>
              <w:top w:val="nil"/>
              <w:left w:val="nil"/>
              <w:bottom w:val="single" w:sz="4" w:space="0" w:color="auto"/>
              <w:right w:val="single" w:sz="4" w:space="0" w:color="auto"/>
            </w:tcBorders>
            <w:vAlign w:val="center"/>
            <w:hideMark/>
          </w:tcPr>
          <w:p w14:paraId="13DA23A7"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-0.224***</w:t>
            </w:r>
            <w:r w:rsidRPr="00DF36FD">
              <w:rPr>
                <w:rFonts w:ascii="Times New Roman" w:eastAsia="Times New Roman" w:hAnsi="Times New Roman" w:cs="Times New Roman"/>
                <w:color w:val="1F1F1F"/>
                <w:kern w:val="0"/>
                <w:sz w:val="24"/>
                <w:szCs w:val="24"/>
                <w14:ligatures w14:val="none"/>
              </w:rPr>
              <w:br/>
              <w:t>(0.044)</w:t>
            </w:r>
          </w:p>
        </w:tc>
        <w:tc>
          <w:tcPr>
            <w:tcW w:w="1368" w:type="dxa"/>
            <w:tcBorders>
              <w:top w:val="nil"/>
              <w:left w:val="nil"/>
              <w:bottom w:val="single" w:sz="4" w:space="0" w:color="000000"/>
              <w:right w:val="single" w:sz="4" w:space="0" w:color="000000"/>
            </w:tcBorders>
            <w:shd w:val="clear" w:color="000000" w:fill="FFFFFF"/>
            <w:vAlign w:val="center"/>
            <w:hideMark/>
          </w:tcPr>
          <w:p w14:paraId="5450BE24"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-0.208***</w:t>
            </w:r>
            <w:r w:rsidRPr="00DF36FD">
              <w:rPr>
                <w:rFonts w:ascii="Times New Roman" w:eastAsia="Times New Roman" w:hAnsi="Times New Roman" w:cs="Times New Roman"/>
                <w:color w:val="1F1F1F"/>
                <w:kern w:val="0"/>
                <w:sz w:val="24"/>
                <w:szCs w:val="24"/>
                <w14:ligatures w14:val="none"/>
              </w:rPr>
              <w:br/>
              <w:t>(0.072)</w:t>
            </w:r>
          </w:p>
        </w:tc>
        <w:tc>
          <w:tcPr>
            <w:tcW w:w="1368" w:type="dxa"/>
            <w:tcBorders>
              <w:top w:val="nil"/>
              <w:left w:val="nil"/>
              <w:bottom w:val="single" w:sz="4" w:space="0" w:color="auto"/>
              <w:right w:val="single" w:sz="4" w:space="0" w:color="auto"/>
            </w:tcBorders>
            <w:vAlign w:val="center"/>
            <w:hideMark/>
          </w:tcPr>
          <w:p w14:paraId="389B56C0"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-0.208***</w:t>
            </w:r>
            <w:r w:rsidRPr="00DF36FD">
              <w:rPr>
                <w:rFonts w:ascii="Times New Roman" w:eastAsia="Times New Roman" w:hAnsi="Times New Roman" w:cs="Times New Roman"/>
                <w:color w:val="1F1F1F"/>
                <w:kern w:val="0"/>
                <w:sz w:val="24"/>
                <w:szCs w:val="24"/>
                <w14:ligatures w14:val="none"/>
              </w:rPr>
              <w:br/>
              <w:t>(0.058)</w:t>
            </w:r>
          </w:p>
        </w:tc>
        <w:tc>
          <w:tcPr>
            <w:tcW w:w="1368" w:type="dxa"/>
            <w:tcBorders>
              <w:top w:val="nil"/>
              <w:left w:val="nil"/>
              <w:bottom w:val="single" w:sz="4" w:space="0" w:color="auto"/>
              <w:right w:val="single" w:sz="4" w:space="0" w:color="auto"/>
            </w:tcBorders>
            <w:vAlign w:val="center"/>
            <w:hideMark/>
          </w:tcPr>
          <w:p w14:paraId="3A5BDE44"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-0.208***</w:t>
            </w:r>
            <w:r w:rsidRPr="00DF36FD">
              <w:rPr>
                <w:rFonts w:ascii="Times New Roman" w:eastAsia="Times New Roman" w:hAnsi="Times New Roman" w:cs="Times New Roman"/>
                <w:color w:val="1F1F1F"/>
                <w:kern w:val="0"/>
                <w:sz w:val="24"/>
                <w:szCs w:val="24"/>
                <w14:ligatures w14:val="none"/>
              </w:rPr>
              <w:br/>
              <w:t>(0.052)</w:t>
            </w:r>
          </w:p>
        </w:tc>
        <w:tc>
          <w:tcPr>
            <w:tcW w:w="1368" w:type="dxa"/>
            <w:tcBorders>
              <w:top w:val="nil"/>
              <w:left w:val="nil"/>
              <w:bottom w:val="single" w:sz="4" w:space="0" w:color="auto"/>
              <w:right w:val="single" w:sz="4" w:space="0" w:color="auto"/>
            </w:tcBorders>
            <w:vAlign w:val="center"/>
            <w:hideMark/>
          </w:tcPr>
          <w:p w14:paraId="716A9A5C"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-0.388***</w:t>
            </w:r>
            <w:r w:rsidRPr="00DF36FD">
              <w:rPr>
                <w:rFonts w:ascii="Times New Roman" w:eastAsia="Times New Roman" w:hAnsi="Times New Roman" w:cs="Times New Roman"/>
                <w:color w:val="1F1F1F"/>
                <w:kern w:val="0"/>
                <w:sz w:val="24"/>
                <w:szCs w:val="24"/>
                <w14:ligatures w14:val="none"/>
              </w:rPr>
              <w:br/>
              <w:t>(0.054)</w:t>
            </w:r>
          </w:p>
        </w:tc>
        <w:tc>
          <w:tcPr>
            <w:tcW w:w="1368" w:type="dxa"/>
            <w:tcBorders>
              <w:top w:val="nil"/>
              <w:left w:val="nil"/>
              <w:bottom w:val="single" w:sz="4" w:space="0" w:color="000000"/>
              <w:right w:val="single" w:sz="4" w:space="0" w:color="000000"/>
            </w:tcBorders>
            <w:shd w:val="clear" w:color="000000" w:fill="FFFFFF"/>
            <w:vAlign w:val="center"/>
            <w:hideMark/>
          </w:tcPr>
          <w:p w14:paraId="21B0BC73"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-0.285***</w:t>
            </w:r>
            <w:r w:rsidRPr="00DF36FD">
              <w:rPr>
                <w:rFonts w:ascii="Times New Roman" w:eastAsia="Times New Roman" w:hAnsi="Times New Roman" w:cs="Times New Roman"/>
                <w:color w:val="1F1F1F"/>
                <w:kern w:val="0"/>
                <w:sz w:val="24"/>
                <w:szCs w:val="24"/>
                <w14:ligatures w14:val="none"/>
              </w:rPr>
              <w:br/>
              <w:t>(0.085)</w:t>
            </w:r>
          </w:p>
        </w:tc>
      </w:tr>
      <w:tr w:rsidR="00355FF3" w:rsidRPr="00DF36FD" w14:paraId="170C5975" w14:textId="77777777" w:rsidTr="00283875">
        <w:trPr>
          <w:trHeight w:val="681"/>
        </w:trPr>
        <w:tc>
          <w:tcPr>
            <w:tcW w:w="1890" w:type="dxa"/>
            <w:tcBorders>
              <w:top w:val="nil"/>
              <w:left w:val="single" w:sz="4" w:space="0" w:color="auto"/>
              <w:bottom w:val="single" w:sz="4" w:space="0" w:color="auto"/>
              <w:right w:val="single" w:sz="4" w:space="0" w:color="auto"/>
            </w:tcBorders>
            <w:noWrap/>
            <w:vAlign w:val="center"/>
            <w:hideMark/>
          </w:tcPr>
          <w:p w14:paraId="1D894A0A" w14:textId="77777777" w:rsidR="00355FF3" w:rsidRPr="00DF36FD" w:rsidRDefault="00355FF3" w:rsidP="00DF36FD">
            <w:pPr>
              <w:spacing w:after="0" w:line="240" w:lineRule="auto"/>
              <w:rPr>
                <w:rFonts w:ascii="Times New Roman" w:eastAsia="Times New Roman" w:hAnsi="Times New Roman" w:cs="Times New Roman"/>
                <w:b/>
                <w:bCs/>
                <w:color w:val="1F1F1F"/>
                <w:kern w:val="0"/>
                <w:sz w:val="24"/>
                <w:szCs w:val="24"/>
                <w14:ligatures w14:val="none"/>
              </w:rPr>
            </w:pPr>
            <w:r w:rsidRPr="00DF36FD">
              <w:rPr>
                <w:rFonts w:ascii="Times New Roman" w:eastAsia="Times New Roman" w:hAnsi="Times New Roman" w:cs="Times New Roman"/>
                <w:b/>
                <w:bCs/>
                <w:color w:val="1F1F1F"/>
                <w:kern w:val="0"/>
                <w:sz w:val="24"/>
                <w:szCs w:val="24"/>
                <w14:ligatures w14:val="none"/>
              </w:rPr>
              <w:t>Cluster 2</w:t>
            </w:r>
          </w:p>
        </w:tc>
        <w:tc>
          <w:tcPr>
            <w:tcW w:w="1368" w:type="dxa"/>
            <w:tcBorders>
              <w:top w:val="nil"/>
              <w:left w:val="nil"/>
              <w:bottom w:val="single" w:sz="4" w:space="0" w:color="auto"/>
              <w:right w:val="single" w:sz="4" w:space="0" w:color="auto"/>
            </w:tcBorders>
            <w:vAlign w:val="center"/>
            <w:hideMark/>
          </w:tcPr>
          <w:p w14:paraId="36EA2BBD"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-9.158***</w:t>
            </w:r>
            <w:r w:rsidRPr="00DF36FD">
              <w:rPr>
                <w:rFonts w:ascii="Times New Roman" w:eastAsia="Times New Roman" w:hAnsi="Times New Roman" w:cs="Times New Roman"/>
                <w:color w:val="1F1F1F"/>
                <w:kern w:val="0"/>
                <w:sz w:val="24"/>
                <w:szCs w:val="24"/>
                <w14:ligatures w14:val="none"/>
              </w:rPr>
              <w:br/>
              <w:t>(3.041)</w:t>
            </w:r>
          </w:p>
        </w:tc>
        <w:tc>
          <w:tcPr>
            <w:tcW w:w="1368" w:type="dxa"/>
            <w:tcBorders>
              <w:top w:val="nil"/>
              <w:left w:val="nil"/>
              <w:bottom w:val="single" w:sz="4" w:space="0" w:color="auto"/>
              <w:right w:val="single" w:sz="4" w:space="0" w:color="auto"/>
            </w:tcBorders>
            <w:vAlign w:val="center"/>
            <w:hideMark/>
          </w:tcPr>
          <w:p w14:paraId="509CBDC9"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-4.048</w:t>
            </w:r>
            <w:r w:rsidRPr="00DF36FD">
              <w:rPr>
                <w:rFonts w:ascii="Times New Roman" w:eastAsia="Times New Roman" w:hAnsi="Times New Roman" w:cs="Times New Roman"/>
                <w:color w:val="1F1F1F"/>
                <w:kern w:val="0"/>
                <w:sz w:val="24"/>
                <w:szCs w:val="24"/>
                <w14:ligatures w14:val="none"/>
              </w:rPr>
              <w:br/>
              <w:t>(4.494)</w:t>
            </w:r>
          </w:p>
        </w:tc>
        <w:tc>
          <w:tcPr>
            <w:tcW w:w="1368" w:type="dxa"/>
            <w:tcBorders>
              <w:top w:val="nil"/>
              <w:left w:val="nil"/>
              <w:bottom w:val="single" w:sz="4" w:space="0" w:color="auto"/>
              <w:right w:val="single" w:sz="4" w:space="0" w:color="auto"/>
            </w:tcBorders>
            <w:vAlign w:val="center"/>
            <w:hideMark/>
          </w:tcPr>
          <w:p w14:paraId="2829B6D7"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-6.129*</w:t>
            </w:r>
            <w:r w:rsidRPr="00DF36FD">
              <w:rPr>
                <w:rFonts w:ascii="Times New Roman" w:eastAsia="Times New Roman" w:hAnsi="Times New Roman" w:cs="Times New Roman"/>
                <w:color w:val="1F1F1F"/>
                <w:kern w:val="0"/>
                <w:sz w:val="24"/>
                <w:szCs w:val="24"/>
                <w14:ligatures w14:val="none"/>
              </w:rPr>
              <w:br/>
              <w:t>(3.450)</w:t>
            </w:r>
          </w:p>
        </w:tc>
        <w:tc>
          <w:tcPr>
            <w:tcW w:w="1368" w:type="dxa"/>
            <w:tcBorders>
              <w:top w:val="nil"/>
              <w:left w:val="nil"/>
              <w:bottom w:val="single" w:sz="4" w:space="0" w:color="auto"/>
              <w:right w:val="single" w:sz="4" w:space="0" w:color="auto"/>
            </w:tcBorders>
            <w:vAlign w:val="center"/>
            <w:hideMark/>
          </w:tcPr>
          <w:p w14:paraId="63582261"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-2.421</w:t>
            </w:r>
            <w:r w:rsidRPr="00DF36FD">
              <w:rPr>
                <w:rFonts w:ascii="Times New Roman" w:eastAsia="Times New Roman" w:hAnsi="Times New Roman" w:cs="Times New Roman"/>
                <w:color w:val="1F1F1F"/>
                <w:kern w:val="0"/>
                <w:sz w:val="24"/>
                <w:szCs w:val="24"/>
                <w14:ligatures w14:val="none"/>
              </w:rPr>
              <w:br/>
              <w:t>(2.358)</w:t>
            </w:r>
          </w:p>
        </w:tc>
        <w:tc>
          <w:tcPr>
            <w:tcW w:w="1368" w:type="dxa"/>
            <w:tcBorders>
              <w:top w:val="nil"/>
              <w:left w:val="nil"/>
              <w:bottom w:val="single" w:sz="4" w:space="0" w:color="auto"/>
              <w:right w:val="single" w:sz="4" w:space="0" w:color="auto"/>
            </w:tcBorders>
            <w:vAlign w:val="center"/>
            <w:hideMark/>
          </w:tcPr>
          <w:p w14:paraId="472BDFFE"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-2.278</w:t>
            </w:r>
            <w:r w:rsidRPr="00DF36FD">
              <w:rPr>
                <w:rFonts w:ascii="Times New Roman" w:eastAsia="Times New Roman" w:hAnsi="Times New Roman" w:cs="Times New Roman"/>
                <w:color w:val="1F1F1F"/>
                <w:kern w:val="0"/>
                <w:sz w:val="24"/>
                <w:szCs w:val="24"/>
                <w14:ligatures w14:val="none"/>
              </w:rPr>
              <w:br/>
              <w:t>(2.346)</w:t>
            </w:r>
          </w:p>
        </w:tc>
        <w:tc>
          <w:tcPr>
            <w:tcW w:w="1368" w:type="dxa"/>
            <w:tcBorders>
              <w:top w:val="nil"/>
              <w:left w:val="nil"/>
              <w:bottom w:val="single" w:sz="4" w:space="0" w:color="000000"/>
              <w:right w:val="single" w:sz="4" w:space="0" w:color="000000"/>
            </w:tcBorders>
            <w:shd w:val="clear" w:color="000000" w:fill="FFFFFF"/>
            <w:vAlign w:val="center"/>
            <w:hideMark/>
          </w:tcPr>
          <w:p w14:paraId="33DC86A1"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-3.750</w:t>
            </w:r>
            <w:r w:rsidRPr="00DF36FD">
              <w:rPr>
                <w:rFonts w:ascii="Times New Roman" w:eastAsia="Times New Roman" w:hAnsi="Times New Roman" w:cs="Times New Roman"/>
                <w:color w:val="1F1F1F"/>
                <w:kern w:val="0"/>
                <w:sz w:val="24"/>
                <w:szCs w:val="24"/>
                <w14:ligatures w14:val="none"/>
              </w:rPr>
              <w:br/>
              <w:t>(3.350)</w:t>
            </w:r>
          </w:p>
        </w:tc>
        <w:tc>
          <w:tcPr>
            <w:tcW w:w="1368" w:type="dxa"/>
            <w:tcBorders>
              <w:top w:val="nil"/>
              <w:left w:val="nil"/>
              <w:bottom w:val="single" w:sz="4" w:space="0" w:color="auto"/>
              <w:right w:val="single" w:sz="4" w:space="0" w:color="auto"/>
            </w:tcBorders>
            <w:vAlign w:val="center"/>
            <w:hideMark/>
          </w:tcPr>
          <w:p w14:paraId="2E258B8E"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-3.750</w:t>
            </w:r>
            <w:r w:rsidRPr="00DF36FD">
              <w:rPr>
                <w:rFonts w:ascii="Times New Roman" w:eastAsia="Times New Roman" w:hAnsi="Times New Roman" w:cs="Times New Roman"/>
                <w:color w:val="1F1F1F"/>
                <w:kern w:val="0"/>
                <w:sz w:val="24"/>
                <w:szCs w:val="24"/>
                <w14:ligatures w14:val="none"/>
              </w:rPr>
              <w:br/>
              <w:t>(3.211)</w:t>
            </w:r>
          </w:p>
        </w:tc>
        <w:tc>
          <w:tcPr>
            <w:tcW w:w="1368" w:type="dxa"/>
            <w:tcBorders>
              <w:top w:val="nil"/>
              <w:left w:val="nil"/>
              <w:bottom w:val="single" w:sz="4" w:space="0" w:color="auto"/>
              <w:right w:val="single" w:sz="4" w:space="0" w:color="auto"/>
            </w:tcBorders>
            <w:vAlign w:val="center"/>
            <w:hideMark/>
          </w:tcPr>
          <w:p w14:paraId="7167A1D9"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-3.750</w:t>
            </w:r>
            <w:r w:rsidRPr="00DF36FD">
              <w:rPr>
                <w:rFonts w:ascii="Times New Roman" w:eastAsia="Times New Roman" w:hAnsi="Times New Roman" w:cs="Times New Roman"/>
                <w:color w:val="1F1F1F"/>
                <w:kern w:val="0"/>
                <w:sz w:val="24"/>
                <w:szCs w:val="24"/>
                <w14:ligatures w14:val="none"/>
              </w:rPr>
              <w:br/>
              <w:t>(3.285)</w:t>
            </w:r>
          </w:p>
        </w:tc>
        <w:tc>
          <w:tcPr>
            <w:tcW w:w="1368" w:type="dxa"/>
            <w:tcBorders>
              <w:top w:val="nil"/>
              <w:left w:val="nil"/>
              <w:bottom w:val="single" w:sz="4" w:space="0" w:color="auto"/>
              <w:right w:val="single" w:sz="4" w:space="0" w:color="auto"/>
            </w:tcBorders>
            <w:vAlign w:val="center"/>
            <w:hideMark/>
          </w:tcPr>
          <w:p w14:paraId="2FB8E4D0"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-7.706***</w:t>
            </w:r>
            <w:r w:rsidRPr="00DF36FD">
              <w:rPr>
                <w:rFonts w:ascii="Times New Roman" w:eastAsia="Times New Roman" w:hAnsi="Times New Roman" w:cs="Times New Roman"/>
                <w:color w:val="1F1F1F"/>
                <w:kern w:val="0"/>
                <w:sz w:val="24"/>
                <w:szCs w:val="24"/>
                <w14:ligatures w14:val="none"/>
              </w:rPr>
              <w:br/>
              <w:t>(2.570)</w:t>
            </w:r>
          </w:p>
        </w:tc>
        <w:tc>
          <w:tcPr>
            <w:tcW w:w="1368" w:type="dxa"/>
            <w:tcBorders>
              <w:top w:val="nil"/>
              <w:left w:val="nil"/>
              <w:bottom w:val="single" w:sz="4" w:space="0" w:color="000000"/>
              <w:right w:val="single" w:sz="4" w:space="0" w:color="000000"/>
            </w:tcBorders>
            <w:shd w:val="clear" w:color="000000" w:fill="FFFFFF"/>
            <w:vAlign w:val="center"/>
            <w:hideMark/>
          </w:tcPr>
          <w:p w14:paraId="632ED774"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-3.530</w:t>
            </w:r>
            <w:r w:rsidRPr="00DF36FD">
              <w:rPr>
                <w:rFonts w:ascii="Times New Roman" w:eastAsia="Times New Roman" w:hAnsi="Times New Roman" w:cs="Times New Roman"/>
                <w:color w:val="1F1F1F"/>
                <w:kern w:val="0"/>
                <w:sz w:val="24"/>
                <w:szCs w:val="24"/>
                <w14:ligatures w14:val="none"/>
              </w:rPr>
              <w:br/>
              <w:t>(3.758)</w:t>
            </w:r>
          </w:p>
        </w:tc>
      </w:tr>
      <w:tr w:rsidR="00355FF3" w:rsidRPr="00DF36FD" w14:paraId="666A661D" w14:textId="77777777" w:rsidTr="00283875">
        <w:trPr>
          <w:trHeight w:val="681"/>
        </w:trPr>
        <w:tc>
          <w:tcPr>
            <w:tcW w:w="1890" w:type="dxa"/>
            <w:tcBorders>
              <w:top w:val="nil"/>
              <w:left w:val="single" w:sz="4" w:space="0" w:color="auto"/>
              <w:bottom w:val="single" w:sz="4" w:space="0" w:color="auto"/>
              <w:right w:val="single" w:sz="4" w:space="0" w:color="auto"/>
            </w:tcBorders>
            <w:noWrap/>
            <w:vAlign w:val="center"/>
            <w:hideMark/>
          </w:tcPr>
          <w:p w14:paraId="4FD08896" w14:textId="77777777" w:rsidR="00355FF3" w:rsidRPr="00DF36FD" w:rsidRDefault="00355FF3" w:rsidP="00DF36FD">
            <w:pPr>
              <w:spacing w:after="0" w:line="240" w:lineRule="auto"/>
              <w:rPr>
                <w:rFonts w:ascii="Times New Roman" w:eastAsia="Times New Roman" w:hAnsi="Times New Roman" w:cs="Times New Roman"/>
                <w:b/>
                <w:bCs/>
                <w:color w:val="1F1F1F"/>
                <w:kern w:val="0"/>
                <w:sz w:val="24"/>
                <w:szCs w:val="24"/>
                <w14:ligatures w14:val="none"/>
              </w:rPr>
            </w:pPr>
            <w:r w:rsidRPr="00DF36FD">
              <w:rPr>
                <w:rFonts w:ascii="Times New Roman" w:eastAsia="Times New Roman" w:hAnsi="Times New Roman" w:cs="Times New Roman"/>
                <w:b/>
                <w:bCs/>
                <w:color w:val="1F1F1F"/>
                <w:kern w:val="0"/>
                <w:sz w:val="24"/>
                <w:szCs w:val="24"/>
                <w14:ligatures w14:val="none"/>
              </w:rPr>
              <w:t>Cluster 3</w:t>
            </w:r>
          </w:p>
        </w:tc>
        <w:tc>
          <w:tcPr>
            <w:tcW w:w="1368" w:type="dxa"/>
            <w:tcBorders>
              <w:top w:val="nil"/>
              <w:left w:val="nil"/>
              <w:bottom w:val="single" w:sz="4" w:space="0" w:color="auto"/>
              <w:right w:val="single" w:sz="4" w:space="0" w:color="auto"/>
            </w:tcBorders>
            <w:vAlign w:val="center"/>
            <w:hideMark/>
          </w:tcPr>
          <w:p w14:paraId="0E14CD58"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-7.254***</w:t>
            </w:r>
            <w:r w:rsidRPr="00DF36FD">
              <w:rPr>
                <w:rFonts w:ascii="Times New Roman" w:eastAsia="Times New Roman" w:hAnsi="Times New Roman" w:cs="Times New Roman"/>
                <w:color w:val="1F1F1F"/>
                <w:kern w:val="0"/>
                <w:sz w:val="24"/>
                <w:szCs w:val="24"/>
                <w14:ligatures w14:val="none"/>
              </w:rPr>
              <w:br/>
              <w:t>(2.595)</w:t>
            </w:r>
          </w:p>
        </w:tc>
        <w:tc>
          <w:tcPr>
            <w:tcW w:w="1368" w:type="dxa"/>
            <w:tcBorders>
              <w:top w:val="nil"/>
              <w:left w:val="nil"/>
              <w:bottom w:val="single" w:sz="4" w:space="0" w:color="auto"/>
              <w:right w:val="single" w:sz="4" w:space="0" w:color="auto"/>
            </w:tcBorders>
            <w:vAlign w:val="center"/>
            <w:hideMark/>
          </w:tcPr>
          <w:p w14:paraId="4F165D31"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-1.836</w:t>
            </w:r>
            <w:r w:rsidRPr="00DF36FD">
              <w:rPr>
                <w:rFonts w:ascii="Times New Roman" w:eastAsia="Times New Roman" w:hAnsi="Times New Roman" w:cs="Times New Roman"/>
                <w:color w:val="1F1F1F"/>
                <w:kern w:val="0"/>
                <w:sz w:val="24"/>
                <w:szCs w:val="24"/>
                <w14:ligatures w14:val="none"/>
              </w:rPr>
              <w:br/>
              <w:t>(3.055)</w:t>
            </w:r>
          </w:p>
        </w:tc>
        <w:tc>
          <w:tcPr>
            <w:tcW w:w="1368" w:type="dxa"/>
            <w:tcBorders>
              <w:top w:val="nil"/>
              <w:left w:val="nil"/>
              <w:bottom w:val="single" w:sz="4" w:space="0" w:color="auto"/>
              <w:right w:val="single" w:sz="4" w:space="0" w:color="auto"/>
            </w:tcBorders>
            <w:vAlign w:val="center"/>
            <w:hideMark/>
          </w:tcPr>
          <w:p w14:paraId="280211CB"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-4.382</w:t>
            </w:r>
            <w:r w:rsidRPr="00DF36FD">
              <w:rPr>
                <w:rFonts w:ascii="Times New Roman" w:eastAsia="Times New Roman" w:hAnsi="Times New Roman" w:cs="Times New Roman"/>
                <w:color w:val="1F1F1F"/>
                <w:kern w:val="0"/>
                <w:sz w:val="24"/>
                <w:szCs w:val="24"/>
                <w14:ligatures w14:val="none"/>
              </w:rPr>
              <w:br/>
              <w:t>(2.736)</w:t>
            </w:r>
          </w:p>
        </w:tc>
        <w:tc>
          <w:tcPr>
            <w:tcW w:w="1368" w:type="dxa"/>
            <w:tcBorders>
              <w:top w:val="nil"/>
              <w:left w:val="nil"/>
              <w:bottom w:val="single" w:sz="4" w:space="0" w:color="auto"/>
              <w:right w:val="single" w:sz="4" w:space="0" w:color="auto"/>
            </w:tcBorders>
            <w:vAlign w:val="center"/>
            <w:hideMark/>
          </w:tcPr>
          <w:p w14:paraId="72716F49"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-0.297</w:t>
            </w:r>
            <w:r w:rsidRPr="00DF36FD">
              <w:rPr>
                <w:rFonts w:ascii="Times New Roman" w:eastAsia="Times New Roman" w:hAnsi="Times New Roman" w:cs="Times New Roman"/>
                <w:color w:val="1F1F1F"/>
                <w:kern w:val="0"/>
                <w:sz w:val="24"/>
                <w:szCs w:val="24"/>
                <w14:ligatures w14:val="none"/>
              </w:rPr>
              <w:br/>
              <w:t>(1.614)</w:t>
            </w:r>
          </w:p>
        </w:tc>
        <w:tc>
          <w:tcPr>
            <w:tcW w:w="1368" w:type="dxa"/>
            <w:tcBorders>
              <w:top w:val="nil"/>
              <w:left w:val="nil"/>
              <w:bottom w:val="single" w:sz="4" w:space="0" w:color="auto"/>
              <w:right w:val="single" w:sz="4" w:space="0" w:color="auto"/>
            </w:tcBorders>
            <w:vAlign w:val="center"/>
            <w:hideMark/>
          </w:tcPr>
          <w:p w14:paraId="04C73BDC"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-0.214</w:t>
            </w:r>
            <w:r w:rsidRPr="00DF36FD">
              <w:rPr>
                <w:rFonts w:ascii="Times New Roman" w:eastAsia="Times New Roman" w:hAnsi="Times New Roman" w:cs="Times New Roman"/>
                <w:color w:val="1F1F1F"/>
                <w:kern w:val="0"/>
                <w:sz w:val="24"/>
                <w:szCs w:val="24"/>
                <w14:ligatures w14:val="none"/>
              </w:rPr>
              <w:br/>
              <w:t>(1.603)</w:t>
            </w:r>
          </w:p>
        </w:tc>
        <w:tc>
          <w:tcPr>
            <w:tcW w:w="1368" w:type="dxa"/>
            <w:tcBorders>
              <w:top w:val="nil"/>
              <w:left w:val="nil"/>
              <w:bottom w:val="single" w:sz="4" w:space="0" w:color="000000"/>
              <w:right w:val="single" w:sz="4" w:space="0" w:color="000000"/>
            </w:tcBorders>
            <w:shd w:val="clear" w:color="000000" w:fill="FFFFFF"/>
            <w:vAlign w:val="center"/>
            <w:hideMark/>
          </w:tcPr>
          <w:p w14:paraId="1C739F5A"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-1.651</w:t>
            </w:r>
            <w:r w:rsidRPr="00DF36FD">
              <w:rPr>
                <w:rFonts w:ascii="Times New Roman" w:eastAsia="Times New Roman" w:hAnsi="Times New Roman" w:cs="Times New Roman"/>
                <w:color w:val="1F1F1F"/>
                <w:kern w:val="0"/>
                <w:sz w:val="24"/>
                <w:szCs w:val="24"/>
                <w14:ligatures w14:val="none"/>
              </w:rPr>
              <w:br/>
              <w:t>(2.315)</w:t>
            </w:r>
          </w:p>
        </w:tc>
        <w:tc>
          <w:tcPr>
            <w:tcW w:w="1368" w:type="dxa"/>
            <w:tcBorders>
              <w:top w:val="nil"/>
              <w:left w:val="nil"/>
              <w:bottom w:val="single" w:sz="4" w:space="0" w:color="auto"/>
              <w:right w:val="single" w:sz="4" w:space="0" w:color="auto"/>
            </w:tcBorders>
            <w:vAlign w:val="center"/>
            <w:hideMark/>
          </w:tcPr>
          <w:p w14:paraId="1AB504B5"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-1.651</w:t>
            </w:r>
            <w:r w:rsidRPr="00DF36FD">
              <w:rPr>
                <w:rFonts w:ascii="Times New Roman" w:eastAsia="Times New Roman" w:hAnsi="Times New Roman" w:cs="Times New Roman"/>
                <w:color w:val="1F1F1F"/>
                <w:kern w:val="0"/>
                <w:sz w:val="24"/>
                <w:szCs w:val="24"/>
                <w14:ligatures w14:val="none"/>
              </w:rPr>
              <w:br/>
              <w:t>(1.259)</w:t>
            </w:r>
          </w:p>
        </w:tc>
        <w:tc>
          <w:tcPr>
            <w:tcW w:w="1368" w:type="dxa"/>
            <w:tcBorders>
              <w:top w:val="nil"/>
              <w:left w:val="nil"/>
              <w:bottom w:val="single" w:sz="4" w:space="0" w:color="auto"/>
              <w:right w:val="single" w:sz="4" w:space="0" w:color="auto"/>
            </w:tcBorders>
            <w:vAlign w:val="center"/>
            <w:hideMark/>
          </w:tcPr>
          <w:p w14:paraId="2D825265"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-1.651</w:t>
            </w:r>
            <w:r w:rsidRPr="00DF36FD">
              <w:rPr>
                <w:rFonts w:ascii="Times New Roman" w:eastAsia="Times New Roman" w:hAnsi="Times New Roman" w:cs="Times New Roman"/>
                <w:color w:val="1F1F1F"/>
                <w:kern w:val="0"/>
                <w:sz w:val="24"/>
                <w:szCs w:val="24"/>
                <w14:ligatures w14:val="none"/>
              </w:rPr>
              <w:br/>
              <w:t>(1.075)</w:t>
            </w:r>
          </w:p>
        </w:tc>
        <w:tc>
          <w:tcPr>
            <w:tcW w:w="1368" w:type="dxa"/>
            <w:tcBorders>
              <w:top w:val="nil"/>
              <w:left w:val="nil"/>
              <w:bottom w:val="single" w:sz="4" w:space="0" w:color="auto"/>
              <w:right w:val="single" w:sz="4" w:space="0" w:color="auto"/>
            </w:tcBorders>
            <w:vAlign w:val="center"/>
            <w:hideMark/>
          </w:tcPr>
          <w:p w14:paraId="7B9FC0D5"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-2.481</w:t>
            </w:r>
            <w:r w:rsidRPr="00DF36FD">
              <w:rPr>
                <w:rFonts w:ascii="Times New Roman" w:eastAsia="Times New Roman" w:hAnsi="Times New Roman" w:cs="Times New Roman"/>
                <w:color w:val="1F1F1F"/>
                <w:kern w:val="0"/>
                <w:sz w:val="24"/>
                <w:szCs w:val="24"/>
                <w14:ligatures w14:val="none"/>
              </w:rPr>
              <w:br/>
              <w:t>(1.848)</w:t>
            </w:r>
          </w:p>
        </w:tc>
        <w:tc>
          <w:tcPr>
            <w:tcW w:w="1368" w:type="dxa"/>
            <w:tcBorders>
              <w:top w:val="nil"/>
              <w:left w:val="nil"/>
              <w:bottom w:val="single" w:sz="4" w:space="0" w:color="000000"/>
              <w:right w:val="single" w:sz="4" w:space="0" w:color="000000"/>
            </w:tcBorders>
            <w:shd w:val="clear" w:color="000000" w:fill="FFFFFF"/>
            <w:vAlign w:val="center"/>
            <w:hideMark/>
          </w:tcPr>
          <w:p w14:paraId="3AB5AAE8"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-3.711*</w:t>
            </w:r>
            <w:r w:rsidRPr="00DF36FD">
              <w:rPr>
                <w:rFonts w:ascii="Times New Roman" w:eastAsia="Times New Roman" w:hAnsi="Times New Roman" w:cs="Times New Roman"/>
                <w:color w:val="1F1F1F"/>
                <w:kern w:val="0"/>
                <w:sz w:val="24"/>
                <w:szCs w:val="24"/>
                <w14:ligatures w14:val="none"/>
              </w:rPr>
              <w:br/>
              <w:t>(2.102)</w:t>
            </w:r>
          </w:p>
        </w:tc>
      </w:tr>
      <w:tr w:rsidR="00355FF3" w:rsidRPr="00DF36FD" w14:paraId="78D738B9" w14:textId="77777777" w:rsidTr="00283875">
        <w:trPr>
          <w:trHeight w:val="681"/>
        </w:trPr>
        <w:tc>
          <w:tcPr>
            <w:tcW w:w="1890" w:type="dxa"/>
            <w:tcBorders>
              <w:top w:val="nil"/>
              <w:left w:val="single" w:sz="4" w:space="0" w:color="auto"/>
              <w:bottom w:val="single" w:sz="4" w:space="0" w:color="auto"/>
              <w:right w:val="single" w:sz="4" w:space="0" w:color="auto"/>
            </w:tcBorders>
            <w:noWrap/>
            <w:vAlign w:val="center"/>
            <w:hideMark/>
          </w:tcPr>
          <w:p w14:paraId="1ADC4C97" w14:textId="77777777" w:rsidR="00355FF3" w:rsidRPr="00DF36FD" w:rsidRDefault="00355FF3" w:rsidP="00DF36FD">
            <w:pPr>
              <w:spacing w:after="0" w:line="240" w:lineRule="auto"/>
              <w:rPr>
                <w:rFonts w:ascii="Times New Roman" w:eastAsia="Times New Roman" w:hAnsi="Times New Roman" w:cs="Times New Roman"/>
                <w:b/>
                <w:bCs/>
                <w:color w:val="1F1F1F"/>
                <w:kern w:val="0"/>
                <w:sz w:val="24"/>
                <w:szCs w:val="24"/>
                <w14:ligatures w14:val="none"/>
              </w:rPr>
            </w:pPr>
            <w:r w:rsidRPr="00DF36FD">
              <w:rPr>
                <w:rFonts w:ascii="Times New Roman" w:eastAsia="Times New Roman" w:hAnsi="Times New Roman" w:cs="Times New Roman"/>
                <w:b/>
                <w:bCs/>
                <w:color w:val="1F1F1F"/>
                <w:kern w:val="0"/>
                <w:sz w:val="24"/>
                <w:szCs w:val="24"/>
                <w14:ligatures w14:val="none"/>
              </w:rPr>
              <w:t>Cluster 4</w:t>
            </w:r>
          </w:p>
        </w:tc>
        <w:tc>
          <w:tcPr>
            <w:tcW w:w="1368" w:type="dxa"/>
            <w:tcBorders>
              <w:top w:val="nil"/>
              <w:left w:val="nil"/>
              <w:bottom w:val="single" w:sz="4" w:space="0" w:color="auto"/>
              <w:right w:val="single" w:sz="4" w:space="0" w:color="auto"/>
            </w:tcBorders>
            <w:vAlign w:val="center"/>
            <w:hideMark/>
          </w:tcPr>
          <w:p w14:paraId="1072FF78"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5.689**</w:t>
            </w:r>
            <w:r w:rsidRPr="00DF36FD">
              <w:rPr>
                <w:rFonts w:ascii="Times New Roman" w:eastAsia="Times New Roman" w:hAnsi="Times New Roman" w:cs="Times New Roman"/>
                <w:color w:val="1F1F1F"/>
                <w:kern w:val="0"/>
                <w:sz w:val="24"/>
                <w:szCs w:val="24"/>
                <w14:ligatures w14:val="none"/>
              </w:rPr>
              <w:br/>
              <w:t>(2.635)</w:t>
            </w:r>
          </w:p>
        </w:tc>
        <w:tc>
          <w:tcPr>
            <w:tcW w:w="1368" w:type="dxa"/>
            <w:tcBorders>
              <w:top w:val="nil"/>
              <w:left w:val="nil"/>
              <w:bottom w:val="single" w:sz="4" w:space="0" w:color="auto"/>
              <w:right w:val="single" w:sz="4" w:space="0" w:color="auto"/>
            </w:tcBorders>
            <w:vAlign w:val="center"/>
            <w:hideMark/>
          </w:tcPr>
          <w:p w14:paraId="26BF646E"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9.583***</w:t>
            </w:r>
            <w:r w:rsidRPr="00DF36FD">
              <w:rPr>
                <w:rFonts w:ascii="Times New Roman" w:eastAsia="Times New Roman" w:hAnsi="Times New Roman" w:cs="Times New Roman"/>
                <w:color w:val="1F1F1F"/>
                <w:kern w:val="0"/>
                <w:sz w:val="24"/>
                <w:szCs w:val="24"/>
                <w14:ligatures w14:val="none"/>
              </w:rPr>
              <w:br/>
              <w:t>(3.160)</w:t>
            </w:r>
          </w:p>
        </w:tc>
        <w:tc>
          <w:tcPr>
            <w:tcW w:w="1368" w:type="dxa"/>
            <w:tcBorders>
              <w:top w:val="nil"/>
              <w:left w:val="nil"/>
              <w:bottom w:val="single" w:sz="4" w:space="0" w:color="auto"/>
              <w:right w:val="single" w:sz="4" w:space="0" w:color="auto"/>
            </w:tcBorders>
            <w:vAlign w:val="center"/>
            <w:hideMark/>
          </w:tcPr>
          <w:p w14:paraId="177C8E87"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8.308***</w:t>
            </w:r>
            <w:r w:rsidRPr="00DF36FD">
              <w:rPr>
                <w:rFonts w:ascii="Times New Roman" w:eastAsia="Times New Roman" w:hAnsi="Times New Roman" w:cs="Times New Roman"/>
                <w:color w:val="1F1F1F"/>
                <w:kern w:val="0"/>
                <w:sz w:val="24"/>
                <w:szCs w:val="24"/>
                <w14:ligatures w14:val="none"/>
              </w:rPr>
              <w:br/>
              <w:t>(2.780)</w:t>
            </w:r>
          </w:p>
        </w:tc>
        <w:tc>
          <w:tcPr>
            <w:tcW w:w="1368" w:type="dxa"/>
            <w:tcBorders>
              <w:top w:val="nil"/>
              <w:left w:val="nil"/>
              <w:bottom w:val="single" w:sz="4" w:space="0" w:color="auto"/>
              <w:right w:val="single" w:sz="4" w:space="0" w:color="auto"/>
            </w:tcBorders>
            <w:vAlign w:val="center"/>
            <w:hideMark/>
          </w:tcPr>
          <w:p w14:paraId="20749E39"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15.117***</w:t>
            </w:r>
            <w:r w:rsidRPr="00DF36FD">
              <w:rPr>
                <w:rFonts w:ascii="Times New Roman" w:eastAsia="Times New Roman" w:hAnsi="Times New Roman" w:cs="Times New Roman"/>
                <w:color w:val="1F1F1F"/>
                <w:kern w:val="0"/>
                <w:sz w:val="24"/>
                <w:szCs w:val="24"/>
                <w14:ligatures w14:val="none"/>
              </w:rPr>
              <w:br/>
              <w:t>(1.629)</w:t>
            </w:r>
          </w:p>
        </w:tc>
        <w:tc>
          <w:tcPr>
            <w:tcW w:w="1368" w:type="dxa"/>
            <w:tcBorders>
              <w:top w:val="nil"/>
              <w:left w:val="nil"/>
              <w:bottom w:val="single" w:sz="4" w:space="0" w:color="auto"/>
              <w:right w:val="single" w:sz="4" w:space="0" w:color="auto"/>
            </w:tcBorders>
            <w:vAlign w:val="center"/>
            <w:hideMark/>
          </w:tcPr>
          <w:p w14:paraId="34E6A7A1"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15.313***</w:t>
            </w:r>
            <w:r w:rsidRPr="00DF36FD">
              <w:rPr>
                <w:rFonts w:ascii="Times New Roman" w:eastAsia="Times New Roman" w:hAnsi="Times New Roman" w:cs="Times New Roman"/>
                <w:color w:val="1F1F1F"/>
                <w:kern w:val="0"/>
                <w:sz w:val="24"/>
                <w:szCs w:val="24"/>
                <w14:ligatures w14:val="none"/>
              </w:rPr>
              <w:br/>
              <w:t>(1.627)</w:t>
            </w:r>
          </w:p>
        </w:tc>
        <w:tc>
          <w:tcPr>
            <w:tcW w:w="1368" w:type="dxa"/>
            <w:tcBorders>
              <w:top w:val="nil"/>
              <w:left w:val="nil"/>
              <w:bottom w:val="single" w:sz="4" w:space="0" w:color="000000"/>
              <w:right w:val="single" w:sz="4" w:space="0" w:color="000000"/>
            </w:tcBorders>
            <w:shd w:val="clear" w:color="000000" w:fill="FFFFFF"/>
            <w:vAlign w:val="center"/>
            <w:hideMark/>
          </w:tcPr>
          <w:p w14:paraId="60DA2FBF"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9.924**</w:t>
            </w:r>
            <w:r w:rsidRPr="00DF36FD">
              <w:rPr>
                <w:rFonts w:ascii="Times New Roman" w:eastAsia="Times New Roman" w:hAnsi="Times New Roman" w:cs="Times New Roman"/>
                <w:color w:val="1F1F1F"/>
                <w:kern w:val="0"/>
                <w:sz w:val="24"/>
                <w:szCs w:val="24"/>
                <w14:ligatures w14:val="none"/>
              </w:rPr>
              <w:br/>
              <w:t>(4.470)</w:t>
            </w:r>
          </w:p>
        </w:tc>
        <w:tc>
          <w:tcPr>
            <w:tcW w:w="1368" w:type="dxa"/>
            <w:tcBorders>
              <w:top w:val="nil"/>
              <w:left w:val="nil"/>
              <w:bottom w:val="single" w:sz="4" w:space="0" w:color="auto"/>
              <w:right w:val="single" w:sz="4" w:space="0" w:color="auto"/>
            </w:tcBorders>
            <w:vAlign w:val="center"/>
            <w:hideMark/>
          </w:tcPr>
          <w:p w14:paraId="2D6691D9"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9.924**</w:t>
            </w:r>
            <w:r w:rsidRPr="00DF36FD">
              <w:rPr>
                <w:rFonts w:ascii="Times New Roman" w:eastAsia="Times New Roman" w:hAnsi="Times New Roman" w:cs="Times New Roman"/>
                <w:color w:val="1F1F1F"/>
                <w:kern w:val="0"/>
                <w:sz w:val="24"/>
                <w:szCs w:val="24"/>
                <w14:ligatures w14:val="none"/>
              </w:rPr>
              <w:br/>
              <w:t>(4.802)</w:t>
            </w:r>
          </w:p>
        </w:tc>
        <w:tc>
          <w:tcPr>
            <w:tcW w:w="1368" w:type="dxa"/>
            <w:tcBorders>
              <w:top w:val="nil"/>
              <w:left w:val="nil"/>
              <w:bottom w:val="single" w:sz="4" w:space="0" w:color="auto"/>
              <w:right w:val="single" w:sz="4" w:space="0" w:color="auto"/>
            </w:tcBorders>
            <w:vAlign w:val="center"/>
            <w:hideMark/>
          </w:tcPr>
          <w:p w14:paraId="52F5F50B"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9.924**</w:t>
            </w:r>
            <w:r w:rsidRPr="00DF36FD">
              <w:rPr>
                <w:rFonts w:ascii="Times New Roman" w:eastAsia="Times New Roman" w:hAnsi="Times New Roman" w:cs="Times New Roman"/>
                <w:color w:val="1F1F1F"/>
                <w:kern w:val="0"/>
                <w:sz w:val="24"/>
                <w:szCs w:val="24"/>
                <w14:ligatures w14:val="none"/>
              </w:rPr>
              <w:br/>
              <w:t>(4.986)</w:t>
            </w:r>
          </w:p>
        </w:tc>
        <w:tc>
          <w:tcPr>
            <w:tcW w:w="1368" w:type="dxa"/>
            <w:tcBorders>
              <w:top w:val="nil"/>
              <w:left w:val="nil"/>
              <w:bottom w:val="single" w:sz="4" w:space="0" w:color="auto"/>
              <w:right w:val="single" w:sz="4" w:space="0" w:color="auto"/>
            </w:tcBorders>
            <w:vAlign w:val="center"/>
            <w:hideMark/>
          </w:tcPr>
          <w:p w14:paraId="40C67E37"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11.515***</w:t>
            </w:r>
            <w:r w:rsidRPr="00DF36FD">
              <w:rPr>
                <w:rFonts w:ascii="Times New Roman" w:eastAsia="Times New Roman" w:hAnsi="Times New Roman" w:cs="Times New Roman"/>
                <w:color w:val="1F1F1F"/>
                <w:kern w:val="0"/>
                <w:sz w:val="24"/>
                <w:szCs w:val="24"/>
                <w14:ligatures w14:val="none"/>
              </w:rPr>
              <w:br/>
              <w:t>(1.920)</w:t>
            </w:r>
          </w:p>
        </w:tc>
        <w:tc>
          <w:tcPr>
            <w:tcW w:w="1368" w:type="dxa"/>
            <w:tcBorders>
              <w:top w:val="nil"/>
              <w:left w:val="nil"/>
              <w:bottom w:val="single" w:sz="4" w:space="0" w:color="000000"/>
              <w:right w:val="single" w:sz="4" w:space="0" w:color="000000"/>
            </w:tcBorders>
            <w:shd w:val="clear" w:color="000000" w:fill="FFFFFF"/>
            <w:vAlign w:val="center"/>
            <w:hideMark/>
          </w:tcPr>
          <w:p w14:paraId="19E4C7F1"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12.883**</w:t>
            </w:r>
            <w:r w:rsidRPr="00DF36FD">
              <w:rPr>
                <w:rFonts w:ascii="Times New Roman" w:eastAsia="Times New Roman" w:hAnsi="Times New Roman" w:cs="Times New Roman"/>
                <w:color w:val="1F1F1F"/>
                <w:kern w:val="0"/>
                <w:sz w:val="24"/>
                <w:szCs w:val="24"/>
                <w14:ligatures w14:val="none"/>
              </w:rPr>
              <w:br/>
              <w:t>(5.194)</w:t>
            </w:r>
          </w:p>
        </w:tc>
      </w:tr>
      <w:tr w:rsidR="00355FF3" w:rsidRPr="00DF36FD" w14:paraId="40D469EE" w14:textId="77777777" w:rsidTr="00283875">
        <w:trPr>
          <w:trHeight w:val="681"/>
        </w:trPr>
        <w:tc>
          <w:tcPr>
            <w:tcW w:w="1890" w:type="dxa"/>
            <w:tcBorders>
              <w:top w:val="nil"/>
              <w:left w:val="single" w:sz="4" w:space="0" w:color="auto"/>
              <w:bottom w:val="single" w:sz="4" w:space="0" w:color="auto"/>
              <w:right w:val="single" w:sz="4" w:space="0" w:color="auto"/>
            </w:tcBorders>
            <w:noWrap/>
            <w:vAlign w:val="center"/>
            <w:hideMark/>
          </w:tcPr>
          <w:p w14:paraId="73A7F8AE" w14:textId="77777777" w:rsidR="00355FF3" w:rsidRPr="00DF36FD" w:rsidRDefault="00355FF3" w:rsidP="00DF36FD">
            <w:pPr>
              <w:spacing w:after="0" w:line="240" w:lineRule="auto"/>
              <w:rPr>
                <w:rFonts w:ascii="Times New Roman" w:eastAsia="Times New Roman" w:hAnsi="Times New Roman" w:cs="Times New Roman"/>
                <w:b/>
                <w:bCs/>
                <w:color w:val="1F1F1F"/>
                <w:kern w:val="0"/>
                <w:sz w:val="24"/>
                <w:szCs w:val="24"/>
                <w14:ligatures w14:val="none"/>
              </w:rPr>
            </w:pPr>
            <w:r w:rsidRPr="00DF36FD">
              <w:rPr>
                <w:rFonts w:ascii="Times New Roman" w:eastAsia="Times New Roman" w:hAnsi="Times New Roman" w:cs="Times New Roman"/>
                <w:b/>
                <w:bCs/>
                <w:color w:val="1F1F1F"/>
                <w:kern w:val="0"/>
                <w:sz w:val="24"/>
                <w:szCs w:val="24"/>
                <w14:ligatures w14:val="none"/>
              </w:rPr>
              <w:t>Efficiency x Cluster 2</w:t>
            </w:r>
          </w:p>
        </w:tc>
        <w:tc>
          <w:tcPr>
            <w:tcW w:w="1368" w:type="dxa"/>
            <w:tcBorders>
              <w:top w:val="nil"/>
              <w:left w:val="nil"/>
              <w:bottom w:val="single" w:sz="4" w:space="0" w:color="auto"/>
              <w:right w:val="single" w:sz="4" w:space="0" w:color="auto"/>
            </w:tcBorders>
            <w:vAlign w:val="center"/>
            <w:hideMark/>
          </w:tcPr>
          <w:p w14:paraId="0DFC2592"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0.027</w:t>
            </w:r>
            <w:r w:rsidRPr="00DF36FD">
              <w:rPr>
                <w:rFonts w:ascii="Times New Roman" w:eastAsia="Times New Roman" w:hAnsi="Times New Roman" w:cs="Times New Roman"/>
                <w:color w:val="1F1F1F"/>
                <w:kern w:val="0"/>
                <w:sz w:val="24"/>
                <w:szCs w:val="24"/>
                <w14:ligatures w14:val="none"/>
              </w:rPr>
              <w:br/>
              <w:t>(0.053)</w:t>
            </w:r>
          </w:p>
        </w:tc>
        <w:tc>
          <w:tcPr>
            <w:tcW w:w="1368" w:type="dxa"/>
            <w:tcBorders>
              <w:top w:val="nil"/>
              <w:left w:val="nil"/>
              <w:bottom w:val="single" w:sz="4" w:space="0" w:color="auto"/>
              <w:right w:val="single" w:sz="4" w:space="0" w:color="auto"/>
            </w:tcBorders>
            <w:vAlign w:val="center"/>
            <w:hideMark/>
          </w:tcPr>
          <w:p w14:paraId="1D3A1D58"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0.114</w:t>
            </w:r>
            <w:r w:rsidRPr="00DF36FD">
              <w:rPr>
                <w:rFonts w:ascii="Times New Roman" w:eastAsia="Times New Roman" w:hAnsi="Times New Roman" w:cs="Times New Roman"/>
                <w:color w:val="1F1F1F"/>
                <w:kern w:val="0"/>
                <w:sz w:val="24"/>
                <w:szCs w:val="24"/>
                <w14:ligatures w14:val="none"/>
              </w:rPr>
              <w:br/>
              <w:t>(0.076)</w:t>
            </w:r>
          </w:p>
        </w:tc>
        <w:tc>
          <w:tcPr>
            <w:tcW w:w="1368" w:type="dxa"/>
            <w:tcBorders>
              <w:top w:val="nil"/>
              <w:left w:val="nil"/>
              <w:bottom w:val="single" w:sz="4" w:space="0" w:color="auto"/>
              <w:right w:val="single" w:sz="4" w:space="0" w:color="auto"/>
            </w:tcBorders>
            <w:vAlign w:val="center"/>
            <w:hideMark/>
          </w:tcPr>
          <w:p w14:paraId="59848180"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0.056</w:t>
            </w:r>
            <w:r w:rsidRPr="00DF36FD">
              <w:rPr>
                <w:rFonts w:ascii="Times New Roman" w:eastAsia="Times New Roman" w:hAnsi="Times New Roman" w:cs="Times New Roman"/>
                <w:color w:val="1F1F1F"/>
                <w:kern w:val="0"/>
                <w:sz w:val="24"/>
                <w:szCs w:val="24"/>
                <w14:ligatures w14:val="none"/>
              </w:rPr>
              <w:br/>
              <w:t>(0.061)</w:t>
            </w:r>
          </w:p>
        </w:tc>
        <w:tc>
          <w:tcPr>
            <w:tcW w:w="1368" w:type="dxa"/>
            <w:tcBorders>
              <w:top w:val="nil"/>
              <w:left w:val="nil"/>
              <w:bottom w:val="single" w:sz="4" w:space="0" w:color="auto"/>
              <w:right w:val="single" w:sz="4" w:space="0" w:color="auto"/>
            </w:tcBorders>
            <w:vAlign w:val="center"/>
            <w:hideMark/>
          </w:tcPr>
          <w:p w14:paraId="4B68DEBF"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0.028</w:t>
            </w:r>
            <w:r w:rsidRPr="00DF36FD">
              <w:rPr>
                <w:rFonts w:ascii="Times New Roman" w:eastAsia="Times New Roman" w:hAnsi="Times New Roman" w:cs="Times New Roman"/>
                <w:color w:val="1F1F1F"/>
                <w:kern w:val="0"/>
                <w:sz w:val="24"/>
                <w:szCs w:val="24"/>
                <w14:ligatures w14:val="none"/>
              </w:rPr>
              <w:br/>
              <w:t>(0.042)</w:t>
            </w:r>
          </w:p>
        </w:tc>
        <w:tc>
          <w:tcPr>
            <w:tcW w:w="1368" w:type="dxa"/>
            <w:tcBorders>
              <w:top w:val="nil"/>
              <w:left w:val="nil"/>
              <w:bottom w:val="single" w:sz="4" w:space="0" w:color="auto"/>
              <w:right w:val="single" w:sz="4" w:space="0" w:color="auto"/>
            </w:tcBorders>
            <w:vAlign w:val="center"/>
            <w:hideMark/>
          </w:tcPr>
          <w:p w14:paraId="113617A9"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0.035</w:t>
            </w:r>
            <w:r w:rsidRPr="00DF36FD">
              <w:rPr>
                <w:rFonts w:ascii="Times New Roman" w:eastAsia="Times New Roman" w:hAnsi="Times New Roman" w:cs="Times New Roman"/>
                <w:color w:val="1F1F1F"/>
                <w:kern w:val="0"/>
                <w:sz w:val="24"/>
                <w:szCs w:val="24"/>
                <w14:ligatures w14:val="none"/>
              </w:rPr>
              <w:br/>
              <w:t>(0.041)</w:t>
            </w:r>
          </w:p>
        </w:tc>
        <w:tc>
          <w:tcPr>
            <w:tcW w:w="1368" w:type="dxa"/>
            <w:tcBorders>
              <w:top w:val="nil"/>
              <w:left w:val="nil"/>
              <w:bottom w:val="single" w:sz="4" w:space="0" w:color="000000"/>
              <w:right w:val="single" w:sz="4" w:space="0" w:color="000000"/>
            </w:tcBorders>
            <w:shd w:val="clear" w:color="000000" w:fill="FFFFFF"/>
            <w:vAlign w:val="center"/>
            <w:hideMark/>
          </w:tcPr>
          <w:p w14:paraId="3ADF1C75"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0.112</w:t>
            </w:r>
            <w:r w:rsidRPr="00DF36FD">
              <w:rPr>
                <w:rFonts w:ascii="Times New Roman" w:eastAsia="Times New Roman" w:hAnsi="Times New Roman" w:cs="Times New Roman"/>
                <w:color w:val="1F1F1F"/>
                <w:kern w:val="0"/>
                <w:sz w:val="24"/>
                <w:szCs w:val="24"/>
                <w14:ligatures w14:val="none"/>
              </w:rPr>
              <w:br/>
              <w:t>(0.081)</w:t>
            </w:r>
          </w:p>
        </w:tc>
        <w:tc>
          <w:tcPr>
            <w:tcW w:w="1368" w:type="dxa"/>
            <w:tcBorders>
              <w:top w:val="nil"/>
              <w:left w:val="nil"/>
              <w:bottom w:val="single" w:sz="4" w:space="0" w:color="auto"/>
              <w:right w:val="single" w:sz="4" w:space="0" w:color="auto"/>
            </w:tcBorders>
            <w:vAlign w:val="center"/>
            <w:hideMark/>
          </w:tcPr>
          <w:p w14:paraId="1C538342"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0.112</w:t>
            </w:r>
            <w:r w:rsidRPr="00DF36FD">
              <w:rPr>
                <w:rFonts w:ascii="Times New Roman" w:eastAsia="Times New Roman" w:hAnsi="Times New Roman" w:cs="Times New Roman"/>
                <w:color w:val="1F1F1F"/>
                <w:kern w:val="0"/>
                <w:sz w:val="24"/>
                <w:szCs w:val="24"/>
                <w14:ligatures w14:val="none"/>
              </w:rPr>
              <w:br/>
              <w:t>(0.078)</w:t>
            </w:r>
          </w:p>
        </w:tc>
        <w:tc>
          <w:tcPr>
            <w:tcW w:w="1368" w:type="dxa"/>
            <w:tcBorders>
              <w:top w:val="nil"/>
              <w:left w:val="nil"/>
              <w:bottom w:val="single" w:sz="4" w:space="0" w:color="auto"/>
              <w:right w:val="single" w:sz="4" w:space="0" w:color="auto"/>
            </w:tcBorders>
            <w:vAlign w:val="center"/>
            <w:hideMark/>
          </w:tcPr>
          <w:p w14:paraId="4ADF2AC8"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0.112</w:t>
            </w:r>
            <w:r w:rsidRPr="00DF36FD">
              <w:rPr>
                <w:rFonts w:ascii="Times New Roman" w:eastAsia="Times New Roman" w:hAnsi="Times New Roman" w:cs="Times New Roman"/>
                <w:color w:val="1F1F1F"/>
                <w:kern w:val="0"/>
                <w:sz w:val="24"/>
                <w:szCs w:val="24"/>
                <w14:ligatures w14:val="none"/>
              </w:rPr>
              <w:br/>
              <w:t>(0.075)</w:t>
            </w:r>
          </w:p>
        </w:tc>
        <w:tc>
          <w:tcPr>
            <w:tcW w:w="1368" w:type="dxa"/>
            <w:tcBorders>
              <w:top w:val="nil"/>
              <w:left w:val="nil"/>
              <w:bottom w:val="single" w:sz="4" w:space="0" w:color="auto"/>
              <w:right w:val="single" w:sz="4" w:space="0" w:color="auto"/>
            </w:tcBorders>
            <w:vAlign w:val="center"/>
            <w:hideMark/>
          </w:tcPr>
          <w:p w14:paraId="6E791026"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-0.018</w:t>
            </w:r>
            <w:r w:rsidRPr="00DF36FD">
              <w:rPr>
                <w:rFonts w:ascii="Times New Roman" w:eastAsia="Times New Roman" w:hAnsi="Times New Roman" w:cs="Times New Roman"/>
                <w:color w:val="1F1F1F"/>
                <w:kern w:val="0"/>
                <w:sz w:val="24"/>
                <w:szCs w:val="24"/>
                <w14:ligatures w14:val="none"/>
              </w:rPr>
              <w:br/>
              <w:t>(0.039)</w:t>
            </w:r>
          </w:p>
        </w:tc>
        <w:tc>
          <w:tcPr>
            <w:tcW w:w="1368" w:type="dxa"/>
            <w:tcBorders>
              <w:top w:val="nil"/>
              <w:left w:val="nil"/>
              <w:bottom w:val="single" w:sz="4" w:space="0" w:color="000000"/>
              <w:right w:val="single" w:sz="4" w:space="0" w:color="000000"/>
            </w:tcBorders>
            <w:shd w:val="clear" w:color="000000" w:fill="FFFFFF"/>
            <w:vAlign w:val="center"/>
            <w:hideMark/>
          </w:tcPr>
          <w:p w14:paraId="356D654F"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0.043</w:t>
            </w:r>
            <w:r w:rsidRPr="00DF36FD">
              <w:rPr>
                <w:rFonts w:ascii="Times New Roman" w:eastAsia="Times New Roman" w:hAnsi="Times New Roman" w:cs="Times New Roman"/>
                <w:color w:val="1F1F1F"/>
                <w:kern w:val="0"/>
                <w:sz w:val="24"/>
                <w:szCs w:val="24"/>
                <w14:ligatures w14:val="none"/>
              </w:rPr>
              <w:br/>
              <w:t>(0.072)</w:t>
            </w:r>
          </w:p>
        </w:tc>
      </w:tr>
      <w:tr w:rsidR="00355FF3" w:rsidRPr="00DF36FD" w14:paraId="40690502" w14:textId="77777777" w:rsidTr="00283875">
        <w:trPr>
          <w:trHeight w:val="681"/>
        </w:trPr>
        <w:tc>
          <w:tcPr>
            <w:tcW w:w="1890" w:type="dxa"/>
            <w:tcBorders>
              <w:top w:val="nil"/>
              <w:left w:val="single" w:sz="4" w:space="0" w:color="auto"/>
              <w:bottom w:val="single" w:sz="4" w:space="0" w:color="auto"/>
              <w:right w:val="single" w:sz="4" w:space="0" w:color="auto"/>
            </w:tcBorders>
            <w:noWrap/>
            <w:vAlign w:val="center"/>
            <w:hideMark/>
          </w:tcPr>
          <w:p w14:paraId="2FF0AE52" w14:textId="77777777" w:rsidR="00355FF3" w:rsidRPr="00DF36FD" w:rsidRDefault="00355FF3" w:rsidP="00DF36FD">
            <w:pPr>
              <w:spacing w:after="0" w:line="240" w:lineRule="auto"/>
              <w:rPr>
                <w:rFonts w:ascii="Times New Roman" w:eastAsia="Times New Roman" w:hAnsi="Times New Roman" w:cs="Times New Roman"/>
                <w:b/>
                <w:bCs/>
                <w:color w:val="1F1F1F"/>
                <w:kern w:val="0"/>
                <w:sz w:val="24"/>
                <w:szCs w:val="24"/>
                <w14:ligatures w14:val="none"/>
              </w:rPr>
            </w:pPr>
            <w:r w:rsidRPr="00DF36FD">
              <w:rPr>
                <w:rFonts w:ascii="Times New Roman" w:eastAsia="Times New Roman" w:hAnsi="Times New Roman" w:cs="Times New Roman"/>
                <w:b/>
                <w:bCs/>
                <w:color w:val="1F1F1F"/>
                <w:kern w:val="0"/>
                <w:sz w:val="24"/>
                <w:szCs w:val="24"/>
                <w14:ligatures w14:val="none"/>
              </w:rPr>
              <w:t>Efficiency x Cluster 3</w:t>
            </w:r>
          </w:p>
        </w:tc>
        <w:tc>
          <w:tcPr>
            <w:tcW w:w="1368" w:type="dxa"/>
            <w:tcBorders>
              <w:top w:val="nil"/>
              <w:left w:val="nil"/>
              <w:bottom w:val="single" w:sz="4" w:space="0" w:color="auto"/>
              <w:right w:val="single" w:sz="4" w:space="0" w:color="auto"/>
            </w:tcBorders>
            <w:vAlign w:val="center"/>
            <w:hideMark/>
          </w:tcPr>
          <w:p w14:paraId="3F5C57FB"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0.038</w:t>
            </w:r>
            <w:r w:rsidRPr="00DF36FD">
              <w:rPr>
                <w:rFonts w:ascii="Times New Roman" w:eastAsia="Times New Roman" w:hAnsi="Times New Roman" w:cs="Times New Roman"/>
                <w:color w:val="1F1F1F"/>
                <w:kern w:val="0"/>
                <w:sz w:val="24"/>
                <w:szCs w:val="24"/>
                <w14:ligatures w14:val="none"/>
              </w:rPr>
              <w:br/>
              <w:t>(0.023)</w:t>
            </w:r>
          </w:p>
        </w:tc>
        <w:tc>
          <w:tcPr>
            <w:tcW w:w="1368" w:type="dxa"/>
            <w:tcBorders>
              <w:top w:val="nil"/>
              <w:left w:val="nil"/>
              <w:bottom w:val="single" w:sz="4" w:space="0" w:color="auto"/>
              <w:right w:val="single" w:sz="4" w:space="0" w:color="auto"/>
            </w:tcBorders>
            <w:vAlign w:val="center"/>
            <w:hideMark/>
          </w:tcPr>
          <w:p w14:paraId="54A80A01"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0.043</w:t>
            </w:r>
            <w:r w:rsidRPr="00DF36FD">
              <w:rPr>
                <w:rFonts w:ascii="Times New Roman" w:eastAsia="Times New Roman" w:hAnsi="Times New Roman" w:cs="Times New Roman"/>
                <w:color w:val="1F1F1F"/>
                <w:kern w:val="0"/>
                <w:sz w:val="24"/>
                <w:szCs w:val="24"/>
                <w14:ligatures w14:val="none"/>
              </w:rPr>
              <w:br/>
              <w:t>(0.031)</w:t>
            </w:r>
          </w:p>
        </w:tc>
        <w:tc>
          <w:tcPr>
            <w:tcW w:w="1368" w:type="dxa"/>
            <w:tcBorders>
              <w:top w:val="nil"/>
              <w:left w:val="nil"/>
              <w:bottom w:val="single" w:sz="4" w:space="0" w:color="auto"/>
              <w:right w:val="single" w:sz="4" w:space="0" w:color="auto"/>
            </w:tcBorders>
            <w:vAlign w:val="center"/>
            <w:hideMark/>
          </w:tcPr>
          <w:p w14:paraId="4D94AFB0"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0.039</w:t>
            </w:r>
            <w:r w:rsidRPr="00DF36FD">
              <w:rPr>
                <w:rFonts w:ascii="Times New Roman" w:eastAsia="Times New Roman" w:hAnsi="Times New Roman" w:cs="Times New Roman"/>
                <w:color w:val="1F1F1F"/>
                <w:kern w:val="0"/>
                <w:sz w:val="24"/>
                <w:szCs w:val="24"/>
                <w14:ligatures w14:val="none"/>
              </w:rPr>
              <w:br/>
              <w:t>(0.026)</w:t>
            </w:r>
          </w:p>
        </w:tc>
        <w:tc>
          <w:tcPr>
            <w:tcW w:w="1368" w:type="dxa"/>
            <w:tcBorders>
              <w:top w:val="nil"/>
              <w:left w:val="nil"/>
              <w:bottom w:val="single" w:sz="4" w:space="0" w:color="auto"/>
              <w:right w:val="single" w:sz="4" w:space="0" w:color="auto"/>
            </w:tcBorders>
            <w:vAlign w:val="center"/>
            <w:hideMark/>
          </w:tcPr>
          <w:p w14:paraId="5C24DF48"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0.039**</w:t>
            </w:r>
            <w:r w:rsidRPr="00DF36FD">
              <w:rPr>
                <w:rFonts w:ascii="Times New Roman" w:eastAsia="Times New Roman" w:hAnsi="Times New Roman" w:cs="Times New Roman"/>
                <w:color w:val="1F1F1F"/>
                <w:kern w:val="0"/>
                <w:sz w:val="24"/>
                <w:szCs w:val="24"/>
                <w14:ligatures w14:val="none"/>
              </w:rPr>
              <w:br/>
              <w:t>(0.016)</w:t>
            </w:r>
          </w:p>
        </w:tc>
        <w:tc>
          <w:tcPr>
            <w:tcW w:w="1368" w:type="dxa"/>
            <w:tcBorders>
              <w:top w:val="nil"/>
              <w:left w:val="nil"/>
              <w:bottom w:val="single" w:sz="4" w:space="0" w:color="auto"/>
              <w:right w:val="single" w:sz="4" w:space="0" w:color="auto"/>
            </w:tcBorders>
            <w:vAlign w:val="center"/>
            <w:hideMark/>
          </w:tcPr>
          <w:p w14:paraId="0D96C006"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0.038**</w:t>
            </w:r>
            <w:r w:rsidRPr="00DF36FD">
              <w:rPr>
                <w:rFonts w:ascii="Times New Roman" w:eastAsia="Times New Roman" w:hAnsi="Times New Roman" w:cs="Times New Roman"/>
                <w:color w:val="1F1F1F"/>
                <w:kern w:val="0"/>
                <w:sz w:val="24"/>
                <w:szCs w:val="24"/>
                <w14:ligatures w14:val="none"/>
              </w:rPr>
              <w:br/>
              <w:t>(0.015)</w:t>
            </w:r>
          </w:p>
        </w:tc>
        <w:tc>
          <w:tcPr>
            <w:tcW w:w="1368" w:type="dxa"/>
            <w:tcBorders>
              <w:top w:val="nil"/>
              <w:left w:val="nil"/>
              <w:bottom w:val="single" w:sz="4" w:space="0" w:color="000000"/>
              <w:right w:val="single" w:sz="4" w:space="0" w:color="000000"/>
            </w:tcBorders>
            <w:shd w:val="clear" w:color="000000" w:fill="FFFFFF"/>
            <w:vAlign w:val="center"/>
            <w:hideMark/>
          </w:tcPr>
          <w:p w14:paraId="2D871592"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0.040***</w:t>
            </w:r>
            <w:r w:rsidRPr="00DF36FD">
              <w:rPr>
                <w:rFonts w:ascii="Times New Roman" w:eastAsia="Times New Roman" w:hAnsi="Times New Roman" w:cs="Times New Roman"/>
                <w:color w:val="1F1F1F"/>
                <w:kern w:val="0"/>
                <w:sz w:val="24"/>
                <w:szCs w:val="24"/>
                <w14:ligatures w14:val="none"/>
              </w:rPr>
              <w:br/>
              <w:t>(0.013)</w:t>
            </w:r>
          </w:p>
        </w:tc>
        <w:tc>
          <w:tcPr>
            <w:tcW w:w="1368" w:type="dxa"/>
            <w:tcBorders>
              <w:top w:val="nil"/>
              <w:left w:val="nil"/>
              <w:bottom w:val="single" w:sz="4" w:space="0" w:color="auto"/>
              <w:right w:val="single" w:sz="4" w:space="0" w:color="auto"/>
            </w:tcBorders>
            <w:vAlign w:val="center"/>
            <w:hideMark/>
          </w:tcPr>
          <w:p w14:paraId="32535A61"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0.040**</w:t>
            </w:r>
            <w:r w:rsidRPr="00DF36FD">
              <w:rPr>
                <w:rFonts w:ascii="Times New Roman" w:eastAsia="Times New Roman" w:hAnsi="Times New Roman" w:cs="Times New Roman"/>
                <w:color w:val="1F1F1F"/>
                <w:kern w:val="0"/>
                <w:sz w:val="24"/>
                <w:szCs w:val="24"/>
                <w14:ligatures w14:val="none"/>
              </w:rPr>
              <w:br/>
              <w:t>(0.019)</w:t>
            </w:r>
          </w:p>
        </w:tc>
        <w:tc>
          <w:tcPr>
            <w:tcW w:w="1368" w:type="dxa"/>
            <w:tcBorders>
              <w:top w:val="nil"/>
              <w:left w:val="nil"/>
              <w:bottom w:val="single" w:sz="4" w:space="0" w:color="auto"/>
              <w:right w:val="single" w:sz="4" w:space="0" w:color="auto"/>
            </w:tcBorders>
            <w:vAlign w:val="center"/>
            <w:hideMark/>
          </w:tcPr>
          <w:p w14:paraId="42BF1AFF"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0.040***</w:t>
            </w:r>
            <w:r w:rsidRPr="00DF36FD">
              <w:rPr>
                <w:rFonts w:ascii="Times New Roman" w:eastAsia="Times New Roman" w:hAnsi="Times New Roman" w:cs="Times New Roman"/>
                <w:color w:val="1F1F1F"/>
                <w:kern w:val="0"/>
                <w:sz w:val="24"/>
                <w:szCs w:val="24"/>
                <w14:ligatures w14:val="none"/>
              </w:rPr>
              <w:br/>
              <w:t>(0.015)</w:t>
            </w:r>
          </w:p>
        </w:tc>
        <w:tc>
          <w:tcPr>
            <w:tcW w:w="1368" w:type="dxa"/>
            <w:tcBorders>
              <w:top w:val="nil"/>
              <w:left w:val="nil"/>
              <w:bottom w:val="single" w:sz="4" w:space="0" w:color="auto"/>
              <w:right w:val="single" w:sz="4" w:space="0" w:color="auto"/>
            </w:tcBorders>
            <w:vAlign w:val="center"/>
            <w:hideMark/>
          </w:tcPr>
          <w:p w14:paraId="387B87B9"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0.038**</w:t>
            </w:r>
            <w:r w:rsidRPr="00DF36FD">
              <w:rPr>
                <w:rFonts w:ascii="Times New Roman" w:eastAsia="Times New Roman" w:hAnsi="Times New Roman" w:cs="Times New Roman"/>
                <w:color w:val="1F1F1F"/>
                <w:kern w:val="0"/>
                <w:sz w:val="24"/>
                <w:szCs w:val="24"/>
                <w14:ligatures w14:val="none"/>
              </w:rPr>
              <w:br/>
              <w:t>(0.019)</w:t>
            </w:r>
          </w:p>
        </w:tc>
        <w:tc>
          <w:tcPr>
            <w:tcW w:w="1368" w:type="dxa"/>
            <w:tcBorders>
              <w:top w:val="nil"/>
              <w:left w:val="nil"/>
              <w:bottom w:val="single" w:sz="4" w:space="0" w:color="000000"/>
              <w:right w:val="single" w:sz="4" w:space="0" w:color="000000"/>
            </w:tcBorders>
            <w:shd w:val="clear" w:color="000000" w:fill="FFFFFF"/>
            <w:vAlign w:val="center"/>
            <w:hideMark/>
          </w:tcPr>
          <w:p w14:paraId="76128AF0"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0.076***</w:t>
            </w:r>
            <w:r w:rsidRPr="00DF36FD">
              <w:rPr>
                <w:rFonts w:ascii="Times New Roman" w:eastAsia="Times New Roman" w:hAnsi="Times New Roman" w:cs="Times New Roman"/>
                <w:color w:val="1F1F1F"/>
                <w:kern w:val="0"/>
                <w:sz w:val="24"/>
                <w:szCs w:val="24"/>
                <w14:ligatures w14:val="none"/>
              </w:rPr>
              <w:br/>
              <w:t>(0.025)</w:t>
            </w:r>
          </w:p>
        </w:tc>
      </w:tr>
      <w:tr w:rsidR="00355FF3" w:rsidRPr="00DF36FD" w14:paraId="1994BB5F" w14:textId="77777777" w:rsidTr="00283875">
        <w:trPr>
          <w:trHeight w:val="681"/>
        </w:trPr>
        <w:tc>
          <w:tcPr>
            <w:tcW w:w="1890" w:type="dxa"/>
            <w:tcBorders>
              <w:top w:val="nil"/>
              <w:left w:val="single" w:sz="4" w:space="0" w:color="auto"/>
              <w:bottom w:val="single" w:sz="4" w:space="0" w:color="auto"/>
              <w:right w:val="single" w:sz="4" w:space="0" w:color="auto"/>
            </w:tcBorders>
            <w:noWrap/>
            <w:vAlign w:val="center"/>
            <w:hideMark/>
          </w:tcPr>
          <w:p w14:paraId="17F20641" w14:textId="77777777" w:rsidR="00355FF3" w:rsidRPr="00DF36FD" w:rsidRDefault="00355FF3" w:rsidP="00DF36FD">
            <w:pPr>
              <w:spacing w:after="0" w:line="240" w:lineRule="auto"/>
              <w:rPr>
                <w:rFonts w:ascii="Times New Roman" w:eastAsia="Times New Roman" w:hAnsi="Times New Roman" w:cs="Times New Roman"/>
                <w:b/>
                <w:bCs/>
                <w:color w:val="1F1F1F"/>
                <w:kern w:val="0"/>
                <w:sz w:val="24"/>
                <w:szCs w:val="24"/>
                <w14:ligatures w14:val="none"/>
              </w:rPr>
            </w:pPr>
            <w:r w:rsidRPr="00DF36FD">
              <w:rPr>
                <w:rFonts w:ascii="Times New Roman" w:eastAsia="Times New Roman" w:hAnsi="Times New Roman" w:cs="Times New Roman"/>
                <w:b/>
                <w:bCs/>
                <w:color w:val="1F1F1F"/>
                <w:kern w:val="0"/>
                <w:sz w:val="24"/>
                <w:szCs w:val="24"/>
                <w14:ligatures w14:val="none"/>
              </w:rPr>
              <w:t>Efficiency x Cluster 4</w:t>
            </w:r>
          </w:p>
        </w:tc>
        <w:tc>
          <w:tcPr>
            <w:tcW w:w="1368" w:type="dxa"/>
            <w:tcBorders>
              <w:top w:val="nil"/>
              <w:left w:val="nil"/>
              <w:bottom w:val="single" w:sz="4" w:space="0" w:color="auto"/>
              <w:right w:val="single" w:sz="4" w:space="0" w:color="auto"/>
            </w:tcBorders>
            <w:vAlign w:val="center"/>
            <w:hideMark/>
          </w:tcPr>
          <w:p w14:paraId="3AE6AE00"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0.571***</w:t>
            </w:r>
            <w:r w:rsidRPr="00DF36FD">
              <w:rPr>
                <w:rFonts w:ascii="Times New Roman" w:eastAsia="Times New Roman" w:hAnsi="Times New Roman" w:cs="Times New Roman"/>
                <w:color w:val="1F1F1F"/>
                <w:kern w:val="0"/>
                <w:sz w:val="24"/>
                <w:szCs w:val="24"/>
                <w14:ligatures w14:val="none"/>
              </w:rPr>
              <w:br/>
              <w:t>(0.125)</w:t>
            </w:r>
          </w:p>
        </w:tc>
        <w:tc>
          <w:tcPr>
            <w:tcW w:w="1368" w:type="dxa"/>
            <w:tcBorders>
              <w:top w:val="nil"/>
              <w:left w:val="nil"/>
              <w:bottom w:val="single" w:sz="4" w:space="0" w:color="auto"/>
              <w:right w:val="single" w:sz="4" w:space="0" w:color="auto"/>
            </w:tcBorders>
            <w:vAlign w:val="center"/>
            <w:hideMark/>
          </w:tcPr>
          <w:p w14:paraId="3EAE0D4B"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1.091***</w:t>
            </w:r>
            <w:r w:rsidRPr="00DF36FD">
              <w:rPr>
                <w:rFonts w:ascii="Times New Roman" w:eastAsia="Times New Roman" w:hAnsi="Times New Roman" w:cs="Times New Roman"/>
                <w:color w:val="1F1F1F"/>
                <w:kern w:val="0"/>
                <w:sz w:val="24"/>
                <w:szCs w:val="24"/>
                <w14:ligatures w14:val="none"/>
              </w:rPr>
              <w:br/>
              <w:t>(0.167)</w:t>
            </w:r>
          </w:p>
        </w:tc>
        <w:tc>
          <w:tcPr>
            <w:tcW w:w="1368" w:type="dxa"/>
            <w:tcBorders>
              <w:top w:val="nil"/>
              <w:left w:val="nil"/>
              <w:bottom w:val="single" w:sz="4" w:space="0" w:color="auto"/>
              <w:right w:val="single" w:sz="4" w:space="0" w:color="auto"/>
            </w:tcBorders>
            <w:vAlign w:val="center"/>
            <w:hideMark/>
          </w:tcPr>
          <w:p w14:paraId="3640C12D"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0.753***</w:t>
            </w:r>
            <w:r w:rsidRPr="00DF36FD">
              <w:rPr>
                <w:rFonts w:ascii="Times New Roman" w:eastAsia="Times New Roman" w:hAnsi="Times New Roman" w:cs="Times New Roman"/>
                <w:color w:val="1F1F1F"/>
                <w:kern w:val="0"/>
                <w:sz w:val="24"/>
                <w:szCs w:val="24"/>
                <w14:ligatures w14:val="none"/>
              </w:rPr>
              <w:br/>
              <w:t>(0.139)</w:t>
            </w:r>
          </w:p>
        </w:tc>
        <w:tc>
          <w:tcPr>
            <w:tcW w:w="1368" w:type="dxa"/>
            <w:tcBorders>
              <w:top w:val="nil"/>
              <w:left w:val="nil"/>
              <w:bottom w:val="single" w:sz="4" w:space="0" w:color="auto"/>
              <w:right w:val="single" w:sz="4" w:space="0" w:color="auto"/>
            </w:tcBorders>
            <w:vAlign w:val="center"/>
            <w:hideMark/>
          </w:tcPr>
          <w:p w14:paraId="6D3FA766"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0.300***</w:t>
            </w:r>
            <w:r w:rsidRPr="00DF36FD">
              <w:rPr>
                <w:rFonts w:ascii="Times New Roman" w:eastAsia="Times New Roman" w:hAnsi="Times New Roman" w:cs="Times New Roman"/>
                <w:color w:val="1F1F1F"/>
                <w:kern w:val="0"/>
                <w:sz w:val="24"/>
                <w:szCs w:val="24"/>
                <w14:ligatures w14:val="none"/>
              </w:rPr>
              <w:br/>
              <w:t>(0.089)</w:t>
            </w:r>
          </w:p>
        </w:tc>
        <w:tc>
          <w:tcPr>
            <w:tcW w:w="1368" w:type="dxa"/>
            <w:tcBorders>
              <w:top w:val="nil"/>
              <w:left w:val="nil"/>
              <w:bottom w:val="single" w:sz="4" w:space="0" w:color="auto"/>
              <w:right w:val="single" w:sz="4" w:space="0" w:color="auto"/>
            </w:tcBorders>
            <w:vAlign w:val="center"/>
            <w:hideMark/>
          </w:tcPr>
          <w:p w14:paraId="3E05DBE8"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0.301***</w:t>
            </w:r>
            <w:r w:rsidRPr="00DF36FD">
              <w:rPr>
                <w:rFonts w:ascii="Times New Roman" w:eastAsia="Times New Roman" w:hAnsi="Times New Roman" w:cs="Times New Roman"/>
                <w:color w:val="1F1F1F"/>
                <w:kern w:val="0"/>
                <w:sz w:val="24"/>
                <w:szCs w:val="24"/>
                <w14:ligatures w14:val="none"/>
              </w:rPr>
              <w:br/>
              <w:t>(0.088)</w:t>
            </w:r>
          </w:p>
        </w:tc>
        <w:tc>
          <w:tcPr>
            <w:tcW w:w="1368" w:type="dxa"/>
            <w:tcBorders>
              <w:top w:val="nil"/>
              <w:left w:val="nil"/>
              <w:bottom w:val="single" w:sz="4" w:space="0" w:color="000000"/>
              <w:right w:val="single" w:sz="4" w:space="0" w:color="000000"/>
            </w:tcBorders>
            <w:shd w:val="clear" w:color="000000" w:fill="FFFFFF"/>
            <w:vAlign w:val="center"/>
            <w:hideMark/>
          </w:tcPr>
          <w:p w14:paraId="75B55FF8"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1.078</w:t>
            </w:r>
            <w:r w:rsidRPr="00DF36FD">
              <w:rPr>
                <w:rFonts w:ascii="Times New Roman" w:eastAsia="Times New Roman" w:hAnsi="Times New Roman" w:cs="Times New Roman"/>
                <w:color w:val="1F1F1F"/>
                <w:kern w:val="0"/>
                <w:sz w:val="24"/>
                <w:szCs w:val="24"/>
                <w14:ligatures w14:val="none"/>
              </w:rPr>
              <w:br/>
              <w:t>(0.769)</w:t>
            </w:r>
          </w:p>
        </w:tc>
        <w:tc>
          <w:tcPr>
            <w:tcW w:w="1368" w:type="dxa"/>
            <w:tcBorders>
              <w:top w:val="nil"/>
              <w:left w:val="nil"/>
              <w:bottom w:val="single" w:sz="4" w:space="0" w:color="auto"/>
              <w:right w:val="single" w:sz="4" w:space="0" w:color="auto"/>
            </w:tcBorders>
            <w:vAlign w:val="center"/>
            <w:hideMark/>
          </w:tcPr>
          <w:p w14:paraId="4A2F92C6"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1.078*</w:t>
            </w:r>
            <w:r w:rsidRPr="00DF36FD">
              <w:rPr>
                <w:rFonts w:ascii="Times New Roman" w:eastAsia="Times New Roman" w:hAnsi="Times New Roman" w:cs="Times New Roman"/>
                <w:color w:val="1F1F1F"/>
                <w:kern w:val="0"/>
                <w:sz w:val="24"/>
                <w:szCs w:val="24"/>
                <w14:ligatures w14:val="none"/>
              </w:rPr>
              <w:br/>
              <w:t>(0.614)</w:t>
            </w:r>
          </w:p>
        </w:tc>
        <w:tc>
          <w:tcPr>
            <w:tcW w:w="1368" w:type="dxa"/>
            <w:tcBorders>
              <w:top w:val="nil"/>
              <w:left w:val="nil"/>
              <w:bottom w:val="single" w:sz="4" w:space="0" w:color="auto"/>
              <w:right w:val="single" w:sz="4" w:space="0" w:color="auto"/>
            </w:tcBorders>
            <w:vAlign w:val="center"/>
            <w:hideMark/>
          </w:tcPr>
          <w:p w14:paraId="1E1E9311"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1.078*</w:t>
            </w:r>
            <w:r w:rsidRPr="00DF36FD">
              <w:rPr>
                <w:rFonts w:ascii="Times New Roman" w:eastAsia="Times New Roman" w:hAnsi="Times New Roman" w:cs="Times New Roman"/>
                <w:color w:val="1F1F1F"/>
                <w:kern w:val="0"/>
                <w:sz w:val="24"/>
                <w:szCs w:val="24"/>
                <w14:ligatures w14:val="none"/>
              </w:rPr>
              <w:br/>
              <w:t>(0.551)</w:t>
            </w:r>
          </w:p>
        </w:tc>
        <w:tc>
          <w:tcPr>
            <w:tcW w:w="1368" w:type="dxa"/>
            <w:tcBorders>
              <w:top w:val="nil"/>
              <w:left w:val="nil"/>
              <w:bottom w:val="single" w:sz="4" w:space="0" w:color="auto"/>
              <w:right w:val="single" w:sz="4" w:space="0" w:color="auto"/>
            </w:tcBorders>
            <w:vAlign w:val="center"/>
            <w:hideMark/>
          </w:tcPr>
          <w:p w14:paraId="15FCC48D"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0.011</w:t>
            </w:r>
            <w:r w:rsidRPr="00DF36FD">
              <w:rPr>
                <w:rFonts w:ascii="Times New Roman" w:eastAsia="Times New Roman" w:hAnsi="Times New Roman" w:cs="Times New Roman"/>
                <w:color w:val="1F1F1F"/>
                <w:kern w:val="0"/>
                <w:sz w:val="24"/>
                <w:szCs w:val="24"/>
                <w14:ligatures w14:val="none"/>
              </w:rPr>
              <w:br/>
              <w:t>(0.061)</w:t>
            </w:r>
          </w:p>
        </w:tc>
        <w:tc>
          <w:tcPr>
            <w:tcW w:w="1368" w:type="dxa"/>
            <w:tcBorders>
              <w:top w:val="nil"/>
              <w:left w:val="nil"/>
              <w:bottom w:val="single" w:sz="4" w:space="0" w:color="000000"/>
              <w:right w:val="single" w:sz="4" w:space="0" w:color="000000"/>
            </w:tcBorders>
            <w:shd w:val="clear" w:color="000000" w:fill="FFFFFF"/>
            <w:vAlign w:val="center"/>
            <w:hideMark/>
          </w:tcPr>
          <w:p w14:paraId="1D0D12BE"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-0.011</w:t>
            </w:r>
            <w:r w:rsidRPr="00DF36FD">
              <w:rPr>
                <w:rFonts w:ascii="Times New Roman" w:eastAsia="Times New Roman" w:hAnsi="Times New Roman" w:cs="Times New Roman"/>
                <w:color w:val="1F1F1F"/>
                <w:kern w:val="0"/>
                <w:sz w:val="24"/>
                <w:szCs w:val="24"/>
                <w14:ligatures w14:val="none"/>
              </w:rPr>
              <w:br/>
              <w:t>(0.114)</w:t>
            </w:r>
          </w:p>
        </w:tc>
      </w:tr>
      <w:tr w:rsidR="00355FF3" w:rsidRPr="00DF36FD" w14:paraId="16FFBDE8" w14:textId="77777777" w:rsidTr="00283875">
        <w:trPr>
          <w:trHeight w:val="681"/>
        </w:trPr>
        <w:tc>
          <w:tcPr>
            <w:tcW w:w="1890" w:type="dxa"/>
            <w:tcBorders>
              <w:top w:val="nil"/>
              <w:left w:val="single" w:sz="4" w:space="0" w:color="auto"/>
              <w:bottom w:val="single" w:sz="4" w:space="0" w:color="auto"/>
              <w:right w:val="single" w:sz="4" w:space="0" w:color="auto"/>
            </w:tcBorders>
            <w:noWrap/>
            <w:vAlign w:val="center"/>
            <w:hideMark/>
          </w:tcPr>
          <w:p w14:paraId="79E4F5C3" w14:textId="77777777" w:rsidR="00355FF3" w:rsidRPr="00DF36FD" w:rsidRDefault="00355FF3" w:rsidP="00DF36FD">
            <w:pPr>
              <w:spacing w:after="0" w:line="240" w:lineRule="auto"/>
              <w:rPr>
                <w:rFonts w:ascii="Times New Roman" w:eastAsia="Times New Roman" w:hAnsi="Times New Roman" w:cs="Times New Roman"/>
                <w:b/>
                <w:bCs/>
                <w:color w:val="1F1F1F"/>
                <w:kern w:val="0"/>
                <w:sz w:val="24"/>
                <w:szCs w:val="24"/>
                <w14:ligatures w14:val="none"/>
              </w:rPr>
            </w:pPr>
            <w:r w:rsidRPr="00DF36FD">
              <w:rPr>
                <w:rFonts w:ascii="Times New Roman" w:eastAsia="Times New Roman" w:hAnsi="Times New Roman" w:cs="Times New Roman"/>
                <w:b/>
                <w:bCs/>
                <w:color w:val="1F1F1F"/>
                <w:kern w:val="0"/>
                <w:sz w:val="24"/>
                <w:szCs w:val="24"/>
                <w14:ligatures w14:val="none"/>
              </w:rPr>
              <w:t>Risk x Cluster 2</w:t>
            </w:r>
          </w:p>
        </w:tc>
        <w:tc>
          <w:tcPr>
            <w:tcW w:w="1368" w:type="dxa"/>
            <w:tcBorders>
              <w:top w:val="nil"/>
              <w:left w:val="nil"/>
              <w:bottom w:val="single" w:sz="4" w:space="0" w:color="auto"/>
              <w:right w:val="single" w:sz="4" w:space="0" w:color="auto"/>
            </w:tcBorders>
            <w:vAlign w:val="center"/>
            <w:hideMark/>
          </w:tcPr>
          <w:p w14:paraId="5FB53A44"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0.275***</w:t>
            </w:r>
            <w:r w:rsidRPr="00DF36FD">
              <w:rPr>
                <w:rFonts w:ascii="Times New Roman" w:eastAsia="Times New Roman" w:hAnsi="Times New Roman" w:cs="Times New Roman"/>
                <w:color w:val="1F1F1F"/>
                <w:kern w:val="0"/>
                <w:sz w:val="24"/>
                <w:szCs w:val="24"/>
                <w14:ligatures w14:val="none"/>
              </w:rPr>
              <w:br/>
              <w:t>(0.103)</w:t>
            </w:r>
          </w:p>
        </w:tc>
        <w:tc>
          <w:tcPr>
            <w:tcW w:w="1368" w:type="dxa"/>
            <w:tcBorders>
              <w:top w:val="nil"/>
              <w:left w:val="nil"/>
              <w:bottom w:val="single" w:sz="4" w:space="0" w:color="auto"/>
              <w:right w:val="single" w:sz="4" w:space="0" w:color="auto"/>
            </w:tcBorders>
            <w:vAlign w:val="center"/>
            <w:hideMark/>
          </w:tcPr>
          <w:p w14:paraId="4689296E"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0.036</w:t>
            </w:r>
            <w:r w:rsidRPr="00DF36FD">
              <w:rPr>
                <w:rFonts w:ascii="Times New Roman" w:eastAsia="Times New Roman" w:hAnsi="Times New Roman" w:cs="Times New Roman"/>
                <w:color w:val="1F1F1F"/>
                <w:kern w:val="0"/>
                <w:sz w:val="24"/>
                <w:szCs w:val="24"/>
                <w14:ligatures w14:val="none"/>
              </w:rPr>
              <w:br/>
              <w:t>(0.149)</w:t>
            </w:r>
          </w:p>
        </w:tc>
        <w:tc>
          <w:tcPr>
            <w:tcW w:w="1368" w:type="dxa"/>
            <w:tcBorders>
              <w:top w:val="nil"/>
              <w:left w:val="nil"/>
              <w:bottom w:val="single" w:sz="4" w:space="0" w:color="auto"/>
              <w:right w:val="single" w:sz="4" w:space="0" w:color="auto"/>
            </w:tcBorders>
            <w:vAlign w:val="center"/>
            <w:hideMark/>
          </w:tcPr>
          <w:p w14:paraId="17073BED"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0.166</w:t>
            </w:r>
            <w:r w:rsidRPr="00DF36FD">
              <w:rPr>
                <w:rFonts w:ascii="Times New Roman" w:eastAsia="Times New Roman" w:hAnsi="Times New Roman" w:cs="Times New Roman"/>
                <w:color w:val="1F1F1F"/>
                <w:kern w:val="0"/>
                <w:sz w:val="24"/>
                <w:szCs w:val="24"/>
                <w14:ligatures w14:val="none"/>
              </w:rPr>
              <w:br/>
              <w:t>(0.117)</w:t>
            </w:r>
          </w:p>
        </w:tc>
        <w:tc>
          <w:tcPr>
            <w:tcW w:w="1368" w:type="dxa"/>
            <w:tcBorders>
              <w:top w:val="nil"/>
              <w:left w:val="nil"/>
              <w:bottom w:val="single" w:sz="4" w:space="0" w:color="auto"/>
              <w:right w:val="single" w:sz="4" w:space="0" w:color="auto"/>
            </w:tcBorders>
            <w:vAlign w:val="center"/>
            <w:hideMark/>
          </w:tcPr>
          <w:p w14:paraId="0B92BA35"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0.034</w:t>
            </w:r>
            <w:r w:rsidRPr="00DF36FD">
              <w:rPr>
                <w:rFonts w:ascii="Times New Roman" w:eastAsia="Times New Roman" w:hAnsi="Times New Roman" w:cs="Times New Roman"/>
                <w:color w:val="1F1F1F"/>
                <w:kern w:val="0"/>
                <w:sz w:val="24"/>
                <w:szCs w:val="24"/>
                <w14:ligatures w14:val="none"/>
              </w:rPr>
              <w:br/>
              <w:t>(0.079)</w:t>
            </w:r>
          </w:p>
        </w:tc>
        <w:tc>
          <w:tcPr>
            <w:tcW w:w="1368" w:type="dxa"/>
            <w:tcBorders>
              <w:top w:val="nil"/>
              <w:left w:val="nil"/>
              <w:bottom w:val="single" w:sz="4" w:space="0" w:color="auto"/>
              <w:right w:val="single" w:sz="4" w:space="0" w:color="auto"/>
            </w:tcBorders>
            <w:vAlign w:val="center"/>
            <w:hideMark/>
          </w:tcPr>
          <w:p w14:paraId="16FE4532"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0.035</w:t>
            </w:r>
            <w:r w:rsidRPr="00DF36FD">
              <w:rPr>
                <w:rFonts w:ascii="Times New Roman" w:eastAsia="Times New Roman" w:hAnsi="Times New Roman" w:cs="Times New Roman"/>
                <w:color w:val="1F1F1F"/>
                <w:kern w:val="0"/>
                <w:sz w:val="24"/>
                <w:szCs w:val="24"/>
                <w14:ligatures w14:val="none"/>
              </w:rPr>
              <w:br/>
              <w:t>(0.078)</w:t>
            </w:r>
          </w:p>
        </w:tc>
        <w:tc>
          <w:tcPr>
            <w:tcW w:w="1368" w:type="dxa"/>
            <w:tcBorders>
              <w:top w:val="nil"/>
              <w:left w:val="nil"/>
              <w:bottom w:val="single" w:sz="4" w:space="0" w:color="000000"/>
              <w:right w:val="single" w:sz="4" w:space="0" w:color="000000"/>
            </w:tcBorders>
            <w:shd w:val="clear" w:color="000000" w:fill="FFFFFF"/>
            <w:vAlign w:val="center"/>
            <w:hideMark/>
          </w:tcPr>
          <w:p w14:paraId="31706999"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0.032</w:t>
            </w:r>
            <w:r w:rsidRPr="00DF36FD">
              <w:rPr>
                <w:rFonts w:ascii="Times New Roman" w:eastAsia="Times New Roman" w:hAnsi="Times New Roman" w:cs="Times New Roman"/>
                <w:color w:val="1F1F1F"/>
                <w:kern w:val="0"/>
                <w:sz w:val="24"/>
                <w:szCs w:val="24"/>
                <w14:ligatures w14:val="none"/>
              </w:rPr>
              <w:br/>
              <w:t>(0.106)</w:t>
            </w:r>
          </w:p>
        </w:tc>
        <w:tc>
          <w:tcPr>
            <w:tcW w:w="1368" w:type="dxa"/>
            <w:tcBorders>
              <w:top w:val="nil"/>
              <w:left w:val="nil"/>
              <w:bottom w:val="single" w:sz="4" w:space="0" w:color="auto"/>
              <w:right w:val="single" w:sz="4" w:space="0" w:color="auto"/>
            </w:tcBorders>
            <w:vAlign w:val="center"/>
            <w:hideMark/>
          </w:tcPr>
          <w:p w14:paraId="408FDC63"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0.032</w:t>
            </w:r>
            <w:r w:rsidRPr="00DF36FD">
              <w:rPr>
                <w:rFonts w:ascii="Times New Roman" w:eastAsia="Times New Roman" w:hAnsi="Times New Roman" w:cs="Times New Roman"/>
                <w:color w:val="1F1F1F"/>
                <w:kern w:val="0"/>
                <w:sz w:val="24"/>
                <w:szCs w:val="24"/>
                <w14:ligatures w14:val="none"/>
              </w:rPr>
              <w:br/>
              <w:t>(0.090)</w:t>
            </w:r>
          </w:p>
        </w:tc>
        <w:tc>
          <w:tcPr>
            <w:tcW w:w="1368" w:type="dxa"/>
            <w:tcBorders>
              <w:top w:val="nil"/>
              <w:left w:val="nil"/>
              <w:bottom w:val="single" w:sz="4" w:space="0" w:color="auto"/>
              <w:right w:val="single" w:sz="4" w:space="0" w:color="auto"/>
            </w:tcBorders>
            <w:vAlign w:val="center"/>
            <w:hideMark/>
          </w:tcPr>
          <w:p w14:paraId="6A069894"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0.032</w:t>
            </w:r>
            <w:r w:rsidRPr="00DF36FD">
              <w:rPr>
                <w:rFonts w:ascii="Times New Roman" w:eastAsia="Times New Roman" w:hAnsi="Times New Roman" w:cs="Times New Roman"/>
                <w:color w:val="1F1F1F"/>
                <w:kern w:val="0"/>
                <w:sz w:val="24"/>
                <w:szCs w:val="24"/>
                <w14:ligatures w14:val="none"/>
              </w:rPr>
              <w:br/>
              <w:t>(0.091)</w:t>
            </w:r>
          </w:p>
        </w:tc>
        <w:tc>
          <w:tcPr>
            <w:tcW w:w="1368" w:type="dxa"/>
            <w:tcBorders>
              <w:top w:val="nil"/>
              <w:left w:val="nil"/>
              <w:bottom w:val="single" w:sz="4" w:space="0" w:color="auto"/>
              <w:right w:val="single" w:sz="4" w:space="0" w:color="auto"/>
            </w:tcBorders>
            <w:vAlign w:val="center"/>
            <w:hideMark/>
          </w:tcPr>
          <w:p w14:paraId="1A186512"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0.300***</w:t>
            </w:r>
            <w:r w:rsidRPr="00DF36FD">
              <w:rPr>
                <w:rFonts w:ascii="Times New Roman" w:eastAsia="Times New Roman" w:hAnsi="Times New Roman" w:cs="Times New Roman"/>
                <w:color w:val="1F1F1F"/>
                <w:kern w:val="0"/>
                <w:sz w:val="24"/>
                <w:szCs w:val="24"/>
                <w14:ligatures w14:val="none"/>
              </w:rPr>
              <w:br/>
              <w:t>(0.082)</w:t>
            </w:r>
          </w:p>
        </w:tc>
        <w:tc>
          <w:tcPr>
            <w:tcW w:w="1368" w:type="dxa"/>
            <w:tcBorders>
              <w:top w:val="nil"/>
              <w:left w:val="nil"/>
              <w:bottom w:val="single" w:sz="4" w:space="0" w:color="000000"/>
              <w:right w:val="single" w:sz="4" w:space="0" w:color="000000"/>
            </w:tcBorders>
            <w:shd w:val="clear" w:color="000000" w:fill="FFFFFF"/>
            <w:vAlign w:val="center"/>
            <w:hideMark/>
          </w:tcPr>
          <w:p w14:paraId="34EA2E52"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0.124</w:t>
            </w:r>
            <w:r w:rsidRPr="00DF36FD">
              <w:rPr>
                <w:rFonts w:ascii="Times New Roman" w:eastAsia="Times New Roman" w:hAnsi="Times New Roman" w:cs="Times New Roman"/>
                <w:color w:val="1F1F1F"/>
                <w:kern w:val="0"/>
                <w:sz w:val="24"/>
                <w:szCs w:val="24"/>
                <w14:ligatures w14:val="none"/>
              </w:rPr>
              <w:br/>
              <w:t>(0.123)</w:t>
            </w:r>
          </w:p>
        </w:tc>
      </w:tr>
      <w:tr w:rsidR="00355FF3" w:rsidRPr="00DF36FD" w14:paraId="4DCF78CF" w14:textId="77777777" w:rsidTr="00283875">
        <w:trPr>
          <w:trHeight w:val="681"/>
        </w:trPr>
        <w:tc>
          <w:tcPr>
            <w:tcW w:w="1890" w:type="dxa"/>
            <w:tcBorders>
              <w:top w:val="nil"/>
              <w:left w:val="single" w:sz="4" w:space="0" w:color="auto"/>
              <w:bottom w:val="single" w:sz="4" w:space="0" w:color="auto"/>
              <w:right w:val="single" w:sz="4" w:space="0" w:color="auto"/>
            </w:tcBorders>
            <w:noWrap/>
            <w:vAlign w:val="center"/>
            <w:hideMark/>
          </w:tcPr>
          <w:p w14:paraId="6C253702" w14:textId="77777777" w:rsidR="00355FF3" w:rsidRPr="00DF36FD" w:rsidRDefault="00355FF3" w:rsidP="00DF36FD">
            <w:pPr>
              <w:spacing w:after="0" w:line="240" w:lineRule="auto"/>
              <w:rPr>
                <w:rFonts w:ascii="Times New Roman" w:eastAsia="Times New Roman" w:hAnsi="Times New Roman" w:cs="Times New Roman"/>
                <w:b/>
                <w:bCs/>
                <w:color w:val="1F1F1F"/>
                <w:kern w:val="0"/>
                <w:sz w:val="24"/>
                <w:szCs w:val="24"/>
                <w14:ligatures w14:val="none"/>
              </w:rPr>
            </w:pPr>
            <w:r w:rsidRPr="00DF36FD">
              <w:rPr>
                <w:rFonts w:ascii="Times New Roman" w:eastAsia="Times New Roman" w:hAnsi="Times New Roman" w:cs="Times New Roman"/>
                <w:b/>
                <w:bCs/>
                <w:color w:val="1F1F1F"/>
                <w:kern w:val="0"/>
                <w:sz w:val="24"/>
                <w:szCs w:val="24"/>
                <w14:ligatures w14:val="none"/>
              </w:rPr>
              <w:t>Risk x Cluster 3</w:t>
            </w:r>
          </w:p>
        </w:tc>
        <w:tc>
          <w:tcPr>
            <w:tcW w:w="1368" w:type="dxa"/>
            <w:tcBorders>
              <w:top w:val="nil"/>
              <w:left w:val="nil"/>
              <w:bottom w:val="single" w:sz="4" w:space="0" w:color="auto"/>
              <w:right w:val="single" w:sz="4" w:space="0" w:color="auto"/>
            </w:tcBorders>
            <w:vAlign w:val="center"/>
            <w:hideMark/>
          </w:tcPr>
          <w:p w14:paraId="6ABC3DBD"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0.197**</w:t>
            </w:r>
            <w:r w:rsidRPr="00DF36FD">
              <w:rPr>
                <w:rFonts w:ascii="Times New Roman" w:eastAsia="Times New Roman" w:hAnsi="Times New Roman" w:cs="Times New Roman"/>
                <w:color w:val="1F1F1F"/>
                <w:kern w:val="0"/>
                <w:sz w:val="24"/>
                <w:szCs w:val="24"/>
                <w14:ligatures w14:val="none"/>
              </w:rPr>
              <w:br/>
              <w:t>(0.079)</w:t>
            </w:r>
          </w:p>
        </w:tc>
        <w:tc>
          <w:tcPr>
            <w:tcW w:w="1368" w:type="dxa"/>
            <w:tcBorders>
              <w:top w:val="nil"/>
              <w:left w:val="nil"/>
              <w:bottom w:val="single" w:sz="4" w:space="0" w:color="auto"/>
              <w:right w:val="single" w:sz="4" w:space="0" w:color="auto"/>
            </w:tcBorders>
            <w:vAlign w:val="center"/>
            <w:hideMark/>
          </w:tcPr>
          <w:p w14:paraId="529958CC"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0.041</w:t>
            </w:r>
            <w:r w:rsidRPr="00DF36FD">
              <w:rPr>
                <w:rFonts w:ascii="Times New Roman" w:eastAsia="Times New Roman" w:hAnsi="Times New Roman" w:cs="Times New Roman"/>
                <w:color w:val="1F1F1F"/>
                <w:kern w:val="0"/>
                <w:sz w:val="24"/>
                <w:szCs w:val="24"/>
                <w14:ligatures w14:val="none"/>
              </w:rPr>
              <w:br/>
              <w:t>(0.091)</w:t>
            </w:r>
          </w:p>
        </w:tc>
        <w:tc>
          <w:tcPr>
            <w:tcW w:w="1368" w:type="dxa"/>
            <w:tcBorders>
              <w:top w:val="nil"/>
              <w:left w:val="nil"/>
              <w:bottom w:val="single" w:sz="4" w:space="0" w:color="auto"/>
              <w:right w:val="single" w:sz="4" w:space="0" w:color="auto"/>
            </w:tcBorders>
            <w:vAlign w:val="center"/>
            <w:hideMark/>
          </w:tcPr>
          <w:p w14:paraId="5FF05B7B"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0.114</w:t>
            </w:r>
            <w:r w:rsidRPr="00DF36FD">
              <w:rPr>
                <w:rFonts w:ascii="Times New Roman" w:eastAsia="Times New Roman" w:hAnsi="Times New Roman" w:cs="Times New Roman"/>
                <w:color w:val="1F1F1F"/>
                <w:kern w:val="0"/>
                <w:sz w:val="24"/>
                <w:szCs w:val="24"/>
                <w14:ligatures w14:val="none"/>
              </w:rPr>
              <w:br/>
              <w:t>(0.082)</w:t>
            </w:r>
          </w:p>
        </w:tc>
        <w:tc>
          <w:tcPr>
            <w:tcW w:w="1368" w:type="dxa"/>
            <w:tcBorders>
              <w:top w:val="nil"/>
              <w:left w:val="nil"/>
              <w:bottom w:val="single" w:sz="4" w:space="0" w:color="auto"/>
              <w:right w:val="single" w:sz="4" w:space="0" w:color="auto"/>
            </w:tcBorders>
            <w:vAlign w:val="center"/>
            <w:hideMark/>
          </w:tcPr>
          <w:p w14:paraId="22F26191"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-0.003</w:t>
            </w:r>
            <w:r w:rsidRPr="00DF36FD">
              <w:rPr>
                <w:rFonts w:ascii="Times New Roman" w:eastAsia="Times New Roman" w:hAnsi="Times New Roman" w:cs="Times New Roman"/>
                <w:color w:val="1F1F1F"/>
                <w:kern w:val="0"/>
                <w:sz w:val="24"/>
                <w:szCs w:val="24"/>
                <w14:ligatures w14:val="none"/>
              </w:rPr>
              <w:br/>
              <w:t>(0.048)</w:t>
            </w:r>
          </w:p>
        </w:tc>
        <w:tc>
          <w:tcPr>
            <w:tcW w:w="1368" w:type="dxa"/>
            <w:tcBorders>
              <w:top w:val="nil"/>
              <w:left w:val="nil"/>
              <w:bottom w:val="single" w:sz="4" w:space="0" w:color="auto"/>
              <w:right w:val="single" w:sz="4" w:space="0" w:color="auto"/>
            </w:tcBorders>
            <w:vAlign w:val="center"/>
            <w:hideMark/>
          </w:tcPr>
          <w:p w14:paraId="4795B006"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-0.005</w:t>
            </w:r>
            <w:r w:rsidRPr="00DF36FD">
              <w:rPr>
                <w:rFonts w:ascii="Times New Roman" w:eastAsia="Times New Roman" w:hAnsi="Times New Roman" w:cs="Times New Roman"/>
                <w:color w:val="1F1F1F"/>
                <w:kern w:val="0"/>
                <w:sz w:val="24"/>
                <w:szCs w:val="24"/>
                <w14:ligatures w14:val="none"/>
              </w:rPr>
              <w:br/>
              <w:t>(0.048)</w:t>
            </w:r>
          </w:p>
        </w:tc>
        <w:tc>
          <w:tcPr>
            <w:tcW w:w="1368" w:type="dxa"/>
            <w:tcBorders>
              <w:top w:val="nil"/>
              <w:left w:val="nil"/>
              <w:bottom w:val="single" w:sz="4" w:space="0" w:color="auto"/>
              <w:right w:val="single" w:sz="4" w:space="0" w:color="000000"/>
            </w:tcBorders>
            <w:shd w:val="clear" w:color="000000" w:fill="FFFFFF"/>
            <w:vAlign w:val="center"/>
            <w:hideMark/>
          </w:tcPr>
          <w:p w14:paraId="7EAD9C62"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0.037</w:t>
            </w:r>
            <w:r w:rsidRPr="00DF36FD">
              <w:rPr>
                <w:rFonts w:ascii="Times New Roman" w:eastAsia="Times New Roman" w:hAnsi="Times New Roman" w:cs="Times New Roman"/>
                <w:color w:val="1F1F1F"/>
                <w:kern w:val="0"/>
                <w:sz w:val="24"/>
                <w:szCs w:val="24"/>
                <w14:ligatures w14:val="none"/>
              </w:rPr>
              <w:br/>
              <w:t>(0.068)</w:t>
            </w:r>
          </w:p>
        </w:tc>
        <w:tc>
          <w:tcPr>
            <w:tcW w:w="1368" w:type="dxa"/>
            <w:tcBorders>
              <w:top w:val="nil"/>
              <w:left w:val="nil"/>
              <w:bottom w:val="single" w:sz="4" w:space="0" w:color="auto"/>
              <w:right w:val="single" w:sz="4" w:space="0" w:color="auto"/>
            </w:tcBorders>
            <w:vAlign w:val="center"/>
            <w:hideMark/>
          </w:tcPr>
          <w:p w14:paraId="6555688A"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0.037</w:t>
            </w:r>
            <w:r w:rsidRPr="00DF36FD">
              <w:rPr>
                <w:rFonts w:ascii="Times New Roman" w:eastAsia="Times New Roman" w:hAnsi="Times New Roman" w:cs="Times New Roman"/>
                <w:color w:val="1F1F1F"/>
                <w:kern w:val="0"/>
                <w:sz w:val="24"/>
                <w:szCs w:val="24"/>
                <w14:ligatures w14:val="none"/>
              </w:rPr>
              <w:br/>
              <w:t>(0.039)</w:t>
            </w:r>
          </w:p>
        </w:tc>
        <w:tc>
          <w:tcPr>
            <w:tcW w:w="1368" w:type="dxa"/>
            <w:tcBorders>
              <w:top w:val="nil"/>
              <w:left w:val="nil"/>
              <w:bottom w:val="single" w:sz="4" w:space="0" w:color="auto"/>
              <w:right w:val="single" w:sz="4" w:space="0" w:color="auto"/>
            </w:tcBorders>
            <w:vAlign w:val="center"/>
            <w:hideMark/>
          </w:tcPr>
          <w:p w14:paraId="1898699A"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0.037</w:t>
            </w:r>
            <w:r w:rsidRPr="00DF36FD">
              <w:rPr>
                <w:rFonts w:ascii="Times New Roman" w:eastAsia="Times New Roman" w:hAnsi="Times New Roman" w:cs="Times New Roman"/>
                <w:color w:val="1F1F1F"/>
                <w:kern w:val="0"/>
                <w:sz w:val="24"/>
                <w:szCs w:val="24"/>
                <w14:ligatures w14:val="none"/>
              </w:rPr>
              <w:br/>
              <w:t>(0.033)</w:t>
            </w:r>
          </w:p>
        </w:tc>
        <w:tc>
          <w:tcPr>
            <w:tcW w:w="1368" w:type="dxa"/>
            <w:tcBorders>
              <w:top w:val="nil"/>
              <w:left w:val="nil"/>
              <w:bottom w:val="single" w:sz="4" w:space="0" w:color="auto"/>
              <w:right w:val="single" w:sz="4" w:space="0" w:color="auto"/>
            </w:tcBorders>
            <w:vAlign w:val="center"/>
            <w:hideMark/>
          </w:tcPr>
          <w:p w14:paraId="2A17E8E7"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0.070</w:t>
            </w:r>
            <w:r w:rsidRPr="00DF36FD">
              <w:rPr>
                <w:rFonts w:ascii="Times New Roman" w:eastAsia="Times New Roman" w:hAnsi="Times New Roman" w:cs="Times New Roman"/>
                <w:color w:val="1F1F1F"/>
                <w:kern w:val="0"/>
                <w:sz w:val="24"/>
                <w:szCs w:val="24"/>
                <w14:ligatures w14:val="none"/>
              </w:rPr>
              <w:br/>
              <w:t>(0.054)</w:t>
            </w:r>
          </w:p>
        </w:tc>
        <w:tc>
          <w:tcPr>
            <w:tcW w:w="1368" w:type="dxa"/>
            <w:tcBorders>
              <w:top w:val="nil"/>
              <w:left w:val="nil"/>
              <w:bottom w:val="single" w:sz="4" w:space="0" w:color="auto"/>
              <w:right w:val="single" w:sz="4" w:space="0" w:color="000000"/>
            </w:tcBorders>
            <w:shd w:val="clear" w:color="000000" w:fill="FFFFFF"/>
            <w:vAlign w:val="center"/>
            <w:hideMark/>
          </w:tcPr>
          <w:p w14:paraId="724EA2FB"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0.093</w:t>
            </w:r>
            <w:r w:rsidRPr="00DF36FD">
              <w:rPr>
                <w:rFonts w:ascii="Times New Roman" w:eastAsia="Times New Roman" w:hAnsi="Times New Roman" w:cs="Times New Roman"/>
                <w:color w:val="1F1F1F"/>
                <w:kern w:val="0"/>
                <w:sz w:val="24"/>
                <w:szCs w:val="24"/>
                <w14:ligatures w14:val="none"/>
              </w:rPr>
              <w:br/>
              <w:t>(0.060)</w:t>
            </w:r>
          </w:p>
        </w:tc>
      </w:tr>
      <w:tr w:rsidR="00355FF3" w:rsidRPr="00DF36FD" w14:paraId="6BDEBD2A" w14:textId="77777777" w:rsidTr="00283875">
        <w:trPr>
          <w:trHeight w:val="681"/>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2B5A8055" w14:textId="77777777" w:rsidR="00355FF3" w:rsidRPr="00DF36FD" w:rsidRDefault="00355FF3" w:rsidP="00DF36FD">
            <w:pPr>
              <w:spacing w:after="0" w:line="240" w:lineRule="auto"/>
              <w:rPr>
                <w:rFonts w:ascii="Times New Roman" w:eastAsia="Times New Roman" w:hAnsi="Times New Roman" w:cs="Times New Roman"/>
                <w:b/>
                <w:bCs/>
                <w:color w:val="1F1F1F"/>
                <w:kern w:val="0"/>
                <w:sz w:val="24"/>
                <w:szCs w:val="24"/>
                <w14:ligatures w14:val="none"/>
              </w:rPr>
            </w:pPr>
            <w:r w:rsidRPr="00DF36FD">
              <w:rPr>
                <w:rFonts w:ascii="Times New Roman" w:eastAsia="Times New Roman" w:hAnsi="Times New Roman" w:cs="Times New Roman"/>
                <w:b/>
                <w:bCs/>
                <w:color w:val="1F1F1F"/>
                <w:kern w:val="0"/>
                <w:sz w:val="24"/>
                <w:szCs w:val="24"/>
                <w14:ligatures w14:val="none"/>
              </w:rPr>
              <w:lastRenderedPageBreak/>
              <w:t>Risk x Cluster 4</w:t>
            </w:r>
          </w:p>
        </w:tc>
        <w:tc>
          <w:tcPr>
            <w:tcW w:w="1368" w:type="dxa"/>
            <w:tcBorders>
              <w:top w:val="single" w:sz="4" w:space="0" w:color="auto"/>
              <w:left w:val="single" w:sz="4" w:space="0" w:color="auto"/>
              <w:bottom w:val="single" w:sz="4" w:space="0" w:color="auto"/>
              <w:right w:val="single" w:sz="4" w:space="0" w:color="auto"/>
            </w:tcBorders>
            <w:vAlign w:val="center"/>
            <w:hideMark/>
          </w:tcPr>
          <w:p w14:paraId="49F9FC45"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-0.301***</w:t>
            </w:r>
            <w:r w:rsidRPr="00DF36FD">
              <w:rPr>
                <w:rFonts w:ascii="Times New Roman" w:eastAsia="Times New Roman" w:hAnsi="Times New Roman" w:cs="Times New Roman"/>
                <w:color w:val="1F1F1F"/>
                <w:kern w:val="0"/>
                <w:sz w:val="24"/>
                <w:szCs w:val="24"/>
                <w14:ligatures w14:val="none"/>
              </w:rPr>
              <w:br/>
              <w:t>(0.080)</w:t>
            </w:r>
          </w:p>
        </w:tc>
        <w:tc>
          <w:tcPr>
            <w:tcW w:w="1368" w:type="dxa"/>
            <w:tcBorders>
              <w:top w:val="single" w:sz="4" w:space="0" w:color="auto"/>
              <w:left w:val="single" w:sz="4" w:space="0" w:color="auto"/>
              <w:bottom w:val="single" w:sz="4" w:space="0" w:color="auto"/>
              <w:right w:val="single" w:sz="4" w:space="0" w:color="auto"/>
            </w:tcBorders>
            <w:vAlign w:val="center"/>
            <w:hideMark/>
          </w:tcPr>
          <w:p w14:paraId="164FB02C"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-0.521***</w:t>
            </w:r>
            <w:r w:rsidRPr="00DF36FD">
              <w:rPr>
                <w:rFonts w:ascii="Times New Roman" w:eastAsia="Times New Roman" w:hAnsi="Times New Roman" w:cs="Times New Roman"/>
                <w:color w:val="1F1F1F"/>
                <w:kern w:val="0"/>
                <w:sz w:val="24"/>
                <w:szCs w:val="24"/>
                <w14:ligatures w14:val="none"/>
              </w:rPr>
              <w:br/>
              <w:t>(0.094)</w:t>
            </w:r>
          </w:p>
        </w:tc>
        <w:tc>
          <w:tcPr>
            <w:tcW w:w="1368" w:type="dxa"/>
            <w:tcBorders>
              <w:top w:val="single" w:sz="4" w:space="0" w:color="auto"/>
              <w:left w:val="single" w:sz="4" w:space="0" w:color="auto"/>
              <w:bottom w:val="single" w:sz="4" w:space="0" w:color="auto"/>
              <w:right w:val="single" w:sz="4" w:space="0" w:color="auto"/>
            </w:tcBorders>
            <w:vAlign w:val="center"/>
            <w:hideMark/>
          </w:tcPr>
          <w:p w14:paraId="0A2637F1"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-0.407***</w:t>
            </w:r>
            <w:r w:rsidRPr="00DF36FD">
              <w:rPr>
                <w:rFonts w:ascii="Times New Roman" w:eastAsia="Times New Roman" w:hAnsi="Times New Roman" w:cs="Times New Roman"/>
                <w:color w:val="1F1F1F"/>
                <w:kern w:val="0"/>
                <w:sz w:val="24"/>
                <w:szCs w:val="24"/>
                <w14:ligatures w14:val="none"/>
              </w:rPr>
              <w:br/>
              <w:t>(0.084)</w:t>
            </w:r>
          </w:p>
        </w:tc>
        <w:tc>
          <w:tcPr>
            <w:tcW w:w="1368" w:type="dxa"/>
            <w:tcBorders>
              <w:top w:val="single" w:sz="4" w:space="0" w:color="auto"/>
              <w:left w:val="single" w:sz="4" w:space="0" w:color="auto"/>
              <w:bottom w:val="single" w:sz="4" w:space="0" w:color="auto"/>
              <w:right w:val="single" w:sz="4" w:space="0" w:color="auto"/>
            </w:tcBorders>
            <w:vAlign w:val="center"/>
            <w:hideMark/>
          </w:tcPr>
          <w:p w14:paraId="773CD59D"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-0.553***</w:t>
            </w:r>
            <w:r w:rsidRPr="00DF36FD">
              <w:rPr>
                <w:rFonts w:ascii="Times New Roman" w:eastAsia="Times New Roman" w:hAnsi="Times New Roman" w:cs="Times New Roman"/>
                <w:color w:val="1F1F1F"/>
                <w:kern w:val="0"/>
                <w:sz w:val="24"/>
                <w:szCs w:val="24"/>
                <w14:ligatures w14:val="none"/>
              </w:rPr>
              <w:br/>
              <w:t>(0.048)</w:t>
            </w:r>
          </w:p>
        </w:tc>
        <w:tc>
          <w:tcPr>
            <w:tcW w:w="1368" w:type="dxa"/>
            <w:tcBorders>
              <w:top w:val="single" w:sz="4" w:space="0" w:color="auto"/>
              <w:left w:val="single" w:sz="4" w:space="0" w:color="auto"/>
              <w:bottom w:val="single" w:sz="4" w:space="0" w:color="auto"/>
              <w:right w:val="single" w:sz="4" w:space="0" w:color="auto"/>
            </w:tcBorders>
            <w:vAlign w:val="center"/>
            <w:hideMark/>
          </w:tcPr>
          <w:p w14:paraId="73DBE9A9"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-0.555***</w:t>
            </w:r>
            <w:r w:rsidRPr="00DF36FD">
              <w:rPr>
                <w:rFonts w:ascii="Times New Roman" w:eastAsia="Times New Roman" w:hAnsi="Times New Roman" w:cs="Times New Roman"/>
                <w:color w:val="1F1F1F"/>
                <w:kern w:val="0"/>
                <w:sz w:val="24"/>
                <w:szCs w:val="24"/>
                <w14:ligatures w14:val="none"/>
              </w:rPr>
              <w:br/>
              <w:t>(0.048)</w:t>
            </w:r>
          </w:p>
        </w:tc>
        <w:tc>
          <w:tcPr>
            <w:tcW w:w="136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DB58982"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-0.525***</w:t>
            </w:r>
            <w:r w:rsidRPr="00DF36FD">
              <w:rPr>
                <w:rFonts w:ascii="Times New Roman" w:eastAsia="Times New Roman" w:hAnsi="Times New Roman" w:cs="Times New Roman"/>
                <w:color w:val="1F1F1F"/>
                <w:kern w:val="0"/>
                <w:sz w:val="24"/>
                <w:szCs w:val="24"/>
                <w14:ligatures w14:val="none"/>
              </w:rPr>
              <w:br/>
              <w:t>(0.106)</w:t>
            </w:r>
          </w:p>
        </w:tc>
        <w:tc>
          <w:tcPr>
            <w:tcW w:w="1368" w:type="dxa"/>
            <w:tcBorders>
              <w:top w:val="single" w:sz="4" w:space="0" w:color="auto"/>
              <w:left w:val="single" w:sz="4" w:space="0" w:color="auto"/>
              <w:bottom w:val="single" w:sz="4" w:space="0" w:color="auto"/>
              <w:right w:val="single" w:sz="4" w:space="0" w:color="auto"/>
            </w:tcBorders>
            <w:vAlign w:val="center"/>
            <w:hideMark/>
          </w:tcPr>
          <w:p w14:paraId="4869144C"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-0.525***</w:t>
            </w:r>
            <w:r w:rsidRPr="00DF36FD">
              <w:rPr>
                <w:rFonts w:ascii="Times New Roman" w:eastAsia="Times New Roman" w:hAnsi="Times New Roman" w:cs="Times New Roman"/>
                <w:color w:val="1F1F1F"/>
                <w:kern w:val="0"/>
                <w:sz w:val="24"/>
                <w:szCs w:val="24"/>
                <w14:ligatures w14:val="none"/>
              </w:rPr>
              <w:br/>
              <w:t>(0.089)</w:t>
            </w:r>
          </w:p>
        </w:tc>
        <w:tc>
          <w:tcPr>
            <w:tcW w:w="1368" w:type="dxa"/>
            <w:tcBorders>
              <w:top w:val="single" w:sz="4" w:space="0" w:color="auto"/>
              <w:left w:val="single" w:sz="4" w:space="0" w:color="auto"/>
              <w:bottom w:val="single" w:sz="4" w:space="0" w:color="auto"/>
              <w:right w:val="single" w:sz="4" w:space="0" w:color="auto"/>
            </w:tcBorders>
            <w:vAlign w:val="center"/>
            <w:hideMark/>
          </w:tcPr>
          <w:p w14:paraId="023C79CF"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-0.525***</w:t>
            </w:r>
            <w:r w:rsidRPr="00DF36FD">
              <w:rPr>
                <w:rFonts w:ascii="Times New Roman" w:eastAsia="Times New Roman" w:hAnsi="Times New Roman" w:cs="Times New Roman"/>
                <w:color w:val="1F1F1F"/>
                <w:kern w:val="0"/>
                <w:sz w:val="24"/>
                <w:szCs w:val="24"/>
                <w14:ligatures w14:val="none"/>
              </w:rPr>
              <w:br/>
              <w:t>(0.081)</w:t>
            </w:r>
          </w:p>
        </w:tc>
        <w:tc>
          <w:tcPr>
            <w:tcW w:w="1368" w:type="dxa"/>
            <w:tcBorders>
              <w:top w:val="single" w:sz="4" w:space="0" w:color="auto"/>
              <w:left w:val="single" w:sz="4" w:space="0" w:color="auto"/>
              <w:bottom w:val="single" w:sz="4" w:space="0" w:color="auto"/>
              <w:right w:val="single" w:sz="4" w:space="0" w:color="auto"/>
            </w:tcBorders>
            <w:vAlign w:val="center"/>
            <w:hideMark/>
          </w:tcPr>
          <w:p w14:paraId="6519B7A3"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-0.360***</w:t>
            </w:r>
            <w:r w:rsidRPr="00DF36FD">
              <w:rPr>
                <w:rFonts w:ascii="Times New Roman" w:eastAsia="Times New Roman" w:hAnsi="Times New Roman" w:cs="Times New Roman"/>
                <w:color w:val="1F1F1F"/>
                <w:kern w:val="0"/>
                <w:sz w:val="24"/>
                <w:szCs w:val="24"/>
                <w14:ligatures w14:val="none"/>
              </w:rPr>
              <w:br/>
              <w:t>(0.057)</w:t>
            </w:r>
          </w:p>
        </w:tc>
        <w:tc>
          <w:tcPr>
            <w:tcW w:w="136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6A6E653"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-0.419***</w:t>
            </w:r>
            <w:r w:rsidRPr="00DF36FD">
              <w:rPr>
                <w:rFonts w:ascii="Times New Roman" w:eastAsia="Times New Roman" w:hAnsi="Times New Roman" w:cs="Times New Roman"/>
                <w:color w:val="1F1F1F"/>
                <w:kern w:val="0"/>
                <w:sz w:val="24"/>
                <w:szCs w:val="24"/>
                <w14:ligatures w14:val="none"/>
              </w:rPr>
              <w:br/>
              <w:t>(0.158)</w:t>
            </w:r>
          </w:p>
        </w:tc>
      </w:tr>
      <w:tr w:rsidR="00355FF3" w:rsidRPr="00DF36FD" w14:paraId="6BDFAC3B" w14:textId="77777777" w:rsidTr="00283875">
        <w:trPr>
          <w:trHeight w:val="480"/>
        </w:trPr>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B0BEB3E" w14:textId="77777777" w:rsidR="00355FF3" w:rsidRPr="00DF36FD" w:rsidRDefault="00355FF3" w:rsidP="00DF36FD">
            <w:pPr>
              <w:spacing w:after="0" w:line="240" w:lineRule="auto"/>
              <w:rPr>
                <w:rFonts w:ascii="Times New Roman" w:eastAsia="Times New Roman" w:hAnsi="Times New Roman" w:cs="Times New Roman"/>
                <w:b/>
                <w:bCs/>
                <w:color w:val="1F1F1F"/>
                <w:kern w:val="0"/>
                <w:sz w:val="24"/>
                <w:szCs w:val="24"/>
                <w14:ligatures w14:val="none"/>
              </w:rPr>
            </w:pPr>
            <w:r w:rsidRPr="00DF36FD">
              <w:rPr>
                <w:rFonts w:ascii="Times New Roman" w:eastAsia="Times New Roman" w:hAnsi="Times New Roman" w:cs="Times New Roman"/>
                <w:b/>
                <w:bCs/>
                <w:color w:val="1F1F1F"/>
                <w:kern w:val="0"/>
                <w:sz w:val="24"/>
                <w:szCs w:val="24"/>
                <w14:ligatures w14:val="none"/>
              </w:rPr>
              <w:t>Firm effects</w:t>
            </w:r>
          </w:p>
        </w:tc>
        <w:tc>
          <w:tcPr>
            <w:tcW w:w="1368"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734C9471"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None</w:t>
            </w:r>
          </w:p>
        </w:tc>
        <w:tc>
          <w:tcPr>
            <w:tcW w:w="1368"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5BE7BAF8"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Fixed</w:t>
            </w:r>
          </w:p>
        </w:tc>
        <w:tc>
          <w:tcPr>
            <w:tcW w:w="1368"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63FCA91D"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Random</w:t>
            </w:r>
          </w:p>
        </w:tc>
        <w:tc>
          <w:tcPr>
            <w:tcW w:w="1368"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6EF0A263"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Fixed</w:t>
            </w:r>
          </w:p>
        </w:tc>
        <w:tc>
          <w:tcPr>
            <w:tcW w:w="1368"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20929C8A"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Fixed</w:t>
            </w:r>
          </w:p>
        </w:tc>
        <w:tc>
          <w:tcPr>
            <w:tcW w:w="1368" w:type="dxa"/>
            <w:tcBorders>
              <w:top w:val="single" w:sz="4" w:space="0" w:color="auto"/>
              <w:left w:val="nil"/>
              <w:bottom w:val="single" w:sz="4" w:space="0" w:color="000000"/>
              <w:right w:val="single" w:sz="4" w:space="0" w:color="000000"/>
            </w:tcBorders>
            <w:shd w:val="clear" w:color="auto" w:fill="FFFFFF" w:themeFill="background1"/>
            <w:vAlign w:val="center"/>
            <w:hideMark/>
          </w:tcPr>
          <w:p w14:paraId="20181E28"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Fixed</w:t>
            </w:r>
          </w:p>
        </w:tc>
        <w:tc>
          <w:tcPr>
            <w:tcW w:w="1368"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58499934"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Fixed</w:t>
            </w:r>
          </w:p>
        </w:tc>
        <w:tc>
          <w:tcPr>
            <w:tcW w:w="1368"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1A875455"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Fixed</w:t>
            </w:r>
          </w:p>
        </w:tc>
        <w:tc>
          <w:tcPr>
            <w:tcW w:w="1368"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54BAFEB2"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Fixed</w:t>
            </w:r>
          </w:p>
        </w:tc>
        <w:tc>
          <w:tcPr>
            <w:tcW w:w="1368" w:type="dxa"/>
            <w:tcBorders>
              <w:top w:val="single" w:sz="4" w:space="0" w:color="auto"/>
              <w:left w:val="nil"/>
              <w:bottom w:val="single" w:sz="4" w:space="0" w:color="000000"/>
              <w:right w:val="single" w:sz="4" w:space="0" w:color="000000"/>
            </w:tcBorders>
            <w:shd w:val="clear" w:color="auto" w:fill="FFFFFF" w:themeFill="background1"/>
            <w:noWrap/>
            <w:vAlign w:val="center"/>
            <w:hideMark/>
          </w:tcPr>
          <w:p w14:paraId="24C9C6E3"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Fixed</w:t>
            </w:r>
          </w:p>
        </w:tc>
      </w:tr>
      <w:tr w:rsidR="00355FF3" w:rsidRPr="00DF36FD" w14:paraId="6BABE037" w14:textId="77777777" w:rsidTr="00283875">
        <w:trPr>
          <w:trHeight w:val="480"/>
        </w:trPr>
        <w:tc>
          <w:tcPr>
            <w:tcW w:w="189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7EDF555B" w14:textId="77777777" w:rsidR="00355FF3" w:rsidRPr="00DF36FD" w:rsidRDefault="00355FF3" w:rsidP="00DF36FD">
            <w:pPr>
              <w:spacing w:after="0" w:line="240" w:lineRule="auto"/>
              <w:rPr>
                <w:rFonts w:ascii="Times New Roman" w:eastAsia="Times New Roman" w:hAnsi="Times New Roman" w:cs="Times New Roman"/>
                <w:b/>
                <w:bCs/>
                <w:color w:val="1F1F1F"/>
                <w:kern w:val="0"/>
                <w:sz w:val="24"/>
                <w:szCs w:val="24"/>
                <w14:ligatures w14:val="none"/>
              </w:rPr>
            </w:pPr>
            <w:r w:rsidRPr="00DF36FD">
              <w:rPr>
                <w:rFonts w:ascii="Times New Roman" w:eastAsia="Times New Roman" w:hAnsi="Times New Roman" w:cs="Times New Roman"/>
                <w:b/>
                <w:bCs/>
                <w:color w:val="1F1F1F"/>
                <w:kern w:val="0"/>
                <w:sz w:val="24"/>
                <w:szCs w:val="24"/>
                <w14:ligatures w14:val="none"/>
              </w:rPr>
              <w:t>Year effects</w:t>
            </w:r>
          </w:p>
        </w:tc>
        <w:tc>
          <w:tcPr>
            <w:tcW w:w="1368" w:type="dxa"/>
            <w:tcBorders>
              <w:top w:val="nil"/>
              <w:left w:val="nil"/>
              <w:bottom w:val="single" w:sz="4" w:space="0" w:color="auto"/>
              <w:right w:val="single" w:sz="4" w:space="0" w:color="auto"/>
            </w:tcBorders>
            <w:shd w:val="clear" w:color="auto" w:fill="FFFFFF" w:themeFill="background1"/>
            <w:noWrap/>
            <w:vAlign w:val="center"/>
            <w:hideMark/>
          </w:tcPr>
          <w:p w14:paraId="58DA8310"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No</w:t>
            </w:r>
          </w:p>
        </w:tc>
        <w:tc>
          <w:tcPr>
            <w:tcW w:w="1368" w:type="dxa"/>
            <w:tcBorders>
              <w:top w:val="nil"/>
              <w:left w:val="nil"/>
              <w:bottom w:val="single" w:sz="4" w:space="0" w:color="auto"/>
              <w:right w:val="single" w:sz="4" w:space="0" w:color="auto"/>
            </w:tcBorders>
            <w:shd w:val="clear" w:color="auto" w:fill="FFFFFF" w:themeFill="background1"/>
            <w:noWrap/>
            <w:vAlign w:val="center"/>
            <w:hideMark/>
          </w:tcPr>
          <w:p w14:paraId="51E2D228"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No</w:t>
            </w:r>
          </w:p>
        </w:tc>
        <w:tc>
          <w:tcPr>
            <w:tcW w:w="1368" w:type="dxa"/>
            <w:tcBorders>
              <w:top w:val="nil"/>
              <w:left w:val="nil"/>
              <w:bottom w:val="single" w:sz="4" w:space="0" w:color="auto"/>
              <w:right w:val="single" w:sz="4" w:space="0" w:color="auto"/>
            </w:tcBorders>
            <w:shd w:val="clear" w:color="auto" w:fill="FFFFFF" w:themeFill="background1"/>
            <w:noWrap/>
            <w:vAlign w:val="center"/>
            <w:hideMark/>
          </w:tcPr>
          <w:p w14:paraId="05A51E1A"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No</w:t>
            </w:r>
          </w:p>
        </w:tc>
        <w:tc>
          <w:tcPr>
            <w:tcW w:w="1368" w:type="dxa"/>
            <w:tcBorders>
              <w:top w:val="nil"/>
              <w:left w:val="nil"/>
              <w:bottom w:val="single" w:sz="4" w:space="0" w:color="auto"/>
              <w:right w:val="single" w:sz="4" w:space="0" w:color="auto"/>
            </w:tcBorders>
            <w:shd w:val="clear" w:color="auto" w:fill="FFFFFF" w:themeFill="background1"/>
            <w:noWrap/>
            <w:vAlign w:val="center"/>
            <w:hideMark/>
          </w:tcPr>
          <w:p w14:paraId="2A808F8F"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No</w:t>
            </w:r>
          </w:p>
        </w:tc>
        <w:tc>
          <w:tcPr>
            <w:tcW w:w="1368" w:type="dxa"/>
            <w:tcBorders>
              <w:top w:val="nil"/>
              <w:left w:val="nil"/>
              <w:bottom w:val="single" w:sz="4" w:space="0" w:color="auto"/>
              <w:right w:val="single" w:sz="4" w:space="0" w:color="auto"/>
            </w:tcBorders>
            <w:shd w:val="clear" w:color="auto" w:fill="FFFFFF" w:themeFill="background1"/>
            <w:noWrap/>
            <w:vAlign w:val="center"/>
            <w:hideMark/>
          </w:tcPr>
          <w:p w14:paraId="211018B3"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Yes</w:t>
            </w:r>
          </w:p>
        </w:tc>
        <w:tc>
          <w:tcPr>
            <w:tcW w:w="1368" w:type="dxa"/>
            <w:tcBorders>
              <w:top w:val="nil"/>
              <w:left w:val="nil"/>
              <w:bottom w:val="single" w:sz="4" w:space="0" w:color="000000"/>
              <w:right w:val="single" w:sz="4" w:space="0" w:color="000000"/>
            </w:tcBorders>
            <w:shd w:val="clear" w:color="auto" w:fill="FFFFFF" w:themeFill="background1"/>
            <w:vAlign w:val="center"/>
            <w:hideMark/>
          </w:tcPr>
          <w:p w14:paraId="1689A33A"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Fixed</w:t>
            </w:r>
          </w:p>
        </w:tc>
        <w:tc>
          <w:tcPr>
            <w:tcW w:w="1368" w:type="dxa"/>
            <w:tcBorders>
              <w:top w:val="nil"/>
              <w:left w:val="nil"/>
              <w:bottom w:val="single" w:sz="4" w:space="0" w:color="auto"/>
              <w:right w:val="single" w:sz="4" w:space="0" w:color="auto"/>
            </w:tcBorders>
            <w:shd w:val="clear" w:color="auto" w:fill="FFFFFF" w:themeFill="background1"/>
            <w:noWrap/>
            <w:vAlign w:val="center"/>
            <w:hideMark/>
          </w:tcPr>
          <w:p w14:paraId="3947A54A"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Fixed</w:t>
            </w:r>
          </w:p>
        </w:tc>
        <w:tc>
          <w:tcPr>
            <w:tcW w:w="1368" w:type="dxa"/>
            <w:tcBorders>
              <w:top w:val="nil"/>
              <w:left w:val="nil"/>
              <w:bottom w:val="single" w:sz="4" w:space="0" w:color="auto"/>
              <w:right w:val="single" w:sz="4" w:space="0" w:color="auto"/>
            </w:tcBorders>
            <w:shd w:val="clear" w:color="auto" w:fill="FFFFFF" w:themeFill="background1"/>
            <w:noWrap/>
            <w:vAlign w:val="center"/>
            <w:hideMark/>
          </w:tcPr>
          <w:p w14:paraId="0C9CD639"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Fixed</w:t>
            </w:r>
          </w:p>
        </w:tc>
        <w:tc>
          <w:tcPr>
            <w:tcW w:w="1368" w:type="dxa"/>
            <w:tcBorders>
              <w:top w:val="nil"/>
              <w:left w:val="nil"/>
              <w:bottom w:val="single" w:sz="4" w:space="0" w:color="auto"/>
              <w:right w:val="single" w:sz="4" w:space="0" w:color="auto"/>
            </w:tcBorders>
            <w:shd w:val="clear" w:color="auto" w:fill="FFFFFF" w:themeFill="background1"/>
            <w:noWrap/>
            <w:vAlign w:val="center"/>
            <w:hideMark/>
          </w:tcPr>
          <w:p w14:paraId="77D30BB1"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Yes</w:t>
            </w:r>
          </w:p>
        </w:tc>
        <w:tc>
          <w:tcPr>
            <w:tcW w:w="1368" w:type="dxa"/>
            <w:tcBorders>
              <w:top w:val="nil"/>
              <w:left w:val="nil"/>
              <w:bottom w:val="single" w:sz="4" w:space="0" w:color="000000"/>
              <w:right w:val="single" w:sz="4" w:space="0" w:color="000000"/>
            </w:tcBorders>
            <w:shd w:val="clear" w:color="auto" w:fill="FFFFFF" w:themeFill="background1"/>
            <w:noWrap/>
            <w:vAlign w:val="center"/>
            <w:hideMark/>
          </w:tcPr>
          <w:p w14:paraId="76746DF9"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Fixed</w:t>
            </w:r>
          </w:p>
        </w:tc>
      </w:tr>
      <w:tr w:rsidR="00355FF3" w:rsidRPr="00DF36FD" w14:paraId="02777A6E" w14:textId="77777777" w:rsidTr="00283875">
        <w:trPr>
          <w:trHeight w:val="480"/>
        </w:trPr>
        <w:tc>
          <w:tcPr>
            <w:tcW w:w="189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3BC59A70" w14:textId="77777777" w:rsidR="00355FF3" w:rsidRPr="00DF36FD" w:rsidRDefault="00355FF3" w:rsidP="00DF36FD">
            <w:pPr>
              <w:spacing w:after="0" w:line="240" w:lineRule="auto"/>
              <w:rPr>
                <w:rFonts w:ascii="Times New Roman" w:eastAsia="Times New Roman" w:hAnsi="Times New Roman" w:cs="Times New Roman"/>
                <w:b/>
                <w:bCs/>
                <w:color w:val="1F1F1F"/>
                <w:kern w:val="0"/>
                <w:sz w:val="24"/>
                <w:szCs w:val="24"/>
                <w14:ligatures w14:val="none"/>
              </w:rPr>
            </w:pPr>
            <w:r w:rsidRPr="00DF36FD">
              <w:rPr>
                <w:rFonts w:ascii="Times New Roman" w:eastAsia="Times New Roman" w:hAnsi="Times New Roman" w:cs="Times New Roman"/>
                <w:b/>
                <w:bCs/>
                <w:color w:val="1F1F1F"/>
                <w:kern w:val="0"/>
                <w:sz w:val="24"/>
                <w:szCs w:val="24"/>
                <w14:ligatures w14:val="none"/>
              </w:rPr>
              <w:t>Cluster timing</w:t>
            </w:r>
          </w:p>
        </w:tc>
        <w:tc>
          <w:tcPr>
            <w:tcW w:w="1368" w:type="dxa"/>
            <w:tcBorders>
              <w:top w:val="nil"/>
              <w:left w:val="nil"/>
              <w:bottom w:val="single" w:sz="4" w:space="0" w:color="auto"/>
              <w:right w:val="single" w:sz="4" w:space="0" w:color="auto"/>
            </w:tcBorders>
            <w:shd w:val="clear" w:color="auto" w:fill="FFFFFF" w:themeFill="background1"/>
            <w:noWrap/>
            <w:vAlign w:val="center"/>
            <w:hideMark/>
          </w:tcPr>
          <w:p w14:paraId="26C2894A"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t</w:t>
            </w:r>
          </w:p>
        </w:tc>
        <w:tc>
          <w:tcPr>
            <w:tcW w:w="1368" w:type="dxa"/>
            <w:tcBorders>
              <w:top w:val="nil"/>
              <w:left w:val="nil"/>
              <w:bottom w:val="single" w:sz="4" w:space="0" w:color="auto"/>
              <w:right w:val="single" w:sz="4" w:space="0" w:color="auto"/>
            </w:tcBorders>
            <w:shd w:val="clear" w:color="auto" w:fill="FFFFFF" w:themeFill="background1"/>
            <w:noWrap/>
            <w:vAlign w:val="center"/>
            <w:hideMark/>
          </w:tcPr>
          <w:p w14:paraId="1019A41E"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t</w:t>
            </w:r>
          </w:p>
        </w:tc>
        <w:tc>
          <w:tcPr>
            <w:tcW w:w="1368" w:type="dxa"/>
            <w:tcBorders>
              <w:top w:val="nil"/>
              <w:left w:val="nil"/>
              <w:bottom w:val="single" w:sz="4" w:space="0" w:color="auto"/>
              <w:right w:val="single" w:sz="4" w:space="0" w:color="auto"/>
            </w:tcBorders>
            <w:shd w:val="clear" w:color="auto" w:fill="FFFFFF" w:themeFill="background1"/>
            <w:noWrap/>
            <w:vAlign w:val="center"/>
            <w:hideMark/>
          </w:tcPr>
          <w:p w14:paraId="42B9CA45"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t</w:t>
            </w:r>
          </w:p>
        </w:tc>
        <w:tc>
          <w:tcPr>
            <w:tcW w:w="1368" w:type="dxa"/>
            <w:tcBorders>
              <w:top w:val="nil"/>
              <w:left w:val="nil"/>
              <w:bottom w:val="single" w:sz="4" w:space="0" w:color="auto"/>
              <w:right w:val="single" w:sz="4" w:space="0" w:color="auto"/>
            </w:tcBorders>
            <w:shd w:val="clear" w:color="auto" w:fill="FFFFFF" w:themeFill="background1"/>
            <w:noWrap/>
            <w:vAlign w:val="center"/>
            <w:hideMark/>
          </w:tcPr>
          <w:p w14:paraId="6C919BD2"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t</w:t>
            </w:r>
          </w:p>
        </w:tc>
        <w:tc>
          <w:tcPr>
            <w:tcW w:w="1368" w:type="dxa"/>
            <w:tcBorders>
              <w:top w:val="nil"/>
              <w:left w:val="nil"/>
              <w:bottom w:val="single" w:sz="4" w:space="0" w:color="auto"/>
              <w:right w:val="single" w:sz="4" w:space="0" w:color="auto"/>
            </w:tcBorders>
            <w:shd w:val="clear" w:color="auto" w:fill="FFFFFF" w:themeFill="background1"/>
            <w:noWrap/>
            <w:vAlign w:val="center"/>
            <w:hideMark/>
          </w:tcPr>
          <w:p w14:paraId="2913B091"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t</w:t>
            </w:r>
          </w:p>
        </w:tc>
        <w:tc>
          <w:tcPr>
            <w:tcW w:w="1368" w:type="dxa"/>
            <w:tcBorders>
              <w:top w:val="nil"/>
              <w:left w:val="nil"/>
              <w:bottom w:val="single" w:sz="4" w:space="0" w:color="000000"/>
              <w:right w:val="single" w:sz="4" w:space="0" w:color="000000"/>
            </w:tcBorders>
            <w:shd w:val="clear" w:color="auto" w:fill="FFFFFF" w:themeFill="background1"/>
            <w:vAlign w:val="center"/>
            <w:hideMark/>
          </w:tcPr>
          <w:p w14:paraId="2D7E8222"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t</w:t>
            </w:r>
          </w:p>
        </w:tc>
        <w:tc>
          <w:tcPr>
            <w:tcW w:w="1368" w:type="dxa"/>
            <w:tcBorders>
              <w:top w:val="nil"/>
              <w:left w:val="nil"/>
              <w:bottom w:val="single" w:sz="4" w:space="0" w:color="auto"/>
              <w:right w:val="single" w:sz="4" w:space="0" w:color="auto"/>
            </w:tcBorders>
            <w:shd w:val="clear" w:color="auto" w:fill="FFFFFF" w:themeFill="background1"/>
            <w:noWrap/>
            <w:vAlign w:val="center"/>
            <w:hideMark/>
          </w:tcPr>
          <w:p w14:paraId="69531CE7"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t</w:t>
            </w:r>
          </w:p>
        </w:tc>
        <w:tc>
          <w:tcPr>
            <w:tcW w:w="1368" w:type="dxa"/>
            <w:tcBorders>
              <w:top w:val="nil"/>
              <w:left w:val="nil"/>
              <w:bottom w:val="single" w:sz="4" w:space="0" w:color="auto"/>
              <w:right w:val="single" w:sz="4" w:space="0" w:color="auto"/>
            </w:tcBorders>
            <w:shd w:val="clear" w:color="auto" w:fill="FFFFFF" w:themeFill="background1"/>
            <w:noWrap/>
            <w:vAlign w:val="center"/>
            <w:hideMark/>
          </w:tcPr>
          <w:p w14:paraId="3488BFDB"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t</w:t>
            </w:r>
          </w:p>
        </w:tc>
        <w:tc>
          <w:tcPr>
            <w:tcW w:w="1368" w:type="dxa"/>
            <w:tcBorders>
              <w:top w:val="nil"/>
              <w:left w:val="nil"/>
              <w:bottom w:val="single" w:sz="4" w:space="0" w:color="auto"/>
              <w:right w:val="single" w:sz="4" w:space="0" w:color="auto"/>
            </w:tcBorders>
            <w:shd w:val="clear" w:color="auto" w:fill="FFFFFF" w:themeFill="background1"/>
            <w:noWrap/>
            <w:vAlign w:val="center"/>
            <w:hideMark/>
          </w:tcPr>
          <w:p w14:paraId="7D350AA6"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t-1</w:t>
            </w:r>
          </w:p>
        </w:tc>
        <w:tc>
          <w:tcPr>
            <w:tcW w:w="1368" w:type="dxa"/>
            <w:tcBorders>
              <w:top w:val="nil"/>
              <w:left w:val="nil"/>
              <w:bottom w:val="single" w:sz="4" w:space="0" w:color="000000"/>
              <w:right w:val="single" w:sz="4" w:space="0" w:color="000000"/>
            </w:tcBorders>
            <w:shd w:val="clear" w:color="auto" w:fill="FFFFFF" w:themeFill="background1"/>
            <w:noWrap/>
            <w:vAlign w:val="center"/>
            <w:hideMark/>
          </w:tcPr>
          <w:p w14:paraId="76E67731"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t-1</w:t>
            </w:r>
          </w:p>
        </w:tc>
      </w:tr>
      <w:tr w:rsidR="00355FF3" w:rsidRPr="00DF36FD" w14:paraId="28060979" w14:textId="77777777" w:rsidTr="00283875">
        <w:trPr>
          <w:trHeight w:val="480"/>
        </w:trPr>
        <w:tc>
          <w:tcPr>
            <w:tcW w:w="189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3CA08988" w14:textId="77777777" w:rsidR="00355FF3" w:rsidRPr="00DF36FD" w:rsidRDefault="00355FF3" w:rsidP="00DF36FD">
            <w:pPr>
              <w:spacing w:after="0" w:line="240" w:lineRule="auto"/>
              <w:rPr>
                <w:rFonts w:ascii="Times New Roman" w:eastAsia="Times New Roman" w:hAnsi="Times New Roman" w:cs="Times New Roman"/>
                <w:b/>
                <w:bCs/>
                <w:color w:val="1F1F1F"/>
                <w:kern w:val="0"/>
                <w:sz w:val="24"/>
                <w:szCs w:val="24"/>
                <w14:ligatures w14:val="none"/>
              </w:rPr>
            </w:pPr>
            <w:r w:rsidRPr="00DF36FD">
              <w:rPr>
                <w:rFonts w:ascii="Times New Roman" w:eastAsia="Times New Roman" w:hAnsi="Times New Roman" w:cs="Times New Roman"/>
                <w:b/>
                <w:bCs/>
                <w:color w:val="1F1F1F"/>
                <w:kern w:val="0"/>
                <w:sz w:val="24"/>
                <w:szCs w:val="24"/>
                <w14:ligatures w14:val="none"/>
              </w:rPr>
              <w:t>Observations</w:t>
            </w:r>
          </w:p>
        </w:tc>
        <w:tc>
          <w:tcPr>
            <w:tcW w:w="1368" w:type="dxa"/>
            <w:tcBorders>
              <w:top w:val="nil"/>
              <w:left w:val="nil"/>
              <w:bottom w:val="single" w:sz="4" w:space="0" w:color="auto"/>
              <w:right w:val="single" w:sz="4" w:space="0" w:color="auto"/>
            </w:tcBorders>
            <w:shd w:val="clear" w:color="auto" w:fill="FFFFFF" w:themeFill="background1"/>
            <w:noWrap/>
            <w:vAlign w:val="center"/>
            <w:hideMark/>
          </w:tcPr>
          <w:p w14:paraId="75C8E964"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1215</w:t>
            </w:r>
          </w:p>
        </w:tc>
        <w:tc>
          <w:tcPr>
            <w:tcW w:w="1368" w:type="dxa"/>
            <w:tcBorders>
              <w:top w:val="nil"/>
              <w:left w:val="nil"/>
              <w:bottom w:val="single" w:sz="4" w:space="0" w:color="auto"/>
              <w:right w:val="single" w:sz="4" w:space="0" w:color="auto"/>
            </w:tcBorders>
            <w:shd w:val="clear" w:color="auto" w:fill="FFFFFF" w:themeFill="background1"/>
            <w:noWrap/>
            <w:vAlign w:val="center"/>
            <w:hideMark/>
          </w:tcPr>
          <w:p w14:paraId="37AEA102"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1215</w:t>
            </w:r>
          </w:p>
        </w:tc>
        <w:tc>
          <w:tcPr>
            <w:tcW w:w="1368" w:type="dxa"/>
            <w:tcBorders>
              <w:top w:val="nil"/>
              <w:left w:val="nil"/>
              <w:bottom w:val="single" w:sz="4" w:space="0" w:color="auto"/>
              <w:right w:val="single" w:sz="4" w:space="0" w:color="auto"/>
            </w:tcBorders>
            <w:shd w:val="clear" w:color="auto" w:fill="FFFFFF" w:themeFill="background1"/>
            <w:noWrap/>
            <w:vAlign w:val="center"/>
            <w:hideMark/>
          </w:tcPr>
          <w:p w14:paraId="416390FC"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1215</w:t>
            </w:r>
          </w:p>
        </w:tc>
        <w:tc>
          <w:tcPr>
            <w:tcW w:w="1368" w:type="dxa"/>
            <w:tcBorders>
              <w:top w:val="nil"/>
              <w:left w:val="nil"/>
              <w:bottom w:val="single" w:sz="4" w:space="0" w:color="auto"/>
              <w:right w:val="single" w:sz="4" w:space="0" w:color="auto"/>
            </w:tcBorders>
            <w:shd w:val="clear" w:color="auto" w:fill="FFFFFF" w:themeFill="background1"/>
            <w:noWrap/>
            <w:vAlign w:val="center"/>
            <w:hideMark/>
          </w:tcPr>
          <w:p w14:paraId="23BDE36C"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1215</w:t>
            </w:r>
          </w:p>
        </w:tc>
        <w:tc>
          <w:tcPr>
            <w:tcW w:w="1368" w:type="dxa"/>
            <w:tcBorders>
              <w:top w:val="nil"/>
              <w:left w:val="nil"/>
              <w:bottom w:val="single" w:sz="4" w:space="0" w:color="auto"/>
              <w:right w:val="single" w:sz="4" w:space="0" w:color="auto"/>
            </w:tcBorders>
            <w:shd w:val="clear" w:color="auto" w:fill="FFFFFF" w:themeFill="background1"/>
            <w:noWrap/>
            <w:vAlign w:val="center"/>
            <w:hideMark/>
          </w:tcPr>
          <w:p w14:paraId="46CA71D6"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1215</w:t>
            </w:r>
          </w:p>
        </w:tc>
        <w:tc>
          <w:tcPr>
            <w:tcW w:w="1368" w:type="dxa"/>
            <w:tcBorders>
              <w:top w:val="nil"/>
              <w:left w:val="nil"/>
              <w:bottom w:val="single" w:sz="4" w:space="0" w:color="000000"/>
              <w:right w:val="single" w:sz="4" w:space="0" w:color="000000"/>
            </w:tcBorders>
            <w:shd w:val="clear" w:color="auto" w:fill="FFFFFF" w:themeFill="background1"/>
            <w:vAlign w:val="center"/>
            <w:hideMark/>
          </w:tcPr>
          <w:p w14:paraId="004B8B92"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1215</w:t>
            </w:r>
          </w:p>
        </w:tc>
        <w:tc>
          <w:tcPr>
            <w:tcW w:w="1368" w:type="dxa"/>
            <w:tcBorders>
              <w:top w:val="nil"/>
              <w:left w:val="nil"/>
              <w:bottom w:val="single" w:sz="4" w:space="0" w:color="auto"/>
              <w:right w:val="single" w:sz="4" w:space="0" w:color="auto"/>
            </w:tcBorders>
            <w:shd w:val="clear" w:color="auto" w:fill="FFFFFF" w:themeFill="background1"/>
            <w:noWrap/>
            <w:vAlign w:val="center"/>
            <w:hideMark/>
          </w:tcPr>
          <w:p w14:paraId="6D360D71"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1215</w:t>
            </w:r>
          </w:p>
        </w:tc>
        <w:tc>
          <w:tcPr>
            <w:tcW w:w="1368" w:type="dxa"/>
            <w:tcBorders>
              <w:top w:val="nil"/>
              <w:left w:val="nil"/>
              <w:bottom w:val="single" w:sz="4" w:space="0" w:color="auto"/>
              <w:right w:val="single" w:sz="4" w:space="0" w:color="auto"/>
            </w:tcBorders>
            <w:shd w:val="clear" w:color="auto" w:fill="FFFFFF" w:themeFill="background1"/>
            <w:noWrap/>
            <w:vAlign w:val="center"/>
            <w:hideMark/>
          </w:tcPr>
          <w:p w14:paraId="4DAEAB1A"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1215</w:t>
            </w:r>
          </w:p>
        </w:tc>
        <w:tc>
          <w:tcPr>
            <w:tcW w:w="1368" w:type="dxa"/>
            <w:tcBorders>
              <w:top w:val="nil"/>
              <w:left w:val="nil"/>
              <w:bottom w:val="single" w:sz="4" w:space="0" w:color="auto"/>
              <w:right w:val="single" w:sz="4" w:space="0" w:color="auto"/>
            </w:tcBorders>
            <w:shd w:val="clear" w:color="auto" w:fill="FFFFFF" w:themeFill="background1"/>
            <w:noWrap/>
            <w:vAlign w:val="center"/>
            <w:hideMark/>
          </w:tcPr>
          <w:p w14:paraId="40E6E0D5"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1080</w:t>
            </w:r>
          </w:p>
        </w:tc>
        <w:tc>
          <w:tcPr>
            <w:tcW w:w="1368" w:type="dxa"/>
            <w:tcBorders>
              <w:top w:val="nil"/>
              <w:left w:val="nil"/>
              <w:bottom w:val="single" w:sz="4" w:space="0" w:color="000000"/>
              <w:right w:val="single" w:sz="4" w:space="0" w:color="000000"/>
            </w:tcBorders>
            <w:shd w:val="clear" w:color="auto" w:fill="FFFFFF" w:themeFill="background1"/>
            <w:noWrap/>
            <w:vAlign w:val="center"/>
            <w:hideMark/>
          </w:tcPr>
          <w:p w14:paraId="744C23CB"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1080</w:t>
            </w:r>
          </w:p>
        </w:tc>
      </w:tr>
      <w:tr w:rsidR="00355FF3" w:rsidRPr="00DF36FD" w14:paraId="2E84352C" w14:textId="77777777" w:rsidTr="00283875">
        <w:trPr>
          <w:trHeight w:val="480"/>
        </w:trPr>
        <w:tc>
          <w:tcPr>
            <w:tcW w:w="189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0AA64200" w14:textId="77777777" w:rsidR="00355FF3" w:rsidRPr="00DF36FD" w:rsidRDefault="00355FF3" w:rsidP="00DF36FD">
            <w:pPr>
              <w:spacing w:after="0" w:line="240" w:lineRule="auto"/>
              <w:rPr>
                <w:rFonts w:ascii="Times New Roman" w:eastAsia="Times New Roman" w:hAnsi="Times New Roman" w:cs="Times New Roman"/>
                <w:b/>
                <w:bCs/>
                <w:color w:val="1F1F1F"/>
                <w:kern w:val="0"/>
                <w:sz w:val="24"/>
                <w:szCs w:val="24"/>
                <w14:ligatures w14:val="none"/>
              </w:rPr>
            </w:pPr>
            <w:r w:rsidRPr="00DF36FD">
              <w:rPr>
                <w:rFonts w:ascii="Times New Roman" w:eastAsia="Times New Roman" w:hAnsi="Times New Roman" w:cs="Times New Roman"/>
                <w:b/>
                <w:bCs/>
                <w:color w:val="1F1F1F"/>
                <w:kern w:val="0"/>
                <w:sz w:val="24"/>
                <w:szCs w:val="24"/>
                <w14:ligatures w14:val="none"/>
              </w:rPr>
              <w:t>R-squared</w:t>
            </w:r>
          </w:p>
        </w:tc>
        <w:tc>
          <w:tcPr>
            <w:tcW w:w="1368" w:type="dxa"/>
            <w:tcBorders>
              <w:top w:val="nil"/>
              <w:left w:val="nil"/>
              <w:bottom w:val="single" w:sz="4" w:space="0" w:color="auto"/>
              <w:right w:val="single" w:sz="4" w:space="0" w:color="auto"/>
            </w:tcBorders>
            <w:shd w:val="clear" w:color="auto" w:fill="FFFFFF" w:themeFill="background1"/>
            <w:noWrap/>
            <w:vAlign w:val="center"/>
            <w:hideMark/>
          </w:tcPr>
          <w:p w14:paraId="273EA1B7"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0.2745</w:t>
            </w:r>
          </w:p>
        </w:tc>
        <w:tc>
          <w:tcPr>
            <w:tcW w:w="1368" w:type="dxa"/>
            <w:tcBorders>
              <w:top w:val="nil"/>
              <w:left w:val="nil"/>
              <w:bottom w:val="single" w:sz="4" w:space="0" w:color="auto"/>
              <w:right w:val="single" w:sz="4" w:space="0" w:color="auto"/>
            </w:tcBorders>
            <w:shd w:val="clear" w:color="auto" w:fill="FFFFFF" w:themeFill="background1"/>
            <w:noWrap/>
            <w:vAlign w:val="center"/>
            <w:hideMark/>
          </w:tcPr>
          <w:p w14:paraId="28CEA74C"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0.3072</w:t>
            </w:r>
          </w:p>
        </w:tc>
        <w:tc>
          <w:tcPr>
            <w:tcW w:w="1368" w:type="dxa"/>
            <w:tcBorders>
              <w:top w:val="nil"/>
              <w:left w:val="nil"/>
              <w:bottom w:val="single" w:sz="4" w:space="0" w:color="auto"/>
              <w:right w:val="single" w:sz="4" w:space="0" w:color="auto"/>
            </w:tcBorders>
            <w:shd w:val="clear" w:color="auto" w:fill="FFFFFF" w:themeFill="background1"/>
            <w:noWrap/>
            <w:vAlign w:val="center"/>
            <w:hideMark/>
          </w:tcPr>
          <w:p w14:paraId="1AF4E2D5"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0.2815</w:t>
            </w:r>
          </w:p>
        </w:tc>
        <w:tc>
          <w:tcPr>
            <w:tcW w:w="1368" w:type="dxa"/>
            <w:tcBorders>
              <w:top w:val="nil"/>
              <w:left w:val="nil"/>
              <w:bottom w:val="single" w:sz="4" w:space="0" w:color="auto"/>
              <w:right w:val="single" w:sz="4" w:space="0" w:color="auto"/>
            </w:tcBorders>
            <w:shd w:val="clear" w:color="auto" w:fill="FFFFFF" w:themeFill="background1"/>
            <w:noWrap/>
            <w:vAlign w:val="center"/>
            <w:hideMark/>
          </w:tcPr>
          <w:p w14:paraId="3FAEBF26"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0.4383</w:t>
            </w:r>
          </w:p>
        </w:tc>
        <w:tc>
          <w:tcPr>
            <w:tcW w:w="1368" w:type="dxa"/>
            <w:tcBorders>
              <w:top w:val="nil"/>
              <w:left w:val="nil"/>
              <w:bottom w:val="single" w:sz="4" w:space="0" w:color="auto"/>
              <w:right w:val="single" w:sz="4" w:space="0" w:color="auto"/>
            </w:tcBorders>
            <w:shd w:val="clear" w:color="auto" w:fill="FFFFFF" w:themeFill="background1"/>
            <w:noWrap/>
            <w:vAlign w:val="center"/>
            <w:hideMark/>
          </w:tcPr>
          <w:p w14:paraId="2DE7F05E"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0.4431</w:t>
            </w:r>
          </w:p>
        </w:tc>
        <w:tc>
          <w:tcPr>
            <w:tcW w:w="1368" w:type="dxa"/>
            <w:tcBorders>
              <w:top w:val="nil"/>
              <w:left w:val="nil"/>
              <w:bottom w:val="single" w:sz="4" w:space="0" w:color="auto"/>
              <w:right w:val="single" w:sz="4" w:space="0" w:color="000000"/>
            </w:tcBorders>
            <w:shd w:val="clear" w:color="auto" w:fill="FFFFFF" w:themeFill="background1"/>
            <w:vAlign w:val="center"/>
            <w:hideMark/>
          </w:tcPr>
          <w:p w14:paraId="4A8D40E9"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0.3055</w:t>
            </w:r>
          </w:p>
        </w:tc>
        <w:tc>
          <w:tcPr>
            <w:tcW w:w="1368" w:type="dxa"/>
            <w:tcBorders>
              <w:top w:val="nil"/>
              <w:left w:val="nil"/>
              <w:bottom w:val="single" w:sz="4" w:space="0" w:color="auto"/>
              <w:right w:val="single" w:sz="4" w:space="0" w:color="auto"/>
            </w:tcBorders>
            <w:shd w:val="clear" w:color="auto" w:fill="FFFFFF" w:themeFill="background1"/>
            <w:noWrap/>
            <w:vAlign w:val="center"/>
            <w:hideMark/>
          </w:tcPr>
          <w:p w14:paraId="2800017D"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0.3055</w:t>
            </w:r>
          </w:p>
        </w:tc>
        <w:tc>
          <w:tcPr>
            <w:tcW w:w="1368" w:type="dxa"/>
            <w:tcBorders>
              <w:top w:val="nil"/>
              <w:left w:val="nil"/>
              <w:bottom w:val="single" w:sz="4" w:space="0" w:color="auto"/>
              <w:right w:val="single" w:sz="4" w:space="0" w:color="auto"/>
            </w:tcBorders>
            <w:shd w:val="clear" w:color="auto" w:fill="FFFFFF" w:themeFill="background1"/>
            <w:noWrap/>
            <w:vAlign w:val="center"/>
            <w:hideMark/>
          </w:tcPr>
          <w:p w14:paraId="2345DFE5"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0.3055</w:t>
            </w:r>
          </w:p>
        </w:tc>
        <w:tc>
          <w:tcPr>
            <w:tcW w:w="1368" w:type="dxa"/>
            <w:tcBorders>
              <w:top w:val="nil"/>
              <w:left w:val="nil"/>
              <w:bottom w:val="single" w:sz="4" w:space="0" w:color="auto"/>
              <w:right w:val="single" w:sz="4" w:space="0" w:color="auto"/>
            </w:tcBorders>
            <w:shd w:val="clear" w:color="auto" w:fill="FFFFFF" w:themeFill="background1"/>
            <w:noWrap/>
            <w:vAlign w:val="center"/>
            <w:hideMark/>
          </w:tcPr>
          <w:p w14:paraId="4AAB129B"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0.422</w:t>
            </w:r>
          </w:p>
        </w:tc>
        <w:tc>
          <w:tcPr>
            <w:tcW w:w="1368" w:type="dxa"/>
            <w:tcBorders>
              <w:top w:val="nil"/>
              <w:left w:val="nil"/>
              <w:bottom w:val="single" w:sz="4" w:space="0" w:color="auto"/>
              <w:right w:val="single" w:sz="4" w:space="0" w:color="000000"/>
            </w:tcBorders>
            <w:shd w:val="clear" w:color="auto" w:fill="FFFFFF" w:themeFill="background1"/>
            <w:noWrap/>
            <w:vAlign w:val="center"/>
            <w:hideMark/>
          </w:tcPr>
          <w:p w14:paraId="1FF5A9EA" w14:textId="77777777" w:rsidR="00355FF3" w:rsidRPr="00DF36FD" w:rsidRDefault="00355FF3" w:rsidP="00DF36FD">
            <w:pPr>
              <w:spacing w:after="0" w:line="240" w:lineRule="auto"/>
              <w:jc w:val="center"/>
              <w:rPr>
                <w:rFonts w:ascii="Times New Roman" w:eastAsia="Times New Roman" w:hAnsi="Times New Roman" w:cs="Times New Roman"/>
                <w:color w:val="1F1F1F"/>
                <w:kern w:val="0"/>
                <w:sz w:val="24"/>
                <w:szCs w:val="24"/>
                <w14:ligatures w14:val="none"/>
              </w:rPr>
            </w:pPr>
            <w:r w:rsidRPr="00DF36FD">
              <w:rPr>
                <w:rFonts w:ascii="Times New Roman" w:eastAsia="Times New Roman" w:hAnsi="Times New Roman" w:cs="Times New Roman"/>
                <w:color w:val="1F1F1F"/>
                <w:kern w:val="0"/>
                <w:sz w:val="24"/>
                <w:szCs w:val="24"/>
                <w14:ligatures w14:val="none"/>
              </w:rPr>
              <w:t>0.2472</w:t>
            </w:r>
          </w:p>
        </w:tc>
      </w:tr>
      <w:tr w:rsidR="00355FF3" w:rsidRPr="00DF36FD" w14:paraId="038F560B" w14:textId="77777777" w:rsidTr="00283875">
        <w:trPr>
          <w:trHeight w:val="480"/>
        </w:trPr>
        <w:tc>
          <w:tcPr>
            <w:tcW w:w="15570" w:type="dxa"/>
            <w:gridSpan w:val="11"/>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9D7B6DF" w14:textId="3975D55F" w:rsidR="00355FF3" w:rsidRPr="00DF36FD" w:rsidRDefault="00283875" w:rsidP="00DF36FD">
            <w:pPr>
              <w:spacing w:after="0" w:line="240" w:lineRule="auto"/>
              <w:jc w:val="center"/>
              <w:rPr>
                <w:rFonts w:ascii="Times New Roman" w:eastAsia="Times New Roman" w:hAnsi="Times New Roman" w:cs="Times New Roman"/>
                <w:color w:val="1F1F1F"/>
                <w:kern w:val="0"/>
                <w:sz w:val="24"/>
                <w:szCs w:val="24"/>
                <w14:ligatures w14:val="none"/>
              </w:rPr>
            </w:pPr>
            <w:r w:rsidRPr="0065090B">
              <w:rPr>
                <w:rFonts w:ascii="Times New Roman" w:hAnsi="Times New Roman" w:cs="Times New Roman"/>
                <w:i/>
                <w:iCs/>
                <w:sz w:val="24"/>
                <w:szCs w:val="24"/>
              </w:rPr>
              <w:t>Standard errors in parentheses. Significance levels: * p &lt; 0.10, ** p &lt; 0.05, *** p &lt; 0.01</w:t>
            </w:r>
          </w:p>
        </w:tc>
      </w:tr>
    </w:tbl>
    <w:p w14:paraId="1C71FE35" w14:textId="77777777" w:rsidR="005A2E11" w:rsidRDefault="005A2E11" w:rsidP="005A2E11">
      <w:pPr>
        <w:jc w:val="center"/>
        <w:rPr>
          <w:rFonts w:ascii="Times New Roman" w:hAnsi="Times New Roman" w:cs="Times New Roman"/>
          <w:b/>
          <w:sz w:val="24"/>
          <w:szCs w:val="24"/>
        </w:rPr>
      </w:pPr>
    </w:p>
    <w:sectPr w:rsidR="005A2E11" w:rsidSect="007B225B">
      <w:pgSz w:w="16838" w:h="11906" w:orient="landscape" w:code="9"/>
      <w:pgMar w:top="990" w:right="1152" w:bottom="1170" w:left="1152"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AC5B0" w14:textId="77777777" w:rsidR="00CB1E4C" w:rsidRDefault="00CB1E4C" w:rsidP="005B0C35">
      <w:pPr>
        <w:spacing w:after="0" w:line="240" w:lineRule="auto"/>
      </w:pPr>
      <w:r>
        <w:separator/>
      </w:r>
    </w:p>
  </w:endnote>
  <w:endnote w:type="continuationSeparator" w:id="0">
    <w:p w14:paraId="3124461D" w14:textId="77777777" w:rsidR="00CB1E4C" w:rsidRDefault="00CB1E4C" w:rsidP="005B0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A3"/>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D07BF" w14:textId="77777777" w:rsidR="005B0C35" w:rsidRDefault="005B0C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7260430"/>
      <w:docPartObj>
        <w:docPartGallery w:val="Page Numbers (Bottom of Page)"/>
        <w:docPartUnique/>
      </w:docPartObj>
    </w:sdtPr>
    <w:sdtEndPr>
      <w:rPr>
        <w:noProof/>
      </w:rPr>
    </w:sdtEndPr>
    <w:sdtContent>
      <w:p w14:paraId="003489E2" w14:textId="0DD93EBA" w:rsidR="005B0C35" w:rsidRDefault="005B0C3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5C7D78" w14:textId="77777777" w:rsidR="005B0C35" w:rsidRDefault="005B0C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3DF90" w14:textId="77777777" w:rsidR="005B0C35" w:rsidRDefault="005B0C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4315F" w14:textId="77777777" w:rsidR="00CB1E4C" w:rsidRDefault="00CB1E4C" w:rsidP="005B0C35">
      <w:pPr>
        <w:spacing w:after="0" w:line="240" w:lineRule="auto"/>
      </w:pPr>
      <w:r>
        <w:separator/>
      </w:r>
    </w:p>
  </w:footnote>
  <w:footnote w:type="continuationSeparator" w:id="0">
    <w:p w14:paraId="09AE10E6" w14:textId="77777777" w:rsidR="00CB1E4C" w:rsidRDefault="00CB1E4C" w:rsidP="005B0C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F93E3" w14:textId="77777777" w:rsidR="005B0C35" w:rsidRDefault="005B0C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B91F9" w14:textId="77777777" w:rsidR="005B0C35" w:rsidRDefault="005B0C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35631" w14:textId="77777777" w:rsidR="005B0C35" w:rsidRDefault="005B0C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22199"/>
    <w:multiLevelType w:val="hybridMultilevel"/>
    <w:tmpl w:val="617438CE"/>
    <w:lvl w:ilvl="0" w:tplc="FFFFFFFF">
      <w:start w:val="1"/>
      <w:numFmt w:val="bullet"/>
      <w:lvlText w:val="•"/>
      <w:lvlJc w:val="left"/>
      <w:pPr>
        <w:tabs>
          <w:tab w:val="num" w:pos="1440"/>
        </w:tabs>
        <w:ind w:left="1440" w:hanging="360"/>
      </w:pPr>
      <w:rPr>
        <w:rFonts w:ascii="Times New Roman" w:hAnsi="Times New Roman" w:hint="default"/>
      </w:rPr>
    </w:lvl>
    <w:lvl w:ilvl="1" w:tplc="FFFFFFFF" w:tentative="1">
      <w:start w:val="1"/>
      <w:numFmt w:val="bullet"/>
      <w:lvlText w:val="•"/>
      <w:lvlJc w:val="left"/>
      <w:pPr>
        <w:tabs>
          <w:tab w:val="num" w:pos="2160"/>
        </w:tabs>
        <w:ind w:left="2160" w:hanging="360"/>
      </w:pPr>
      <w:rPr>
        <w:rFonts w:ascii="Times New Roman" w:hAnsi="Times New Roman" w:hint="default"/>
      </w:rPr>
    </w:lvl>
    <w:lvl w:ilvl="2" w:tplc="FFFFFFFF" w:tentative="1">
      <w:start w:val="1"/>
      <w:numFmt w:val="bullet"/>
      <w:lvlText w:val="•"/>
      <w:lvlJc w:val="left"/>
      <w:pPr>
        <w:tabs>
          <w:tab w:val="num" w:pos="2880"/>
        </w:tabs>
        <w:ind w:left="2880" w:hanging="360"/>
      </w:pPr>
      <w:rPr>
        <w:rFonts w:ascii="Times New Roman" w:hAnsi="Times New Roman" w:hint="default"/>
      </w:rPr>
    </w:lvl>
    <w:lvl w:ilvl="3" w:tplc="FFFFFFFF" w:tentative="1">
      <w:start w:val="1"/>
      <w:numFmt w:val="bullet"/>
      <w:lvlText w:val="•"/>
      <w:lvlJc w:val="left"/>
      <w:pPr>
        <w:tabs>
          <w:tab w:val="num" w:pos="3600"/>
        </w:tabs>
        <w:ind w:left="3600" w:hanging="360"/>
      </w:pPr>
      <w:rPr>
        <w:rFonts w:ascii="Times New Roman" w:hAnsi="Times New Roman" w:hint="default"/>
      </w:rPr>
    </w:lvl>
    <w:lvl w:ilvl="4" w:tplc="FFFFFFFF" w:tentative="1">
      <w:start w:val="1"/>
      <w:numFmt w:val="bullet"/>
      <w:lvlText w:val="•"/>
      <w:lvlJc w:val="left"/>
      <w:pPr>
        <w:tabs>
          <w:tab w:val="num" w:pos="4320"/>
        </w:tabs>
        <w:ind w:left="4320" w:hanging="360"/>
      </w:pPr>
      <w:rPr>
        <w:rFonts w:ascii="Times New Roman" w:hAnsi="Times New Roman" w:hint="default"/>
      </w:rPr>
    </w:lvl>
    <w:lvl w:ilvl="5" w:tplc="FFFFFFFF" w:tentative="1">
      <w:start w:val="1"/>
      <w:numFmt w:val="bullet"/>
      <w:lvlText w:val="•"/>
      <w:lvlJc w:val="left"/>
      <w:pPr>
        <w:tabs>
          <w:tab w:val="num" w:pos="5040"/>
        </w:tabs>
        <w:ind w:left="5040" w:hanging="360"/>
      </w:pPr>
      <w:rPr>
        <w:rFonts w:ascii="Times New Roman" w:hAnsi="Times New Roman" w:hint="default"/>
      </w:rPr>
    </w:lvl>
    <w:lvl w:ilvl="6" w:tplc="FFFFFFFF" w:tentative="1">
      <w:start w:val="1"/>
      <w:numFmt w:val="bullet"/>
      <w:lvlText w:val="•"/>
      <w:lvlJc w:val="left"/>
      <w:pPr>
        <w:tabs>
          <w:tab w:val="num" w:pos="5760"/>
        </w:tabs>
        <w:ind w:left="5760" w:hanging="360"/>
      </w:pPr>
      <w:rPr>
        <w:rFonts w:ascii="Times New Roman" w:hAnsi="Times New Roman" w:hint="default"/>
      </w:rPr>
    </w:lvl>
    <w:lvl w:ilvl="7" w:tplc="FFFFFFFF" w:tentative="1">
      <w:start w:val="1"/>
      <w:numFmt w:val="bullet"/>
      <w:lvlText w:val="•"/>
      <w:lvlJc w:val="left"/>
      <w:pPr>
        <w:tabs>
          <w:tab w:val="num" w:pos="6480"/>
        </w:tabs>
        <w:ind w:left="6480" w:hanging="360"/>
      </w:pPr>
      <w:rPr>
        <w:rFonts w:ascii="Times New Roman" w:hAnsi="Times New Roman" w:hint="default"/>
      </w:rPr>
    </w:lvl>
    <w:lvl w:ilvl="8" w:tplc="FFFFFFFF" w:tentative="1">
      <w:start w:val="1"/>
      <w:numFmt w:val="bullet"/>
      <w:lvlText w:val="•"/>
      <w:lvlJc w:val="left"/>
      <w:pPr>
        <w:tabs>
          <w:tab w:val="num" w:pos="7200"/>
        </w:tabs>
        <w:ind w:left="7200" w:hanging="360"/>
      </w:pPr>
      <w:rPr>
        <w:rFonts w:ascii="Times New Roman" w:hAnsi="Times New Roman" w:hint="default"/>
      </w:rPr>
    </w:lvl>
  </w:abstractNum>
  <w:abstractNum w:abstractNumId="1" w15:restartNumberingAfterBreak="0">
    <w:nsid w:val="086E17FD"/>
    <w:multiLevelType w:val="multilevel"/>
    <w:tmpl w:val="793ED580"/>
    <w:lvl w:ilvl="0">
      <w:start w:val="1"/>
      <w:numFmt w:val="decimal"/>
      <w:lvlText w:val="%1."/>
      <w:lvlJc w:val="left"/>
      <w:pPr>
        <w:ind w:left="720" w:hanging="360"/>
      </w:pPr>
      <w:rPr>
        <w:rFonts w:ascii="Times New Roman" w:hAnsi="Times New Roman" w:cs="Times New Roman" w:hint="default"/>
        <w:b/>
        <w:color w:val="000000" w:themeColor="text1"/>
        <w:sz w:val="24"/>
        <w:szCs w:val="24"/>
      </w:rPr>
    </w:lvl>
    <w:lvl w:ilvl="1">
      <w:start w:val="1"/>
      <w:numFmt w:val="decimal"/>
      <w:isLgl/>
      <w:lvlText w:val="%1.%2."/>
      <w:lvlJc w:val="left"/>
      <w:pPr>
        <w:ind w:left="3960" w:hanging="720"/>
      </w:pPr>
      <w:rPr>
        <w:rFonts w:hint="default"/>
        <w:i w:val="0"/>
        <w:i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15173DAD"/>
    <w:multiLevelType w:val="multilevel"/>
    <w:tmpl w:val="BD783CF2"/>
    <w:lvl w:ilvl="0">
      <w:start w:val="5"/>
      <w:numFmt w:val="decimal"/>
      <w:lvlText w:val="%1."/>
      <w:lvlJc w:val="left"/>
      <w:pPr>
        <w:ind w:left="720" w:hanging="360"/>
      </w:pPr>
      <w:rPr>
        <w:rFonts w:ascii="Times New Roman" w:hAnsi="Times New Roman" w:cs="Times New Roman" w:hint="default"/>
        <w:b/>
        <w:color w:val="000000" w:themeColor="text1"/>
        <w:sz w:val="24"/>
        <w:szCs w:val="24"/>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28696E14"/>
    <w:multiLevelType w:val="multilevel"/>
    <w:tmpl w:val="7CD8D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543EAA"/>
    <w:multiLevelType w:val="hybridMultilevel"/>
    <w:tmpl w:val="5D96BC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B99575D"/>
    <w:multiLevelType w:val="hybridMultilevel"/>
    <w:tmpl w:val="C6146A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336182"/>
    <w:multiLevelType w:val="hybridMultilevel"/>
    <w:tmpl w:val="E6363C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BA64F0"/>
    <w:multiLevelType w:val="multilevel"/>
    <w:tmpl w:val="9B76A732"/>
    <w:lvl w:ilvl="0">
      <w:start w:val="1"/>
      <w:numFmt w:val="decimal"/>
      <w:lvlText w:val="%1."/>
      <w:lvlJc w:val="left"/>
      <w:pPr>
        <w:ind w:left="720" w:hanging="360"/>
      </w:pPr>
      <w:rPr>
        <w:rFonts w:ascii="Times New Roman" w:hAnsi="Times New Roman" w:cs="Times New Roman" w:hint="default"/>
        <w:b/>
        <w:color w:val="000000" w:themeColor="text1"/>
        <w:sz w:val="24"/>
        <w:szCs w:val="24"/>
      </w:rPr>
    </w:lvl>
    <w:lvl w:ilvl="1">
      <w:start w:val="1"/>
      <w:numFmt w:val="decimal"/>
      <w:isLgl/>
      <w:lvlText w:val="%1.%2."/>
      <w:lvlJc w:val="left"/>
      <w:pPr>
        <w:ind w:left="1080" w:hanging="720"/>
      </w:pPr>
      <w:rPr>
        <w:rFonts w:hint="default"/>
        <w:b/>
        <w:bCs/>
        <w:i w:val="0"/>
        <w:i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344569B7"/>
    <w:multiLevelType w:val="multilevel"/>
    <w:tmpl w:val="98FC7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372C74"/>
    <w:multiLevelType w:val="hybridMultilevel"/>
    <w:tmpl w:val="2EFA79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7E17B5B"/>
    <w:multiLevelType w:val="multilevel"/>
    <w:tmpl w:val="3C1EB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192AB6"/>
    <w:multiLevelType w:val="hybridMultilevel"/>
    <w:tmpl w:val="9A8C6B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BF32114"/>
    <w:multiLevelType w:val="multilevel"/>
    <w:tmpl w:val="2E2A5650"/>
    <w:lvl w:ilvl="0">
      <w:start w:val="1"/>
      <w:numFmt w:val="decimal"/>
      <w:lvlText w:val="%1."/>
      <w:lvlJc w:val="left"/>
      <w:pPr>
        <w:ind w:left="720" w:hanging="360"/>
      </w:pPr>
      <w:rPr>
        <w:rFonts w:ascii="Arial" w:hAnsi="Arial" w:cs="Arial" w:hint="default"/>
        <w:b/>
        <w:color w:val="000000" w:themeColor="text1"/>
        <w:sz w:val="23"/>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3E952702"/>
    <w:multiLevelType w:val="multilevel"/>
    <w:tmpl w:val="5394BD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062250D"/>
    <w:multiLevelType w:val="multilevel"/>
    <w:tmpl w:val="C0202F5E"/>
    <w:lvl w:ilvl="0">
      <w:start w:val="1"/>
      <w:numFmt w:val="decimal"/>
      <w:lvlText w:val="%1."/>
      <w:lvlJc w:val="left"/>
      <w:pPr>
        <w:ind w:left="720" w:hanging="360"/>
      </w:pPr>
      <w:rPr>
        <w:rFonts w:ascii="Times New Roman" w:hAnsi="Times New Roman" w:cs="Times New Roman" w:hint="default"/>
        <w:b/>
        <w:color w:val="000000" w:themeColor="text1"/>
        <w:sz w:val="24"/>
        <w:szCs w:val="24"/>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47AB2BD0"/>
    <w:multiLevelType w:val="multilevel"/>
    <w:tmpl w:val="9B76A732"/>
    <w:lvl w:ilvl="0">
      <w:start w:val="1"/>
      <w:numFmt w:val="decimal"/>
      <w:lvlText w:val="%1."/>
      <w:lvlJc w:val="left"/>
      <w:pPr>
        <w:ind w:left="720" w:hanging="360"/>
      </w:pPr>
      <w:rPr>
        <w:rFonts w:ascii="Times New Roman" w:hAnsi="Times New Roman" w:cs="Times New Roman" w:hint="default"/>
        <w:b/>
        <w:color w:val="000000" w:themeColor="text1"/>
        <w:sz w:val="24"/>
        <w:szCs w:val="24"/>
      </w:rPr>
    </w:lvl>
    <w:lvl w:ilvl="1">
      <w:start w:val="1"/>
      <w:numFmt w:val="decimal"/>
      <w:isLgl/>
      <w:lvlText w:val="%1.%2."/>
      <w:lvlJc w:val="left"/>
      <w:pPr>
        <w:ind w:left="1080" w:hanging="720"/>
      </w:pPr>
      <w:rPr>
        <w:rFonts w:hint="default"/>
        <w:b/>
        <w:bCs/>
        <w:i w:val="0"/>
        <w:i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4E79449E"/>
    <w:multiLevelType w:val="multilevel"/>
    <w:tmpl w:val="4CB63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945106"/>
    <w:multiLevelType w:val="multilevel"/>
    <w:tmpl w:val="793ED580"/>
    <w:lvl w:ilvl="0">
      <w:start w:val="1"/>
      <w:numFmt w:val="decimal"/>
      <w:lvlText w:val="%1."/>
      <w:lvlJc w:val="left"/>
      <w:pPr>
        <w:ind w:left="720" w:hanging="360"/>
      </w:pPr>
      <w:rPr>
        <w:rFonts w:ascii="Times New Roman" w:hAnsi="Times New Roman" w:cs="Times New Roman" w:hint="default"/>
        <w:b/>
        <w:color w:val="000000" w:themeColor="text1"/>
        <w:sz w:val="24"/>
        <w:szCs w:val="24"/>
      </w:rPr>
    </w:lvl>
    <w:lvl w:ilvl="1">
      <w:start w:val="1"/>
      <w:numFmt w:val="decimal"/>
      <w:isLgl/>
      <w:lvlText w:val="%1.%2."/>
      <w:lvlJc w:val="left"/>
      <w:pPr>
        <w:ind w:left="3960" w:hanging="720"/>
      </w:pPr>
      <w:rPr>
        <w:rFonts w:hint="default"/>
        <w:i w:val="0"/>
        <w:i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53A5324A"/>
    <w:multiLevelType w:val="multilevel"/>
    <w:tmpl w:val="C0202F5E"/>
    <w:lvl w:ilvl="0">
      <w:start w:val="1"/>
      <w:numFmt w:val="decimal"/>
      <w:lvlText w:val="%1."/>
      <w:lvlJc w:val="left"/>
      <w:pPr>
        <w:ind w:left="720" w:hanging="360"/>
      </w:pPr>
      <w:rPr>
        <w:rFonts w:ascii="Times New Roman" w:hAnsi="Times New Roman" w:cs="Times New Roman" w:hint="default"/>
        <w:b/>
        <w:color w:val="000000" w:themeColor="text1"/>
        <w:sz w:val="24"/>
        <w:szCs w:val="24"/>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54DD6C10"/>
    <w:multiLevelType w:val="multilevel"/>
    <w:tmpl w:val="CAD04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0F0A4D"/>
    <w:multiLevelType w:val="multilevel"/>
    <w:tmpl w:val="793ED580"/>
    <w:lvl w:ilvl="0">
      <w:start w:val="1"/>
      <w:numFmt w:val="decimal"/>
      <w:lvlText w:val="%1."/>
      <w:lvlJc w:val="left"/>
      <w:pPr>
        <w:ind w:left="720" w:hanging="360"/>
      </w:pPr>
      <w:rPr>
        <w:rFonts w:ascii="Times New Roman" w:hAnsi="Times New Roman" w:cs="Times New Roman" w:hint="default"/>
        <w:b/>
        <w:color w:val="000000" w:themeColor="text1"/>
        <w:sz w:val="24"/>
        <w:szCs w:val="24"/>
      </w:rPr>
    </w:lvl>
    <w:lvl w:ilvl="1">
      <w:start w:val="1"/>
      <w:numFmt w:val="decimal"/>
      <w:isLgl/>
      <w:lvlText w:val="%1.%2."/>
      <w:lvlJc w:val="left"/>
      <w:pPr>
        <w:ind w:left="1080" w:hanging="720"/>
      </w:pPr>
      <w:rPr>
        <w:rFonts w:hint="default"/>
        <w:i w:val="0"/>
        <w:i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5C4933AF"/>
    <w:multiLevelType w:val="multilevel"/>
    <w:tmpl w:val="CC349DC2"/>
    <w:lvl w:ilvl="0">
      <w:start w:val="1"/>
      <w:numFmt w:val="decimal"/>
      <w:lvlText w:val="%1."/>
      <w:lvlJc w:val="left"/>
      <w:pPr>
        <w:ind w:left="720" w:hanging="360"/>
      </w:pPr>
      <w:rPr>
        <w:rFonts w:ascii="Times New Roman" w:hAnsi="Times New Roman" w:cs="Times New Roman" w:hint="default"/>
        <w:b/>
        <w:color w:val="000000" w:themeColor="text1"/>
        <w:sz w:val="24"/>
        <w:szCs w:val="24"/>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5CDC29CC"/>
    <w:multiLevelType w:val="multilevel"/>
    <w:tmpl w:val="C0202F5E"/>
    <w:lvl w:ilvl="0">
      <w:start w:val="1"/>
      <w:numFmt w:val="decimal"/>
      <w:lvlText w:val="%1."/>
      <w:lvlJc w:val="left"/>
      <w:pPr>
        <w:ind w:left="720" w:hanging="360"/>
      </w:pPr>
      <w:rPr>
        <w:rFonts w:ascii="Times New Roman" w:hAnsi="Times New Roman" w:cs="Times New Roman" w:hint="default"/>
        <w:b/>
        <w:color w:val="000000" w:themeColor="text1"/>
        <w:sz w:val="24"/>
        <w:szCs w:val="24"/>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65D14CA0"/>
    <w:multiLevelType w:val="multilevel"/>
    <w:tmpl w:val="A0B02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5EB3983"/>
    <w:multiLevelType w:val="multilevel"/>
    <w:tmpl w:val="515A5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8702F2"/>
    <w:multiLevelType w:val="multilevel"/>
    <w:tmpl w:val="BD783CF2"/>
    <w:lvl w:ilvl="0">
      <w:start w:val="5"/>
      <w:numFmt w:val="decimal"/>
      <w:lvlText w:val="%1."/>
      <w:lvlJc w:val="left"/>
      <w:pPr>
        <w:ind w:left="720" w:hanging="360"/>
      </w:pPr>
      <w:rPr>
        <w:rFonts w:ascii="Times New Roman" w:hAnsi="Times New Roman" w:cs="Times New Roman" w:hint="default"/>
        <w:b/>
        <w:color w:val="000000" w:themeColor="text1"/>
        <w:sz w:val="24"/>
        <w:szCs w:val="24"/>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73600911"/>
    <w:multiLevelType w:val="multilevel"/>
    <w:tmpl w:val="00C4AD90"/>
    <w:lvl w:ilvl="0">
      <w:start w:val="1"/>
      <w:numFmt w:val="decimal"/>
      <w:lvlText w:val="%1."/>
      <w:lvlJc w:val="left"/>
      <w:pPr>
        <w:ind w:left="720" w:hanging="360"/>
      </w:pPr>
      <w:rPr>
        <w:rFonts w:ascii="Times New Roman" w:hAnsi="Times New Roman" w:cs="Times New Roman" w:hint="default"/>
        <w:b/>
        <w:color w:val="000000" w:themeColor="text1"/>
        <w:sz w:val="24"/>
        <w:szCs w:val="24"/>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7DCE2030"/>
    <w:multiLevelType w:val="hybridMultilevel"/>
    <w:tmpl w:val="3468C3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0694940">
    <w:abstractNumId w:val="7"/>
  </w:num>
  <w:num w:numId="2" w16cid:durableId="368187755">
    <w:abstractNumId w:val="0"/>
  </w:num>
  <w:num w:numId="3" w16cid:durableId="765465213">
    <w:abstractNumId w:val="12"/>
  </w:num>
  <w:num w:numId="4" w16cid:durableId="773669840">
    <w:abstractNumId w:val="10"/>
  </w:num>
  <w:num w:numId="5" w16cid:durableId="806825978">
    <w:abstractNumId w:val="8"/>
  </w:num>
  <w:num w:numId="6" w16cid:durableId="279187335">
    <w:abstractNumId w:val="19"/>
  </w:num>
  <w:num w:numId="7" w16cid:durableId="1290431236">
    <w:abstractNumId w:val="24"/>
  </w:num>
  <w:num w:numId="8" w16cid:durableId="110369284">
    <w:abstractNumId w:val="16"/>
  </w:num>
  <w:num w:numId="9" w16cid:durableId="623852163">
    <w:abstractNumId w:val="17"/>
  </w:num>
  <w:num w:numId="10" w16cid:durableId="1162115044">
    <w:abstractNumId w:val="11"/>
  </w:num>
  <w:num w:numId="11" w16cid:durableId="756244020">
    <w:abstractNumId w:val="4"/>
  </w:num>
  <w:num w:numId="12" w16cid:durableId="2084378302">
    <w:abstractNumId w:val="23"/>
  </w:num>
  <w:num w:numId="13" w16cid:durableId="54550286">
    <w:abstractNumId w:val="3"/>
  </w:num>
  <w:num w:numId="14" w16cid:durableId="2056541778">
    <w:abstractNumId w:val="21"/>
  </w:num>
  <w:num w:numId="15" w16cid:durableId="335232651">
    <w:abstractNumId w:val="13"/>
  </w:num>
  <w:num w:numId="16" w16cid:durableId="1315455281">
    <w:abstractNumId w:val="5"/>
  </w:num>
  <w:num w:numId="17" w16cid:durableId="557782922">
    <w:abstractNumId w:val="6"/>
  </w:num>
  <w:num w:numId="18" w16cid:durableId="483593728">
    <w:abstractNumId w:val="20"/>
  </w:num>
  <w:num w:numId="19" w16cid:durableId="1318459377">
    <w:abstractNumId w:val="9"/>
  </w:num>
  <w:num w:numId="20" w16cid:durableId="1047610696">
    <w:abstractNumId w:val="2"/>
  </w:num>
  <w:num w:numId="21" w16cid:durableId="642932795">
    <w:abstractNumId w:val="27"/>
  </w:num>
  <w:num w:numId="22" w16cid:durableId="1606881987">
    <w:abstractNumId w:val="26"/>
  </w:num>
  <w:num w:numId="23" w16cid:durableId="175583066">
    <w:abstractNumId w:val="18"/>
  </w:num>
  <w:num w:numId="24" w16cid:durableId="825631538">
    <w:abstractNumId w:val="22"/>
  </w:num>
  <w:num w:numId="25" w16cid:durableId="1030305733">
    <w:abstractNumId w:val="14"/>
  </w:num>
  <w:num w:numId="26" w16cid:durableId="455222362">
    <w:abstractNumId w:val="15"/>
  </w:num>
  <w:num w:numId="27" w16cid:durableId="491026419">
    <w:abstractNumId w:val="1"/>
  </w:num>
  <w:num w:numId="28" w16cid:durableId="175053816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77F"/>
    <w:rsid w:val="000034EA"/>
    <w:rsid w:val="00012E51"/>
    <w:rsid w:val="0001329E"/>
    <w:rsid w:val="00016031"/>
    <w:rsid w:val="00024A71"/>
    <w:rsid w:val="00027908"/>
    <w:rsid w:val="00030D56"/>
    <w:rsid w:val="00031B41"/>
    <w:rsid w:val="00031CBF"/>
    <w:rsid w:val="000328C6"/>
    <w:rsid w:val="0003381E"/>
    <w:rsid w:val="00040310"/>
    <w:rsid w:val="00041A34"/>
    <w:rsid w:val="0004729E"/>
    <w:rsid w:val="00047536"/>
    <w:rsid w:val="0005747E"/>
    <w:rsid w:val="000639EA"/>
    <w:rsid w:val="00063AC0"/>
    <w:rsid w:val="0008559A"/>
    <w:rsid w:val="000956B7"/>
    <w:rsid w:val="000A0A92"/>
    <w:rsid w:val="000A73DD"/>
    <w:rsid w:val="000B1458"/>
    <w:rsid w:val="000B3A6E"/>
    <w:rsid w:val="000B4F4D"/>
    <w:rsid w:val="000C1813"/>
    <w:rsid w:val="000C2994"/>
    <w:rsid w:val="000C3F23"/>
    <w:rsid w:val="000C5B52"/>
    <w:rsid w:val="000D4629"/>
    <w:rsid w:val="000E577F"/>
    <w:rsid w:val="000F5035"/>
    <w:rsid w:val="000F5D66"/>
    <w:rsid w:val="000F6A4C"/>
    <w:rsid w:val="000F7877"/>
    <w:rsid w:val="00101DF2"/>
    <w:rsid w:val="00106C96"/>
    <w:rsid w:val="00112978"/>
    <w:rsid w:val="00117D0B"/>
    <w:rsid w:val="001223A6"/>
    <w:rsid w:val="00122598"/>
    <w:rsid w:val="001244C1"/>
    <w:rsid w:val="00127122"/>
    <w:rsid w:val="001312C7"/>
    <w:rsid w:val="00131CC4"/>
    <w:rsid w:val="00135DDF"/>
    <w:rsid w:val="0013651F"/>
    <w:rsid w:val="001377C8"/>
    <w:rsid w:val="00137E90"/>
    <w:rsid w:val="00137FF6"/>
    <w:rsid w:val="00140238"/>
    <w:rsid w:val="00140989"/>
    <w:rsid w:val="00146A7B"/>
    <w:rsid w:val="00154502"/>
    <w:rsid w:val="00156B07"/>
    <w:rsid w:val="00176CAC"/>
    <w:rsid w:val="00180639"/>
    <w:rsid w:val="001A284A"/>
    <w:rsid w:val="001A5363"/>
    <w:rsid w:val="001A5626"/>
    <w:rsid w:val="001B12C4"/>
    <w:rsid w:val="001B1317"/>
    <w:rsid w:val="001C0CCC"/>
    <w:rsid w:val="001C400E"/>
    <w:rsid w:val="001D223E"/>
    <w:rsid w:val="001D52BC"/>
    <w:rsid w:val="001D7393"/>
    <w:rsid w:val="002008E3"/>
    <w:rsid w:val="00205512"/>
    <w:rsid w:val="0020762A"/>
    <w:rsid w:val="00211F8A"/>
    <w:rsid w:val="00217F02"/>
    <w:rsid w:val="00220BFE"/>
    <w:rsid w:val="002246CD"/>
    <w:rsid w:val="00226388"/>
    <w:rsid w:val="00226C1A"/>
    <w:rsid w:val="002270E6"/>
    <w:rsid w:val="00236A80"/>
    <w:rsid w:val="00237B2F"/>
    <w:rsid w:val="00241F84"/>
    <w:rsid w:val="00243591"/>
    <w:rsid w:val="0024377E"/>
    <w:rsid w:val="00244E1B"/>
    <w:rsid w:val="00250DD4"/>
    <w:rsid w:val="00252822"/>
    <w:rsid w:val="002573E0"/>
    <w:rsid w:val="00266579"/>
    <w:rsid w:val="00266697"/>
    <w:rsid w:val="00272EB6"/>
    <w:rsid w:val="00274EFC"/>
    <w:rsid w:val="00275730"/>
    <w:rsid w:val="00275A59"/>
    <w:rsid w:val="00283875"/>
    <w:rsid w:val="00286E73"/>
    <w:rsid w:val="002901BB"/>
    <w:rsid w:val="002A79EA"/>
    <w:rsid w:val="002B0067"/>
    <w:rsid w:val="002B34E6"/>
    <w:rsid w:val="002B6073"/>
    <w:rsid w:val="002B668F"/>
    <w:rsid w:val="002B6B85"/>
    <w:rsid w:val="002B739E"/>
    <w:rsid w:val="002C0012"/>
    <w:rsid w:val="002C36D3"/>
    <w:rsid w:val="002C7F4E"/>
    <w:rsid w:val="002D40CD"/>
    <w:rsid w:val="002D5799"/>
    <w:rsid w:val="002D62FE"/>
    <w:rsid w:val="002E0F18"/>
    <w:rsid w:val="002E5B0B"/>
    <w:rsid w:val="002E66F3"/>
    <w:rsid w:val="002E7B0C"/>
    <w:rsid w:val="002F4498"/>
    <w:rsid w:val="002F5A0E"/>
    <w:rsid w:val="003012BB"/>
    <w:rsid w:val="00301D22"/>
    <w:rsid w:val="0030574B"/>
    <w:rsid w:val="00316F7D"/>
    <w:rsid w:val="00326608"/>
    <w:rsid w:val="00331A35"/>
    <w:rsid w:val="00352E95"/>
    <w:rsid w:val="00355FF3"/>
    <w:rsid w:val="0036105A"/>
    <w:rsid w:val="00364FF5"/>
    <w:rsid w:val="00365CBA"/>
    <w:rsid w:val="003666AA"/>
    <w:rsid w:val="00373802"/>
    <w:rsid w:val="00373EE0"/>
    <w:rsid w:val="00376466"/>
    <w:rsid w:val="003772C1"/>
    <w:rsid w:val="003818E3"/>
    <w:rsid w:val="00383F3C"/>
    <w:rsid w:val="003874F6"/>
    <w:rsid w:val="00392692"/>
    <w:rsid w:val="003973CA"/>
    <w:rsid w:val="003A2EB3"/>
    <w:rsid w:val="003A3455"/>
    <w:rsid w:val="003A34FF"/>
    <w:rsid w:val="003B243E"/>
    <w:rsid w:val="003B5019"/>
    <w:rsid w:val="003B6DB8"/>
    <w:rsid w:val="003C1D0E"/>
    <w:rsid w:val="003D03E9"/>
    <w:rsid w:val="003D0DFC"/>
    <w:rsid w:val="003D2160"/>
    <w:rsid w:val="003D4151"/>
    <w:rsid w:val="003E4478"/>
    <w:rsid w:val="003E7926"/>
    <w:rsid w:val="003F04D3"/>
    <w:rsid w:val="003F1976"/>
    <w:rsid w:val="003F26F8"/>
    <w:rsid w:val="003F5D57"/>
    <w:rsid w:val="00402F03"/>
    <w:rsid w:val="00404257"/>
    <w:rsid w:val="00404595"/>
    <w:rsid w:val="0041048C"/>
    <w:rsid w:val="004145AB"/>
    <w:rsid w:val="00414E3F"/>
    <w:rsid w:val="004163ED"/>
    <w:rsid w:val="004177E5"/>
    <w:rsid w:val="004235F8"/>
    <w:rsid w:val="004325E3"/>
    <w:rsid w:val="00434C78"/>
    <w:rsid w:val="00437C07"/>
    <w:rsid w:val="00441E45"/>
    <w:rsid w:val="004426A4"/>
    <w:rsid w:val="00447DDF"/>
    <w:rsid w:val="004572E7"/>
    <w:rsid w:val="00457AF6"/>
    <w:rsid w:val="004630A3"/>
    <w:rsid w:val="00463126"/>
    <w:rsid w:val="00463CD1"/>
    <w:rsid w:val="00482C2B"/>
    <w:rsid w:val="00483E50"/>
    <w:rsid w:val="00484B48"/>
    <w:rsid w:val="0048504F"/>
    <w:rsid w:val="004858C6"/>
    <w:rsid w:val="00485C32"/>
    <w:rsid w:val="00491FB9"/>
    <w:rsid w:val="00492C8A"/>
    <w:rsid w:val="00494C68"/>
    <w:rsid w:val="004A24AC"/>
    <w:rsid w:val="004A68DD"/>
    <w:rsid w:val="004B0358"/>
    <w:rsid w:val="004B3DF4"/>
    <w:rsid w:val="004B636B"/>
    <w:rsid w:val="004C215C"/>
    <w:rsid w:val="004C37FE"/>
    <w:rsid w:val="004D04C7"/>
    <w:rsid w:val="004D7489"/>
    <w:rsid w:val="004E2B48"/>
    <w:rsid w:val="004E6F83"/>
    <w:rsid w:val="004F445F"/>
    <w:rsid w:val="0050133F"/>
    <w:rsid w:val="0050383E"/>
    <w:rsid w:val="0050413D"/>
    <w:rsid w:val="0050688A"/>
    <w:rsid w:val="00507AA0"/>
    <w:rsid w:val="005105EF"/>
    <w:rsid w:val="00511314"/>
    <w:rsid w:val="00516656"/>
    <w:rsid w:val="00521B06"/>
    <w:rsid w:val="00523807"/>
    <w:rsid w:val="005315CC"/>
    <w:rsid w:val="00532752"/>
    <w:rsid w:val="0053429C"/>
    <w:rsid w:val="00540827"/>
    <w:rsid w:val="00542C2D"/>
    <w:rsid w:val="0054314D"/>
    <w:rsid w:val="00545384"/>
    <w:rsid w:val="0054559B"/>
    <w:rsid w:val="00546A53"/>
    <w:rsid w:val="00555618"/>
    <w:rsid w:val="00555A72"/>
    <w:rsid w:val="00556080"/>
    <w:rsid w:val="00561E12"/>
    <w:rsid w:val="00566823"/>
    <w:rsid w:val="00567F73"/>
    <w:rsid w:val="005746ED"/>
    <w:rsid w:val="00577F1D"/>
    <w:rsid w:val="005808DB"/>
    <w:rsid w:val="00582355"/>
    <w:rsid w:val="00582D2B"/>
    <w:rsid w:val="00582F2B"/>
    <w:rsid w:val="00584150"/>
    <w:rsid w:val="005930D7"/>
    <w:rsid w:val="00595C1A"/>
    <w:rsid w:val="0059792A"/>
    <w:rsid w:val="005A0454"/>
    <w:rsid w:val="005A2B3D"/>
    <w:rsid w:val="005A2E11"/>
    <w:rsid w:val="005A7FCB"/>
    <w:rsid w:val="005B0C35"/>
    <w:rsid w:val="005B4FEB"/>
    <w:rsid w:val="005D6600"/>
    <w:rsid w:val="005E3E29"/>
    <w:rsid w:val="005E5AA9"/>
    <w:rsid w:val="00601E76"/>
    <w:rsid w:val="0061051A"/>
    <w:rsid w:val="006108EE"/>
    <w:rsid w:val="00612F7D"/>
    <w:rsid w:val="006250A0"/>
    <w:rsid w:val="00626E42"/>
    <w:rsid w:val="0062775C"/>
    <w:rsid w:val="00631D2C"/>
    <w:rsid w:val="006320EF"/>
    <w:rsid w:val="00637B39"/>
    <w:rsid w:val="00640F95"/>
    <w:rsid w:val="00641B5D"/>
    <w:rsid w:val="00642249"/>
    <w:rsid w:val="0065090B"/>
    <w:rsid w:val="00654522"/>
    <w:rsid w:val="00660667"/>
    <w:rsid w:val="00660D18"/>
    <w:rsid w:val="00662F6F"/>
    <w:rsid w:val="0066476B"/>
    <w:rsid w:val="0066563A"/>
    <w:rsid w:val="0067595D"/>
    <w:rsid w:val="00682627"/>
    <w:rsid w:val="00683246"/>
    <w:rsid w:val="006836D0"/>
    <w:rsid w:val="00690244"/>
    <w:rsid w:val="00695722"/>
    <w:rsid w:val="006971D3"/>
    <w:rsid w:val="006A07D8"/>
    <w:rsid w:val="006A0B91"/>
    <w:rsid w:val="006A4D7D"/>
    <w:rsid w:val="006A5151"/>
    <w:rsid w:val="006B6B25"/>
    <w:rsid w:val="006D2A37"/>
    <w:rsid w:val="006D5652"/>
    <w:rsid w:val="006E61BE"/>
    <w:rsid w:val="006E7ADE"/>
    <w:rsid w:val="006F1316"/>
    <w:rsid w:val="006F27A8"/>
    <w:rsid w:val="006F49D3"/>
    <w:rsid w:val="006F759C"/>
    <w:rsid w:val="007003C7"/>
    <w:rsid w:val="00700EFF"/>
    <w:rsid w:val="00705344"/>
    <w:rsid w:val="0071304C"/>
    <w:rsid w:val="00714B92"/>
    <w:rsid w:val="00717208"/>
    <w:rsid w:val="00721868"/>
    <w:rsid w:val="00722BAD"/>
    <w:rsid w:val="007231E5"/>
    <w:rsid w:val="00724419"/>
    <w:rsid w:val="00726B10"/>
    <w:rsid w:val="00726E42"/>
    <w:rsid w:val="00726F01"/>
    <w:rsid w:val="00726F99"/>
    <w:rsid w:val="00727041"/>
    <w:rsid w:val="00727B78"/>
    <w:rsid w:val="00731888"/>
    <w:rsid w:val="00734BD3"/>
    <w:rsid w:val="0073500A"/>
    <w:rsid w:val="00736304"/>
    <w:rsid w:val="00736FEA"/>
    <w:rsid w:val="0073706A"/>
    <w:rsid w:val="00737B05"/>
    <w:rsid w:val="007416FB"/>
    <w:rsid w:val="00741FF6"/>
    <w:rsid w:val="00742B5A"/>
    <w:rsid w:val="007444E3"/>
    <w:rsid w:val="00744B8E"/>
    <w:rsid w:val="00747040"/>
    <w:rsid w:val="00750176"/>
    <w:rsid w:val="00752F21"/>
    <w:rsid w:val="007545D4"/>
    <w:rsid w:val="007546CF"/>
    <w:rsid w:val="0075493C"/>
    <w:rsid w:val="00754FC9"/>
    <w:rsid w:val="00756621"/>
    <w:rsid w:val="00760993"/>
    <w:rsid w:val="00762682"/>
    <w:rsid w:val="0076507A"/>
    <w:rsid w:val="00765D49"/>
    <w:rsid w:val="00766203"/>
    <w:rsid w:val="00767611"/>
    <w:rsid w:val="0077005D"/>
    <w:rsid w:val="0077046D"/>
    <w:rsid w:val="0077373D"/>
    <w:rsid w:val="00787E7F"/>
    <w:rsid w:val="00790370"/>
    <w:rsid w:val="007915A5"/>
    <w:rsid w:val="0079363D"/>
    <w:rsid w:val="00796C27"/>
    <w:rsid w:val="007A46C8"/>
    <w:rsid w:val="007B225B"/>
    <w:rsid w:val="007B36B7"/>
    <w:rsid w:val="007B4BE0"/>
    <w:rsid w:val="007C1A22"/>
    <w:rsid w:val="007C5402"/>
    <w:rsid w:val="007C72FA"/>
    <w:rsid w:val="007C76BA"/>
    <w:rsid w:val="007D193F"/>
    <w:rsid w:val="007D2EF9"/>
    <w:rsid w:val="007D79F2"/>
    <w:rsid w:val="007D7C32"/>
    <w:rsid w:val="007D7CEA"/>
    <w:rsid w:val="007E01DC"/>
    <w:rsid w:val="007E1EE8"/>
    <w:rsid w:val="007E5FCD"/>
    <w:rsid w:val="007F01D6"/>
    <w:rsid w:val="007F2323"/>
    <w:rsid w:val="007F3E22"/>
    <w:rsid w:val="007F472E"/>
    <w:rsid w:val="007F533F"/>
    <w:rsid w:val="00800CAA"/>
    <w:rsid w:val="008027F6"/>
    <w:rsid w:val="0080336C"/>
    <w:rsid w:val="008066C3"/>
    <w:rsid w:val="008067B1"/>
    <w:rsid w:val="00806EFB"/>
    <w:rsid w:val="00815645"/>
    <w:rsid w:val="00826985"/>
    <w:rsid w:val="00827DCD"/>
    <w:rsid w:val="0083159F"/>
    <w:rsid w:val="0083171B"/>
    <w:rsid w:val="00832596"/>
    <w:rsid w:val="008406A1"/>
    <w:rsid w:val="0084307C"/>
    <w:rsid w:val="0084333E"/>
    <w:rsid w:val="008448A2"/>
    <w:rsid w:val="0085222F"/>
    <w:rsid w:val="0085332A"/>
    <w:rsid w:val="00854BF8"/>
    <w:rsid w:val="00860ECA"/>
    <w:rsid w:val="0087171F"/>
    <w:rsid w:val="00874EF5"/>
    <w:rsid w:val="00880BFC"/>
    <w:rsid w:val="00880DD4"/>
    <w:rsid w:val="0088616D"/>
    <w:rsid w:val="00891007"/>
    <w:rsid w:val="0089398C"/>
    <w:rsid w:val="008A62C5"/>
    <w:rsid w:val="008A769A"/>
    <w:rsid w:val="008B188A"/>
    <w:rsid w:val="008B5962"/>
    <w:rsid w:val="008C3AC7"/>
    <w:rsid w:val="008C5EF7"/>
    <w:rsid w:val="008D70DB"/>
    <w:rsid w:val="008E20FD"/>
    <w:rsid w:val="008E3EA6"/>
    <w:rsid w:val="008E5182"/>
    <w:rsid w:val="008F393E"/>
    <w:rsid w:val="008F6980"/>
    <w:rsid w:val="008F78A7"/>
    <w:rsid w:val="008F7B23"/>
    <w:rsid w:val="00900E9D"/>
    <w:rsid w:val="00901519"/>
    <w:rsid w:val="00907EA8"/>
    <w:rsid w:val="00911212"/>
    <w:rsid w:val="0091220C"/>
    <w:rsid w:val="009139D6"/>
    <w:rsid w:val="00920227"/>
    <w:rsid w:val="00922D17"/>
    <w:rsid w:val="00924E5B"/>
    <w:rsid w:val="00927F8F"/>
    <w:rsid w:val="009304E5"/>
    <w:rsid w:val="009339AE"/>
    <w:rsid w:val="009360E5"/>
    <w:rsid w:val="009420F2"/>
    <w:rsid w:val="00946448"/>
    <w:rsid w:val="009501DA"/>
    <w:rsid w:val="00950F05"/>
    <w:rsid w:val="00952EE3"/>
    <w:rsid w:val="00952FEA"/>
    <w:rsid w:val="00954EF3"/>
    <w:rsid w:val="009617AB"/>
    <w:rsid w:val="00962D65"/>
    <w:rsid w:val="00963F78"/>
    <w:rsid w:val="00966D73"/>
    <w:rsid w:val="00973117"/>
    <w:rsid w:val="00982538"/>
    <w:rsid w:val="00983CFB"/>
    <w:rsid w:val="00984D02"/>
    <w:rsid w:val="00985364"/>
    <w:rsid w:val="00985629"/>
    <w:rsid w:val="009A1D9C"/>
    <w:rsid w:val="009A60B3"/>
    <w:rsid w:val="009B1139"/>
    <w:rsid w:val="009B55D2"/>
    <w:rsid w:val="009C42FD"/>
    <w:rsid w:val="009C48B9"/>
    <w:rsid w:val="009C6DF2"/>
    <w:rsid w:val="009D378F"/>
    <w:rsid w:val="009D4477"/>
    <w:rsid w:val="009D556C"/>
    <w:rsid w:val="009E2AEC"/>
    <w:rsid w:val="009E57F0"/>
    <w:rsid w:val="009F6D1B"/>
    <w:rsid w:val="00A0148F"/>
    <w:rsid w:val="00A02594"/>
    <w:rsid w:val="00A13E7A"/>
    <w:rsid w:val="00A1476A"/>
    <w:rsid w:val="00A16DAC"/>
    <w:rsid w:val="00A200A1"/>
    <w:rsid w:val="00A30BA7"/>
    <w:rsid w:val="00A357CD"/>
    <w:rsid w:val="00A36211"/>
    <w:rsid w:val="00A37395"/>
    <w:rsid w:val="00A4299B"/>
    <w:rsid w:val="00A43127"/>
    <w:rsid w:val="00A465B1"/>
    <w:rsid w:val="00A54721"/>
    <w:rsid w:val="00A60A77"/>
    <w:rsid w:val="00A65E64"/>
    <w:rsid w:val="00A65F9F"/>
    <w:rsid w:val="00A7740B"/>
    <w:rsid w:val="00A80205"/>
    <w:rsid w:val="00A826E5"/>
    <w:rsid w:val="00A82C9B"/>
    <w:rsid w:val="00A8483E"/>
    <w:rsid w:val="00A86863"/>
    <w:rsid w:val="00A87508"/>
    <w:rsid w:val="00A87A24"/>
    <w:rsid w:val="00A87B0C"/>
    <w:rsid w:val="00A977DC"/>
    <w:rsid w:val="00AA141B"/>
    <w:rsid w:val="00AA4CA7"/>
    <w:rsid w:val="00AB009C"/>
    <w:rsid w:val="00AC1315"/>
    <w:rsid w:val="00AC3707"/>
    <w:rsid w:val="00AC6FE1"/>
    <w:rsid w:val="00AD2DD2"/>
    <w:rsid w:val="00AD36B8"/>
    <w:rsid w:val="00AE17FC"/>
    <w:rsid w:val="00AE1B33"/>
    <w:rsid w:val="00AE337E"/>
    <w:rsid w:val="00AE7BD0"/>
    <w:rsid w:val="00AF1F38"/>
    <w:rsid w:val="00AF3FEC"/>
    <w:rsid w:val="00AF48FD"/>
    <w:rsid w:val="00AF4E75"/>
    <w:rsid w:val="00AF64A6"/>
    <w:rsid w:val="00B000E4"/>
    <w:rsid w:val="00B06231"/>
    <w:rsid w:val="00B1194D"/>
    <w:rsid w:val="00B11A8A"/>
    <w:rsid w:val="00B2082A"/>
    <w:rsid w:val="00B21D99"/>
    <w:rsid w:val="00B223C1"/>
    <w:rsid w:val="00B2566C"/>
    <w:rsid w:val="00B35AB3"/>
    <w:rsid w:val="00B35B8D"/>
    <w:rsid w:val="00B35CAC"/>
    <w:rsid w:val="00B3732E"/>
    <w:rsid w:val="00B4537C"/>
    <w:rsid w:val="00B509D0"/>
    <w:rsid w:val="00B63580"/>
    <w:rsid w:val="00B66B9D"/>
    <w:rsid w:val="00B7062C"/>
    <w:rsid w:val="00B75B38"/>
    <w:rsid w:val="00B77D49"/>
    <w:rsid w:val="00B80E27"/>
    <w:rsid w:val="00B8318F"/>
    <w:rsid w:val="00B83501"/>
    <w:rsid w:val="00B8375E"/>
    <w:rsid w:val="00B848AF"/>
    <w:rsid w:val="00B85063"/>
    <w:rsid w:val="00B853C4"/>
    <w:rsid w:val="00B86FBB"/>
    <w:rsid w:val="00B90153"/>
    <w:rsid w:val="00B90369"/>
    <w:rsid w:val="00B92671"/>
    <w:rsid w:val="00B92A96"/>
    <w:rsid w:val="00B93CAB"/>
    <w:rsid w:val="00B95C9E"/>
    <w:rsid w:val="00BA3FC5"/>
    <w:rsid w:val="00BA7316"/>
    <w:rsid w:val="00BA7A95"/>
    <w:rsid w:val="00BB1CC3"/>
    <w:rsid w:val="00BB5038"/>
    <w:rsid w:val="00BC02A4"/>
    <w:rsid w:val="00BC085F"/>
    <w:rsid w:val="00BC1AE0"/>
    <w:rsid w:val="00BC722B"/>
    <w:rsid w:val="00BD05EE"/>
    <w:rsid w:val="00BD1BCD"/>
    <w:rsid w:val="00BD2277"/>
    <w:rsid w:val="00BD526E"/>
    <w:rsid w:val="00BD7212"/>
    <w:rsid w:val="00BE1285"/>
    <w:rsid w:val="00BE1502"/>
    <w:rsid w:val="00BE2E72"/>
    <w:rsid w:val="00BE5E9F"/>
    <w:rsid w:val="00BF37FD"/>
    <w:rsid w:val="00BF55BD"/>
    <w:rsid w:val="00BF662D"/>
    <w:rsid w:val="00C012AD"/>
    <w:rsid w:val="00C036B9"/>
    <w:rsid w:val="00C041A4"/>
    <w:rsid w:val="00C06CFC"/>
    <w:rsid w:val="00C113D0"/>
    <w:rsid w:val="00C1327B"/>
    <w:rsid w:val="00C17F21"/>
    <w:rsid w:val="00C20404"/>
    <w:rsid w:val="00C27D13"/>
    <w:rsid w:val="00C32250"/>
    <w:rsid w:val="00C324E8"/>
    <w:rsid w:val="00C330FE"/>
    <w:rsid w:val="00C34473"/>
    <w:rsid w:val="00C34C66"/>
    <w:rsid w:val="00C3624F"/>
    <w:rsid w:val="00C36DBC"/>
    <w:rsid w:val="00C41702"/>
    <w:rsid w:val="00C50CB2"/>
    <w:rsid w:val="00C620EA"/>
    <w:rsid w:val="00C62A6E"/>
    <w:rsid w:val="00C67114"/>
    <w:rsid w:val="00C67545"/>
    <w:rsid w:val="00C706EA"/>
    <w:rsid w:val="00C736AA"/>
    <w:rsid w:val="00C74C6E"/>
    <w:rsid w:val="00C867C9"/>
    <w:rsid w:val="00C95BBF"/>
    <w:rsid w:val="00CA33CE"/>
    <w:rsid w:val="00CA52B9"/>
    <w:rsid w:val="00CA6036"/>
    <w:rsid w:val="00CA63B5"/>
    <w:rsid w:val="00CB1595"/>
    <w:rsid w:val="00CB1E4C"/>
    <w:rsid w:val="00CB56E3"/>
    <w:rsid w:val="00CB5BFD"/>
    <w:rsid w:val="00CB6E70"/>
    <w:rsid w:val="00CB6FBD"/>
    <w:rsid w:val="00CB716C"/>
    <w:rsid w:val="00CB7607"/>
    <w:rsid w:val="00CC06B3"/>
    <w:rsid w:val="00CC1068"/>
    <w:rsid w:val="00CC3867"/>
    <w:rsid w:val="00CC6DC1"/>
    <w:rsid w:val="00CD1041"/>
    <w:rsid w:val="00CD194C"/>
    <w:rsid w:val="00CD407C"/>
    <w:rsid w:val="00CE72C9"/>
    <w:rsid w:val="00CF0F88"/>
    <w:rsid w:val="00CF6F0B"/>
    <w:rsid w:val="00D01042"/>
    <w:rsid w:val="00D01D3A"/>
    <w:rsid w:val="00D026AA"/>
    <w:rsid w:val="00D02BE9"/>
    <w:rsid w:val="00D04247"/>
    <w:rsid w:val="00D04B5E"/>
    <w:rsid w:val="00D07380"/>
    <w:rsid w:val="00D10C41"/>
    <w:rsid w:val="00D1635A"/>
    <w:rsid w:val="00D16B66"/>
    <w:rsid w:val="00D22B88"/>
    <w:rsid w:val="00D2335F"/>
    <w:rsid w:val="00D252DF"/>
    <w:rsid w:val="00D303F9"/>
    <w:rsid w:val="00D30D06"/>
    <w:rsid w:val="00D3327E"/>
    <w:rsid w:val="00D37A11"/>
    <w:rsid w:val="00D400CE"/>
    <w:rsid w:val="00D416D7"/>
    <w:rsid w:val="00D43881"/>
    <w:rsid w:val="00D54F08"/>
    <w:rsid w:val="00D561BF"/>
    <w:rsid w:val="00D601EE"/>
    <w:rsid w:val="00D674E1"/>
    <w:rsid w:val="00D67B70"/>
    <w:rsid w:val="00D71656"/>
    <w:rsid w:val="00D80405"/>
    <w:rsid w:val="00D83B14"/>
    <w:rsid w:val="00D86268"/>
    <w:rsid w:val="00D9352C"/>
    <w:rsid w:val="00D96D4A"/>
    <w:rsid w:val="00DA048C"/>
    <w:rsid w:val="00DA203D"/>
    <w:rsid w:val="00DB0E3A"/>
    <w:rsid w:val="00DB2A05"/>
    <w:rsid w:val="00DB2E8F"/>
    <w:rsid w:val="00DC07E7"/>
    <w:rsid w:val="00DC751F"/>
    <w:rsid w:val="00DC760C"/>
    <w:rsid w:val="00DE25B5"/>
    <w:rsid w:val="00DE3811"/>
    <w:rsid w:val="00DE68B6"/>
    <w:rsid w:val="00DF36FD"/>
    <w:rsid w:val="00E03021"/>
    <w:rsid w:val="00E105C3"/>
    <w:rsid w:val="00E12EF1"/>
    <w:rsid w:val="00E14BE9"/>
    <w:rsid w:val="00E158F0"/>
    <w:rsid w:val="00E16B3A"/>
    <w:rsid w:val="00E22AB4"/>
    <w:rsid w:val="00E279CD"/>
    <w:rsid w:val="00E329C5"/>
    <w:rsid w:val="00E342D5"/>
    <w:rsid w:val="00E34A0E"/>
    <w:rsid w:val="00E36499"/>
    <w:rsid w:val="00E40210"/>
    <w:rsid w:val="00E438AB"/>
    <w:rsid w:val="00E44241"/>
    <w:rsid w:val="00E45B07"/>
    <w:rsid w:val="00E46D3A"/>
    <w:rsid w:val="00E47DDD"/>
    <w:rsid w:val="00E55803"/>
    <w:rsid w:val="00E574AA"/>
    <w:rsid w:val="00E624D7"/>
    <w:rsid w:val="00E62C3A"/>
    <w:rsid w:val="00E63784"/>
    <w:rsid w:val="00E63906"/>
    <w:rsid w:val="00E643F8"/>
    <w:rsid w:val="00E65758"/>
    <w:rsid w:val="00E65D39"/>
    <w:rsid w:val="00E73206"/>
    <w:rsid w:val="00E746E9"/>
    <w:rsid w:val="00E824C7"/>
    <w:rsid w:val="00E8297C"/>
    <w:rsid w:val="00E82D58"/>
    <w:rsid w:val="00E83AC2"/>
    <w:rsid w:val="00E8750C"/>
    <w:rsid w:val="00E90346"/>
    <w:rsid w:val="00E93E37"/>
    <w:rsid w:val="00E96B50"/>
    <w:rsid w:val="00EA0413"/>
    <w:rsid w:val="00EB4253"/>
    <w:rsid w:val="00EB4379"/>
    <w:rsid w:val="00EB48AC"/>
    <w:rsid w:val="00EC57E4"/>
    <w:rsid w:val="00EC66BD"/>
    <w:rsid w:val="00EC7A9A"/>
    <w:rsid w:val="00ED3063"/>
    <w:rsid w:val="00ED3962"/>
    <w:rsid w:val="00ED4862"/>
    <w:rsid w:val="00EE72C0"/>
    <w:rsid w:val="00EF0803"/>
    <w:rsid w:val="00EF14E7"/>
    <w:rsid w:val="00EF166E"/>
    <w:rsid w:val="00EF1FD0"/>
    <w:rsid w:val="00EF21E1"/>
    <w:rsid w:val="00EF2CF2"/>
    <w:rsid w:val="00EF5B8C"/>
    <w:rsid w:val="00F005BC"/>
    <w:rsid w:val="00F013FB"/>
    <w:rsid w:val="00F01FD0"/>
    <w:rsid w:val="00F0411F"/>
    <w:rsid w:val="00F051B9"/>
    <w:rsid w:val="00F104E6"/>
    <w:rsid w:val="00F169D3"/>
    <w:rsid w:val="00F17DE5"/>
    <w:rsid w:val="00F20DCE"/>
    <w:rsid w:val="00F21D79"/>
    <w:rsid w:val="00F30F8C"/>
    <w:rsid w:val="00F327EE"/>
    <w:rsid w:val="00F35AA4"/>
    <w:rsid w:val="00F41C45"/>
    <w:rsid w:val="00F41DDF"/>
    <w:rsid w:val="00F44988"/>
    <w:rsid w:val="00F5706E"/>
    <w:rsid w:val="00F60501"/>
    <w:rsid w:val="00F6158E"/>
    <w:rsid w:val="00F63364"/>
    <w:rsid w:val="00F652B9"/>
    <w:rsid w:val="00F70296"/>
    <w:rsid w:val="00F720AD"/>
    <w:rsid w:val="00F727C8"/>
    <w:rsid w:val="00F73E46"/>
    <w:rsid w:val="00F76797"/>
    <w:rsid w:val="00F81523"/>
    <w:rsid w:val="00F81F90"/>
    <w:rsid w:val="00F826B1"/>
    <w:rsid w:val="00F84001"/>
    <w:rsid w:val="00F847C6"/>
    <w:rsid w:val="00F85866"/>
    <w:rsid w:val="00F85B9C"/>
    <w:rsid w:val="00F93412"/>
    <w:rsid w:val="00F93B0B"/>
    <w:rsid w:val="00F96A1A"/>
    <w:rsid w:val="00FA0B92"/>
    <w:rsid w:val="00FA24FF"/>
    <w:rsid w:val="00FA4CD3"/>
    <w:rsid w:val="00FA51DF"/>
    <w:rsid w:val="00FB253D"/>
    <w:rsid w:val="00FB48CB"/>
    <w:rsid w:val="00FB4ECF"/>
    <w:rsid w:val="00FB6205"/>
    <w:rsid w:val="00FC28E0"/>
    <w:rsid w:val="00FC7232"/>
    <w:rsid w:val="00FD0470"/>
    <w:rsid w:val="00FE256B"/>
    <w:rsid w:val="00FE642E"/>
    <w:rsid w:val="00FE7F45"/>
    <w:rsid w:val="00FF0832"/>
    <w:rsid w:val="00FF0B56"/>
    <w:rsid w:val="00FF2EE6"/>
    <w:rsid w:val="00FF7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2668E"/>
  <w15:chartTrackingRefBased/>
  <w15:docId w15:val="{C0BED26A-A8EE-4632-96D6-E7A81A3B4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577F"/>
    <w:pPr>
      <w:ind w:left="720"/>
      <w:contextualSpacing/>
    </w:pPr>
  </w:style>
  <w:style w:type="table" w:styleId="TableGrid">
    <w:name w:val="Table Grid"/>
    <w:basedOn w:val="TableNormal"/>
    <w:uiPriority w:val="59"/>
    <w:rsid w:val="0062775C"/>
    <w:pPr>
      <w:spacing w:after="0" w:line="240" w:lineRule="auto"/>
    </w:pPr>
    <w:rPr>
      <w:rFonts w:ascii="Calibri" w:eastAsia="Times New Roman"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62775C"/>
    <w:pPr>
      <w:spacing w:after="200" w:line="240" w:lineRule="auto"/>
      <w:ind w:left="209" w:hanging="209"/>
      <w:jc w:val="both"/>
    </w:pPr>
    <w:rPr>
      <w:rFonts w:ascii="Calibri" w:eastAsia="Calibri" w:hAnsi="Calibri" w:cs="Calibri"/>
      <w:i/>
      <w:iCs/>
      <w:color w:val="44546A" w:themeColor="text2"/>
      <w:kern w:val="0"/>
      <w:sz w:val="18"/>
      <w:szCs w:val="18"/>
      <w14:ligatures w14:val="none"/>
    </w:rPr>
  </w:style>
  <w:style w:type="character" w:styleId="Hyperlink">
    <w:name w:val="Hyperlink"/>
    <w:basedOn w:val="DefaultParagraphFont"/>
    <w:uiPriority w:val="99"/>
    <w:unhideWhenUsed/>
    <w:rsid w:val="004E6F83"/>
    <w:rPr>
      <w:color w:val="0563C1" w:themeColor="hyperlink"/>
      <w:u w:val="single"/>
    </w:rPr>
  </w:style>
  <w:style w:type="character" w:styleId="UnresolvedMention">
    <w:name w:val="Unresolved Mention"/>
    <w:basedOn w:val="DefaultParagraphFont"/>
    <w:uiPriority w:val="99"/>
    <w:semiHidden/>
    <w:unhideWhenUsed/>
    <w:rsid w:val="004E6F83"/>
    <w:rPr>
      <w:color w:val="605E5C"/>
      <w:shd w:val="clear" w:color="auto" w:fill="E1DFDD"/>
    </w:rPr>
  </w:style>
  <w:style w:type="character" w:styleId="Strong">
    <w:name w:val="Strong"/>
    <w:basedOn w:val="DefaultParagraphFont"/>
    <w:uiPriority w:val="22"/>
    <w:qFormat/>
    <w:rsid w:val="005E3E29"/>
    <w:rPr>
      <w:b/>
      <w:bCs/>
    </w:rPr>
  </w:style>
  <w:style w:type="character" w:customStyle="1" w:styleId="math-inline">
    <w:name w:val="math-inline"/>
    <w:basedOn w:val="DefaultParagraphFont"/>
    <w:rsid w:val="005E3E29"/>
  </w:style>
  <w:style w:type="character" w:styleId="PlaceholderText">
    <w:name w:val="Placeholder Text"/>
    <w:basedOn w:val="DefaultParagraphFont"/>
    <w:uiPriority w:val="99"/>
    <w:semiHidden/>
    <w:rsid w:val="00911212"/>
    <w:rPr>
      <w:color w:val="666666"/>
    </w:rPr>
  </w:style>
  <w:style w:type="character" w:customStyle="1" w:styleId="VerbatimChar">
    <w:name w:val="Verbatim Char"/>
    <w:basedOn w:val="DefaultParagraphFont"/>
    <w:link w:val="SourceCode"/>
    <w:rsid w:val="00F30F8C"/>
    <w:rPr>
      <w:rFonts w:ascii="Consolas" w:hAnsi="Consolas"/>
      <w:shd w:val="clear" w:color="auto" w:fill="F8F8F8"/>
    </w:rPr>
  </w:style>
  <w:style w:type="paragraph" w:customStyle="1" w:styleId="SourceCode">
    <w:name w:val="Source Code"/>
    <w:basedOn w:val="Normal"/>
    <w:link w:val="VerbatimChar"/>
    <w:rsid w:val="00F30F8C"/>
    <w:pPr>
      <w:shd w:val="clear" w:color="auto" w:fill="F8F8F8"/>
      <w:wordWrap w:val="0"/>
      <w:spacing w:after="200" w:line="240" w:lineRule="auto"/>
    </w:pPr>
    <w:rPr>
      <w:rFonts w:ascii="Consolas" w:hAnsi="Consolas"/>
    </w:rPr>
  </w:style>
  <w:style w:type="character" w:styleId="CommentReference">
    <w:name w:val="annotation reference"/>
    <w:basedOn w:val="DefaultParagraphFont"/>
    <w:uiPriority w:val="99"/>
    <w:semiHidden/>
    <w:unhideWhenUsed/>
    <w:rsid w:val="00106C96"/>
    <w:rPr>
      <w:sz w:val="16"/>
      <w:szCs w:val="16"/>
    </w:rPr>
  </w:style>
  <w:style w:type="paragraph" w:styleId="CommentText">
    <w:name w:val="annotation text"/>
    <w:basedOn w:val="Normal"/>
    <w:link w:val="CommentTextChar"/>
    <w:uiPriority w:val="99"/>
    <w:unhideWhenUsed/>
    <w:rsid w:val="00106C96"/>
    <w:pPr>
      <w:spacing w:line="240" w:lineRule="auto"/>
    </w:pPr>
    <w:rPr>
      <w:sz w:val="20"/>
      <w:szCs w:val="20"/>
    </w:rPr>
  </w:style>
  <w:style w:type="character" w:customStyle="1" w:styleId="CommentTextChar">
    <w:name w:val="Comment Text Char"/>
    <w:basedOn w:val="DefaultParagraphFont"/>
    <w:link w:val="CommentText"/>
    <w:uiPriority w:val="99"/>
    <w:rsid w:val="00106C96"/>
    <w:rPr>
      <w:sz w:val="20"/>
      <w:szCs w:val="20"/>
    </w:rPr>
  </w:style>
  <w:style w:type="paragraph" w:styleId="CommentSubject">
    <w:name w:val="annotation subject"/>
    <w:basedOn w:val="CommentText"/>
    <w:next w:val="CommentText"/>
    <w:link w:val="CommentSubjectChar"/>
    <w:uiPriority w:val="99"/>
    <w:semiHidden/>
    <w:unhideWhenUsed/>
    <w:rsid w:val="00106C96"/>
    <w:rPr>
      <w:b/>
      <w:bCs/>
    </w:rPr>
  </w:style>
  <w:style w:type="character" w:customStyle="1" w:styleId="CommentSubjectChar">
    <w:name w:val="Comment Subject Char"/>
    <w:basedOn w:val="CommentTextChar"/>
    <w:link w:val="CommentSubject"/>
    <w:uiPriority w:val="99"/>
    <w:semiHidden/>
    <w:rsid w:val="00106C96"/>
    <w:rPr>
      <w:b/>
      <w:bCs/>
      <w:sz w:val="20"/>
      <w:szCs w:val="20"/>
    </w:rPr>
  </w:style>
  <w:style w:type="paragraph" w:styleId="Header">
    <w:name w:val="header"/>
    <w:basedOn w:val="Normal"/>
    <w:link w:val="HeaderChar"/>
    <w:uiPriority w:val="99"/>
    <w:unhideWhenUsed/>
    <w:rsid w:val="005B0C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0C35"/>
  </w:style>
  <w:style w:type="paragraph" w:styleId="Footer">
    <w:name w:val="footer"/>
    <w:basedOn w:val="Normal"/>
    <w:link w:val="FooterChar"/>
    <w:uiPriority w:val="99"/>
    <w:unhideWhenUsed/>
    <w:rsid w:val="005B0C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0C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8179">
      <w:marLeft w:val="480"/>
      <w:marRight w:val="0"/>
      <w:marTop w:val="0"/>
      <w:marBottom w:val="0"/>
      <w:divBdr>
        <w:top w:val="none" w:sz="0" w:space="0" w:color="auto"/>
        <w:left w:val="none" w:sz="0" w:space="0" w:color="auto"/>
        <w:bottom w:val="none" w:sz="0" w:space="0" w:color="auto"/>
        <w:right w:val="none" w:sz="0" w:space="0" w:color="auto"/>
      </w:divBdr>
    </w:div>
    <w:div w:id="5794403">
      <w:marLeft w:val="480"/>
      <w:marRight w:val="0"/>
      <w:marTop w:val="0"/>
      <w:marBottom w:val="0"/>
      <w:divBdr>
        <w:top w:val="none" w:sz="0" w:space="0" w:color="auto"/>
        <w:left w:val="none" w:sz="0" w:space="0" w:color="auto"/>
        <w:bottom w:val="none" w:sz="0" w:space="0" w:color="auto"/>
        <w:right w:val="none" w:sz="0" w:space="0" w:color="auto"/>
      </w:divBdr>
    </w:div>
    <w:div w:id="10378325">
      <w:marLeft w:val="640"/>
      <w:marRight w:val="0"/>
      <w:marTop w:val="0"/>
      <w:marBottom w:val="0"/>
      <w:divBdr>
        <w:top w:val="none" w:sz="0" w:space="0" w:color="auto"/>
        <w:left w:val="none" w:sz="0" w:space="0" w:color="auto"/>
        <w:bottom w:val="none" w:sz="0" w:space="0" w:color="auto"/>
        <w:right w:val="none" w:sz="0" w:space="0" w:color="auto"/>
      </w:divBdr>
    </w:div>
    <w:div w:id="13728441">
      <w:marLeft w:val="480"/>
      <w:marRight w:val="0"/>
      <w:marTop w:val="0"/>
      <w:marBottom w:val="0"/>
      <w:divBdr>
        <w:top w:val="none" w:sz="0" w:space="0" w:color="auto"/>
        <w:left w:val="none" w:sz="0" w:space="0" w:color="auto"/>
        <w:bottom w:val="none" w:sz="0" w:space="0" w:color="auto"/>
        <w:right w:val="none" w:sz="0" w:space="0" w:color="auto"/>
      </w:divBdr>
    </w:div>
    <w:div w:id="13774265">
      <w:marLeft w:val="640"/>
      <w:marRight w:val="0"/>
      <w:marTop w:val="0"/>
      <w:marBottom w:val="0"/>
      <w:divBdr>
        <w:top w:val="none" w:sz="0" w:space="0" w:color="auto"/>
        <w:left w:val="none" w:sz="0" w:space="0" w:color="auto"/>
        <w:bottom w:val="none" w:sz="0" w:space="0" w:color="auto"/>
        <w:right w:val="none" w:sz="0" w:space="0" w:color="auto"/>
      </w:divBdr>
    </w:div>
    <w:div w:id="19402412">
      <w:marLeft w:val="480"/>
      <w:marRight w:val="0"/>
      <w:marTop w:val="0"/>
      <w:marBottom w:val="0"/>
      <w:divBdr>
        <w:top w:val="none" w:sz="0" w:space="0" w:color="auto"/>
        <w:left w:val="none" w:sz="0" w:space="0" w:color="auto"/>
        <w:bottom w:val="none" w:sz="0" w:space="0" w:color="auto"/>
        <w:right w:val="none" w:sz="0" w:space="0" w:color="auto"/>
      </w:divBdr>
    </w:div>
    <w:div w:id="23990660">
      <w:marLeft w:val="480"/>
      <w:marRight w:val="0"/>
      <w:marTop w:val="0"/>
      <w:marBottom w:val="0"/>
      <w:divBdr>
        <w:top w:val="none" w:sz="0" w:space="0" w:color="auto"/>
        <w:left w:val="none" w:sz="0" w:space="0" w:color="auto"/>
        <w:bottom w:val="none" w:sz="0" w:space="0" w:color="auto"/>
        <w:right w:val="none" w:sz="0" w:space="0" w:color="auto"/>
      </w:divBdr>
    </w:div>
    <w:div w:id="24791953">
      <w:marLeft w:val="480"/>
      <w:marRight w:val="0"/>
      <w:marTop w:val="0"/>
      <w:marBottom w:val="0"/>
      <w:divBdr>
        <w:top w:val="none" w:sz="0" w:space="0" w:color="auto"/>
        <w:left w:val="none" w:sz="0" w:space="0" w:color="auto"/>
        <w:bottom w:val="none" w:sz="0" w:space="0" w:color="auto"/>
        <w:right w:val="none" w:sz="0" w:space="0" w:color="auto"/>
      </w:divBdr>
    </w:div>
    <w:div w:id="26686454">
      <w:marLeft w:val="480"/>
      <w:marRight w:val="0"/>
      <w:marTop w:val="0"/>
      <w:marBottom w:val="0"/>
      <w:divBdr>
        <w:top w:val="none" w:sz="0" w:space="0" w:color="auto"/>
        <w:left w:val="none" w:sz="0" w:space="0" w:color="auto"/>
        <w:bottom w:val="none" w:sz="0" w:space="0" w:color="auto"/>
        <w:right w:val="none" w:sz="0" w:space="0" w:color="auto"/>
      </w:divBdr>
    </w:div>
    <w:div w:id="29301940">
      <w:marLeft w:val="480"/>
      <w:marRight w:val="0"/>
      <w:marTop w:val="0"/>
      <w:marBottom w:val="0"/>
      <w:divBdr>
        <w:top w:val="none" w:sz="0" w:space="0" w:color="auto"/>
        <w:left w:val="none" w:sz="0" w:space="0" w:color="auto"/>
        <w:bottom w:val="none" w:sz="0" w:space="0" w:color="auto"/>
        <w:right w:val="none" w:sz="0" w:space="0" w:color="auto"/>
      </w:divBdr>
    </w:div>
    <w:div w:id="29302348">
      <w:marLeft w:val="640"/>
      <w:marRight w:val="0"/>
      <w:marTop w:val="0"/>
      <w:marBottom w:val="0"/>
      <w:divBdr>
        <w:top w:val="none" w:sz="0" w:space="0" w:color="auto"/>
        <w:left w:val="none" w:sz="0" w:space="0" w:color="auto"/>
        <w:bottom w:val="none" w:sz="0" w:space="0" w:color="auto"/>
        <w:right w:val="none" w:sz="0" w:space="0" w:color="auto"/>
      </w:divBdr>
    </w:div>
    <w:div w:id="34624023">
      <w:marLeft w:val="640"/>
      <w:marRight w:val="0"/>
      <w:marTop w:val="0"/>
      <w:marBottom w:val="0"/>
      <w:divBdr>
        <w:top w:val="none" w:sz="0" w:space="0" w:color="auto"/>
        <w:left w:val="none" w:sz="0" w:space="0" w:color="auto"/>
        <w:bottom w:val="none" w:sz="0" w:space="0" w:color="auto"/>
        <w:right w:val="none" w:sz="0" w:space="0" w:color="auto"/>
      </w:divBdr>
    </w:div>
    <w:div w:id="39399889">
      <w:marLeft w:val="480"/>
      <w:marRight w:val="0"/>
      <w:marTop w:val="0"/>
      <w:marBottom w:val="0"/>
      <w:divBdr>
        <w:top w:val="none" w:sz="0" w:space="0" w:color="auto"/>
        <w:left w:val="none" w:sz="0" w:space="0" w:color="auto"/>
        <w:bottom w:val="none" w:sz="0" w:space="0" w:color="auto"/>
        <w:right w:val="none" w:sz="0" w:space="0" w:color="auto"/>
      </w:divBdr>
    </w:div>
    <w:div w:id="47001617">
      <w:marLeft w:val="480"/>
      <w:marRight w:val="0"/>
      <w:marTop w:val="0"/>
      <w:marBottom w:val="0"/>
      <w:divBdr>
        <w:top w:val="none" w:sz="0" w:space="0" w:color="auto"/>
        <w:left w:val="none" w:sz="0" w:space="0" w:color="auto"/>
        <w:bottom w:val="none" w:sz="0" w:space="0" w:color="auto"/>
        <w:right w:val="none" w:sz="0" w:space="0" w:color="auto"/>
      </w:divBdr>
    </w:div>
    <w:div w:id="48769367">
      <w:marLeft w:val="640"/>
      <w:marRight w:val="0"/>
      <w:marTop w:val="0"/>
      <w:marBottom w:val="0"/>
      <w:divBdr>
        <w:top w:val="none" w:sz="0" w:space="0" w:color="auto"/>
        <w:left w:val="none" w:sz="0" w:space="0" w:color="auto"/>
        <w:bottom w:val="none" w:sz="0" w:space="0" w:color="auto"/>
        <w:right w:val="none" w:sz="0" w:space="0" w:color="auto"/>
      </w:divBdr>
    </w:div>
    <w:div w:id="58292896">
      <w:marLeft w:val="640"/>
      <w:marRight w:val="0"/>
      <w:marTop w:val="0"/>
      <w:marBottom w:val="0"/>
      <w:divBdr>
        <w:top w:val="none" w:sz="0" w:space="0" w:color="auto"/>
        <w:left w:val="none" w:sz="0" w:space="0" w:color="auto"/>
        <w:bottom w:val="none" w:sz="0" w:space="0" w:color="auto"/>
        <w:right w:val="none" w:sz="0" w:space="0" w:color="auto"/>
      </w:divBdr>
    </w:div>
    <w:div w:id="60716911">
      <w:marLeft w:val="480"/>
      <w:marRight w:val="0"/>
      <w:marTop w:val="0"/>
      <w:marBottom w:val="0"/>
      <w:divBdr>
        <w:top w:val="none" w:sz="0" w:space="0" w:color="auto"/>
        <w:left w:val="none" w:sz="0" w:space="0" w:color="auto"/>
        <w:bottom w:val="none" w:sz="0" w:space="0" w:color="auto"/>
        <w:right w:val="none" w:sz="0" w:space="0" w:color="auto"/>
      </w:divBdr>
    </w:div>
    <w:div w:id="61098049">
      <w:marLeft w:val="480"/>
      <w:marRight w:val="0"/>
      <w:marTop w:val="0"/>
      <w:marBottom w:val="0"/>
      <w:divBdr>
        <w:top w:val="none" w:sz="0" w:space="0" w:color="auto"/>
        <w:left w:val="none" w:sz="0" w:space="0" w:color="auto"/>
        <w:bottom w:val="none" w:sz="0" w:space="0" w:color="auto"/>
        <w:right w:val="none" w:sz="0" w:space="0" w:color="auto"/>
      </w:divBdr>
    </w:div>
    <w:div w:id="61296323">
      <w:marLeft w:val="480"/>
      <w:marRight w:val="0"/>
      <w:marTop w:val="0"/>
      <w:marBottom w:val="0"/>
      <w:divBdr>
        <w:top w:val="none" w:sz="0" w:space="0" w:color="auto"/>
        <w:left w:val="none" w:sz="0" w:space="0" w:color="auto"/>
        <w:bottom w:val="none" w:sz="0" w:space="0" w:color="auto"/>
        <w:right w:val="none" w:sz="0" w:space="0" w:color="auto"/>
      </w:divBdr>
    </w:div>
    <w:div w:id="69157091">
      <w:marLeft w:val="480"/>
      <w:marRight w:val="0"/>
      <w:marTop w:val="0"/>
      <w:marBottom w:val="0"/>
      <w:divBdr>
        <w:top w:val="none" w:sz="0" w:space="0" w:color="auto"/>
        <w:left w:val="none" w:sz="0" w:space="0" w:color="auto"/>
        <w:bottom w:val="none" w:sz="0" w:space="0" w:color="auto"/>
        <w:right w:val="none" w:sz="0" w:space="0" w:color="auto"/>
      </w:divBdr>
    </w:div>
    <w:div w:id="72359417">
      <w:marLeft w:val="640"/>
      <w:marRight w:val="0"/>
      <w:marTop w:val="0"/>
      <w:marBottom w:val="0"/>
      <w:divBdr>
        <w:top w:val="none" w:sz="0" w:space="0" w:color="auto"/>
        <w:left w:val="none" w:sz="0" w:space="0" w:color="auto"/>
        <w:bottom w:val="none" w:sz="0" w:space="0" w:color="auto"/>
        <w:right w:val="none" w:sz="0" w:space="0" w:color="auto"/>
      </w:divBdr>
    </w:div>
    <w:div w:id="74713218">
      <w:marLeft w:val="480"/>
      <w:marRight w:val="0"/>
      <w:marTop w:val="0"/>
      <w:marBottom w:val="0"/>
      <w:divBdr>
        <w:top w:val="none" w:sz="0" w:space="0" w:color="auto"/>
        <w:left w:val="none" w:sz="0" w:space="0" w:color="auto"/>
        <w:bottom w:val="none" w:sz="0" w:space="0" w:color="auto"/>
        <w:right w:val="none" w:sz="0" w:space="0" w:color="auto"/>
      </w:divBdr>
    </w:div>
    <w:div w:id="81875099">
      <w:marLeft w:val="640"/>
      <w:marRight w:val="0"/>
      <w:marTop w:val="0"/>
      <w:marBottom w:val="0"/>
      <w:divBdr>
        <w:top w:val="none" w:sz="0" w:space="0" w:color="auto"/>
        <w:left w:val="none" w:sz="0" w:space="0" w:color="auto"/>
        <w:bottom w:val="none" w:sz="0" w:space="0" w:color="auto"/>
        <w:right w:val="none" w:sz="0" w:space="0" w:color="auto"/>
      </w:divBdr>
    </w:div>
    <w:div w:id="90517959">
      <w:marLeft w:val="640"/>
      <w:marRight w:val="0"/>
      <w:marTop w:val="0"/>
      <w:marBottom w:val="0"/>
      <w:divBdr>
        <w:top w:val="none" w:sz="0" w:space="0" w:color="auto"/>
        <w:left w:val="none" w:sz="0" w:space="0" w:color="auto"/>
        <w:bottom w:val="none" w:sz="0" w:space="0" w:color="auto"/>
        <w:right w:val="none" w:sz="0" w:space="0" w:color="auto"/>
      </w:divBdr>
    </w:div>
    <w:div w:id="102381669">
      <w:marLeft w:val="480"/>
      <w:marRight w:val="0"/>
      <w:marTop w:val="0"/>
      <w:marBottom w:val="0"/>
      <w:divBdr>
        <w:top w:val="none" w:sz="0" w:space="0" w:color="auto"/>
        <w:left w:val="none" w:sz="0" w:space="0" w:color="auto"/>
        <w:bottom w:val="none" w:sz="0" w:space="0" w:color="auto"/>
        <w:right w:val="none" w:sz="0" w:space="0" w:color="auto"/>
      </w:divBdr>
    </w:div>
    <w:div w:id="103960468">
      <w:marLeft w:val="480"/>
      <w:marRight w:val="0"/>
      <w:marTop w:val="0"/>
      <w:marBottom w:val="0"/>
      <w:divBdr>
        <w:top w:val="none" w:sz="0" w:space="0" w:color="auto"/>
        <w:left w:val="none" w:sz="0" w:space="0" w:color="auto"/>
        <w:bottom w:val="none" w:sz="0" w:space="0" w:color="auto"/>
        <w:right w:val="none" w:sz="0" w:space="0" w:color="auto"/>
      </w:divBdr>
    </w:div>
    <w:div w:id="106704054">
      <w:marLeft w:val="640"/>
      <w:marRight w:val="0"/>
      <w:marTop w:val="0"/>
      <w:marBottom w:val="0"/>
      <w:divBdr>
        <w:top w:val="none" w:sz="0" w:space="0" w:color="auto"/>
        <w:left w:val="none" w:sz="0" w:space="0" w:color="auto"/>
        <w:bottom w:val="none" w:sz="0" w:space="0" w:color="auto"/>
        <w:right w:val="none" w:sz="0" w:space="0" w:color="auto"/>
      </w:divBdr>
    </w:div>
    <w:div w:id="113135677">
      <w:marLeft w:val="480"/>
      <w:marRight w:val="0"/>
      <w:marTop w:val="0"/>
      <w:marBottom w:val="0"/>
      <w:divBdr>
        <w:top w:val="none" w:sz="0" w:space="0" w:color="auto"/>
        <w:left w:val="none" w:sz="0" w:space="0" w:color="auto"/>
        <w:bottom w:val="none" w:sz="0" w:space="0" w:color="auto"/>
        <w:right w:val="none" w:sz="0" w:space="0" w:color="auto"/>
      </w:divBdr>
    </w:div>
    <w:div w:id="116489155">
      <w:marLeft w:val="480"/>
      <w:marRight w:val="0"/>
      <w:marTop w:val="0"/>
      <w:marBottom w:val="0"/>
      <w:divBdr>
        <w:top w:val="none" w:sz="0" w:space="0" w:color="auto"/>
        <w:left w:val="none" w:sz="0" w:space="0" w:color="auto"/>
        <w:bottom w:val="none" w:sz="0" w:space="0" w:color="auto"/>
        <w:right w:val="none" w:sz="0" w:space="0" w:color="auto"/>
      </w:divBdr>
    </w:div>
    <w:div w:id="120418248">
      <w:marLeft w:val="480"/>
      <w:marRight w:val="0"/>
      <w:marTop w:val="0"/>
      <w:marBottom w:val="0"/>
      <w:divBdr>
        <w:top w:val="none" w:sz="0" w:space="0" w:color="auto"/>
        <w:left w:val="none" w:sz="0" w:space="0" w:color="auto"/>
        <w:bottom w:val="none" w:sz="0" w:space="0" w:color="auto"/>
        <w:right w:val="none" w:sz="0" w:space="0" w:color="auto"/>
      </w:divBdr>
    </w:div>
    <w:div w:id="133062729">
      <w:marLeft w:val="480"/>
      <w:marRight w:val="0"/>
      <w:marTop w:val="0"/>
      <w:marBottom w:val="0"/>
      <w:divBdr>
        <w:top w:val="none" w:sz="0" w:space="0" w:color="auto"/>
        <w:left w:val="none" w:sz="0" w:space="0" w:color="auto"/>
        <w:bottom w:val="none" w:sz="0" w:space="0" w:color="auto"/>
        <w:right w:val="none" w:sz="0" w:space="0" w:color="auto"/>
      </w:divBdr>
    </w:div>
    <w:div w:id="139153167">
      <w:marLeft w:val="640"/>
      <w:marRight w:val="0"/>
      <w:marTop w:val="0"/>
      <w:marBottom w:val="0"/>
      <w:divBdr>
        <w:top w:val="none" w:sz="0" w:space="0" w:color="auto"/>
        <w:left w:val="none" w:sz="0" w:space="0" w:color="auto"/>
        <w:bottom w:val="none" w:sz="0" w:space="0" w:color="auto"/>
        <w:right w:val="none" w:sz="0" w:space="0" w:color="auto"/>
      </w:divBdr>
    </w:div>
    <w:div w:id="148833036">
      <w:marLeft w:val="640"/>
      <w:marRight w:val="0"/>
      <w:marTop w:val="0"/>
      <w:marBottom w:val="0"/>
      <w:divBdr>
        <w:top w:val="none" w:sz="0" w:space="0" w:color="auto"/>
        <w:left w:val="none" w:sz="0" w:space="0" w:color="auto"/>
        <w:bottom w:val="none" w:sz="0" w:space="0" w:color="auto"/>
        <w:right w:val="none" w:sz="0" w:space="0" w:color="auto"/>
      </w:divBdr>
    </w:div>
    <w:div w:id="151532900">
      <w:marLeft w:val="480"/>
      <w:marRight w:val="0"/>
      <w:marTop w:val="0"/>
      <w:marBottom w:val="0"/>
      <w:divBdr>
        <w:top w:val="none" w:sz="0" w:space="0" w:color="auto"/>
        <w:left w:val="none" w:sz="0" w:space="0" w:color="auto"/>
        <w:bottom w:val="none" w:sz="0" w:space="0" w:color="auto"/>
        <w:right w:val="none" w:sz="0" w:space="0" w:color="auto"/>
      </w:divBdr>
    </w:div>
    <w:div w:id="154614626">
      <w:marLeft w:val="480"/>
      <w:marRight w:val="0"/>
      <w:marTop w:val="0"/>
      <w:marBottom w:val="0"/>
      <w:divBdr>
        <w:top w:val="none" w:sz="0" w:space="0" w:color="auto"/>
        <w:left w:val="none" w:sz="0" w:space="0" w:color="auto"/>
        <w:bottom w:val="none" w:sz="0" w:space="0" w:color="auto"/>
        <w:right w:val="none" w:sz="0" w:space="0" w:color="auto"/>
      </w:divBdr>
    </w:div>
    <w:div w:id="158085327">
      <w:marLeft w:val="640"/>
      <w:marRight w:val="0"/>
      <w:marTop w:val="0"/>
      <w:marBottom w:val="0"/>
      <w:divBdr>
        <w:top w:val="none" w:sz="0" w:space="0" w:color="auto"/>
        <w:left w:val="none" w:sz="0" w:space="0" w:color="auto"/>
        <w:bottom w:val="none" w:sz="0" w:space="0" w:color="auto"/>
        <w:right w:val="none" w:sz="0" w:space="0" w:color="auto"/>
      </w:divBdr>
    </w:div>
    <w:div w:id="160319815">
      <w:marLeft w:val="640"/>
      <w:marRight w:val="0"/>
      <w:marTop w:val="0"/>
      <w:marBottom w:val="0"/>
      <w:divBdr>
        <w:top w:val="none" w:sz="0" w:space="0" w:color="auto"/>
        <w:left w:val="none" w:sz="0" w:space="0" w:color="auto"/>
        <w:bottom w:val="none" w:sz="0" w:space="0" w:color="auto"/>
        <w:right w:val="none" w:sz="0" w:space="0" w:color="auto"/>
      </w:divBdr>
    </w:div>
    <w:div w:id="162595231">
      <w:marLeft w:val="480"/>
      <w:marRight w:val="0"/>
      <w:marTop w:val="0"/>
      <w:marBottom w:val="0"/>
      <w:divBdr>
        <w:top w:val="none" w:sz="0" w:space="0" w:color="auto"/>
        <w:left w:val="none" w:sz="0" w:space="0" w:color="auto"/>
        <w:bottom w:val="none" w:sz="0" w:space="0" w:color="auto"/>
        <w:right w:val="none" w:sz="0" w:space="0" w:color="auto"/>
      </w:divBdr>
    </w:div>
    <w:div w:id="162939036">
      <w:marLeft w:val="480"/>
      <w:marRight w:val="0"/>
      <w:marTop w:val="0"/>
      <w:marBottom w:val="0"/>
      <w:divBdr>
        <w:top w:val="none" w:sz="0" w:space="0" w:color="auto"/>
        <w:left w:val="none" w:sz="0" w:space="0" w:color="auto"/>
        <w:bottom w:val="none" w:sz="0" w:space="0" w:color="auto"/>
        <w:right w:val="none" w:sz="0" w:space="0" w:color="auto"/>
      </w:divBdr>
    </w:div>
    <w:div w:id="166095797">
      <w:marLeft w:val="640"/>
      <w:marRight w:val="0"/>
      <w:marTop w:val="0"/>
      <w:marBottom w:val="0"/>
      <w:divBdr>
        <w:top w:val="none" w:sz="0" w:space="0" w:color="auto"/>
        <w:left w:val="none" w:sz="0" w:space="0" w:color="auto"/>
        <w:bottom w:val="none" w:sz="0" w:space="0" w:color="auto"/>
        <w:right w:val="none" w:sz="0" w:space="0" w:color="auto"/>
      </w:divBdr>
    </w:div>
    <w:div w:id="166097724">
      <w:marLeft w:val="480"/>
      <w:marRight w:val="0"/>
      <w:marTop w:val="0"/>
      <w:marBottom w:val="0"/>
      <w:divBdr>
        <w:top w:val="none" w:sz="0" w:space="0" w:color="auto"/>
        <w:left w:val="none" w:sz="0" w:space="0" w:color="auto"/>
        <w:bottom w:val="none" w:sz="0" w:space="0" w:color="auto"/>
        <w:right w:val="none" w:sz="0" w:space="0" w:color="auto"/>
      </w:divBdr>
    </w:div>
    <w:div w:id="170025628">
      <w:marLeft w:val="480"/>
      <w:marRight w:val="0"/>
      <w:marTop w:val="0"/>
      <w:marBottom w:val="0"/>
      <w:divBdr>
        <w:top w:val="none" w:sz="0" w:space="0" w:color="auto"/>
        <w:left w:val="none" w:sz="0" w:space="0" w:color="auto"/>
        <w:bottom w:val="none" w:sz="0" w:space="0" w:color="auto"/>
        <w:right w:val="none" w:sz="0" w:space="0" w:color="auto"/>
      </w:divBdr>
    </w:div>
    <w:div w:id="186717862">
      <w:marLeft w:val="640"/>
      <w:marRight w:val="0"/>
      <w:marTop w:val="0"/>
      <w:marBottom w:val="0"/>
      <w:divBdr>
        <w:top w:val="none" w:sz="0" w:space="0" w:color="auto"/>
        <w:left w:val="none" w:sz="0" w:space="0" w:color="auto"/>
        <w:bottom w:val="none" w:sz="0" w:space="0" w:color="auto"/>
        <w:right w:val="none" w:sz="0" w:space="0" w:color="auto"/>
      </w:divBdr>
    </w:div>
    <w:div w:id="193351692">
      <w:marLeft w:val="640"/>
      <w:marRight w:val="0"/>
      <w:marTop w:val="0"/>
      <w:marBottom w:val="0"/>
      <w:divBdr>
        <w:top w:val="none" w:sz="0" w:space="0" w:color="auto"/>
        <w:left w:val="none" w:sz="0" w:space="0" w:color="auto"/>
        <w:bottom w:val="none" w:sz="0" w:space="0" w:color="auto"/>
        <w:right w:val="none" w:sz="0" w:space="0" w:color="auto"/>
      </w:divBdr>
    </w:div>
    <w:div w:id="193428775">
      <w:marLeft w:val="640"/>
      <w:marRight w:val="0"/>
      <w:marTop w:val="0"/>
      <w:marBottom w:val="0"/>
      <w:divBdr>
        <w:top w:val="none" w:sz="0" w:space="0" w:color="auto"/>
        <w:left w:val="none" w:sz="0" w:space="0" w:color="auto"/>
        <w:bottom w:val="none" w:sz="0" w:space="0" w:color="auto"/>
        <w:right w:val="none" w:sz="0" w:space="0" w:color="auto"/>
      </w:divBdr>
    </w:div>
    <w:div w:id="197861480">
      <w:marLeft w:val="640"/>
      <w:marRight w:val="0"/>
      <w:marTop w:val="0"/>
      <w:marBottom w:val="0"/>
      <w:divBdr>
        <w:top w:val="none" w:sz="0" w:space="0" w:color="auto"/>
        <w:left w:val="none" w:sz="0" w:space="0" w:color="auto"/>
        <w:bottom w:val="none" w:sz="0" w:space="0" w:color="auto"/>
        <w:right w:val="none" w:sz="0" w:space="0" w:color="auto"/>
      </w:divBdr>
    </w:div>
    <w:div w:id="203061910">
      <w:marLeft w:val="480"/>
      <w:marRight w:val="0"/>
      <w:marTop w:val="0"/>
      <w:marBottom w:val="0"/>
      <w:divBdr>
        <w:top w:val="none" w:sz="0" w:space="0" w:color="auto"/>
        <w:left w:val="none" w:sz="0" w:space="0" w:color="auto"/>
        <w:bottom w:val="none" w:sz="0" w:space="0" w:color="auto"/>
        <w:right w:val="none" w:sz="0" w:space="0" w:color="auto"/>
      </w:divBdr>
    </w:div>
    <w:div w:id="207379562">
      <w:marLeft w:val="640"/>
      <w:marRight w:val="0"/>
      <w:marTop w:val="0"/>
      <w:marBottom w:val="0"/>
      <w:divBdr>
        <w:top w:val="none" w:sz="0" w:space="0" w:color="auto"/>
        <w:left w:val="none" w:sz="0" w:space="0" w:color="auto"/>
        <w:bottom w:val="none" w:sz="0" w:space="0" w:color="auto"/>
        <w:right w:val="none" w:sz="0" w:space="0" w:color="auto"/>
      </w:divBdr>
    </w:div>
    <w:div w:id="212039982">
      <w:marLeft w:val="640"/>
      <w:marRight w:val="0"/>
      <w:marTop w:val="0"/>
      <w:marBottom w:val="0"/>
      <w:divBdr>
        <w:top w:val="none" w:sz="0" w:space="0" w:color="auto"/>
        <w:left w:val="none" w:sz="0" w:space="0" w:color="auto"/>
        <w:bottom w:val="none" w:sz="0" w:space="0" w:color="auto"/>
        <w:right w:val="none" w:sz="0" w:space="0" w:color="auto"/>
      </w:divBdr>
    </w:div>
    <w:div w:id="213548719">
      <w:marLeft w:val="480"/>
      <w:marRight w:val="0"/>
      <w:marTop w:val="0"/>
      <w:marBottom w:val="0"/>
      <w:divBdr>
        <w:top w:val="none" w:sz="0" w:space="0" w:color="auto"/>
        <w:left w:val="none" w:sz="0" w:space="0" w:color="auto"/>
        <w:bottom w:val="none" w:sz="0" w:space="0" w:color="auto"/>
        <w:right w:val="none" w:sz="0" w:space="0" w:color="auto"/>
      </w:divBdr>
    </w:div>
    <w:div w:id="219286232">
      <w:marLeft w:val="640"/>
      <w:marRight w:val="0"/>
      <w:marTop w:val="0"/>
      <w:marBottom w:val="0"/>
      <w:divBdr>
        <w:top w:val="none" w:sz="0" w:space="0" w:color="auto"/>
        <w:left w:val="none" w:sz="0" w:space="0" w:color="auto"/>
        <w:bottom w:val="none" w:sz="0" w:space="0" w:color="auto"/>
        <w:right w:val="none" w:sz="0" w:space="0" w:color="auto"/>
      </w:divBdr>
    </w:div>
    <w:div w:id="219757861">
      <w:marLeft w:val="640"/>
      <w:marRight w:val="0"/>
      <w:marTop w:val="0"/>
      <w:marBottom w:val="0"/>
      <w:divBdr>
        <w:top w:val="none" w:sz="0" w:space="0" w:color="auto"/>
        <w:left w:val="none" w:sz="0" w:space="0" w:color="auto"/>
        <w:bottom w:val="none" w:sz="0" w:space="0" w:color="auto"/>
        <w:right w:val="none" w:sz="0" w:space="0" w:color="auto"/>
      </w:divBdr>
    </w:div>
    <w:div w:id="231163469">
      <w:marLeft w:val="480"/>
      <w:marRight w:val="0"/>
      <w:marTop w:val="0"/>
      <w:marBottom w:val="0"/>
      <w:divBdr>
        <w:top w:val="none" w:sz="0" w:space="0" w:color="auto"/>
        <w:left w:val="none" w:sz="0" w:space="0" w:color="auto"/>
        <w:bottom w:val="none" w:sz="0" w:space="0" w:color="auto"/>
        <w:right w:val="none" w:sz="0" w:space="0" w:color="auto"/>
      </w:divBdr>
    </w:div>
    <w:div w:id="233316628">
      <w:marLeft w:val="480"/>
      <w:marRight w:val="0"/>
      <w:marTop w:val="0"/>
      <w:marBottom w:val="0"/>
      <w:divBdr>
        <w:top w:val="none" w:sz="0" w:space="0" w:color="auto"/>
        <w:left w:val="none" w:sz="0" w:space="0" w:color="auto"/>
        <w:bottom w:val="none" w:sz="0" w:space="0" w:color="auto"/>
        <w:right w:val="none" w:sz="0" w:space="0" w:color="auto"/>
      </w:divBdr>
    </w:div>
    <w:div w:id="234095676">
      <w:marLeft w:val="640"/>
      <w:marRight w:val="0"/>
      <w:marTop w:val="0"/>
      <w:marBottom w:val="0"/>
      <w:divBdr>
        <w:top w:val="none" w:sz="0" w:space="0" w:color="auto"/>
        <w:left w:val="none" w:sz="0" w:space="0" w:color="auto"/>
        <w:bottom w:val="none" w:sz="0" w:space="0" w:color="auto"/>
        <w:right w:val="none" w:sz="0" w:space="0" w:color="auto"/>
      </w:divBdr>
    </w:div>
    <w:div w:id="236013972">
      <w:marLeft w:val="480"/>
      <w:marRight w:val="0"/>
      <w:marTop w:val="0"/>
      <w:marBottom w:val="0"/>
      <w:divBdr>
        <w:top w:val="none" w:sz="0" w:space="0" w:color="auto"/>
        <w:left w:val="none" w:sz="0" w:space="0" w:color="auto"/>
        <w:bottom w:val="none" w:sz="0" w:space="0" w:color="auto"/>
        <w:right w:val="none" w:sz="0" w:space="0" w:color="auto"/>
      </w:divBdr>
    </w:div>
    <w:div w:id="236133065">
      <w:marLeft w:val="480"/>
      <w:marRight w:val="0"/>
      <w:marTop w:val="0"/>
      <w:marBottom w:val="0"/>
      <w:divBdr>
        <w:top w:val="none" w:sz="0" w:space="0" w:color="auto"/>
        <w:left w:val="none" w:sz="0" w:space="0" w:color="auto"/>
        <w:bottom w:val="none" w:sz="0" w:space="0" w:color="auto"/>
        <w:right w:val="none" w:sz="0" w:space="0" w:color="auto"/>
      </w:divBdr>
    </w:div>
    <w:div w:id="237713667">
      <w:marLeft w:val="640"/>
      <w:marRight w:val="0"/>
      <w:marTop w:val="0"/>
      <w:marBottom w:val="0"/>
      <w:divBdr>
        <w:top w:val="none" w:sz="0" w:space="0" w:color="auto"/>
        <w:left w:val="none" w:sz="0" w:space="0" w:color="auto"/>
        <w:bottom w:val="none" w:sz="0" w:space="0" w:color="auto"/>
        <w:right w:val="none" w:sz="0" w:space="0" w:color="auto"/>
      </w:divBdr>
    </w:div>
    <w:div w:id="254830191">
      <w:marLeft w:val="480"/>
      <w:marRight w:val="0"/>
      <w:marTop w:val="0"/>
      <w:marBottom w:val="0"/>
      <w:divBdr>
        <w:top w:val="none" w:sz="0" w:space="0" w:color="auto"/>
        <w:left w:val="none" w:sz="0" w:space="0" w:color="auto"/>
        <w:bottom w:val="none" w:sz="0" w:space="0" w:color="auto"/>
        <w:right w:val="none" w:sz="0" w:space="0" w:color="auto"/>
      </w:divBdr>
    </w:div>
    <w:div w:id="256058337">
      <w:marLeft w:val="640"/>
      <w:marRight w:val="0"/>
      <w:marTop w:val="0"/>
      <w:marBottom w:val="0"/>
      <w:divBdr>
        <w:top w:val="none" w:sz="0" w:space="0" w:color="auto"/>
        <w:left w:val="none" w:sz="0" w:space="0" w:color="auto"/>
        <w:bottom w:val="none" w:sz="0" w:space="0" w:color="auto"/>
        <w:right w:val="none" w:sz="0" w:space="0" w:color="auto"/>
      </w:divBdr>
    </w:div>
    <w:div w:id="258221635">
      <w:marLeft w:val="640"/>
      <w:marRight w:val="0"/>
      <w:marTop w:val="0"/>
      <w:marBottom w:val="0"/>
      <w:divBdr>
        <w:top w:val="none" w:sz="0" w:space="0" w:color="auto"/>
        <w:left w:val="none" w:sz="0" w:space="0" w:color="auto"/>
        <w:bottom w:val="none" w:sz="0" w:space="0" w:color="auto"/>
        <w:right w:val="none" w:sz="0" w:space="0" w:color="auto"/>
      </w:divBdr>
    </w:div>
    <w:div w:id="260377795">
      <w:marLeft w:val="640"/>
      <w:marRight w:val="0"/>
      <w:marTop w:val="0"/>
      <w:marBottom w:val="0"/>
      <w:divBdr>
        <w:top w:val="none" w:sz="0" w:space="0" w:color="auto"/>
        <w:left w:val="none" w:sz="0" w:space="0" w:color="auto"/>
        <w:bottom w:val="none" w:sz="0" w:space="0" w:color="auto"/>
        <w:right w:val="none" w:sz="0" w:space="0" w:color="auto"/>
      </w:divBdr>
    </w:div>
    <w:div w:id="263273776">
      <w:marLeft w:val="640"/>
      <w:marRight w:val="0"/>
      <w:marTop w:val="0"/>
      <w:marBottom w:val="0"/>
      <w:divBdr>
        <w:top w:val="none" w:sz="0" w:space="0" w:color="auto"/>
        <w:left w:val="none" w:sz="0" w:space="0" w:color="auto"/>
        <w:bottom w:val="none" w:sz="0" w:space="0" w:color="auto"/>
        <w:right w:val="none" w:sz="0" w:space="0" w:color="auto"/>
      </w:divBdr>
    </w:div>
    <w:div w:id="266281180">
      <w:marLeft w:val="480"/>
      <w:marRight w:val="0"/>
      <w:marTop w:val="0"/>
      <w:marBottom w:val="0"/>
      <w:divBdr>
        <w:top w:val="none" w:sz="0" w:space="0" w:color="auto"/>
        <w:left w:val="none" w:sz="0" w:space="0" w:color="auto"/>
        <w:bottom w:val="none" w:sz="0" w:space="0" w:color="auto"/>
        <w:right w:val="none" w:sz="0" w:space="0" w:color="auto"/>
      </w:divBdr>
    </w:div>
    <w:div w:id="277641580">
      <w:marLeft w:val="480"/>
      <w:marRight w:val="0"/>
      <w:marTop w:val="0"/>
      <w:marBottom w:val="0"/>
      <w:divBdr>
        <w:top w:val="none" w:sz="0" w:space="0" w:color="auto"/>
        <w:left w:val="none" w:sz="0" w:space="0" w:color="auto"/>
        <w:bottom w:val="none" w:sz="0" w:space="0" w:color="auto"/>
        <w:right w:val="none" w:sz="0" w:space="0" w:color="auto"/>
      </w:divBdr>
    </w:div>
    <w:div w:id="279150037">
      <w:marLeft w:val="480"/>
      <w:marRight w:val="0"/>
      <w:marTop w:val="0"/>
      <w:marBottom w:val="0"/>
      <w:divBdr>
        <w:top w:val="none" w:sz="0" w:space="0" w:color="auto"/>
        <w:left w:val="none" w:sz="0" w:space="0" w:color="auto"/>
        <w:bottom w:val="none" w:sz="0" w:space="0" w:color="auto"/>
        <w:right w:val="none" w:sz="0" w:space="0" w:color="auto"/>
      </w:divBdr>
    </w:div>
    <w:div w:id="279992221">
      <w:marLeft w:val="480"/>
      <w:marRight w:val="0"/>
      <w:marTop w:val="0"/>
      <w:marBottom w:val="0"/>
      <w:divBdr>
        <w:top w:val="none" w:sz="0" w:space="0" w:color="auto"/>
        <w:left w:val="none" w:sz="0" w:space="0" w:color="auto"/>
        <w:bottom w:val="none" w:sz="0" w:space="0" w:color="auto"/>
        <w:right w:val="none" w:sz="0" w:space="0" w:color="auto"/>
      </w:divBdr>
    </w:div>
    <w:div w:id="280458979">
      <w:marLeft w:val="640"/>
      <w:marRight w:val="0"/>
      <w:marTop w:val="0"/>
      <w:marBottom w:val="0"/>
      <w:divBdr>
        <w:top w:val="none" w:sz="0" w:space="0" w:color="auto"/>
        <w:left w:val="none" w:sz="0" w:space="0" w:color="auto"/>
        <w:bottom w:val="none" w:sz="0" w:space="0" w:color="auto"/>
        <w:right w:val="none" w:sz="0" w:space="0" w:color="auto"/>
      </w:divBdr>
    </w:div>
    <w:div w:id="280959395">
      <w:marLeft w:val="640"/>
      <w:marRight w:val="0"/>
      <w:marTop w:val="0"/>
      <w:marBottom w:val="0"/>
      <w:divBdr>
        <w:top w:val="none" w:sz="0" w:space="0" w:color="auto"/>
        <w:left w:val="none" w:sz="0" w:space="0" w:color="auto"/>
        <w:bottom w:val="none" w:sz="0" w:space="0" w:color="auto"/>
        <w:right w:val="none" w:sz="0" w:space="0" w:color="auto"/>
      </w:divBdr>
    </w:div>
    <w:div w:id="286668139">
      <w:marLeft w:val="640"/>
      <w:marRight w:val="0"/>
      <w:marTop w:val="0"/>
      <w:marBottom w:val="0"/>
      <w:divBdr>
        <w:top w:val="none" w:sz="0" w:space="0" w:color="auto"/>
        <w:left w:val="none" w:sz="0" w:space="0" w:color="auto"/>
        <w:bottom w:val="none" w:sz="0" w:space="0" w:color="auto"/>
        <w:right w:val="none" w:sz="0" w:space="0" w:color="auto"/>
      </w:divBdr>
    </w:div>
    <w:div w:id="287393975">
      <w:marLeft w:val="480"/>
      <w:marRight w:val="0"/>
      <w:marTop w:val="0"/>
      <w:marBottom w:val="0"/>
      <w:divBdr>
        <w:top w:val="none" w:sz="0" w:space="0" w:color="auto"/>
        <w:left w:val="none" w:sz="0" w:space="0" w:color="auto"/>
        <w:bottom w:val="none" w:sz="0" w:space="0" w:color="auto"/>
        <w:right w:val="none" w:sz="0" w:space="0" w:color="auto"/>
      </w:divBdr>
    </w:div>
    <w:div w:id="298800997">
      <w:marLeft w:val="640"/>
      <w:marRight w:val="0"/>
      <w:marTop w:val="0"/>
      <w:marBottom w:val="0"/>
      <w:divBdr>
        <w:top w:val="none" w:sz="0" w:space="0" w:color="auto"/>
        <w:left w:val="none" w:sz="0" w:space="0" w:color="auto"/>
        <w:bottom w:val="none" w:sz="0" w:space="0" w:color="auto"/>
        <w:right w:val="none" w:sz="0" w:space="0" w:color="auto"/>
      </w:divBdr>
    </w:div>
    <w:div w:id="302153676">
      <w:marLeft w:val="480"/>
      <w:marRight w:val="0"/>
      <w:marTop w:val="0"/>
      <w:marBottom w:val="0"/>
      <w:divBdr>
        <w:top w:val="none" w:sz="0" w:space="0" w:color="auto"/>
        <w:left w:val="none" w:sz="0" w:space="0" w:color="auto"/>
        <w:bottom w:val="none" w:sz="0" w:space="0" w:color="auto"/>
        <w:right w:val="none" w:sz="0" w:space="0" w:color="auto"/>
      </w:divBdr>
    </w:div>
    <w:div w:id="303584804">
      <w:marLeft w:val="480"/>
      <w:marRight w:val="0"/>
      <w:marTop w:val="0"/>
      <w:marBottom w:val="0"/>
      <w:divBdr>
        <w:top w:val="none" w:sz="0" w:space="0" w:color="auto"/>
        <w:left w:val="none" w:sz="0" w:space="0" w:color="auto"/>
        <w:bottom w:val="none" w:sz="0" w:space="0" w:color="auto"/>
        <w:right w:val="none" w:sz="0" w:space="0" w:color="auto"/>
      </w:divBdr>
    </w:div>
    <w:div w:id="308487067">
      <w:marLeft w:val="480"/>
      <w:marRight w:val="0"/>
      <w:marTop w:val="0"/>
      <w:marBottom w:val="0"/>
      <w:divBdr>
        <w:top w:val="none" w:sz="0" w:space="0" w:color="auto"/>
        <w:left w:val="none" w:sz="0" w:space="0" w:color="auto"/>
        <w:bottom w:val="none" w:sz="0" w:space="0" w:color="auto"/>
        <w:right w:val="none" w:sz="0" w:space="0" w:color="auto"/>
      </w:divBdr>
    </w:div>
    <w:div w:id="310645001">
      <w:marLeft w:val="480"/>
      <w:marRight w:val="0"/>
      <w:marTop w:val="0"/>
      <w:marBottom w:val="0"/>
      <w:divBdr>
        <w:top w:val="none" w:sz="0" w:space="0" w:color="auto"/>
        <w:left w:val="none" w:sz="0" w:space="0" w:color="auto"/>
        <w:bottom w:val="none" w:sz="0" w:space="0" w:color="auto"/>
        <w:right w:val="none" w:sz="0" w:space="0" w:color="auto"/>
      </w:divBdr>
    </w:div>
    <w:div w:id="310720346">
      <w:marLeft w:val="640"/>
      <w:marRight w:val="0"/>
      <w:marTop w:val="0"/>
      <w:marBottom w:val="0"/>
      <w:divBdr>
        <w:top w:val="none" w:sz="0" w:space="0" w:color="auto"/>
        <w:left w:val="none" w:sz="0" w:space="0" w:color="auto"/>
        <w:bottom w:val="none" w:sz="0" w:space="0" w:color="auto"/>
        <w:right w:val="none" w:sz="0" w:space="0" w:color="auto"/>
      </w:divBdr>
    </w:div>
    <w:div w:id="312638532">
      <w:marLeft w:val="640"/>
      <w:marRight w:val="0"/>
      <w:marTop w:val="0"/>
      <w:marBottom w:val="0"/>
      <w:divBdr>
        <w:top w:val="none" w:sz="0" w:space="0" w:color="auto"/>
        <w:left w:val="none" w:sz="0" w:space="0" w:color="auto"/>
        <w:bottom w:val="none" w:sz="0" w:space="0" w:color="auto"/>
        <w:right w:val="none" w:sz="0" w:space="0" w:color="auto"/>
      </w:divBdr>
    </w:div>
    <w:div w:id="317153601">
      <w:marLeft w:val="640"/>
      <w:marRight w:val="0"/>
      <w:marTop w:val="0"/>
      <w:marBottom w:val="0"/>
      <w:divBdr>
        <w:top w:val="none" w:sz="0" w:space="0" w:color="auto"/>
        <w:left w:val="none" w:sz="0" w:space="0" w:color="auto"/>
        <w:bottom w:val="none" w:sz="0" w:space="0" w:color="auto"/>
        <w:right w:val="none" w:sz="0" w:space="0" w:color="auto"/>
      </w:divBdr>
    </w:div>
    <w:div w:id="334387187">
      <w:marLeft w:val="640"/>
      <w:marRight w:val="0"/>
      <w:marTop w:val="0"/>
      <w:marBottom w:val="0"/>
      <w:divBdr>
        <w:top w:val="none" w:sz="0" w:space="0" w:color="auto"/>
        <w:left w:val="none" w:sz="0" w:space="0" w:color="auto"/>
        <w:bottom w:val="none" w:sz="0" w:space="0" w:color="auto"/>
        <w:right w:val="none" w:sz="0" w:space="0" w:color="auto"/>
      </w:divBdr>
    </w:div>
    <w:div w:id="337581938">
      <w:marLeft w:val="480"/>
      <w:marRight w:val="0"/>
      <w:marTop w:val="0"/>
      <w:marBottom w:val="0"/>
      <w:divBdr>
        <w:top w:val="none" w:sz="0" w:space="0" w:color="auto"/>
        <w:left w:val="none" w:sz="0" w:space="0" w:color="auto"/>
        <w:bottom w:val="none" w:sz="0" w:space="0" w:color="auto"/>
        <w:right w:val="none" w:sz="0" w:space="0" w:color="auto"/>
      </w:divBdr>
    </w:div>
    <w:div w:id="338700481">
      <w:marLeft w:val="480"/>
      <w:marRight w:val="0"/>
      <w:marTop w:val="0"/>
      <w:marBottom w:val="0"/>
      <w:divBdr>
        <w:top w:val="none" w:sz="0" w:space="0" w:color="auto"/>
        <w:left w:val="none" w:sz="0" w:space="0" w:color="auto"/>
        <w:bottom w:val="none" w:sz="0" w:space="0" w:color="auto"/>
        <w:right w:val="none" w:sz="0" w:space="0" w:color="auto"/>
      </w:divBdr>
    </w:div>
    <w:div w:id="339356228">
      <w:marLeft w:val="480"/>
      <w:marRight w:val="0"/>
      <w:marTop w:val="0"/>
      <w:marBottom w:val="0"/>
      <w:divBdr>
        <w:top w:val="none" w:sz="0" w:space="0" w:color="auto"/>
        <w:left w:val="none" w:sz="0" w:space="0" w:color="auto"/>
        <w:bottom w:val="none" w:sz="0" w:space="0" w:color="auto"/>
        <w:right w:val="none" w:sz="0" w:space="0" w:color="auto"/>
      </w:divBdr>
    </w:div>
    <w:div w:id="345251538">
      <w:marLeft w:val="480"/>
      <w:marRight w:val="0"/>
      <w:marTop w:val="0"/>
      <w:marBottom w:val="0"/>
      <w:divBdr>
        <w:top w:val="none" w:sz="0" w:space="0" w:color="auto"/>
        <w:left w:val="none" w:sz="0" w:space="0" w:color="auto"/>
        <w:bottom w:val="none" w:sz="0" w:space="0" w:color="auto"/>
        <w:right w:val="none" w:sz="0" w:space="0" w:color="auto"/>
      </w:divBdr>
    </w:div>
    <w:div w:id="346491004">
      <w:marLeft w:val="480"/>
      <w:marRight w:val="0"/>
      <w:marTop w:val="0"/>
      <w:marBottom w:val="0"/>
      <w:divBdr>
        <w:top w:val="none" w:sz="0" w:space="0" w:color="auto"/>
        <w:left w:val="none" w:sz="0" w:space="0" w:color="auto"/>
        <w:bottom w:val="none" w:sz="0" w:space="0" w:color="auto"/>
        <w:right w:val="none" w:sz="0" w:space="0" w:color="auto"/>
      </w:divBdr>
    </w:div>
    <w:div w:id="346761599">
      <w:marLeft w:val="640"/>
      <w:marRight w:val="0"/>
      <w:marTop w:val="0"/>
      <w:marBottom w:val="0"/>
      <w:divBdr>
        <w:top w:val="none" w:sz="0" w:space="0" w:color="auto"/>
        <w:left w:val="none" w:sz="0" w:space="0" w:color="auto"/>
        <w:bottom w:val="none" w:sz="0" w:space="0" w:color="auto"/>
        <w:right w:val="none" w:sz="0" w:space="0" w:color="auto"/>
      </w:divBdr>
    </w:div>
    <w:div w:id="348259133">
      <w:marLeft w:val="480"/>
      <w:marRight w:val="0"/>
      <w:marTop w:val="0"/>
      <w:marBottom w:val="0"/>
      <w:divBdr>
        <w:top w:val="none" w:sz="0" w:space="0" w:color="auto"/>
        <w:left w:val="none" w:sz="0" w:space="0" w:color="auto"/>
        <w:bottom w:val="none" w:sz="0" w:space="0" w:color="auto"/>
        <w:right w:val="none" w:sz="0" w:space="0" w:color="auto"/>
      </w:divBdr>
    </w:div>
    <w:div w:id="350490813">
      <w:marLeft w:val="480"/>
      <w:marRight w:val="0"/>
      <w:marTop w:val="0"/>
      <w:marBottom w:val="0"/>
      <w:divBdr>
        <w:top w:val="none" w:sz="0" w:space="0" w:color="auto"/>
        <w:left w:val="none" w:sz="0" w:space="0" w:color="auto"/>
        <w:bottom w:val="none" w:sz="0" w:space="0" w:color="auto"/>
        <w:right w:val="none" w:sz="0" w:space="0" w:color="auto"/>
      </w:divBdr>
    </w:div>
    <w:div w:id="355278423">
      <w:marLeft w:val="480"/>
      <w:marRight w:val="0"/>
      <w:marTop w:val="0"/>
      <w:marBottom w:val="0"/>
      <w:divBdr>
        <w:top w:val="none" w:sz="0" w:space="0" w:color="auto"/>
        <w:left w:val="none" w:sz="0" w:space="0" w:color="auto"/>
        <w:bottom w:val="none" w:sz="0" w:space="0" w:color="auto"/>
        <w:right w:val="none" w:sz="0" w:space="0" w:color="auto"/>
      </w:divBdr>
    </w:div>
    <w:div w:id="356809667">
      <w:marLeft w:val="640"/>
      <w:marRight w:val="0"/>
      <w:marTop w:val="0"/>
      <w:marBottom w:val="0"/>
      <w:divBdr>
        <w:top w:val="none" w:sz="0" w:space="0" w:color="auto"/>
        <w:left w:val="none" w:sz="0" w:space="0" w:color="auto"/>
        <w:bottom w:val="none" w:sz="0" w:space="0" w:color="auto"/>
        <w:right w:val="none" w:sz="0" w:space="0" w:color="auto"/>
      </w:divBdr>
    </w:div>
    <w:div w:id="359865416">
      <w:marLeft w:val="640"/>
      <w:marRight w:val="0"/>
      <w:marTop w:val="0"/>
      <w:marBottom w:val="0"/>
      <w:divBdr>
        <w:top w:val="none" w:sz="0" w:space="0" w:color="auto"/>
        <w:left w:val="none" w:sz="0" w:space="0" w:color="auto"/>
        <w:bottom w:val="none" w:sz="0" w:space="0" w:color="auto"/>
        <w:right w:val="none" w:sz="0" w:space="0" w:color="auto"/>
      </w:divBdr>
    </w:div>
    <w:div w:id="360322136">
      <w:marLeft w:val="480"/>
      <w:marRight w:val="0"/>
      <w:marTop w:val="0"/>
      <w:marBottom w:val="0"/>
      <w:divBdr>
        <w:top w:val="none" w:sz="0" w:space="0" w:color="auto"/>
        <w:left w:val="none" w:sz="0" w:space="0" w:color="auto"/>
        <w:bottom w:val="none" w:sz="0" w:space="0" w:color="auto"/>
        <w:right w:val="none" w:sz="0" w:space="0" w:color="auto"/>
      </w:divBdr>
    </w:div>
    <w:div w:id="370957725">
      <w:marLeft w:val="480"/>
      <w:marRight w:val="0"/>
      <w:marTop w:val="0"/>
      <w:marBottom w:val="0"/>
      <w:divBdr>
        <w:top w:val="none" w:sz="0" w:space="0" w:color="auto"/>
        <w:left w:val="none" w:sz="0" w:space="0" w:color="auto"/>
        <w:bottom w:val="none" w:sz="0" w:space="0" w:color="auto"/>
        <w:right w:val="none" w:sz="0" w:space="0" w:color="auto"/>
      </w:divBdr>
    </w:div>
    <w:div w:id="383456978">
      <w:marLeft w:val="480"/>
      <w:marRight w:val="0"/>
      <w:marTop w:val="0"/>
      <w:marBottom w:val="0"/>
      <w:divBdr>
        <w:top w:val="none" w:sz="0" w:space="0" w:color="auto"/>
        <w:left w:val="none" w:sz="0" w:space="0" w:color="auto"/>
        <w:bottom w:val="none" w:sz="0" w:space="0" w:color="auto"/>
        <w:right w:val="none" w:sz="0" w:space="0" w:color="auto"/>
      </w:divBdr>
    </w:div>
    <w:div w:id="384765612">
      <w:marLeft w:val="640"/>
      <w:marRight w:val="0"/>
      <w:marTop w:val="0"/>
      <w:marBottom w:val="0"/>
      <w:divBdr>
        <w:top w:val="none" w:sz="0" w:space="0" w:color="auto"/>
        <w:left w:val="none" w:sz="0" w:space="0" w:color="auto"/>
        <w:bottom w:val="none" w:sz="0" w:space="0" w:color="auto"/>
        <w:right w:val="none" w:sz="0" w:space="0" w:color="auto"/>
      </w:divBdr>
    </w:div>
    <w:div w:id="396126545">
      <w:marLeft w:val="480"/>
      <w:marRight w:val="0"/>
      <w:marTop w:val="0"/>
      <w:marBottom w:val="0"/>
      <w:divBdr>
        <w:top w:val="none" w:sz="0" w:space="0" w:color="auto"/>
        <w:left w:val="none" w:sz="0" w:space="0" w:color="auto"/>
        <w:bottom w:val="none" w:sz="0" w:space="0" w:color="auto"/>
        <w:right w:val="none" w:sz="0" w:space="0" w:color="auto"/>
      </w:divBdr>
    </w:div>
    <w:div w:id="398478314">
      <w:marLeft w:val="640"/>
      <w:marRight w:val="0"/>
      <w:marTop w:val="0"/>
      <w:marBottom w:val="0"/>
      <w:divBdr>
        <w:top w:val="none" w:sz="0" w:space="0" w:color="auto"/>
        <w:left w:val="none" w:sz="0" w:space="0" w:color="auto"/>
        <w:bottom w:val="none" w:sz="0" w:space="0" w:color="auto"/>
        <w:right w:val="none" w:sz="0" w:space="0" w:color="auto"/>
      </w:divBdr>
    </w:div>
    <w:div w:id="401946309">
      <w:marLeft w:val="640"/>
      <w:marRight w:val="0"/>
      <w:marTop w:val="0"/>
      <w:marBottom w:val="0"/>
      <w:divBdr>
        <w:top w:val="none" w:sz="0" w:space="0" w:color="auto"/>
        <w:left w:val="none" w:sz="0" w:space="0" w:color="auto"/>
        <w:bottom w:val="none" w:sz="0" w:space="0" w:color="auto"/>
        <w:right w:val="none" w:sz="0" w:space="0" w:color="auto"/>
      </w:divBdr>
    </w:div>
    <w:div w:id="402794524">
      <w:marLeft w:val="480"/>
      <w:marRight w:val="0"/>
      <w:marTop w:val="0"/>
      <w:marBottom w:val="0"/>
      <w:divBdr>
        <w:top w:val="none" w:sz="0" w:space="0" w:color="auto"/>
        <w:left w:val="none" w:sz="0" w:space="0" w:color="auto"/>
        <w:bottom w:val="none" w:sz="0" w:space="0" w:color="auto"/>
        <w:right w:val="none" w:sz="0" w:space="0" w:color="auto"/>
      </w:divBdr>
    </w:div>
    <w:div w:id="403572106">
      <w:marLeft w:val="480"/>
      <w:marRight w:val="0"/>
      <w:marTop w:val="0"/>
      <w:marBottom w:val="0"/>
      <w:divBdr>
        <w:top w:val="none" w:sz="0" w:space="0" w:color="auto"/>
        <w:left w:val="none" w:sz="0" w:space="0" w:color="auto"/>
        <w:bottom w:val="none" w:sz="0" w:space="0" w:color="auto"/>
        <w:right w:val="none" w:sz="0" w:space="0" w:color="auto"/>
      </w:divBdr>
    </w:div>
    <w:div w:id="410544343">
      <w:marLeft w:val="640"/>
      <w:marRight w:val="0"/>
      <w:marTop w:val="0"/>
      <w:marBottom w:val="0"/>
      <w:divBdr>
        <w:top w:val="none" w:sz="0" w:space="0" w:color="auto"/>
        <w:left w:val="none" w:sz="0" w:space="0" w:color="auto"/>
        <w:bottom w:val="none" w:sz="0" w:space="0" w:color="auto"/>
        <w:right w:val="none" w:sz="0" w:space="0" w:color="auto"/>
      </w:divBdr>
    </w:div>
    <w:div w:id="411245811">
      <w:marLeft w:val="640"/>
      <w:marRight w:val="0"/>
      <w:marTop w:val="0"/>
      <w:marBottom w:val="0"/>
      <w:divBdr>
        <w:top w:val="none" w:sz="0" w:space="0" w:color="auto"/>
        <w:left w:val="none" w:sz="0" w:space="0" w:color="auto"/>
        <w:bottom w:val="none" w:sz="0" w:space="0" w:color="auto"/>
        <w:right w:val="none" w:sz="0" w:space="0" w:color="auto"/>
      </w:divBdr>
    </w:div>
    <w:div w:id="411976822">
      <w:marLeft w:val="640"/>
      <w:marRight w:val="0"/>
      <w:marTop w:val="0"/>
      <w:marBottom w:val="0"/>
      <w:divBdr>
        <w:top w:val="none" w:sz="0" w:space="0" w:color="auto"/>
        <w:left w:val="none" w:sz="0" w:space="0" w:color="auto"/>
        <w:bottom w:val="none" w:sz="0" w:space="0" w:color="auto"/>
        <w:right w:val="none" w:sz="0" w:space="0" w:color="auto"/>
      </w:divBdr>
    </w:div>
    <w:div w:id="412092213">
      <w:marLeft w:val="640"/>
      <w:marRight w:val="0"/>
      <w:marTop w:val="0"/>
      <w:marBottom w:val="0"/>
      <w:divBdr>
        <w:top w:val="none" w:sz="0" w:space="0" w:color="auto"/>
        <w:left w:val="none" w:sz="0" w:space="0" w:color="auto"/>
        <w:bottom w:val="none" w:sz="0" w:space="0" w:color="auto"/>
        <w:right w:val="none" w:sz="0" w:space="0" w:color="auto"/>
      </w:divBdr>
    </w:div>
    <w:div w:id="413011720">
      <w:marLeft w:val="480"/>
      <w:marRight w:val="0"/>
      <w:marTop w:val="0"/>
      <w:marBottom w:val="0"/>
      <w:divBdr>
        <w:top w:val="none" w:sz="0" w:space="0" w:color="auto"/>
        <w:left w:val="none" w:sz="0" w:space="0" w:color="auto"/>
        <w:bottom w:val="none" w:sz="0" w:space="0" w:color="auto"/>
        <w:right w:val="none" w:sz="0" w:space="0" w:color="auto"/>
      </w:divBdr>
    </w:div>
    <w:div w:id="415788053">
      <w:marLeft w:val="640"/>
      <w:marRight w:val="0"/>
      <w:marTop w:val="0"/>
      <w:marBottom w:val="0"/>
      <w:divBdr>
        <w:top w:val="none" w:sz="0" w:space="0" w:color="auto"/>
        <w:left w:val="none" w:sz="0" w:space="0" w:color="auto"/>
        <w:bottom w:val="none" w:sz="0" w:space="0" w:color="auto"/>
        <w:right w:val="none" w:sz="0" w:space="0" w:color="auto"/>
      </w:divBdr>
    </w:div>
    <w:div w:id="421033052">
      <w:marLeft w:val="640"/>
      <w:marRight w:val="0"/>
      <w:marTop w:val="0"/>
      <w:marBottom w:val="0"/>
      <w:divBdr>
        <w:top w:val="none" w:sz="0" w:space="0" w:color="auto"/>
        <w:left w:val="none" w:sz="0" w:space="0" w:color="auto"/>
        <w:bottom w:val="none" w:sz="0" w:space="0" w:color="auto"/>
        <w:right w:val="none" w:sz="0" w:space="0" w:color="auto"/>
      </w:divBdr>
    </w:div>
    <w:div w:id="421950436">
      <w:marLeft w:val="480"/>
      <w:marRight w:val="0"/>
      <w:marTop w:val="0"/>
      <w:marBottom w:val="0"/>
      <w:divBdr>
        <w:top w:val="none" w:sz="0" w:space="0" w:color="auto"/>
        <w:left w:val="none" w:sz="0" w:space="0" w:color="auto"/>
        <w:bottom w:val="none" w:sz="0" w:space="0" w:color="auto"/>
        <w:right w:val="none" w:sz="0" w:space="0" w:color="auto"/>
      </w:divBdr>
    </w:div>
    <w:div w:id="421997884">
      <w:marLeft w:val="480"/>
      <w:marRight w:val="0"/>
      <w:marTop w:val="0"/>
      <w:marBottom w:val="0"/>
      <w:divBdr>
        <w:top w:val="none" w:sz="0" w:space="0" w:color="auto"/>
        <w:left w:val="none" w:sz="0" w:space="0" w:color="auto"/>
        <w:bottom w:val="none" w:sz="0" w:space="0" w:color="auto"/>
        <w:right w:val="none" w:sz="0" w:space="0" w:color="auto"/>
      </w:divBdr>
    </w:div>
    <w:div w:id="422188839">
      <w:marLeft w:val="640"/>
      <w:marRight w:val="0"/>
      <w:marTop w:val="0"/>
      <w:marBottom w:val="0"/>
      <w:divBdr>
        <w:top w:val="none" w:sz="0" w:space="0" w:color="auto"/>
        <w:left w:val="none" w:sz="0" w:space="0" w:color="auto"/>
        <w:bottom w:val="none" w:sz="0" w:space="0" w:color="auto"/>
        <w:right w:val="none" w:sz="0" w:space="0" w:color="auto"/>
      </w:divBdr>
    </w:div>
    <w:div w:id="428352523">
      <w:marLeft w:val="640"/>
      <w:marRight w:val="0"/>
      <w:marTop w:val="0"/>
      <w:marBottom w:val="0"/>
      <w:divBdr>
        <w:top w:val="none" w:sz="0" w:space="0" w:color="auto"/>
        <w:left w:val="none" w:sz="0" w:space="0" w:color="auto"/>
        <w:bottom w:val="none" w:sz="0" w:space="0" w:color="auto"/>
        <w:right w:val="none" w:sz="0" w:space="0" w:color="auto"/>
      </w:divBdr>
    </w:div>
    <w:div w:id="435369552">
      <w:marLeft w:val="480"/>
      <w:marRight w:val="0"/>
      <w:marTop w:val="0"/>
      <w:marBottom w:val="0"/>
      <w:divBdr>
        <w:top w:val="none" w:sz="0" w:space="0" w:color="auto"/>
        <w:left w:val="none" w:sz="0" w:space="0" w:color="auto"/>
        <w:bottom w:val="none" w:sz="0" w:space="0" w:color="auto"/>
        <w:right w:val="none" w:sz="0" w:space="0" w:color="auto"/>
      </w:divBdr>
    </w:div>
    <w:div w:id="440220225">
      <w:marLeft w:val="640"/>
      <w:marRight w:val="0"/>
      <w:marTop w:val="0"/>
      <w:marBottom w:val="0"/>
      <w:divBdr>
        <w:top w:val="none" w:sz="0" w:space="0" w:color="auto"/>
        <w:left w:val="none" w:sz="0" w:space="0" w:color="auto"/>
        <w:bottom w:val="none" w:sz="0" w:space="0" w:color="auto"/>
        <w:right w:val="none" w:sz="0" w:space="0" w:color="auto"/>
      </w:divBdr>
    </w:div>
    <w:div w:id="443573704">
      <w:marLeft w:val="640"/>
      <w:marRight w:val="0"/>
      <w:marTop w:val="0"/>
      <w:marBottom w:val="0"/>
      <w:divBdr>
        <w:top w:val="none" w:sz="0" w:space="0" w:color="auto"/>
        <w:left w:val="none" w:sz="0" w:space="0" w:color="auto"/>
        <w:bottom w:val="none" w:sz="0" w:space="0" w:color="auto"/>
        <w:right w:val="none" w:sz="0" w:space="0" w:color="auto"/>
      </w:divBdr>
    </w:div>
    <w:div w:id="451752407">
      <w:marLeft w:val="480"/>
      <w:marRight w:val="0"/>
      <w:marTop w:val="0"/>
      <w:marBottom w:val="0"/>
      <w:divBdr>
        <w:top w:val="none" w:sz="0" w:space="0" w:color="auto"/>
        <w:left w:val="none" w:sz="0" w:space="0" w:color="auto"/>
        <w:bottom w:val="none" w:sz="0" w:space="0" w:color="auto"/>
        <w:right w:val="none" w:sz="0" w:space="0" w:color="auto"/>
      </w:divBdr>
    </w:div>
    <w:div w:id="453718338">
      <w:marLeft w:val="640"/>
      <w:marRight w:val="0"/>
      <w:marTop w:val="0"/>
      <w:marBottom w:val="0"/>
      <w:divBdr>
        <w:top w:val="none" w:sz="0" w:space="0" w:color="auto"/>
        <w:left w:val="none" w:sz="0" w:space="0" w:color="auto"/>
        <w:bottom w:val="none" w:sz="0" w:space="0" w:color="auto"/>
        <w:right w:val="none" w:sz="0" w:space="0" w:color="auto"/>
      </w:divBdr>
    </w:div>
    <w:div w:id="454493892">
      <w:marLeft w:val="640"/>
      <w:marRight w:val="0"/>
      <w:marTop w:val="0"/>
      <w:marBottom w:val="0"/>
      <w:divBdr>
        <w:top w:val="none" w:sz="0" w:space="0" w:color="auto"/>
        <w:left w:val="none" w:sz="0" w:space="0" w:color="auto"/>
        <w:bottom w:val="none" w:sz="0" w:space="0" w:color="auto"/>
        <w:right w:val="none" w:sz="0" w:space="0" w:color="auto"/>
      </w:divBdr>
    </w:div>
    <w:div w:id="458300518">
      <w:marLeft w:val="480"/>
      <w:marRight w:val="0"/>
      <w:marTop w:val="0"/>
      <w:marBottom w:val="0"/>
      <w:divBdr>
        <w:top w:val="none" w:sz="0" w:space="0" w:color="auto"/>
        <w:left w:val="none" w:sz="0" w:space="0" w:color="auto"/>
        <w:bottom w:val="none" w:sz="0" w:space="0" w:color="auto"/>
        <w:right w:val="none" w:sz="0" w:space="0" w:color="auto"/>
      </w:divBdr>
    </w:div>
    <w:div w:id="460924961">
      <w:marLeft w:val="640"/>
      <w:marRight w:val="0"/>
      <w:marTop w:val="0"/>
      <w:marBottom w:val="0"/>
      <w:divBdr>
        <w:top w:val="none" w:sz="0" w:space="0" w:color="auto"/>
        <w:left w:val="none" w:sz="0" w:space="0" w:color="auto"/>
        <w:bottom w:val="none" w:sz="0" w:space="0" w:color="auto"/>
        <w:right w:val="none" w:sz="0" w:space="0" w:color="auto"/>
      </w:divBdr>
    </w:div>
    <w:div w:id="466361672">
      <w:marLeft w:val="480"/>
      <w:marRight w:val="0"/>
      <w:marTop w:val="0"/>
      <w:marBottom w:val="0"/>
      <w:divBdr>
        <w:top w:val="none" w:sz="0" w:space="0" w:color="auto"/>
        <w:left w:val="none" w:sz="0" w:space="0" w:color="auto"/>
        <w:bottom w:val="none" w:sz="0" w:space="0" w:color="auto"/>
        <w:right w:val="none" w:sz="0" w:space="0" w:color="auto"/>
      </w:divBdr>
    </w:div>
    <w:div w:id="468211191">
      <w:bodyDiv w:val="1"/>
      <w:marLeft w:val="0"/>
      <w:marRight w:val="0"/>
      <w:marTop w:val="0"/>
      <w:marBottom w:val="0"/>
      <w:divBdr>
        <w:top w:val="none" w:sz="0" w:space="0" w:color="auto"/>
        <w:left w:val="none" w:sz="0" w:space="0" w:color="auto"/>
        <w:bottom w:val="none" w:sz="0" w:space="0" w:color="auto"/>
        <w:right w:val="none" w:sz="0" w:space="0" w:color="auto"/>
      </w:divBdr>
      <w:divsChild>
        <w:div w:id="422532216">
          <w:marLeft w:val="547"/>
          <w:marRight w:val="0"/>
          <w:marTop w:val="0"/>
          <w:marBottom w:val="0"/>
          <w:divBdr>
            <w:top w:val="none" w:sz="0" w:space="0" w:color="auto"/>
            <w:left w:val="none" w:sz="0" w:space="0" w:color="auto"/>
            <w:bottom w:val="none" w:sz="0" w:space="0" w:color="auto"/>
            <w:right w:val="none" w:sz="0" w:space="0" w:color="auto"/>
          </w:divBdr>
        </w:div>
        <w:div w:id="1102073245">
          <w:marLeft w:val="547"/>
          <w:marRight w:val="0"/>
          <w:marTop w:val="0"/>
          <w:marBottom w:val="0"/>
          <w:divBdr>
            <w:top w:val="none" w:sz="0" w:space="0" w:color="auto"/>
            <w:left w:val="none" w:sz="0" w:space="0" w:color="auto"/>
            <w:bottom w:val="none" w:sz="0" w:space="0" w:color="auto"/>
            <w:right w:val="none" w:sz="0" w:space="0" w:color="auto"/>
          </w:divBdr>
        </w:div>
        <w:div w:id="1114445904">
          <w:marLeft w:val="547"/>
          <w:marRight w:val="0"/>
          <w:marTop w:val="0"/>
          <w:marBottom w:val="0"/>
          <w:divBdr>
            <w:top w:val="none" w:sz="0" w:space="0" w:color="auto"/>
            <w:left w:val="none" w:sz="0" w:space="0" w:color="auto"/>
            <w:bottom w:val="none" w:sz="0" w:space="0" w:color="auto"/>
            <w:right w:val="none" w:sz="0" w:space="0" w:color="auto"/>
          </w:divBdr>
        </w:div>
        <w:div w:id="1025836523">
          <w:marLeft w:val="547"/>
          <w:marRight w:val="0"/>
          <w:marTop w:val="0"/>
          <w:marBottom w:val="0"/>
          <w:divBdr>
            <w:top w:val="none" w:sz="0" w:space="0" w:color="auto"/>
            <w:left w:val="none" w:sz="0" w:space="0" w:color="auto"/>
            <w:bottom w:val="none" w:sz="0" w:space="0" w:color="auto"/>
            <w:right w:val="none" w:sz="0" w:space="0" w:color="auto"/>
          </w:divBdr>
        </w:div>
      </w:divsChild>
    </w:div>
    <w:div w:id="472260085">
      <w:marLeft w:val="640"/>
      <w:marRight w:val="0"/>
      <w:marTop w:val="0"/>
      <w:marBottom w:val="0"/>
      <w:divBdr>
        <w:top w:val="none" w:sz="0" w:space="0" w:color="auto"/>
        <w:left w:val="none" w:sz="0" w:space="0" w:color="auto"/>
        <w:bottom w:val="none" w:sz="0" w:space="0" w:color="auto"/>
        <w:right w:val="none" w:sz="0" w:space="0" w:color="auto"/>
      </w:divBdr>
    </w:div>
    <w:div w:id="473328543">
      <w:marLeft w:val="640"/>
      <w:marRight w:val="0"/>
      <w:marTop w:val="0"/>
      <w:marBottom w:val="0"/>
      <w:divBdr>
        <w:top w:val="none" w:sz="0" w:space="0" w:color="auto"/>
        <w:left w:val="none" w:sz="0" w:space="0" w:color="auto"/>
        <w:bottom w:val="none" w:sz="0" w:space="0" w:color="auto"/>
        <w:right w:val="none" w:sz="0" w:space="0" w:color="auto"/>
      </w:divBdr>
    </w:div>
    <w:div w:id="475489925">
      <w:marLeft w:val="640"/>
      <w:marRight w:val="0"/>
      <w:marTop w:val="0"/>
      <w:marBottom w:val="0"/>
      <w:divBdr>
        <w:top w:val="none" w:sz="0" w:space="0" w:color="auto"/>
        <w:left w:val="none" w:sz="0" w:space="0" w:color="auto"/>
        <w:bottom w:val="none" w:sz="0" w:space="0" w:color="auto"/>
        <w:right w:val="none" w:sz="0" w:space="0" w:color="auto"/>
      </w:divBdr>
    </w:div>
    <w:div w:id="480269135">
      <w:marLeft w:val="640"/>
      <w:marRight w:val="0"/>
      <w:marTop w:val="0"/>
      <w:marBottom w:val="0"/>
      <w:divBdr>
        <w:top w:val="none" w:sz="0" w:space="0" w:color="auto"/>
        <w:left w:val="none" w:sz="0" w:space="0" w:color="auto"/>
        <w:bottom w:val="none" w:sz="0" w:space="0" w:color="auto"/>
        <w:right w:val="none" w:sz="0" w:space="0" w:color="auto"/>
      </w:divBdr>
    </w:div>
    <w:div w:id="482476809">
      <w:marLeft w:val="480"/>
      <w:marRight w:val="0"/>
      <w:marTop w:val="0"/>
      <w:marBottom w:val="0"/>
      <w:divBdr>
        <w:top w:val="none" w:sz="0" w:space="0" w:color="auto"/>
        <w:left w:val="none" w:sz="0" w:space="0" w:color="auto"/>
        <w:bottom w:val="none" w:sz="0" w:space="0" w:color="auto"/>
        <w:right w:val="none" w:sz="0" w:space="0" w:color="auto"/>
      </w:divBdr>
    </w:div>
    <w:div w:id="482627038">
      <w:marLeft w:val="640"/>
      <w:marRight w:val="0"/>
      <w:marTop w:val="0"/>
      <w:marBottom w:val="0"/>
      <w:divBdr>
        <w:top w:val="none" w:sz="0" w:space="0" w:color="auto"/>
        <w:left w:val="none" w:sz="0" w:space="0" w:color="auto"/>
        <w:bottom w:val="none" w:sz="0" w:space="0" w:color="auto"/>
        <w:right w:val="none" w:sz="0" w:space="0" w:color="auto"/>
      </w:divBdr>
    </w:div>
    <w:div w:id="489904486">
      <w:marLeft w:val="480"/>
      <w:marRight w:val="0"/>
      <w:marTop w:val="0"/>
      <w:marBottom w:val="0"/>
      <w:divBdr>
        <w:top w:val="none" w:sz="0" w:space="0" w:color="auto"/>
        <w:left w:val="none" w:sz="0" w:space="0" w:color="auto"/>
        <w:bottom w:val="none" w:sz="0" w:space="0" w:color="auto"/>
        <w:right w:val="none" w:sz="0" w:space="0" w:color="auto"/>
      </w:divBdr>
    </w:div>
    <w:div w:id="496188921">
      <w:marLeft w:val="640"/>
      <w:marRight w:val="0"/>
      <w:marTop w:val="0"/>
      <w:marBottom w:val="0"/>
      <w:divBdr>
        <w:top w:val="none" w:sz="0" w:space="0" w:color="auto"/>
        <w:left w:val="none" w:sz="0" w:space="0" w:color="auto"/>
        <w:bottom w:val="none" w:sz="0" w:space="0" w:color="auto"/>
        <w:right w:val="none" w:sz="0" w:space="0" w:color="auto"/>
      </w:divBdr>
    </w:div>
    <w:div w:id="498497659">
      <w:marLeft w:val="640"/>
      <w:marRight w:val="0"/>
      <w:marTop w:val="0"/>
      <w:marBottom w:val="0"/>
      <w:divBdr>
        <w:top w:val="none" w:sz="0" w:space="0" w:color="auto"/>
        <w:left w:val="none" w:sz="0" w:space="0" w:color="auto"/>
        <w:bottom w:val="none" w:sz="0" w:space="0" w:color="auto"/>
        <w:right w:val="none" w:sz="0" w:space="0" w:color="auto"/>
      </w:divBdr>
    </w:div>
    <w:div w:id="499270157">
      <w:marLeft w:val="480"/>
      <w:marRight w:val="0"/>
      <w:marTop w:val="0"/>
      <w:marBottom w:val="0"/>
      <w:divBdr>
        <w:top w:val="none" w:sz="0" w:space="0" w:color="auto"/>
        <w:left w:val="none" w:sz="0" w:space="0" w:color="auto"/>
        <w:bottom w:val="none" w:sz="0" w:space="0" w:color="auto"/>
        <w:right w:val="none" w:sz="0" w:space="0" w:color="auto"/>
      </w:divBdr>
    </w:div>
    <w:div w:id="500974025">
      <w:marLeft w:val="640"/>
      <w:marRight w:val="0"/>
      <w:marTop w:val="0"/>
      <w:marBottom w:val="0"/>
      <w:divBdr>
        <w:top w:val="none" w:sz="0" w:space="0" w:color="auto"/>
        <w:left w:val="none" w:sz="0" w:space="0" w:color="auto"/>
        <w:bottom w:val="none" w:sz="0" w:space="0" w:color="auto"/>
        <w:right w:val="none" w:sz="0" w:space="0" w:color="auto"/>
      </w:divBdr>
    </w:div>
    <w:div w:id="519009093">
      <w:marLeft w:val="480"/>
      <w:marRight w:val="0"/>
      <w:marTop w:val="0"/>
      <w:marBottom w:val="0"/>
      <w:divBdr>
        <w:top w:val="none" w:sz="0" w:space="0" w:color="auto"/>
        <w:left w:val="none" w:sz="0" w:space="0" w:color="auto"/>
        <w:bottom w:val="none" w:sz="0" w:space="0" w:color="auto"/>
        <w:right w:val="none" w:sz="0" w:space="0" w:color="auto"/>
      </w:divBdr>
    </w:div>
    <w:div w:id="520045423">
      <w:marLeft w:val="640"/>
      <w:marRight w:val="0"/>
      <w:marTop w:val="0"/>
      <w:marBottom w:val="0"/>
      <w:divBdr>
        <w:top w:val="none" w:sz="0" w:space="0" w:color="auto"/>
        <w:left w:val="none" w:sz="0" w:space="0" w:color="auto"/>
        <w:bottom w:val="none" w:sz="0" w:space="0" w:color="auto"/>
        <w:right w:val="none" w:sz="0" w:space="0" w:color="auto"/>
      </w:divBdr>
    </w:div>
    <w:div w:id="521869276">
      <w:marLeft w:val="640"/>
      <w:marRight w:val="0"/>
      <w:marTop w:val="0"/>
      <w:marBottom w:val="0"/>
      <w:divBdr>
        <w:top w:val="none" w:sz="0" w:space="0" w:color="auto"/>
        <w:left w:val="none" w:sz="0" w:space="0" w:color="auto"/>
        <w:bottom w:val="none" w:sz="0" w:space="0" w:color="auto"/>
        <w:right w:val="none" w:sz="0" w:space="0" w:color="auto"/>
      </w:divBdr>
    </w:div>
    <w:div w:id="524028483">
      <w:marLeft w:val="480"/>
      <w:marRight w:val="0"/>
      <w:marTop w:val="0"/>
      <w:marBottom w:val="0"/>
      <w:divBdr>
        <w:top w:val="none" w:sz="0" w:space="0" w:color="auto"/>
        <w:left w:val="none" w:sz="0" w:space="0" w:color="auto"/>
        <w:bottom w:val="none" w:sz="0" w:space="0" w:color="auto"/>
        <w:right w:val="none" w:sz="0" w:space="0" w:color="auto"/>
      </w:divBdr>
    </w:div>
    <w:div w:id="525406898">
      <w:marLeft w:val="640"/>
      <w:marRight w:val="0"/>
      <w:marTop w:val="0"/>
      <w:marBottom w:val="0"/>
      <w:divBdr>
        <w:top w:val="none" w:sz="0" w:space="0" w:color="auto"/>
        <w:left w:val="none" w:sz="0" w:space="0" w:color="auto"/>
        <w:bottom w:val="none" w:sz="0" w:space="0" w:color="auto"/>
        <w:right w:val="none" w:sz="0" w:space="0" w:color="auto"/>
      </w:divBdr>
    </w:div>
    <w:div w:id="527572810">
      <w:marLeft w:val="640"/>
      <w:marRight w:val="0"/>
      <w:marTop w:val="0"/>
      <w:marBottom w:val="0"/>
      <w:divBdr>
        <w:top w:val="none" w:sz="0" w:space="0" w:color="auto"/>
        <w:left w:val="none" w:sz="0" w:space="0" w:color="auto"/>
        <w:bottom w:val="none" w:sz="0" w:space="0" w:color="auto"/>
        <w:right w:val="none" w:sz="0" w:space="0" w:color="auto"/>
      </w:divBdr>
    </w:div>
    <w:div w:id="529412147">
      <w:marLeft w:val="640"/>
      <w:marRight w:val="0"/>
      <w:marTop w:val="0"/>
      <w:marBottom w:val="0"/>
      <w:divBdr>
        <w:top w:val="none" w:sz="0" w:space="0" w:color="auto"/>
        <w:left w:val="none" w:sz="0" w:space="0" w:color="auto"/>
        <w:bottom w:val="none" w:sz="0" w:space="0" w:color="auto"/>
        <w:right w:val="none" w:sz="0" w:space="0" w:color="auto"/>
      </w:divBdr>
    </w:div>
    <w:div w:id="533228685">
      <w:marLeft w:val="480"/>
      <w:marRight w:val="0"/>
      <w:marTop w:val="0"/>
      <w:marBottom w:val="0"/>
      <w:divBdr>
        <w:top w:val="none" w:sz="0" w:space="0" w:color="auto"/>
        <w:left w:val="none" w:sz="0" w:space="0" w:color="auto"/>
        <w:bottom w:val="none" w:sz="0" w:space="0" w:color="auto"/>
        <w:right w:val="none" w:sz="0" w:space="0" w:color="auto"/>
      </w:divBdr>
    </w:div>
    <w:div w:id="542250265">
      <w:marLeft w:val="640"/>
      <w:marRight w:val="0"/>
      <w:marTop w:val="0"/>
      <w:marBottom w:val="0"/>
      <w:divBdr>
        <w:top w:val="none" w:sz="0" w:space="0" w:color="auto"/>
        <w:left w:val="none" w:sz="0" w:space="0" w:color="auto"/>
        <w:bottom w:val="none" w:sz="0" w:space="0" w:color="auto"/>
        <w:right w:val="none" w:sz="0" w:space="0" w:color="auto"/>
      </w:divBdr>
    </w:div>
    <w:div w:id="550265975">
      <w:marLeft w:val="640"/>
      <w:marRight w:val="0"/>
      <w:marTop w:val="0"/>
      <w:marBottom w:val="0"/>
      <w:divBdr>
        <w:top w:val="none" w:sz="0" w:space="0" w:color="auto"/>
        <w:left w:val="none" w:sz="0" w:space="0" w:color="auto"/>
        <w:bottom w:val="none" w:sz="0" w:space="0" w:color="auto"/>
        <w:right w:val="none" w:sz="0" w:space="0" w:color="auto"/>
      </w:divBdr>
    </w:div>
    <w:div w:id="551844415">
      <w:marLeft w:val="640"/>
      <w:marRight w:val="0"/>
      <w:marTop w:val="0"/>
      <w:marBottom w:val="0"/>
      <w:divBdr>
        <w:top w:val="none" w:sz="0" w:space="0" w:color="auto"/>
        <w:left w:val="none" w:sz="0" w:space="0" w:color="auto"/>
        <w:bottom w:val="none" w:sz="0" w:space="0" w:color="auto"/>
        <w:right w:val="none" w:sz="0" w:space="0" w:color="auto"/>
      </w:divBdr>
    </w:div>
    <w:div w:id="557060369">
      <w:marLeft w:val="480"/>
      <w:marRight w:val="0"/>
      <w:marTop w:val="0"/>
      <w:marBottom w:val="0"/>
      <w:divBdr>
        <w:top w:val="none" w:sz="0" w:space="0" w:color="auto"/>
        <w:left w:val="none" w:sz="0" w:space="0" w:color="auto"/>
        <w:bottom w:val="none" w:sz="0" w:space="0" w:color="auto"/>
        <w:right w:val="none" w:sz="0" w:space="0" w:color="auto"/>
      </w:divBdr>
    </w:div>
    <w:div w:id="557982131">
      <w:marLeft w:val="480"/>
      <w:marRight w:val="0"/>
      <w:marTop w:val="0"/>
      <w:marBottom w:val="0"/>
      <w:divBdr>
        <w:top w:val="none" w:sz="0" w:space="0" w:color="auto"/>
        <w:left w:val="none" w:sz="0" w:space="0" w:color="auto"/>
        <w:bottom w:val="none" w:sz="0" w:space="0" w:color="auto"/>
        <w:right w:val="none" w:sz="0" w:space="0" w:color="auto"/>
      </w:divBdr>
    </w:div>
    <w:div w:id="561141464">
      <w:marLeft w:val="640"/>
      <w:marRight w:val="0"/>
      <w:marTop w:val="0"/>
      <w:marBottom w:val="0"/>
      <w:divBdr>
        <w:top w:val="none" w:sz="0" w:space="0" w:color="auto"/>
        <w:left w:val="none" w:sz="0" w:space="0" w:color="auto"/>
        <w:bottom w:val="none" w:sz="0" w:space="0" w:color="auto"/>
        <w:right w:val="none" w:sz="0" w:space="0" w:color="auto"/>
      </w:divBdr>
    </w:div>
    <w:div w:id="564611330">
      <w:marLeft w:val="640"/>
      <w:marRight w:val="0"/>
      <w:marTop w:val="0"/>
      <w:marBottom w:val="0"/>
      <w:divBdr>
        <w:top w:val="none" w:sz="0" w:space="0" w:color="auto"/>
        <w:left w:val="none" w:sz="0" w:space="0" w:color="auto"/>
        <w:bottom w:val="none" w:sz="0" w:space="0" w:color="auto"/>
        <w:right w:val="none" w:sz="0" w:space="0" w:color="auto"/>
      </w:divBdr>
    </w:div>
    <w:div w:id="574054323">
      <w:marLeft w:val="480"/>
      <w:marRight w:val="0"/>
      <w:marTop w:val="0"/>
      <w:marBottom w:val="0"/>
      <w:divBdr>
        <w:top w:val="none" w:sz="0" w:space="0" w:color="auto"/>
        <w:left w:val="none" w:sz="0" w:space="0" w:color="auto"/>
        <w:bottom w:val="none" w:sz="0" w:space="0" w:color="auto"/>
        <w:right w:val="none" w:sz="0" w:space="0" w:color="auto"/>
      </w:divBdr>
    </w:div>
    <w:div w:id="585923925">
      <w:marLeft w:val="640"/>
      <w:marRight w:val="0"/>
      <w:marTop w:val="0"/>
      <w:marBottom w:val="0"/>
      <w:divBdr>
        <w:top w:val="none" w:sz="0" w:space="0" w:color="auto"/>
        <w:left w:val="none" w:sz="0" w:space="0" w:color="auto"/>
        <w:bottom w:val="none" w:sz="0" w:space="0" w:color="auto"/>
        <w:right w:val="none" w:sz="0" w:space="0" w:color="auto"/>
      </w:divBdr>
    </w:div>
    <w:div w:id="586041066">
      <w:marLeft w:val="640"/>
      <w:marRight w:val="0"/>
      <w:marTop w:val="0"/>
      <w:marBottom w:val="0"/>
      <w:divBdr>
        <w:top w:val="none" w:sz="0" w:space="0" w:color="auto"/>
        <w:left w:val="none" w:sz="0" w:space="0" w:color="auto"/>
        <w:bottom w:val="none" w:sz="0" w:space="0" w:color="auto"/>
        <w:right w:val="none" w:sz="0" w:space="0" w:color="auto"/>
      </w:divBdr>
    </w:div>
    <w:div w:id="588125136">
      <w:marLeft w:val="640"/>
      <w:marRight w:val="0"/>
      <w:marTop w:val="0"/>
      <w:marBottom w:val="0"/>
      <w:divBdr>
        <w:top w:val="none" w:sz="0" w:space="0" w:color="auto"/>
        <w:left w:val="none" w:sz="0" w:space="0" w:color="auto"/>
        <w:bottom w:val="none" w:sz="0" w:space="0" w:color="auto"/>
        <w:right w:val="none" w:sz="0" w:space="0" w:color="auto"/>
      </w:divBdr>
    </w:div>
    <w:div w:id="588737180">
      <w:marLeft w:val="480"/>
      <w:marRight w:val="0"/>
      <w:marTop w:val="0"/>
      <w:marBottom w:val="0"/>
      <w:divBdr>
        <w:top w:val="none" w:sz="0" w:space="0" w:color="auto"/>
        <w:left w:val="none" w:sz="0" w:space="0" w:color="auto"/>
        <w:bottom w:val="none" w:sz="0" w:space="0" w:color="auto"/>
        <w:right w:val="none" w:sz="0" w:space="0" w:color="auto"/>
      </w:divBdr>
    </w:div>
    <w:div w:id="601187146">
      <w:marLeft w:val="480"/>
      <w:marRight w:val="0"/>
      <w:marTop w:val="0"/>
      <w:marBottom w:val="0"/>
      <w:divBdr>
        <w:top w:val="none" w:sz="0" w:space="0" w:color="auto"/>
        <w:left w:val="none" w:sz="0" w:space="0" w:color="auto"/>
        <w:bottom w:val="none" w:sz="0" w:space="0" w:color="auto"/>
        <w:right w:val="none" w:sz="0" w:space="0" w:color="auto"/>
      </w:divBdr>
    </w:div>
    <w:div w:id="605772996">
      <w:marLeft w:val="640"/>
      <w:marRight w:val="0"/>
      <w:marTop w:val="0"/>
      <w:marBottom w:val="0"/>
      <w:divBdr>
        <w:top w:val="none" w:sz="0" w:space="0" w:color="auto"/>
        <w:left w:val="none" w:sz="0" w:space="0" w:color="auto"/>
        <w:bottom w:val="none" w:sz="0" w:space="0" w:color="auto"/>
        <w:right w:val="none" w:sz="0" w:space="0" w:color="auto"/>
      </w:divBdr>
    </w:div>
    <w:div w:id="612132069">
      <w:marLeft w:val="640"/>
      <w:marRight w:val="0"/>
      <w:marTop w:val="0"/>
      <w:marBottom w:val="0"/>
      <w:divBdr>
        <w:top w:val="none" w:sz="0" w:space="0" w:color="auto"/>
        <w:left w:val="none" w:sz="0" w:space="0" w:color="auto"/>
        <w:bottom w:val="none" w:sz="0" w:space="0" w:color="auto"/>
        <w:right w:val="none" w:sz="0" w:space="0" w:color="auto"/>
      </w:divBdr>
    </w:div>
    <w:div w:id="618682689">
      <w:marLeft w:val="640"/>
      <w:marRight w:val="0"/>
      <w:marTop w:val="0"/>
      <w:marBottom w:val="0"/>
      <w:divBdr>
        <w:top w:val="none" w:sz="0" w:space="0" w:color="auto"/>
        <w:left w:val="none" w:sz="0" w:space="0" w:color="auto"/>
        <w:bottom w:val="none" w:sz="0" w:space="0" w:color="auto"/>
        <w:right w:val="none" w:sz="0" w:space="0" w:color="auto"/>
      </w:divBdr>
    </w:div>
    <w:div w:id="622274335">
      <w:marLeft w:val="480"/>
      <w:marRight w:val="0"/>
      <w:marTop w:val="0"/>
      <w:marBottom w:val="0"/>
      <w:divBdr>
        <w:top w:val="none" w:sz="0" w:space="0" w:color="auto"/>
        <w:left w:val="none" w:sz="0" w:space="0" w:color="auto"/>
        <w:bottom w:val="none" w:sz="0" w:space="0" w:color="auto"/>
        <w:right w:val="none" w:sz="0" w:space="0" w:color="auto"/>
      </w:divBdr>
    </w:div>
    <w:div w:id="623971657">
      <w:marLeft w:val="480"/>
      <w:marRight w:val="0"/>
      <w:marTop w:val="0"/>
      <w:marBottom w:val="0"/>
      <w:divBdr>
        <w:top w:val="none" w:sz="0" w:space="0" w:color="auto"/>
        <w:left w:val="none" w:sz="0" w:space="0" w:color="auto"/>
        <w:bottom w:val="none" w:sz="0" w:space="0" w:color="auto"/>
        <w:right w:val="none" w:sz="0" w:space="0" w:color="auto"/>
      </w:divBdr>
    </w:div>
    <w:div w:id="624896972">
      <w:marLeft w:val="640"/>
      <w:marRight w:val="0"/>
      <w:marTop w:val="0"/>
      <w:marBottom w:val="0"/>
      <w:divBdr>
        <w:top w:val="none" w:sz="0" w:space="0" w:color="auto"/>
        <w:left w:val="none" w:sz="0" w:space="0" w:color="auto"/>
        <w:bottom w:val="none" w:sz="0" w:space="0" w:color="auto"/>
        <w:right w:val="none" w:sz="0" w:space="0" w:color="auto"/>
      </w:divBdr>
    </w:div>
    <w:div w:id="625936130">
      <w:marLeft w:val="640"/>
      <w:marRight w:val="0"/>
      <w:marTop w:val="0"/>
      <w:marBottom w:val="0"/>
      <w:divBdr>
        <w:top w:val="none" w:sz="0" w:space="0" w:color="auto"/>
        <w:left w:val="none" w:sz="0" w:space="0" w:color="auto"/>
        <w:bottom w:val="none" w:sz="0" w:space="0" w:color="auto"/>
        <w:right w:val="none" w:sz="0" w:space="0" w:color="auto"/>
      </w:divBdr>
    </w:div>
    <w:div w:id="626089240">
      <w:marLeft w:val="640"/>
      <w:marRight w:val="0"/>
      <w:marTop w:val="0"/>
      <w:marBottom w:val="0"/>
      <w:divBdr>
        <w:top w:val="none" w:sz="0" w:space="0" w:color="auto"/>
        <w:left w:val="none" w:sz="0" w:space="0" w:color="auto"/>
        <w:bottom w:val="none" w:sz="0" w:space="0" w:color="auto"/>
        <w:right w:val="none" w:sz="0" w:space="0" w:color="auto"/>
      </w:divBdr>
    </w:div>
    <w:div w:id="641538533">
      <w:marLeft w:val="480"/>
      <w:marRight w:val="0"/>
      <w:marTop w:val="0"/>
      <w:marBottom w:val="0"/>
      <w:divBdr>
        <w:top w:val="none" w:sz="0" w:space="0" w:color="auto"/>
        <w:left w:val="none" w:sz="0" w:space="0" w:color="auto"/>
        <w:bottom w:val="none" w:sz="0" w:space="0" w:color="auto"/>
        <w:right w:val="none" w:sz="0" w:space="0" w:color="auto"/>
      </w:divBdr>
    </w:div>
    <w:div w:id="642467667">
      <w:marLeft w:val="640"/>
      <w:marRight w:val="0"/>
      <w:marTop w:val="0"/>
      <w:marBottom w:val="0"/>
      <w:divBdr>
        <w:top w:val="none" w:sz="0" w:space="0" w:color="auto"/>
        <w:left w:val="none" w:sz="0" w:space="0" w:color="auto"/>
        <w:bottom w:val="none" w:sz="0" w:space="0" w:color="auto"/>
        <w:right w:val="none" w:sz="0" w:space="0" w:color="auto"/>
      </w:divBdr>
    </w:div>
    <w:div w:id="645207487">
      <w:marLeft w:val="640"/>
      <w:marRight w:val="0"/>
      <w:marTop w:val="0"/>
      <w:marBottom w:val="0"/>
      <w:divBdr>
        <w:top w:val="none" w:sz="0" w:space="0" w:color="auto"/>
        <w:left w:val="none" w:sz="0" w:space="0" w:color="auto"/>
        <w:bottom w:val="none" w:sz="0" w:space="0" w:color="auto"/>
        <w:right w:val="none" w:sz="0" w:space="0" w:color="auto"/>
      </w:divBdr>
    </w:div>
    <w:div w:id="648361661">
      <w:marLeft w:val="640"/>
      <w:marRight w:val="0"/>
      <w:marTop w:val="0"/>
      <w:marBottom w:val="0"/>
      <w:divBdr>
        <w:top w:val="none" w:sz="0" w:space="0" w:color="auto"/>
        <w:left w:val="none" w:sz="0" w:space="0" w:color="auto"/>
        <w:bottom w:val="none" w:sz="0" w:space="0" w:color="auto"/>
        <w:right w:val="none" w:sz="0" w:space="0" w:color="auto"/>
      </w:divBdr>
    </w:div>
    <w:div w:id="650133735">
      <w:marLeft w:val="640"/>
      <w:marRight w:val="0"/>
      <w:marTop w:val="0"/>
      <w:marBottom w:val="0"/>
      <w:divBdr>
        <w:top w:val="none" w:sz="0" w:space="0" w:color="auto"/>
        <w:left w:val="none" w:sz="0" w:space="0" w:color="auto"/>
        <w:bottom w:val="none" w:sz="0" w:space="0" w:color="auto"/>
        <w:right w:val="none" w:sz="0" w:space="0" w:color="auto"/>
      </w:divBdr>
    </w:div>
    <w:div w:id="651758418">
      <w:marLeft w:val="480"/>
      <w:marRight w:val="0"/>
      <w:marTop w:val="0"/>
      <w:marBottom w:val="0"/>
      <w:divBdr>
        <w:top w:val="none" w:sz="0" w:space="0" w:color="auto"/>
        <w:left w:val="none" w:sz="0" w:space="0" w:color="auto"/>
        <w:bottom w:val="none" w:sz="0" w:space="0" w:color="auto"/>
        <w:right w:val="none" w:sz="0" w:space="0" w:color="auto"/>
      </w:divBdr>
    </w:div>
    <w:div w:id="652681471">
      <w:marLeft w:val="480"/>
      <w:marRight w:val="0"/>
      <w:marTop w:val="0"/>
      <w:marBottom w:val="0"/>
      <w:divBdr>
        <w:top w:val="none" w:sz="0" w:space="0" w:color="auto"/>
        <w:left w:val="none" w:sz="0" w:space="0" w:color="auto"/>
        <w:bottom w:val="none" w:sz="0" w:space="0" w:color="auto"/>
        <w:right w:val="none" w:sz="0" w:space="0" w:color="auto"/>
      </w:divBdr>
    </w:div>
    <w:div w:id="654069843">
      <w:marLeft w:val="640"/>
      <w:marRight w:val="0"/>
      <w:marTop w:val="0"/>
      <w:marBottom w:val="0"/>
      <w:divBdr>
        <w:top w:val="none" w:sz="0" w:space="0" w:color="auto"/>
        <w:left w:val="none" w:sz="0" w:space="0" w:color="auto"/>
        <w:bottom w:val="none" w:sz="0" w:space="0" w:color="auto"/>
        <w:right w:val="none" w:sz="0" w:space="0" w:color="auto"/>
      </w:divBdr>
    </w:div>
    <w:div w:id="656374010">
      <w:marLeft w:val="480"/>
      <w:marRight w:val="0"/>
      <w:marTop w:val="0"/>
      <w:marBottom w:val="0"/>
      <w:divBdr>
        <w:top w:val="none" w:sz="0" w:space="0" w:color="auto"/>
        <w:left w:val="none" w:sz="0" w:space="0" w:color="auto"/>
        <w:bottom w:val="none" w:sz="0" w:space="0" w:color="auto"/>
        <w:right w:val="none" w:sz="0" w:space="0" w:color="auto"/>
      </w:divBdr>
    </w:div>
    <w:div w:id="657270138">
      <w:marLeft w:val="480"/>
      <w:marRight w:val="0"/>
      <w:marTop w:val="0"/>
      <w:marBottom w:val="0"/>
      <w:divBdr>
        <w:top w:val="none" w:sz="0" w:space="0" w:color="auto"/>
        <w:left w:val="none" w:sz="0" w:space="0" w:color="auto"/>
        <w:bottom w:val="none" w:sz="0" w:space="0" w:color="auto"/>
        <w:right w:val="none" w:sz="0" w:space="0" w:color="auto"/>
      </w:divBdr>
    </w:div>
    <w:div w:id="659307673">
      <w:marLeft w:val="480"/>
      <w:marRight w:val="0"/>
      <w:marTop w:val="0"/>
      <w:marBottom w:val="0"/>
      <w:divBdr>
        <w:top w:val="none" w:sz="0" w:space="0" w:color="auto"/>
        <w:left w:val="none" w:sz="0" w:space="0" w:color="auto"/>
        <w:bottom w:val="none" w:sz="0" w:space="0" w:color="auto"/>
        <w:right w:val="none" w:sz="0" w:space="0" w:color="auto"/>
      </w:divBdr>
    </w:div>
    <w:div w:id="665324752">
      <w:marLeft w:val="480"/>
      <w:marRight w:val="0"/>
      <w:marTop w:val="0"/>
      <w:marBottom w:val="0"/>
      <w:divBdr>
        <w:top w:val="none" w:sz="0" w:space="0" w:color="auto"/>
        <w:left w:val="none" w:sz="0" w:space="0" w:color="auto"/>
        <w:bottom w:val="none" w:sz="0" w:space="0" w:color="auto"/>
        <w:right w:val="none" w:sz="0" w:space="0" w:color="auto"/>
      </w:divBdr>
    </w:div>
    <w:div w:id="669528682">
      <w:marLeft w:val="480"/>
      <w:marRight w:val="0"/>
      <w:marTop w:val="0"/>
      <w:marBottom w:val="0"/>
      <w:divBdr>
        <w:top w:val="none" w:sz="0" w:space="0" w:color="auto"/>
        <w:left w:val="none" w:sz="0" w:space="0" w:color="auto"/>
        <w:bottom w:val="none" w:sz="0" w:space="0" w:color="auto"/>
        <w:right w:val="none" w:sz="0" w:space="0" w:color="auto"/>
      </w:divBdr>
    </w:div>
    <w:div w:id="675572587">
      <w:marLeft w:val="480"/>
      <w:marRight w:val="0"/>
      <w:marTop w:val="0"/>
      <w:marBottom w:val="0"/>
      <w:divBdr>
        <w:top w:val="none" w:sz="0" w:space="0" w:color="auto"/>
        <w:left w:val="none" w:sz="0" w:space="0" w:color="auto"/>
        <w:bottom w:val="none" w:sz="0" w:space="0" w:color="auto"/>
        <w:right w:val="none" w:sz="0" w:space="0" w:color="auto"/>
      </w:divBdr>
    </w:div>
    <w:div w:id="679241858">
      <w:marLeft w:val="480"/>
      <w:marRight w:val="0"/>
      <w:marTop w:val="0"/>
      <w:marBottom w:val="0"/>
      <w:divBdr>
        <w:top w:val="none" w:sz="0" w:space="0" w:color="auto"/>
        <w:left w:val="none" w:sz="0" w:space="0" w:color="auto"/>
        <w:bottom w:val="none" w:sz="0" w:space="0" w:color="auto"/>
        <w:right w:val="none" w:sz="0" w:space="0" w:color="auto"/>
      </w:divBdr>
    </w:div>
    <w:div w:id="683745726">
      <w:marLeft w:val="480"/>
      <w:marRight w:val="0"/>
      <w:marTop w:val="0"/>
      <w:marBottom w:val="0"/>
      <w:divBdr>
        <w:top w:val="none" w:sz="0" w:space="0" w:color="auto"/>
        <w:left w:val="none" w:sz="0" w:space="0" w:color="auto"/>
        <w:bottom w:val="none" w:sz="0" w:space="0" w:color="auto"/>
        <w:right w:val="none" w:sz="0" w:space="0" w:color="auto"/>
      </w:divBdr>
    </w:div>
    <w:div w:id="684597492">
      <w:marLeft w:val="480"/>
      <w:marRight w:val="0"/>
      <w:marTop w:val="0"/>
      <w:marBottom w:val="0"/>
      <w:divBdr>
        <w:top w:val="none" w:sz="0" w:space="0" w:color="auto"/>
        <w:left w:val="none" w:sz="0" w:space="0" w:color="auto"/>
        <w:bottom w:val="none" w:sz="0" w:space="0" w:color="auto"/>
        <w:right w:val="none" w:sz="0" w:space="0" w:color="auto"/>
      </w:divBdr>
    </w:div>
    <w:div w:id="692192278">
      <w:marLeft w:val="480"/>
      <w:marRight w:val="0"/>
      <w:marTop w:val="0"/>
      <w:marBottom w:val="0"/>
      <w:divBdr>
        <w:top w:val="none" w:sz="0" w:space="0" w:color="auto"/>
        <w:left w:val="none" w:sz="0" w:space="0" w:color="auto"/>
        <w:bottom w:val="none" w:sz="0" w:space="0" w:color="auto"/>
        <w:right w:val="none" w:sz="0" w:space="0" w:color="auto"/>
      </w:divBdr>
    </w:div>
    <w:div w:id="701789067">
      <w:marLeft w:val="640"/>
      <w:marRight w:val="0"/>
      <w:marTop w:val="0"/>
      <w:marBottom w:val="0"/>
      <w:divBdr>
        <w:top w:val="none" w:sz="0" w:space="0" w:color="auto"/>
        <w:left w:val="none" w:sz="0" w:space="0" w:color="auto"/>
        <w:bottom w:val="none" w:sz="0" w:space="0" w:color="auto"/>
        <w:right w:val="none" w:sz="0" w:space="0" w:color="auto"/>
      </w:divBdr>
    </w:div>
    <w:div w:id="702098200">
      <w:marLeft w:val="640"/>
      <w:marRight w:val="0"/>
      <w:marTop w:val="0"/>
      <w:marBottom w:val="0"/>
      <w:divBdr>
        <w:top w:val="none" w:sz="0" w:space="0" w:color="auto"/>
        <w:left w:val="none" w:sz="0" w:space="0" w:color="auto"/>
        <w:bottom w:val="none" w:sz="0" w:space="0" w:color="auto"/>
        <w:right w:val="none" w:sz="0" w:space="0" w:color="auto"/>
      </w:divBdr>
    </w:div>
    <w:div w:id="702442755">
      <w:marLeft w:val="480"/>
      <w:marRight w:val="0"/>
      <w:marTop w:val="0"/>
      <w:marBottom w:val="0"/>
      <w:divBdr>
        <w:top w:val="none" w:sz="0" w:space="0" w:color="auto"/>
        <w:left w:val="none" w:sz="0" w:space="0" w:color="auto"/>
        <w:bottom w:val="none" w:sz="0" w:space="0" w:color="auto"/>
        <w:right w:val="none" w:sz="0" w:space="0" w:color="auto"/>
      </w:divBdr>
    </w:div>
    <w:div w:id="702486866">
      <w:marLeft w:val="480"/>
      <w:marRight w:val="0"/>
      <w:marTop w:val="0"/>
      <w:marBottom w:val="0"/>
      <w:divBdr>
        <w:top w:val="none" w:sz="0" w:space="0" w:color="auto"/>
        <w:left w:val="none" w:sz="0" w:space="0" w:color="auto"/>
        <w:bottom w:val="none" w:sz="0" w:space="0" w:color="auto"/>
        <w:right w:val="none" w:sz="0" w:space="0" w:color="auto"/>
      </w:divBdr>
    </w:div>
    <w:div w:id="718018666">
      <w:marLeft w:val="640"/>
      <w:marRight w:val="0"/>
      <w:marTop w:val="0"/>
      <w:marBottom w:val="0"/>
      <w:divBdr>
        <w:top w:val="none" w:sz="0" w:space="0" w:color="auto"/>
        <w:left w:val="none" w:sz="0" w:space="0" w:color="auto"/>
        <w:bottom w:val="none" w:sz="0" w:space="0" w:color="auto"/>
        <w:right w:val="none" w:sz="0" w:space="0" w:color="auto"/>
      </w:divBdr>
    </w:div>
    <w:div w:id="721683818">
      <w:marLeft w:val="640"/>
      <w:marRight w:val="0"/>
      <w:marTop w:val="0"/>
      <w:marBottom w:val="0"/>
      <w:divBdr>
        <w:top w:val="none" w:sz="0" w:space="0" w:color="auto"/>
        <w:left w:val="none" w:sz="0" w:space="0" w:color="auto"/>
        <w:bottom w:val="none" w:sz="0" w:space="0" w:color="auto"/>
        <w:right w:val="none" w:sz="0" w:space="0" w:color="auto"/>
      </w:divBdr>
    </w:div>
    <w:div w:id="723215553">
      <w:marLeft w:val="640"/>
      <w:marRight w:val="0"/>
      <w:marTop w:val="0"/>
      <w:marBottom w:val="0"/>
      <w:divBdr>
        <w:top w:val="none" w:sz="0" w:space="0" w:color="auto"/>
        <w:left w:val="none" w:sz="0" w:space="0" w:color="auto"/>
        <w:bottom w:val="none" w:sz="0" w:space="0" w:color="auto"/>
        <w:right w:val="none" w:sz="0" w:space="0" w:color="auto"/>
      </w:divBdr>
    </w:div>
    <w:div w:id="723798716">
      <w:marLeft w:val="640"/>
      <w:marRight w:val="0"/>
      <w:marTop w:val="0"/>
      <w:marBottom w:val="0"/>
      <w:divBdr>
        <w:top w:val="none" w:sz="0" w:space="0" w:color="auto"/>
        <w:left w:val="none" w:sz="0" w:space="0" w:color="auto"/>
        <w:bottom w:val="none" w:sz="0" w:space="0" w:color="auto"/>
        <w:right w:val="none" w:sz="0" w:space="0" w:color="auto"/>
      </w:divBdr>
    </w:div>
    <w:div w:id="729693274">
      <w:marLeft w:val="480"/>
      <w:marRight w:val="0"/>
      <w:marTop w:val="0"/>
      <w:marBottom w:val="0"/>
      <w:divBdr>
        <w:top w:val="none" w:sz="0" w:space="0" w:color="auto"/>
        <w:left w:val="none" w:sz="0" w:space="0" w:color="auto"/>
        <w:bottom w:val="none" w:sz="0" w:space="0" w:color="auto"/>
        <w:right w:val="none" w:sz="0" w:space="0" w:color="auto"/>
      </w:divBdr>
    </w:div>
    <w:div w:id="732703146">
      <w:marLeft w:val="640"/>
      <w:marRight w:val="0"/>
      <w:marTop w:val="0"/>
      <w:marBottom w:val="0"/>
      <w:divBdr>
        <w:top w:val="none" w:sz="0" w:space="0" w:color="auto"/>
        <w:left w:val="none" w:sz="0" w:space="0" w:color="auto"/>
        <w:bottom w:val="none" w:sz="0" w:space="0" w:color="auto"/>
        <w:right w:val="none" w:sz="0" w:space="0" w:color="auto"/>
      </w:divBdr>
    </w:div>
    <w:div w:id="736636115">
      <w:marLeft w:val="640"/>
      <w:marRight w:val="0"/>
      <w:marTop w:val="0"/>
      <w:marBottom w:val="0"/>
      <w:divBdr>
        <w:top w:val="none" w:sz="0" w:space="0" w:color="auto"/>
        <w:left w:val="none" w:sz="0" w:space="0" w:color="auto"/>
        <w:bottom w:val="none" w:sz="0" w:space="0" w:color="auto"/>
        <w:right w:val="none" w:sz="0" w:space="0" w:color="auto"/>
      </w:divBdr>
    </w:div>
    <w:div w:id="738479779">
      <w:marLeft w:val="480"/>
      <w:marRight w:val="0"/>
      <w:marTop w:val="0"/>
      <w:marBottom w:val="0"/>
      <w:divBdr>
        <w:top w:val="none" w:sz="0" w:space="0" w:color="auto"/>
        <w:left w:val="none" w:sz="0" w:space="0" w:color="auto"/>
        <w:bottom w:val="none" w:sz="0" w:space="0" w:color="auto"/>
        <w:right w:val="none" w:sz="0" w:space="0" w:color="auto"/>
      </w:divBdr>
    </w:div>
    <w:div w:id="741104669">
      <w:marLeft w:val="480"/>
      <w:marRight w:val="0"/>
      <w:marTop w:val="0"/>
      <w:marBottom w:val="0"/>
      <w:divBdr>
        <w:top w:val="none" w:sz="0" w:space="0" w:color="auto"/>
        <w:left w:val="none" w:sz="0" w:space="0" w:color="auto"/>
        <w:bottom w:val="none" w:sz="0" w:space="0" w:color="auto"/>
        <w:right w:val="none" w:sz="0" w:space="0" w:color="auto"/>
      </w:divBdr>
    </w:div>
    <w:div w:id="745684636">
      <w:marLeft w:val="480"/>
      <w:marRight w:val="0"/>
      <w:marTop w:val="0"/>
      <w:marBottom w:val="0"/>
      <w:divBdr>
        <w:top w:val="none" w:sz="0" w:space="0" w:color="auto"/>
        <w:left w:val="none" w:sz="0" w:space="0" w:color="auto"/>
        <w:bottom w:val="none" w:sz="0" w:space="0" w:color="auto"/>
        <w:right w:val="none" w:sz="0" w:space="0" w:color="auto"/>
      </w:divBdr>
    </w:div>
    <w:div w:id="747575340">
      <w:marLeft w:val="480"/>
      <w:marRight w:val="0"/>
      <w:marTop w:val="0"/>
      <w:marBottom w:val="0"/>
      <w:divBdr>
        <w:top w:val="none" w:sz="0" w:space="0" w:color="auto"/>
        <w:left w:val="none" w:sz="0" w:space="0" w:color="auto"/>
        <w:bottom w:val="none" w:sz="0" w:space="0" w:color="auto"/>
        <w:right w:val="none" w:sz="0" w:space="0" w:color="auto"/>
      </w:divBdr>
    </w:div>
    <w:div w:id="750279167">
      <w:marLeft w:val="480"/>
      <w:marRight w:val="0"/>
      <w:marTop w:val="0"/>
      <w:marBottom w:val="0"/>
      <w:divBdr>
        <w:top w:val="none" w:sz="0" w:space="0" w:color="auto"/>
        <w:left w:val="none" w:sz="0" w:space="0" w:color="auto"/>
        <w:bottom w:val="none" w:sz="0" w:space="0" w:color="auto"/>
        <w:right w:val="none" w:sz="0" w:space="0" w:color="auto"/>
      </w:divBdr>
    </w:div>
    <w:div w:id="750933466">
      <w:marLeft w:val="480"/>
      <w:marRight w:val="0"/>
      <w:marTop w:val="0"/>
      <w:marBottom w:val="0"/>
      <w:divBdr>
        <w:top w:val="none" w:sz="0" w:space="0" w:color="auto"/>
        <w:left w:val="none" w:sz="0" w:space="0" w:color="auto"/>
        <w:bottom w:val="none" w:sz="0" w:space="0" w:color="auto"/>
        <w:right w:val="none" w:sz="0" w:space="0" w:color="auto"/>
      </w:divBdr>
    </w:div>
    <w:div w:id="756562919">
      <w:marLeft w:val="640"/>
      <w:marRight w:val="0"/>
      <w:marTop w:val="0"/>
      <w:marBottom w:val="0"/>
      <w:divBdr>
        <w:top w:val="none" w:sz="0" w:space="0" w:color="auto"/>
        <w:left w:val="none" w:sz="0" w:space="0" w:color="auto"/>
        <w:bottom w:val="none" w:sz="0" w:space="0" w:color="auto"/>
        <w:right w:val="none" w:sz="0" w:space="0" w:color="auto"/>
      </w:divBdr>
    </w:div>
    <w:div w:id="758873106">
      <w:marLeft w:val="480"/>
      <w:marRight w:val="0"/>
      <w:marTop w:val="0"/>
      <w:marBottom w:val="0"/>
      <w:divBdr>
        <w:top w:val="none" w:sz="0" w:space="0" w:color="auto"/>
        <w:left w:val="none" w:sz="0" w:space="0" w:color="auto"/>
        <w:bottom w:val="none" w:sz="0" w:space="0" w:color="auto"/>
        <w:right w:val="none" w:sz="0" w:space="0" w:color="auto"/>
      </w:divBdr>
    </w:div>
    <w:div w:id="758907519">
      <w:marLeft w:val="640"/>
      <w:marRight w:val="0"/>
      <w:marTop w:val="0"/>
      <w:marBottom w:val="0"/>
      <w:divBdr>
        <w:top w:val="none" w:sz="0" w:space="0" w:color="auto"/>
        <w:left w:val="none" w:sz="0" w:space="0" w:color="auto"/>
        <w:bottom w:val="none" w:sz="0" w:space="0" w:color="auto"/>
        <w:right w:val="none" w:sz="0" w:space="0" w:color="auto"/>
      </w:divBdr>
    </w:div>
    <w:div w:id="765200408">
      <w:marLeft w:val="480"/>
      <w:marRight w:val="0"/>
      <w:marTop w:val="0"/>
      <w:marBottom w:val="0"/>
      <w:divBdr>
        <w:top w:val="none" w:sz="0" w:space="0" w:color="auto"/>
        <w:left w:val="none" w:sz="0" w:space="0" w:color="auto"/>
        <w:bottom w:val="none" w:sz="0" w:space="0" w:color="auto"/>
        <w:right w:val="none" w:sz="0" w:space="0" w:color="auto"/>
      </w:divBdr>
    </w:div>
    <w:div w:id="767582498">
      <w:marLeft w:val="480"/>
      <w:marRight w:val="0"/>
      <w:marTop w:val="0"/>
      <w:marBottom w:val="0"/>
      <w:divBdr>
        <w:top w:val="none" w:sz="0" w:space="0" w:color="auto"/>
        <w:left w:val="none" w:sz="0" w:space="0" w:color="auto"/>
        <w:bottom w:val="none" w:sz="0" w:space="0" w:color="auto"/>
        <w:right w:val="none" w:sz="0" w:space="0" w:color="auto"/>
      </w:divBdr>
    </w:div>
    <w:div w:id="768551129">
      <w:marLeft w:val="640"/>
      <w:marRight w:val="0"/>
      <w:marTop w:val="0"/>
      <w:marBottom w:val="0"/>
      <w:divBdr>
        <w:top w:val="none" w:sz="0" w:space="0" w:color="auto"/>
        <w:left w:val="none" w:sz="0" w:space="0" w:color="auto"/>
        <w:bottom w:val="none" w:sz="0" w:space="0" w:color="auto"/>
        <w:right w:val="none" w:sz="0" w:space="0" w:color="auto"/>
      </w:divBdr>
    </w:div>
    <w:div w:id="770780863">
      <w:marLeft w:val="480"/>
      <w:marRight w:val="0"/>
      <w:marTop w:val="0"/>
      <w:marBottom w:val="0"/>
      <w:divBdr>
        <w:top w:val="none" w:sz="0" w:space="0" w:color="auto"/>
        <w:left w:val="none" w:sz="0" w:space="0" w:color="auto"/>
        <w:bottom w:val="none" w:sz="0" w:space="0" w:color="auto"/>
        <w:right w:val="none" w:sz="0" w:space="0" w:color="auto"/>
      </w:divBdr>
    </w:div>
    <w:div w:id="772821499">
      <w:marLeft w:val="480"/>
      <w:marRight w:val="0"/>
      <w:marTop w:val="0"/>
      <w:marBottom w:val="0"/>
      <w:divBdr>
        <w:top w:val="none" w:sz="0" w:space="0" w:color="auto"/>
        <w:left w:val="none" w:sz="0" w:space="0" w:color="auto"/>
        <w:bottom w:val="none" w:sz="0" w:space="0" w:color="auto"/>
        <w:right w:val="none" w:sz="0" w:space="0" w:color="auto"/>
      </w:divBdr>
    </w:div>
    <w:div w:id="782841677">
      <w:marLeft w:val="480"/>
      <w:marRight w:val="0"/>
      <w:marTop w:val="0"/>
      <w:marBottom w:val="0"/>
      <w:divBdr>
        <w:top w:val="none" w:sz="0" w:space="0" w:color="auto"/>
        <w:left w:val="none" w:sz="0" w:space="0" w:color="auto"/>
        <w:bottom w:val="none" w:sz="0" w:space="0" w:color="auto"/>
        <w:right w:val="none" w:sz="0" w:space="0" w:color="auto"/>
      </w:divBdr>
    </w:div>
    <w:div w:id="792016286">
      <w:marLeft w:val="480"/>
      <w:marRight w:val="0"/>
      <w:marTop w:val="0"/>
      <w:marBottom w:val="0"/>
      <w:divBdr>
        <w:top w:val="none" w:sz="0" w:space="0" w:color="auto"/>
        <w:left w:val="none" w:sz="0" w:space="0" w:color="auto"/>
        <w:bottom w:val="none" w:sz="0" w:space="0" w:color="auto"/>
        <w:right w:val="none" w:sz="0" w:space="0" w:color="auto"/>
      </w:divBdr>
    </w:div>
    <w:div w:id="792091997">
      <w:marLeft w:val="640"/>
      <w:marRight w:val="0"/>
      <w:marTop w:val="0"/>
      <w:marBottom w:val="0"/>
      <w:divBdr>
        <w:top w:val="none" w:sz="0" w:space="0" w:color="auto"/>
        <w:left w:val="none" w:sz="0" w:space="0" w:color="auto"/>
        <w:bottom w:val="none" w:sz="0" w:space="0" w:color="auto"/>
        <w:right w:val="none" w:sz="0" w:space="0" w:color="auto"/>
      </w:divBdr>
    </w:div>
    <w:div w:id="809126555">
      <w:marLeft w:val="480"/>
      <w:marRight w:val="0"/>
      <w:marTop w:val="0"/>
      <w:marBottom w:val="0"/>
      <w:divBdr>
        <w:top w:val="none" w:sz="0" w:space="0" w:color="auto"/>
        <w:left w:val="none" w:sz="0" w:space="0" w:color="auto"/>
        <w:bottom w:val="none" w:sz="0" w:space="0" w:color="auto"/>
        <w:right w:val="none" w:sz="0" w:space="0" w:color="auto"/>
      </w:divBdr>
    </w:div>
    <w:div w:id="817383904">
      <w:marLeft w:val="640"/>
      <w:marRight w:val="0"/>
      <w:marTop w:val="0"/>
      <w:marBottom w:val="0"/>
      <w:divBdr>
        <w:top w:val="none" w:sz="0" w:space="0" w:color="auto"/>
        <w:left w:val="none" w:sz="0" w:space="0" w:color="auto"/>
        <w:bottom w:val="none" w:sz="0" w:space="0" w:color="auto"/>
        <w:right w:val="none" w:sz="0" w:space="0" w:color="auto"/>
      </w:divBdr>
    </w:div>
    <w:div w:id="821970993">
      <w:marLeft w:val="480"/>
      <w:marRight w:val="0"/>
      <w:marTop w:val="0"/>
      <w:marBottom w:val="0"/>
      <w:divBdr>
        <w:top w:val="none" w:sz="0" w:space="0" w:color="auto"/>
        <w:left w:val="none" w:sz="0" w:space="0" w:color="auto"/>
        <w:bottom w:val="none" w:sz="0" w:space="0" w:color="auto"/>
        <w:right w:val="none" w:sz="0" w:space="0" w:color="auto"/>
      </w:divBdr>
    </w:div>
    <w:div w:id="827865752">
      <w:marLeft w:val="640"/>
      <w:marRight w:val="0"/>
      <w:marTop w:val="0"/>
      <w:marBottom w:val="0"/>
      <w:divBdr>
        <w:top w:val="none" w:sz="0" w:space="0" w:color="auto"/>
        <w:left w:val="none" w:sz="0" w:space="0" w:color="auto"/>
        <w:bottom w:val="none" w:sz="0" w:space="0" w:color="auto"/>
        <w:right w:val="none" w:sz="0" w:space="0" w:color="auto"/>
      </w:divBdr>
    </w:div>
    <w:div w:id="829054935">
      <w:marLeft w:val="640"/>
      <w:marRight w:val="0"/>
      <w:marTop w:val="0"/>
      <w:marBottom w:val="0"/>
      <w:divBdr>
        <w:top w:val="none" w:sz="0" w:space="0" w:color="auto"/>
        <w:left w:val="none" w:sz="0" w:space="0" w:color="auto"/>
        <w:bottom w:val="none" w:sz="0" w:space="0" w:color="auto"/>
        <w:right w:val="none" w:sz="0" w:space="0" w:color="auto"/>
      </w:divBdr>
    </w:div>
    <w:div w:id="829103718">
      <w:marLeft w:val="480"/>
      <w:marRight w:val="0"/>
      <w:marTop w:val="0"/>
      <w:marBottom w:val="0"/>
      <w:divBdr>
        <w:top w:val="none" w:sz="0" w:space="0" w:color="auto"/>
        <w:left w:val="none" w:sz="0" w:space="0" w:color="auto"/>
        <w:bottom w:val="none" w:sz="0" w:space="0" w:color="auto"/>
        <w:right w:val="none" w:sz="0" w:space="0" w:color="auto"/>
      </w:divBdr>
    </w:div>
    <w:div w:id="830759901">
      <w:marLeft w:val="640"/>
      <w:marRight w:val="0"/>
      <w:marTop w:val="0"/>
      <w:marBottom w:val="0"/>
      <w:divBdr>
        <w:top w:val="none" w:sz="0" w:space="0" w:color="auto"/>
        <w:left w:val="none" w:sz="0" w:space="0" w:color="auto"/>
        <w:bottom w:val="none" w:sz="0" w:space="0" w:color="auto"/>
        <w:right w:val="none" w:sz="0" w:space="0" w:color="auto"/>
      </w:divBdr>
    </w:div>
    <w:div w:id="831221974">
      <w:marLeft w:val="640"/>
      <w:marRight w:val="0"/>
      <w:marTop w:val="0"/>
      <w:marBottom w:val="0"/>
      <w:divBdr>
        <w:top w:val="none" w:sz="0" w:space="0" w:color="auto"/>
        <w:left w:val="none" w:sz="0" w:space="0" w:color="auto"/>
        <w:bottom w:val="none" w:sz="0" w:space="0" w:color="auto"/>
        <w:right w:val="none" w:sz="0" w:space="0" w:color="auto"/>
      </w:divBdr>
    </w:div>
    <w:div w:id="831801402">
      <w:marLeft w:val="640"/>
      <w:marRight w:val="0"/>
      <w:marTop w:val="0"/>
      <w:marBottom w:val="0"/>
      <w:divBdr>
        <w:top w:val="none" w:sz="0" w:space="0" w:color="auto"/>
        <w:left w:val="none" w:sz="0" w:space="0" w:color="auto"/>
        <w:bottom w:val="none" w:sz="0" w:space="0" w:color="auto"/>
        <w:right w:val="none" w:sz="0" w:space="0" w:color="auto"/>
      </w:divBdr>
    </w:div>
    <w:div w:id="833762124">
      <w:marLeft w:val="480"/>
      <w:marRight w:val="0"/>
      <w:marTop w:val="0"/>
      <w:marBottom w:val="0"/>
      <w:divBdr>
        <w:top w:val="none" w:sz="0" w:space="0" w:color="auto"/>
        <w:left w:val="none" w:sz="0" w:space="0" w:color="auto"/>
        <w:bottom w:val="none" w:sz="0" w:space="0" w:color="auto"/>
        <w:right w:val="none" w:sz="0" w:space="0" w:color="auto"/>
      </w:divBdr>
    </w:div>
    <w:div w:id="836462535">
      <w:marLeft w:val="480"/>
      <w:marRight w:val="0"/>
      <w:marTop w:val="0"/>
      <w:marBottom w:val="0"/>
      <w:divBdr>
        <w:top w:val="none" w:sz="0" w:space="0" w:color="auto"/>
        <w:left w:val="none" w:sz="0" w:space="0" w:color="auto"/>
        <w:bottom w:val="none" w:sz="0" w:space="0" w:color="auto"/>
        <w:right w:val="none" w:sz="0" w:space="0" w:color="auto"/>
      </w:divBdr>
    </w:div>
    <w:div w:id="836847661">
      <w:marLeft w:val="640"/>
      <w:marRight w:val="0"/>
      <w:marTop w:val="0"/>
      <w:marBottom w:val="0"/>
      <w:divBdr>
        <w:top w:val="none" w:sz="0" w:space="0" w:color="auto"/>
        <w:left w:val="none" w:sz="0" w:space="0" w:color="auto"/>
        <w:bottom w:val="none" w:sz="0" w:space="0" w:color="auto"/>
        <w:right w:val="none" w:sz="0" w:space="0" w:color="auto"/>
      </w:divBdr>
    </w:div>
    <w:div w:id="839390506">
      <w:marLeft w:val="480"/>
      <w:marRight w:val="0"/>
      <w:marTop w:val="0"/>
      <w:marBottom w:val="0"/>
      <w:divBdr>
        <w:top w:val="none" w:sz="0" w:space="0" w:color="auto"/>
        <w:left w:val="none" w:sz="0" w:space="0" w:color="auto"/>
        <w:bottom w:val="none" w:sz="0" w:space="0" w:color="auto"/>
        <w:right w:val="none" w:sz="0" w:space="0" w:color="auto"/>
      </w:divBdr>
    </w:div>
    <w:div w:id="842208785">
      <w:marLeft w:val="640"/>
      <w:marRight w:val="0"/>
      <w:marTop w:val="0"/>
      <w:marBottom w:val="0"/>
      <w:divBdr>
        <w:top w:val="none" w:sz="0" w:space="0" w:color="auto"/>
        <w:left w:val="none" w:sz="0" w:space="0" w:color="auto"/>
        <w:bottom w:val="none" w:sz="0" w:space="0" w:color="auto"/>
        <w:right w:val="none" w:sz="0" w:space="0" w:color="auto"/>
      </w:divBdr>
    </w:div>
    <w:div w:id="843013914">
      <w:marLeft w:val="480"/>
      <w:marRight w:val="0"/>
      <w:marTop w:val="0"/>
      <w:marBottom w:val="0"/>
      <w:divBdr>
        <w:top w:val="none" w:sz="0" w:space="0" w:color="auto"/>
        <w:left w:val="none" w:sz="0" w:space="0" w:color="auto"/>
        <w:bottom w:val="none" w:sz="0" w:space="0" w:color="auto"/>
        <w:right w:val="none" w:sz="0" w:space="0" w:color="auto"/>
      </w:divBdr>
    </w:div>
    <w:div w:id="845749819">
      <w:marLeft w:val="640"/>
      <w:marRight w:val="0"/>
      <w:marTop w:val="0"/>
      <w:marBottom w:val="0"/>
      <w:divBdr>
        <w:top w:val="none" w:sz="0" w:space="0" w:color="auto"/>
        <w:left w:val="none" w:sz="0" w:space="0" w:color="auto"/>
        <w:bottom w:val="none" w:sz="0" w:space="0" w:color="auto"/>
        <w:right w:val="none" w:sz="0" w:space="0" w:color="auto"/>
      </w:divBdr>
    </w:div>
    <w:div w:id="845947032">
      <w:marLeft w:val="480"/>
      <w:marRight w:val="0"/>
      <w:marTop w:val="0"/>
      <w:marBottom w:val="0"/>
      <w:divBdr>
        <w:top w:val="none" w:sz="0" w:space="0" w:color="auto"/>
        <w:left w:val="none" w:sz="0" w:space="0" w:color="auto"/>
        <w:bottom w:val="none" w:sz="0" w:space="0" w:color="auto"/>
        <w:right w:val="none" w:sz="0" w:space="0" w:color="auto"/>
      </w:divBdr>
    </w:div>
    <w:div w:id="854149952">
      <w:marLeft w:val="640"/>
      <w:marRight w:val="0"/>
      <w:marTop w:val="0"/>
      <w:marBottom w:val="0"/>
      <w:divBdr>
        <w:top w:val="none" w:sz="0" w:space="0" w:color="auto"/>
        <w:left w:val="none" w:sz="0" w:space="0" w:color="auto"/>
        <w:bottom w:val="none" w:sz="0" w:space="0" w:color="auto"/>
        <w:right w:val="none" w:sz="0" w:space="0" w:color="auto"/>
      </w:divBdr>
    </w:div>
    <w:div w:id="862480945">
      <w:marLeft w:val="480"/>
      <w:marRight w:val="0"/>
      <w:marTop w:val="0"/>
      <w:marBottom w:val="0"/>
      <w:divBdr>
        <w:top w:val="none" w:sz="0" w:space="0" w:color="auto"/>
        <w:left w:val="none" w:sz="0" w:space="0" w:color="auto"/>
        <w:bottom w:val="none" w:sz="0" w:space="0" w:color="auto"/>
        <w:right w:val="none" w:sz="0" w:space="0" w:color="auto"/>
      </w:divBdr>
    </w:div>
    <w:div w:id="867913085">
      <w:marLeft w:val="480"/>
      <w:marRight w:val="0"/>
      <w:marTop w:val="0"/>
      <w:marBottom w:val="0"/>
      <w:divBdr>
        <w:top w:val="none" w:sz="0" w:space="0" w:color="auto"/>
        <w:left w:val="none" w:sz="0" w:space="0" w:color="auto"/>
        <w:bottom w:val="none" w:sz="0" w:space="0" w:color="auto"/>
        <w:right w:val="none" w:sz="0" w:space="0" w:color="auto"/>
      </w:divBdr>
    </w:div>
    <w:div w:id="869605697">
      <w:marLeft w:val="640"/>
      <w:marRight w:val="0"/>
      <w:marTop w:val="0"/>
      <w:marBottom w:val="0"/>
      <w:divBdr>
        <w:top w:val="none" w:sz="0" w:space="0" w:color="auto"/>
        <w:left w:val="none" w:sz="0" w:space="0" w:color="auto"/>
        <w:bottom w:val="none" w:sz="0" w:space="0" w:color="auto"/>
        <w:right w:val="none" w:sz="0" w:space="0" w:color="auto"/>
      </w:divBdr>
    </w:div>
    <w:div w:id="874541813">
      <w:marLeft w:val="640"/>
      <w:marRight w:val="0"/>
      <w:marTop w:val="0"/>
      <w:marBottom w:val="0"/>
      <w:divBdr>
        <w:top w:val="none" w:sz="0" w:space="0" w:color="auto"/>
        <w:left w:val="none" w:sz="0" w:space="0" w:color="auto"/>
        <w:bottom w:val="none" w:sz="0" w:space="0" w:color="auto"/>
        <w:right w:val="none" w:sz="0" w:space="0" w:color="auto"/>
      </w:divBdr>
    </w:div>
    <w:div w:id="881939999">
      <w:marLeft w:val="480"/>
      <w:marRight w:val="0"/>
      <w:marTop w:val="0"/>
      <w:marBottom w:val="0"/>
      <w:divBdr>
        <w:top w:val="none" w:sz="0" w:space="0" w:color="auto"/>
        <w:left w:val="none" w:sz="0" w:space="0" w:color="auto"/>
        <w:bottom w:val="none" w:sz="0" w:space="0" w:color="auto"/>
        <w:right w:val="none" w:sz="0" w:space="0" w:color="auto"/>
      </w:divBdr>
    </w:div>
    <w:div w:id="885290026">
      <w:marLeft w:val="640"/>
      <w:marRight w:val="0"/>
      <w:marTop w:val="0"/>
      <w:marBottom w:val="0"/>
      <w:divBdr>
        <w:top w:val="none" w:sz="0" w:space="0" w:color="auto"/>
        <w:left w:val="none" w:sz="0" w:space="0" w:color="auto"/>
        <w:bottom w:val="none" w:sz="0" w:space="0" w:color="auto"/>
        <w:right w:val="none" w:sz="0" w:space="0" w:color="auto"/>
      </w:divBdr>
    </w:div>
    <w:div w:id="889996748">
      <w:marLeft w:val="480"/>
      <w:marRight w:val="0"/>
      <w:marTop w:val="0"/>
      <w:marBottom w:val="0"/>
      <w:divBdr>
        <w:top w:val="none" w:sz="0" w:space="0" w:color="auto"/>
        <w:left w:val="none" w:sz="0" w:space="0" w:color="auto"/>
        <w:bottom w:val="none" w:sz="0" w:space="0" w:color="auto"/>
        <w:right w:val="none" w:sz="0" w:space="0" w:color="auto"/>
      </w:divBdr>
    </w:div>
    <w:div w:id="893586369">
      <w:marLeft w:val="480"/>
      <w:marRight w:val="0"/>
      <w:marTop w:val="0"/>
      <w:marBottom w:val="0"/>
      <w:divBdr>
        <w:top w:val="none" w:sz="0" w:space="0" w:color="auto"/>
        <w:left w:val="none" w:sz="0" w:space="0" w:color="auto"/>
        <w:bottom w:val="none" w:sz="0" w:space="0" w:color="auto"/>
        <w:right w:val="none" w:sz="0" w:space="0" w:color="auto"/>
      </w:divBdr>
    </w:div>
    <w:div w:id="894051169">
      <w:marLeft w:val="640"/>
      <w:marRight w:val="0"/>
      <w:marTop w:val="0"/>
      <w:marBottom w:val="0"/>
      <w:divBdr>
        <w:top w:val="none" w:sz="0" w:space="0" w:color="auto"/>
        <w:left w:val="none" w:sz="0" w:space="0" w:color="auto"/>
        <w:bottom w:val="none" w:sz="0" w:space="0" w:color="auto"/>
        <w:right w:val="none" w:sz="0" w:space="0" w:color="auto"/>
      </w:divBdr>
    </w:div>
    <w:div w:id="894202490">
      <w:marLeft w:val="640"/>
      <w:marRight w:val="0"/>
      <w:marTop w:val="0"/>
      <w:marBottom w:val="0"/>
      <w:divBdr>
        <w:top w:val="none" w:sz="0" w:space="0" w:color="auto"/>
        <w:left w:val="none" w:sz="0" w:space="0" w:color="auto"/>
        <w:bottom w:val="none" w:sz="0" w:space="0" w:color="auto"/>
        <w:right w:val="none" w:sz="0" w:space="0" w:color="auto"/>
      </w:divBdr>
    </w:div>
    <w:div w:id="894664297">
      <w:marLeft w:val="640"/>
      <w:marRight w:val="0"/>
      <w:marTop w:val="0"/>
      <w:marBottom w:val="0"/>
      <w:divBdr>
        <w:top w:val="none" w:sz="0" w:space="0" w:color="auto"/>
        <w:left w:val="none" w:sz="0" w:space="0" w:color="auto"/>
        <w:bottom w:val="none" w:sz="0" w:space="0" w:color="auto"/>
        <w:right w:val="none" w:sz="0" w:space="0" w:color="auto"/>
      </w:divBdr>
    </w:div>
    <w:div w:id="899943544">
      <w:marLeft w:val="480"/>
      <w:marRight w:val="0"/>
      <w:marTop w:val="0"/>
      <w:marBottom w:val="0"/>
      <w:divBdr>
        <w:top w:val="none" w:sz="0" w:space="0" w:color="auto"/>
        <w:left w:val="none" w:sz="0" w:space="0" w:color="auto"/>
        <w:bottom w:val="none" w:sz="0" w:space="0" w:color="auto"/>
        <w:right w:val="none" w:sz="0" w:space="0" w:color="auto"/>
      </w:divBdr>
    </w:div>
    <w:div w:id="900019254">
      <w:marLeft w:val="480"/>
      <w:marRight w:val="0"/>
      <w:marTop w:val="0"/>
      <w:marBottom w:val="0"/>
      <w:divBdr>
        <w:top w:val="none" w:sz="0" w:space="0" w:color="auto"/>
        <w:left w:val="none" w:sz="0" w:space="0" w:color="auto"/>
        <w:bottom w:val="none" w:sz="0" w:space="0" w:color="auto"/>
        <w:right w:val="none" w:sz="0" w:space="0" w:color="auto"/>
      </w:divBdr>
    </w:div>
    <w:div w:id="909579244">
      <w:marLeft w:val="640"/>
      <w:marRight w:val="0"/>
      <w:marTop w:val="0"/>
      <w:marBottom w:val="0"/>
      <w:divBdr>
        <w:top w:val="none" w:sz="0" w:space="0" w:color="auto"/>
        <w:left w:val="none" w:sz="0" w:space="0" w:color="auto"/>
        <w:bottom w:val="none" w:sz="0" w:space="0" w:color="auto"/>
        <w:right w:val="none" w:sz="0" w:space="0" w:color="auto"/>
      </w:divBdr>
    </w:div>
    <w:div w:id="921645736">
      <w:marLeft w:val="480"/>
      <w:marRight w:val="0"/>
      <w:marTop w:val="0"/>
      <w:marBottom w:val="0"/>
      <w:divBdr>
        <w:top w:val="none" w:sz="0" w:space="0" w:color="auto"/>
        <w:left w:val="none" w:sz="0" w:space="0" w:color="auto"/>
        <w:bottom w:val="none" w:sz="0" w:space="0" w:color="auto"/>
        <w:right w:val="none" w:sz="0" w:space="0" w:color="auto"/>
      </w:divBdr>
    </w:div>
    <w:div w:id="929390568">
      <w:marLeft w:val="480"/>
      <w:marRight w:val="0"/>
      <w:marTop w:val="0"/>
      <w:marBottom w:val="0"/>
      <w:divBdr>
        <w:top w:val="none" w:sz="0" w:space="0" w:color="auto"/>
        <w:left w:val="none" w:sz="0" w:space="0" w:color="auto"/>
        <w:bottom w:val="none" w:sz="0" w:space="0" w:color="auto"/>
        <w:right w:val="none" w:sz="0" w:space="0" w:color="auto"/>
      </w:divBdr>
    </w:div>
    <w:div w:id="929780757">
      <w:marLeft w:val="480"/>
      <w:marRight w:val="0"/>
      <w:marTop w:val="0"/>
      <w:marBottom w:val="0"/>
      <w:divBdr>
        <w:top w:val="none" w:sz="0" w:space="0" w:color="auto"/>
        <w:left w:val="none" w:sz="0" w:space="0" w:color="auto"/>
        <w:bottom w:val="none" w:sz="0" w:space="0" w:color="auto"/>
        <w:right w:val="none" w:sz="0" w:space="0" w:color="auto"/>
      </w:divBdr>
    </w:div>
    <w:div w:id="931157827">
      <w:marLeft w:val="480"/>
      <w:marRight w:val="0"/>
      <w:marTop w:val="0"/>
      <w:marBottom w:val="0"/>
      <w:divBdr>
        <w:top w:val="none" w:sz="0" w:space="0" w:color="auto"/>
        <w:left w:val="none" w:sz="0" w:space="0" w:color="auto"/>
        <w:bottom w:val="none" w:sz="0" w:space="0" w:color="auto"/>
        <w:right w:val="none" w:sz="0" w:space="0" w:color="auto"/>
      </w:divBdr>
    </w:div>
    <w:div w:id="937980502">
      <w:marLeft w:val="480"/>
      <w:marRight w:val="0"/>
      <w:marTop w:val="0"/>
      <w:marBottom w:val="0"/>
      <w:divBdr>
        <w:top w:val="none" w:sz="0" w:space="0" w:color="auto"/>
        <w:left w:val="none" w:sz="0" w:space="0" w:color="auto"/>
        <w:bottom w:val="none" w:sz="0" w:space="0" w:color="auto"/>
        <w:right w:val="none" w:sz="0" w:space="0" w:color="auto"/>
      </w:divBdr>
    </w:div>
    <w:div w:id="938410150">
      <w:marLeft w:val="480"/>
      <w:marRight w:val="0"/>
      <w:marTop w:val="0"/>
      <w:marBottom w:val="0"/>
      <w:divBdr>
        <w:top w:val="none" w:sz="0" w:space="0" w:color="auto"/>
        <w:left w:val="none" w:sz="0" w:space="0" w:color="auto"/>
        <w:bottom w:val="none" w:sz="0" w:space="0" w:color="auto"/>
        <w:right w:val="none" w:sz="0" w:space="0" w:color="auto"/>
      </w:divBdr>
    </w:div>
    <w:div w:id="940719703">
      <w:marLeft w:val="640"/>
      <w:marRight w:val="0"/>
      <w:marTop w:val="0"/>
      <w:marBottom w:val="0"/>
      <w:divBdr>
        <w:top w:val="none" w:sz="0" w:space="0" w:color="auto"/>
        <w:left w:val="none" w:sz="0" w:space="0" w:color="auto"/>
        <w:bottom w:val="none" w:sz="0" w:space="0" w:color="auto"/>
        <w:right w:val="none" w:sz="0" w:space="0" w:color="auto"/>
      </w:divBdr>
    </w:div>
    <w:div w:id="941499762">
      <w:marLeft w:val="640"/>
      <w:marRight w:val="0"/>
      <w:marTop w:val="0"/>
      <w:marBottom w:val="0"/>
      <w:divBdr>
        <w:top w:val="none" w:sz="0" w:space="0" w:color="auto"/>
        <w:left w:val="none" w:sz="0" w:space="0" w:color="auto"/>
        <w:bottom w:val="none" w:sz="0" w:space="0" w:color="auto"/>
        <w:right w:val="none" w:sz="0" w:space="0" w:color="auto"/>
      </w:divBdr>
    </w:div>
    <w:div w:id="955867430">
      <w:marLeft w:val="640"/>
      <w:marRight w:val="0"/>
      <w:marTop w:val="0"/>
      <w:marBottom w:val="0"/>
      <w:divBdr>
        <w:top w:val="none" w:sz="0" w:space="0" w:color="auto"/>
        <w:left w:val="none" w:sz="0" w:space="0" w:color="auto"/>
        <w:bottom w:val="none" w:sz="0" w:space="0" w:color="auto"/>
        <w:right w:val="none" w:sz="0" w:space="0" w:color="auto"/>
      </w:divBdr>
    </w:div>
    <w:div w:id="956371593">
      <w:marLeft w:val="640"/>
      <w:marRight w:val="0"/>
      <w:marTop w:val="0"/>
      <w:marBottom w:val="0"/>
      <w:divBdr>
        <w:top w:val="none" w:sz="0" w:space="0" w:color="auto"/>
        <w:left w:val="none" w:sz="0" w:space="0" w:color="auto"/>
        <w:bottom w:val="none" w:sz="0" w:space="0" w:color="auto"/>
        <w:right w:val="none" w:sz="0" w:space="0" w:color="auto"/>
      </w:divBdr>
    </w:div>
    <w:div w:id="958028135">
      <w:marLeft w:val="480"/>
      <w:marRight w:val="0"/>
      <w:marTop w:val="0"/>
      <w:marBottom w:val="0"/>
      <w:divBdr>
        <w:top w:val="none" w:sz="0" w:space="0" w:color="auto"/>
        <w:left w:val="none" w:sz="0" w:space="0" w:color="auto"/>
        <w:bottom w:val="none" w:sz="0" w:space="0" w:color="auto"/>
        <w:right w:val="none" w:sz="0" w:space="0" w:color="auto"/>
      </w:divBdr>
    </w:div>
    <w:div w:id="958150455">
      <w:marLeft w:val="480"/>
      <w:marRight w:val="0"/>
      <w:marTop w:val="0"/>
      <w:marBottom w:val="0"/>
      <w:divBdr>
        <w:top w:val="none" w:sz="0" w:space="0" w:color="auto"/>
        <w:left w:val="none" w:sz="0" w:space="0" w:color="auto"/>
        <w:bottom w:val="none" w:sz="0" w:space="0" w:color="auto"/>
        <w:right w:val="none" w:sz="0" w:space="0" w:color="auto"/>
      </w:divBdr>
    </w:div>
    <w:div w:id="966006464">
      <w:marLeft w:val="640"/>
      <w:marRight w:val="0"/>
      <w:marTop w:val="0"/>
      <w:marBottom w:val="0"/>
      <w:divBdr>
        <w:top w:val="none" w:sz="0" w:space="0" w:color="auto"/>
        <w:left w:val="none" w:sz="0" w:space="0" w:color="auto"/>
        <w:bottom w:val="none" w:sz="0" w:space="0" w:color="auto"/>
        <w:right w:val="none" w:sz="0" w:space="0" w:color="auto"/>
      </w:divBdr>
    </w:div>
    <w:div w:id="971594677">
      <w:marLeft w:val="480"/>
      <w:marRight w:val="0"/>
      <w:marTop w:val="0"/>
      <w:marBottom w:val="0"/>
      <w:divBdr>
        <w:top w:val="none" w:sz="0" w:space="0" w:color="auto"/>
        <w:left w:val="none" w:sz="0" w:space="0" w:color="auto"/>
        <w:bottom w:val="none" w:sz="0" w:space="0" w:color="auto"/>
        <w:right w:val="none" w:sz="0" w:space="0" w:color="auto"/>
      </w:divBdr>
    </w:div>
    <w:div w:id="971980001">
      <w:marLeft w:val="480"/>
      <w:marRight w:val="0"/>
      <w:marTop w:val="0"/>
      <w:marBottom w:val="0"/>
      <w:divBdr>
        <w:top w:val="none" w:sz="0" w:space="0" w:color="auto"/>
        <w:left w:val="none" w:sz="0" w:space="0" w:color="auto"/>
        <w:bottom w:val="none" w:sz="0" w:space="0" w:color="auto"/>
        <w:right w:val="none" w:sz="0" w:space="0" w:color="auto"/>
      </w:divBdr>
    </w:div>
    <w:div w:id="972516238">
      <w:marLeft w:val="480"/>
      <w:marRight w:val="0"/>
      <w:marTop w:val="0"/>
      <w:marBottom w:val="0"/>
      <w:divBdr>
        <w:top w:val="none" w:sz="0" w:space="0" w:color="auto"/>
        <w:left w:val="none" w:sz="0" w:space="0" w:color="auto"/>
        <w:bottom w:val="none" w:sz="0" w:space="0" w:color="auto"/>
        <w:right w:val="none" w:sz="0" w:space="0" w:color="auto"/>
      </w:divBdr>
    </w:div>
    <w:div w:id="977077342">
      <w:marLeft w:val="640"/>
      <w:marRight w:val="0"/>
      <w:marTop w:val="0"/>
      <w:marBottom w:val="0"/>
      <w:divBdr>
        <w:top w:val="none" w:sz="0" w:space="0" w:color="auto"/>
        <w:left w:val="none" w:sz="0" w:space="0" w:color="auto"/>
        <w:bottom w:val="none" w:sz="0" w:space="0" w:color="auto"/>
        <w:right w:val="none" w:sz="0" w:space="0" w:color="auto"/>
      </w:divBdr>
    </w:div>
    <w:div w:id="978807867">
      <w:marLeft w:val="480"/>
      <w:marRight w:val="0"/>
      <w:marTop w:val="0"/>
      <w:marBottom w:val="0"/>
      <w:divBdr>
        <w:top w:val="none" w:sz="0" w:space="0" w:color="auto"/>
        <w:left w:val="none" w:sz="0" w:space="0" w:color="auto"/>
        <w:bottom w:val="none" w:sz="0" w:space="0" w:color="auto"/>
        <w:right w:val="none" w:sz="0" w:space="0" w:color="auto"/>
      </w:divBdr>
    </w:div>
    <w:div w:id="984700441">
      <w:marLeft w:val="480"/>
      <w:marRight w:val="0"/>
      <w:marTop w:val="0"/>
      <w:marBottom w:val="0"/>
      <w:divBdr>
        <w:top w:val="none" w:sz="0" w:space="0" w:color="auto"/>
        <w:left w:val="none" w:sz="0" w:space="0" w:color="auto"/>
        <w:bottom w:val="none" w:sz="0" w:space="0" w:color="auto"/>
        <w:right w:val="none" w:sz="0" w:space="0" w:color="auto"/>
      </w:divBdr>
    </w:div>
    <w:div w:id="985430451">
      <w:marLeft w:val="480"/>
      <w:marRight w:val="0"/>
      <w:marTop w:val="0"/>
      <w:marBottom w:val="0"/>
      <w:divBdr>
        <w:top w:val="none" w:sz="0" w:space="0" w:color="auto"/>
        <w:left w:val="none" w:sz="0" w:space="0" w:color="auto"/>
        <w:bottom w:val="none" w:sz="0" w:space="0" w:color="auto"/>
        <w:right w:val="none" w:sz="0" w:space="0" w:color="auto"/>
      </w:divBdr>
    </w:div>
    <w:div w:id="986545383">
      <w:marLeft w:val="640"/>
      <w:marRight w:val="0"/>
      <w:marTop w:val="0"/>
      <w:marBottom w:val="0"/>
      <w:divBdr>
        <w:top w:val="none" w:sz="0" w:space="0" w:color="auto"/>
        <w:left w:val="none" w:sz="0" w:space="0" w:color="auto"/>
        <w:bottom w:val="none" w:sz="0" w:space="0" w:color="auto"/>
        <w:right w:val="none" w:sz="0" w:space="0" w:color="auto"/>
      </w:divBdr>
    </w:div>
    <w:div w:id="987250763">
      <w:marLeft w:val="480"/>
      <w:marRight w:val="0"/>
      <w:marTop w:val="0"/>
      <w:marBottom w:val="0"/>
      <w:divBdr>
        <w:top w:val="none" w:sz="0" w:space="0" w:color="auto"/>
        <w:left w:val="none" w:sz="0" w:space="0" w:color="auto"/>
        <w:bottom w:val="none" w:sz="0" w:space="0" w:color="auto"/>
        <w:right w:val="none" w:sz="0" w:space="0" w:color="auto"/>
      </w:divBdr>
    </w:div>
    <w:div w:id="994259522">
      <w:marLeft w:val="480"/>
      <w:marRight w:val="0"/>
      <w:marTop w:val="0"/>
      <w:marBottom w:val="0"/>
      <w:divBdr>
        <w:top w:val="none" w:sz="0" w:space="0" w:color="auto"/>
        <w:left w:val="none" w:sz="0" w:space="0" w:color="auto"/>
        <w:bottom w:val="none" w:sz="0" w:space="0" w:color="auto"/>
        <w:right w:val="none" w:sz="0" w:space="0" w:color="auto"/>
      </w:divBdr>
    </w:div>
    <w:div w:id="997339736">
      <w:marLeft w:val="480"/>
      <w:marRight w:val="0"/>
      <w:marTop w:val="0"/>
      <w:marBottom w:val="0"/>
      <w:divBdr>
        <w:top w:val="none" w:sz="0" w:space="0" w:color="auto"/>
        <w:left w:val="none" w:sz="0" w:space="0" w:color="auto"/>
        <w:bottom w:val="none" w:sz="0" w:space="0" w:color="auto"/>
        <w:right w:val="none" w:sz="0" w:space="0" w:color="auto"/>
      </w:divBdr>
    </w:div>
    <w:div w:id="1007442315">
      <w:marLeft w:val="640"/>
      <w:marRight w:val="0"/>
      <w:marTop w:val="0"/>
      <w:marBottom w:val="0"/>
      <w:divBdr>
        <w:top w:val="none" w:sz="0" w:space="0" w:color="auto"/>
        <w:left w:val="none" w:sz="0" w:space="0" w:color="auto"/>
        <w:bottom w:val="none" w:sz="0" w:space="0" w:color="auto"/>
        <w:right w:val="none" w:sz="0" w:space="0" w:color="auto"/>
      </w:divBdr>
    </w:div>
    <w:div w:id="1011563718">
      <w:marLeft w:val="640"/>
      <w:marRight w:val="0"/>
      <w:marTop w:val="0"/>
      <w:marBottom w:val="0"/>
      <w:divBdr>
        <w:top w:val="none" w:sz="0" w:space="0" w:color="auto"/>
        <w:left w:val="none" w:sz="0" w:space="0" w:color="auto"/>
        <w:bottom w:val="none" w:sz="0" w:space="0" w:color="auto"/>
        <w:right w:val="none" w:sz="0" w:space="0" w:color="auto"/>
      </w:divBdr>
    </w:div>
    <w:div w:id="1013919702">
      <w:marLeft w:val="480"/>
      <w:marRight w:val="0"/>
      <w:marTop w:val="0"/>
      <w:marBottom w:val="0"/>
      <w:divBdr>
        <w:top w:val="none" w:sz="0" w:space="0" w:color="auto"/>
        <w:left w:val="none" w:sz="0" w:space="0" w:color="auto"/>
        <w:bottom w:val="none" w:sz="0" w:space="0" w:color="auto"/>
        <w:right w:val="none" w:sz="0" w:space="0" w:color="auto"/>
      </w:divBdr>
    </w:div>
    <w:div w:id="1016692616">
      <w:marLeft w:val="480"/>
      <w:marRight w:val="0"/>
      <w:marTop w:val="0"/>
      <w:marBottom w:val="0"/>
      <w:divBdr>
        <w:top w:val="none" w:sz="0" w:space="0" w:color="auto"/>
        <w:left w:val="none" w:sz="0" w:space="0" w:color="auto"/>
        <w:bottom w:val="none" w:sz="0" w:space="0" w:color="auto"/>
        <w:right w:val="none" w:sz="0" w:space="0" w:color="auto"/>
      </w:divBdr>
    </w:div>
    <w:div w:id="1020934598">
      <w:marLeft w:val="480"/>
      <w:marRight w:val="0"/>
      <w:marTop w:val="0"/>
      <w:marBottom w:val="0"/>
      <w:divBdr>
        <w:top w:val="none" w:sz="0" w:space="0" w:color="auto"/>
        <w:left w:val="none" w:sz="0" w:space="0" w:color="auto"/>
        <w:bottom w:val="none" w:sz="0" w:space="0" w:color="auto"/>
        <w:right w:val="none" w:sz="0" w:space="0" w:color="auto"/>
      </w:divBdr>
    </w:div>
    <w:div w:id="1021974996">
      <w:marLeft w:val="480"/>
      <w:marRight w:val="0"/>
      <w:marTop w:val="0"/>
      <w:marBottom w:val="0"/>
      <w:divBdr>
        <w:top w:val="none" w:sz="0" w:space="0" w:color="auto"/>
        <w:left w:val="none" w:sz="0" w:space="0" w:color="auto"/>
        <w:bottom w:val="none" w:sz="0" w:space="0" w:color="auto"/>
        <w:right w:val="none" w:sz="0" w:space="0" w:color="auto"/>
      </w:divBdr>
    </w:div>
    <w:div w:id="1029914640">
      <w:marLeft w:val="640"/>
      <w:marRight w:val="0"/>
      <w:marTop w:val="0"/>
      <w:marBottom w:val="0"/>
      <w:divBdr>
        <w:top w:val="none" w:sz="0" w:space="0" w:color="auto"/>
        <w:left w:val="none" w:sz="0" w:space="0" w:color="auto"/>
        <w:bottom w:val="none" w:sz="0" w:space="0" w:color="auto"/>
        <w:right w:val="none" w:sz="0" w:space="0" w:color="auto"/>
      </w:divBdr>
    </w:div>
    <w:div w:id="1030110687">
      <w:marLeft w:val="480"/>
      <w:marRight w:val="0"/>
      <w:marTop w:val="0"/>
      <w:marBottom w:val="0"/>
      <w:divBdr>
        <w:top w:val="none" w:sz="0" w:space="0" w:color="auto"/>
        <w:left w:val="none" w:sz="0" w:space="0" w:color="auto"/>
        <w:bottom w:val="none" w:sz="0" w:space="0" w:color="auto"/>
        <w:right w:val="none" w:sz="0" w:space="0" w:color="auto"/>
      </w:divBdr>
    </w:div>
    <w:div w:id="1030378929">
      <w:marLeft w:val="640"/>
      <w:marRight w:val="0"/>
      <w:marTop w:val="0"/>
      <w:marBottom w:val="0"/>
      <w:divBdr>
        <w:top w:val="none" w:sz="0" w:space="0" w:color="auto"/>
        <w:left w:val="none" w:sz="0" w:space="0" w:color="auto"/>
        <w:bottom w:val="none" w:sz="0" w:space="0" w:color="auto"/>
        <w:right w:val="none" w:sz="0" w:space="0" w:color="auto"/>
      </w:divBdr>
    </w:div>
    <w:div w:id="1033845376">
      <w:marLeft w:val="480"/>
      <w:marRight w:val="0"/>
      <w:marTop w:val="0"/>
      <w:marBottom w:val="0"/>
      <w:divBdr>
        <w:top w:val="none" w:sz="0" w:space="0" w:color="auto"/>
        <w:left w:val="none" w:sz="0" w:space="0" w:color="auto"/>
        <w:bottom w:val="none" w:sz="0" w:space="0" w:color="auto"/>
        <w:right w:val="none" w:sz="0" w:space="0" w:color="auto"/>
      </w:divBdr>
    </w:div>
    <w:div w:id="1036735932">
      <w:marLeft w:val="480"/>
      <w:marRight w:val="0"/>
      <w:marTop w:val="0"/>
      <w:marBottom w:val="0"/>
      <w:divBdr>
        <w:top w:val="none" w:sz="0" w:space="0" w:color="auto"/>
        <w:left w:val="none" w:sz="0" w:space="0" w:color="auto"/>
        <w:bottom w:val="none" w:sz="0" w:space="0" w:color="auto"/>
        <w:right w:val="none" w:sz="0" w:space="0" w:color="auto"/>
      </w:divBdr>
    </w:div>
    <w:div w:id="1037586158">
      <w:marLeft w:val="480"/>
      <w:marRight w:val="0"/>
      <w:marTop w:val="0"/>
      <w:marBottom w:val="0"/>
      <w:divBdr>
        <w:top w:val="none" w:sz="0" w:space="0" w:color="auto"/>
        <w:left w:val="none" w:sz="0" w:space="0" w:color="auto"/>
        <w:bottom w:val="none" w:sz="0" w:space="0" w:color="auto"/>
        <w:right w:val="none" w:sz="0" w:space="0" w:color="auto"/>
      </w:divBdr>
    </w:div>
    <w:div w:id="1038699622">
      <w:marLeft w:val="480"/>
      <w:marRight w:val="0"/>
      <w:marTop w:val="0"/>
      <w:marBottom w:val="0"/>
      <w:divBdr>
        <w:top w:val="none" w:sz="0" w:space="0" w:color="auto"/>
        <w:left w:val="none" w:sz="0" w:space="0" w:color="auto"/>
        <w:bottom w:val="none" w:sz="0" w:space="0" w:color="auto"/>
        <w:right w:val="none" w:sz="0" w:space="0" w:color="auto"/>
      </w:divBdr>
    </w:div>
    <w:div w:id="1039356677">
      <w:marLeft w:val="480"/>
      <w:marRight w:val="0"/>
      <w:marTop w:val="0"/>
      <w:marBottom w:val="0"/>
      <w:divBdr>
        <w:top w:val="none" w:sz="0" w:space="0" w:color="auto"/>
        <w:left w:val="none" w:sz="0" w:space="0" w:color="auto"/>
        <w:bottom w:val="none" w:sz="0" w:space="0" w:color="auto"/>
        <w:right w:val="none" w:sz="0" w:space="0" w:color="auto"/>
      </w:divBdr>
    </w:div>
    <w:div w:id="1041201437">
      <w:marLeft w:val="480"/>
      <w:marRight w:val="0"/>
      <w:marTop w:val="0"/>
      <w:marBottom w:val="0"/>
      <w:divBdr>
        <w:top w:val="none" w:sz="0" w:space="0" w:color="auto"/>
        <w:left w:val="none" w:sz="0" w:space="0" w:color="auto"/>
        <w:bottom w:val="none" w:sz="0" w:space="0" w:color="auto"/>
        <w:right w:val="none" w:sz="0" w:space="0" w:color="auto"/>
      </w:divBdr>
    </w:div>
    <w:div w:id="1045299371">
      <w:marLeft w:val="640"/>
      <w:marRight w:val="0"/>
      <w:marTop w:val="0"/>
      <w:marBottom w:val="0"/>
      <w:divBdr>
        <w:top w:val="none" w:sz="0" w:space="0" w:color="auto"/>
        <w:left w:val="none" w:sz="0" w:space="0" w:color="auto"/>
        <w:bottom w:val="none" w:sz="0" w:space="0" w:color="auto"/>
        <w:right w:val="none" w:sz="0" w:space="0" w:color="auto"/>
      </w:divBdr>
    </w:div>
    <w:div w:id="1053234320">
      <w:marLeft w:val="640"/>
      <w:marRight w:val="0"/>
      <w:marTop w:val="0"/>
      <w:marBottom w:val="0"/>
      <w:divBdr>
        <w:top w:val="none" w:sz="0" w:space="0" w:color="auto"/>
        <w:left w:val="none" w:sz="0" w:space="0" w:color="auto"/>
        <w:bottom w:val="none" w:sz="0" w:space="0" w:color="auto"/>
        <w:right w:val="none" w:sz="0" w:space="0" w:color="auto"/>
      </w:divBdr>
    </w:div>
    <w:div w:id="1053697919">
      <w:marLeft w:val="480"/>
      <w:marRight w:val="0"/>
      <w:marTop w:val="0"/>
      <w:marBottom w:val="0"/>
      <w:divBdr>
        <w:top w:val="none" w:sz="0" w:space="0" w:color="auto"/>
        <w:left w:val="none" w:sz="0" w:space="0" w:color="auto"/>
        <w:bottom w:val="none" w:sz="0" w:space="0" w:color="auto"/>
        <w:right w:val="none" w:sz="0" w:space="0" w:color="auto"/>
      </w:divBdr>
    </w:div>
    <w:div w:id="1055852495">
      <w:marLeft w:val="480"/>
      <w:marRight w:val="0"/>
      <w:marTop w:val="0"/>
      <w:marBottom w:val="0"/>
      <w:divBdr>
        <w:top w:val="none" w:sz="0" w:space="0" w:color="auto"/>
        <w:left w:val="none" w:sz="0" w:space="0" w:color="auto"/>
        <w:bottom w:val="none" w:sz="0" w:space="0" w:color="auto"/>
        <w:right w:val="none" w:sz="0" w:space="0" w:color="auto"/>
      </w:divBdr>
    </w:div>
    <w:div w:id="1060010960">
      <w:marLeft w:val="480"/>
      <w:marRight w:val="0"/>
      <w:marTop w:val="0"/>
      <w:marBottom w:val="0"/>
      <w:divBdr>
        <w:top w:val="none" w:sz="0" w:space="0" w:color="auto"/>
        <w:left w:val="none" w:sz="0" w:space="0" w:color="auto"/>
        <w:bottom w:val="none" w:sz="0" w:space="0" w:color="auto"/>
        <w:right w:val="none" w:sz="0" w:space="0" w:color="auto"/>
      </w:divBdr>
    </w:div>
    <w:div w:id="1064110156">
      <w:marLeft w:val="640"/>
      <w:marRight w:val="0"/>
      <w:marTop w:val="0"/>
      <w:marBottom w:val="0"/>
      <w:divBdr>
        <w:top w:val="none" w:sz="0" w:space="0" w:color="auto"/>
        <w:left w:val="none" w:sz="0" w:space="0" w:color="auto"/>
        <w:bottom w:val="none" w:sz="0" w:space="0" w:color="auto"/>
        <w:right w:val="none" w:sz="0" w:space="0" w:color="auto"/>
      </w:divBdr>
    </w:div>
    <w:div w:id="1067261791">
      <w:marLeft w:val="480"/>
      <w:marRight w:val="0"/>
      <w:marTop w:val="0"/>
      <w:marBottom w:val="0"/>
      <w:divBdr>
        <w:top w:val="none" w:sz="0" w:space="0" w:color="auto"/>
        <w:left w:val="none" w:sz="0" w:space="0" w:color="auto"/>
        <w:bottom w:val="none" w:sz="0" w:space="0" w:color="auto"/>
        <w:right w:val="none" w:sz="0" w:space="0" w:color="auto"/>
      </w:divBdr>
    </w:div>
    <w:div w:id="1070808950">
      <w:marLeft w:val="480"/>
      <w:marRight w:val="0"/>
      <w:marTop w:val="0"/>
      <w:marBottom w:val="0"/>
      <w:divBdr>
        <w:top w:val="none" w:sz="0" w:space="0" w:color="auto"/>
        <w:left w:val="none" w:sz="0" w:space="0" w:color="auto"/>
        <w:bottom w:val="none" w:sz="0" w:space="0" w:color="auto"/>
        <w:right w:val="none" w:sz="0" w:space="0" w:color="auto"/>
      </w:divBdr>
    </w:div>
    <w:div w:id="1071997843">
      <w:marLeft w:val="640"/>
      <w:marRight w:val="0"/>
      <w:marTop w:val="0"/>
      <w:marBottom w:val="0"/>
      <w:divBdr>
        <w:top w:val="none" w:sz="0" w:space="0" w:color="auto"/>
        <w:left w:val="none" w:sz="0" w:space="0" w:color="auto"/>
        <w:bottom w:val="none" w:sz="0" w:space="0" w:color="auto"/>
        <w:right w:val="none" w:sz="0" w:space="0" w:color="auto"/>
      </w:divBdr>
    </w:div>
    <w:div w:id="1073695461">
      <w:marLeft w:val="480"/>
      <w:marRight w:val="0"/>
      <w:marTop w:val="0"/>
      <w:marBottom w:val="0"/>
      <w:divBdr>
        <w:top w:val="none" w:sz="0" w:space="0" w:color="auto"/>
        <w:left w:val="none" w:sz="0" w:space="0" w:color="auto"/>
        <w:bottom w:val="none" w:sz="0" w:space="0" w:color="auto"/>
        <w:right w:val="none" w:sz="0" w:space="0" w:color="auto"/>
      </w:divBdr>
    </w:div>
    <w:div w:id="1081870067">
      <w:marLeft w:val="640"/>
      <w:marRight w:val="0"/>
      <w:marTop w:val="0"/>
      <w:marBottom w:val="0"/>
      <w:divBdr>
        <w:top w:val="none" w:sz="0" w:space="0" w:color="auto"/>
        <w:left w:val="none" w:sz="0" w:space="0" w:color="auto"/>
        <w:bottom w:val="none" w:sz="0" w:space="0" w:color="auto"/>
        <w:right w:val="none" w:sz="0" w:space="0" w:color="auto"/>
      </w:divBdr>
    </w:div>
    <w:div w:id="1083382681">
      <w:marLeft w:val="480"/>
      <w:marRight w:val="0"/>
      <w:marTop w:val="0"/>
      <w:marBottom w:val="0"/>
      <w:divBdr>
        <w:top w:val="none" w:sz="0" w:space="0" w:color="auto"/>
        <w:left w:val="none" w:sz="0" w:space="0" w:color="auto"/>
        <w:bottom w:val="none" w:sz="0" w:space="0" w:color="auto"/>
        <w:right w:val="none" w:sz="0" w:space="0" w:color="auto"/>
      </w:divBdr>
    </w:div>
    <w:div w:id="1086145000">
      <w:marLeft w:val="480"/>
      <w:marRight w:val="0"/>
      <w:marTop w:val="0"/>
      <w:marBottom w:val="0"/>
      <w:divBdr>
        <w:top w:val="none" w:sz="0" w:space="0" w:color="auto"/>
        <w:left w:val="none" w:sz="0" w:space="0" w:color="auto"/>
        <w:bottom w:val="none" w:sz="0" w:space="0" w:color="auto"/>
        <w:right w:val="none" w:sz="0" w:space="0" w:color="auto"/>
      </w:divBdr>
    </w:div>
    <w:div w:id="1086997973">
      <w:marLeft w:val="480"/>
      <w:marRight w:val="0"/>
      <w:marTop w:val="0"/>
      <w:marBottom w:val="0"/>
      <w:divBdr>
        <w:top w:val="none" w:sz="0" w:space="0" w:color="auto"/>
        <w:left w:val="none" w:sz="0" w:space="0" w:color="auto"/>
        <w:bottom w:val="none" w:sz="0" w:space="0" w:color="auto"/>
        <w:right w:val="none" w:sz="0" w:space="0" w:color="auto"/>
      </w:divBdr>
    </w:div>
    <w:div w:id="1088620897">
      <w:marLeft w:val="640"/>
      <w:marRight w:val="0"/>
      <w:marTop w:val="0"/>
      <w:marBottom w:val="0"/>
      <w:divBdr>
        <w:top w:val="none" w:sz="0" w:space="0" w:color="auto"/>
        <w:left w:val="none" w:sz="0" w:space="0" w:color="auto"/>
        <w:bottom w:val="none" w:sz="0" w:space="0" w:color="auto"/>
        <w:right w:val="none" w:sz="0" w:space="0" w:color="auto"/>
      </w:divBdr>
    </w:div>
    <w:div w:id="1090740509">
      <w:marLeft w:val="480"/>
      <w:marRight w:val="0"/>
      <w:marTop w:val="0"/>
      <w:marBottom w:val="0"/>
      <w:divBdr>
        <w:top w:val="none" w:sz="0" w:space="0" w:color="auto"/>
        <w:left w:val="none" w:sz="0" w:space="0" w:color="auto"/>
        <w:bottom w:val="none" w:sz="0" w:space="0" w:color="auto"/>
        <w:right w:val="none" w:sz="0" w:space="0" w:color="auto"/>
      </w:divBdr>
    </w:div>
    <w:div w:id="1095247348">
      <w:marLeft w:val="480"/>
      <w:marRight w:val="0"/>
      <w:marTop w:val="0"/>
      <w:marBottom w:val="0"/>
      <w:divBdr>
        <w:top w:val="none" w:sz="0" w:space="0" w:color="auto"/>
        <w:left w:val="none" w:sz="0" w:space="0" w:color="auto"/>
        <w:bottom w:val="none" w:sz="0" w:space="0" w:color="auto"/>
        <w:right w:val="none" w:sz="0" w:space="0" w:color="auto"/>
      </w:divBdr>
    </w:div>
    <w:div w:id="1100563242">
      <w:marLeft w:val="640"/>
      <w:marRight w:val="0"/>
      <w:marTop w:val="0"/>
      <w:marBottom w:val="0"/>
      <w:divBdr>
        <w:top w:val="none" w:sz="0" w:space="0" w:color="auto"/>
        <w:left w:val="none" w:sz="0" w:space="0" w:color="auto"/>
        <w:bottom w:val="none" w:sz="0" w:space="0" w:color="auto"/>
        <w:right w:val="none" w:sz="0" w:space="0" w:color="auto"/>
      </w:divBdr>
    </w:div>
    <w:div w:id="1111246281">
      <w:marLeft w:val="640"/>
      <w:marRight w:val="0"/>
      <w:marTop w:val="0"/>
      <w:marBottom w:val="0"/>
      <w:divBdr>
        <w:top w:val="none" w:sz="0" w:space="0" w:color="auto"/>
        <w:left w:val="none" w:sz="0" w:space="0" w:color="auto"/>
        <w:bottom w:val="none" w:sz="0" w:space="0" w:color="auto"/>
        <w:right w:val="none" w:sz="0" w:space="0" w:color="auto"/>
      </w:divBdr>
    </w:div>
    <w:div w:id="1111508851">
      <w:marLeft w:val="480"/>
      <w:marRight w:val="0"/>
      <w:marTop w:val="0"/>
      <w:marBottom w:val="0"/>
      <w:divBdr>
        <w:top w:val="none" w:sz="0" w:space="0" w:color="auto"/>
        <w:left w:val="none" w:sz="0" w:space="0" w:color="auto"/>
        <w:bottom w:val="none" w:sz="0" w:space="0" w:color="auto"/>
        <w:right w:val="none" w:sz="0" w:space="0" w:color="auto"/>
      </w:divBdr>
    </w:div>
    <w:div w:id="1113744066">
      <w:marLeft w:val="480"/>
      <w:marRight w:val="0"/>
      <w:marTop w:val="0"/>
      <w:marBottom w:val="0"/>
      <w:divBdr>
        <w:top w:val="none" w:sz="0" w:space="0" w:color="auto"/>
        <w:left w:val="none" w:sz="0" w:space="0" w:color="auto"/>
        <w:bottom w:val="none" w:sz="0" w:space="0" w:color="auto"/>
        <w:right w:val="none" w:sz="0" w:space="0" w:color="auto"/>
      </w:divBdr>
    </w:div>
    <w:div w:id="1115370256">
      <w:marLeft w:val="480"/>
      <w:marRight w:val="0"/>
      <w:marTop w:val="0"/>
      <w:marBottom w:val="0"/>
      <w:divBdr>
        <w:top w:val="none" w:sz="0" w:space="0" w:color="auto"/>
        <w:left w:val="none" w:sz="0" w:space="0" w:color="auto"/>
        <w:bottom w:val="none" w:sz="0" w:space="0" w:color="auto"/>
        <w:right w:val="none" w:sz="0" w:space="0" w:color="auto"/>
      </w:divBdr>
    </w:div>
    <w:div w:id="1123353390">
      <w:marLeft w:val="480"/>
      <w:marRight w:val="0"/>
      <w:marTop w:val="0"/>
      <w:marBottom w:val="0"/>
      <w:divBdr>
        <w:top w:val="none" w:sz="0" w:space="0" w:color="auto"/>
        <w:left w:val="none" w:sz="0" w:space="0" w:color="auto"/>
        <w:bottom w:val="none" w:sz="0" w:space="0" w:color="auto"/>
        <w:right w:val="none" w:sz="0" w:space="0" w:color="auto"/>
      </w:divBdr>
    </w:div>
    <w:div w:id="1127355367">
      <w:marLeft w:val="480"/>
      <w:marRight w:val="0"/>
      <w:marTop w:val="0"/>
      <w:marBottom w:val="0"/>
      <w:divBdr>
        <w:top w:val="none" w:sz="0" w:space="0" w:color="auto"/>
        <w:left w:val="none" w:sz="0" w:space="0" w:color="auto"/>
        <w:bottom w:val="none" w:sz="0" w:space="0" w:color="auto"/>
        <w:right w:val="none" w:sz="0" w:space="0" w:color="auto"/>
      </w:divBdr>
    </w:div>
    <w:div w:id="1132359341">
      <w:marLeft w:val="480"/>
      <w:marRight w:val="0"/>
      <w:marTop w:val="0"/>
      <w:marBottom w:val="0"/>
      <w:divBdr>
        <w:top w:val="none" w:sz="0" w:space="0" w:color="auto"/>
        <w:left w:val="none" w:sz="0" w:space="0" w:color="auto"/>
        <w:bottom w:val="none" w:sz="0" w:space="0" w:color="auto"/>
        <w:right w:val="none" w:sz="0" w:space="0" w:color="auto"/>
      </w:divBdr>
    </w:div>
    <w:div w:id="1133209903">
      <w:marLeft w:val="640"/>
      <w:marRight w:val="0"/>
      <w:marTop w:val="0"/>
      <w:marBottom w:val="0"/>
      <w:divBdr>
        <w:top w:val="none" w:sz="0" w:space="0" w:color="auto"/>
        <w:left w:val="none" w:sz="0" w:space="0" w:color="auto"/>
        <w:bottom w:val="none" w:sz="0" w:space="0" w:color="auto"/>
        <w:right w:val="none" w:sz="0" w:space="0" w:color="auto"/>
      </w:divBdr>
    </w:div>
    <w:div w:id="1136995621">
      <w:marLeft w:val="640"/>
      <w:marRight w:val="0"/>
      <w:marTop w:val="0"/>
      <w:marBottom w:val="0"/>
      <w:divBdr>
        <w:top w:val="none" w:sz="0" w:space="0" w:color="auto"/>
        <w:left w:val="none" w:sz="0" w:space="0" w:color="auto"/>
        <w:bottom w:val="none" w:sz="0" w:space="0" w:color="auto"/>
        <w:right w:val="none" w:sz="0" w:space="0" w:color="auto"/>
      </w:divBdr>
    </w:div>
    <w:div w:id="1138109971">
      <w:marLeft w:val="640"/>
      <w:marRight w:val="0"/>
      <w:marTop w:val="0"/>
      <w:marBottom w:val="0"/>
      <w:divBdr>
        <w:top w:val="none" w:sz="0" w:space="0" w:color="auto"/>
        <w:left w:val="none" w:sz="0" w:space="0" w:color="auto"/>
        <w:bottom w:val="none" w:sz="0" w:space="0" w:color="auto"/>
        <w:right w:val="none" w:sz="0" w:space="0" w:color="auto"/>
      </w:divBdr>
    </w:div>
    <w:div w:id="1141263825">
      <w:marLeft w:val="480"/>
      <w:marRight w:val="0"/>
      <w:marTop w:val="0"/>
      <w:marBottom w:val="0"/>
      <w:divBdr>
        <w:top w:val="none" w:sz="0" w:space="0" w:color="auto"/>
        <w:left w:val="none" w:sz="0" w:space="0" w:color="auto"/>
        <w:bottom w:val="none" w:sz="0" w:space="0" w:color="auto"/>
        <w:right w:val="none" w:sz="0" w:space="0" w:color="auto"/>
      </w:divBdr>
    </w:div>
    <w:div w:id="1141389509">
      <w:marLeft w:val="480"/>
      <w:marRight w:val="0"/>
      <w:marTop w:val="0"/>
      <w:marBottom w:val="0"/>
      <w:divBdr>
        <w:top w:val="none" w:sz="0" w:space="0" w:color="auto"/>
        <w:left w:val="none" w:sz="0" w:space="0" w:color="auto"/>
        <w:bottom w:val="none" w:sz="0" w:space="0" w:color="auto"/>
        <w:right w:val="none" w:sz="0" w:space="0" w:color="auto"/>
      </w:divBdr>
    </w:div>
    <w:div w:id="1147630567">
      <w:marLeft w:val="640"/>
      <w:marRight w:val="0"/>
      <w:marTop w:val="0"/>
      <w:marBottom w:val="0"/>
      <w:divBdr>
        <w:top w:val="none" w:sz="0" w:space="0" w:color="auto"/>
        <w:left w:val="none" w:sz="0" w:space="0" w:color="auto"/>
        <w:bottom w:val="none" w:sz="0" w:space="0" w:color="auto"/>
        <w:right w:val="none" w:sz="0" w:space="0" w:color="auto"/>
      </w:divBdr>
    </w:div>
    <w:div w:id="1153838680">
      <w:marLeft w:val="480"/>
      <w:marRight w:val="0"/>
      <w:marTop w:val="0"/>
      <w:marBottom w:val="0"/>
      <w:divBdr>
        <w:top w:val="none" w:sz="0" w:space="0" w:color="auto"/>
        <w:left w:val="none" w:sz="0" w:space="0" w:color="auto"/>
        <w:bottom w:val="none" w:sz="0" w:space="0" w:color="auto"/>
        <w:right w:val="none" w:sz="0" w:space="0" w:color="auto"/>
      </w:divBdr>
    </w:div>
    <w:div w:id="1164397428">
      <w:marLeft w:val="480"/>
      <w:marRight w:val="0"/>
      <w:marTop w:val="0"/>
      <w:marBottom w:val="0"/>
      <w:divBdr>
        <w:top w:val="none" w:sz="0" w:space="0" w:color="auto"/>
        <w:left w:val="none" w:sz="0" w:space="0" w:color="auto"/>
        <w:bottom w:val="none" w:sz="0" w:space="0" w:color="auto"/>
        <w:right w:val="none" w:sz="0" w:space="0" w:color="auto"/>
      </w:divBdr>
    </w:div>
    <w:div w:id="1171290747">
      <w:marLeft w:val="480"/>
      <w:marRight w:val="0"/>
      <w:marTop w:val="0"/>
      <w:marBottom w:val="0"/>
      <w:divBdr>
        <w:top w:val="none" w:sz="0" w:space="0" w:color="auto"/>
        <w:left w:val="none" w:sz="0" w:space="0" w:color="auto"/>
        <w:bottom w:val="none" w:sz="0" w:space="0" w:color="auto"/>
        <w:right w:val="none" w:sz="0" w:space="0" w:color="auto"/>
      </w:divBdr>
    </w:div>
    <w:div w:id="1173300246">
      <w:marLeft w:val="480"/>
      <w:marRight w:val="0"/>
      <w:marTop w:val="0"/>
      <w:marBottom w:val="0"/>
      <w:divBdr>
        <w:top w:val="none" w:sz="0" w:space="0" w:color="auto"/>
        <w:left w:val="none" w:sz="0" w:space="0" w:color="auto"/>
        <w:bottom w:val="none" w:sz="0" w:space="0" w:color="auto"/>
        <w:right w:val="none" w:sz="0" w:space="0" w:color="auto"/>
      </w:divBdr>
    </w:div>
    <w:div w:id="1182933135">
      <w:marLeft w:val="480"/>
      <w:marRight w:val="0"/>
      <w:marTop w:val="0"/>
      <w:marBottom w:val="0"/>
      <w:divBdr>
        <w:top w:val="none" w:sz="0" w:space="0" w:color="auto"/>
        <w:left w:val="none" w:sz="0" w:space="0" w:color="auto"/>
        <w:bottom w:val="none" w:sz="0" w:space="0" w:color="auto"/>
        <w:right w:val="none" w:sz="0" w:space="0" w:color="auto"/>
      </w:divBdr>
    </w:div>
    <w:div w:id="1185677633">
      <w:marLeft w:val="480"/>
      <w:marRight w:val="0"/>
      <w:marTop w:val="0"/>
      <w:marBottom w:val="0"/>
      <w:divBdr>
        <w:top w:val="none" w:sz="0" w:space="0" w:color="auto"/>
        <w:left w:val="none" w:sz="0" w:space="0" w:color="auto"/>
        <w:bottom w:val="none" w:sz="0" w:space="0" w:color="auto"/>
        <w:right w:val="none" w:sz="0" w:space="0" w:color="auto"/>
      </w:divBdr>
    </w:div>
    <w:div w:id="1188064149">
      <w:marLeft w:val="480"/>
      <w:marRight w:val="0"/>
      <w:marTop w:val="0"/>
      <w:marBottom w:val="0"/>
      <w:divBdr>
        <w:top w:val="none" w:sz="0" w:space="0" w:color="auto"/>
        <w:left w:val="none" w:sz="0" w:space="0" w:color="auto"/>
        <w:bottom w:val="none" w:sz="0" w:space="0" w:color="auto"/>
        <w:right w:val="none" w:sz="0" w:space="0" w:color="auto"/>
      </w:divBdr>
    </w:div>
    <w:div w:id="1188367164">
      <w:marLeft w:val="640"/>
      <w:marRight w:val="0"/>
      <w:marTop w:val="0"/>
      <w:marBottom w:val="0"/>
      <w:divBdr>
        <w:top w:val="none" w:sz="0" w:space="0" w:color="auto"/>
        <w:left w:val="none" w:sz="0" w:space="0" w:color="auto"/>
        <w:bottom w:val="none" w:sz="0" w:space="0" w:color="auto"/>
        <w:right w:val="none" w:sz="0" w:space="0" w:color="auto"/>
      </w:divBdr>
    </w:div>
    <w:div w:id="1194339827">
      <w:marLeft w:val="640"/>
      <w:marRight w:val="0"/>
      <w:marTop w:val="0"/>
      <w:marBottom w:val="0"/>
      <w:divBdr>
        <w:top w:val="none" w:sz="0" w:space="0" w:color="auto"/>
        <w:left w:val="none" w:sz="0" w:space="0" w:color="auto"/>
        <w:bottom w:val="none" w:sz="0" w:space="0" w:color="auto"/>
        <w:right w:val="none" w:sz="0" w:space="0" w:color="auto"/>
      </w:divBdr>
    </w:div>
    <w:div w:id="1198472898">
      <w:marLeft w:val="640"/>
      <w:marRight w:val="0"/>
      <w:marTop w:val="0"/>
      <w:marBottom w:val="0"/>
      <w:divBdr>
        <w:top w:val="none" w:sz="0" w:space="0" w:color="auto"/>
        <w:left w:val="none" w:sz="0" w:space="0" w:color="auto"/>
        <w:bottom w:val="none" w:sz="0" w:space="0" w:color="auto"/>
        <w:right w:val="none" w:sz="0" w:space="0" w:color="auto"/>
      </w:divBdr>
    </w:div>
    <w:div w:id="1205632541">
      <w:marLeft w:val="640"/>
      <w:marRight w:val="0"/>
      <w:marTop w:val="0"/>
      <w:marBottom w:val="0"/>
      <w:divBdr>
        <w:top w:val="none" w:sz="0" w:space="0" w:color="auto"/>
        <w:left w:val="none" w:sz="0" w:space="0" w:color="auto"/>
        <w:bottom w:val="none" w:sz="0" w:space="0" w:color="auto"/>
        <w:right w:val="none" w:sz="0" w:space="0" w:color="auto"/>
      </w:divBdr>
    </w:div>
    <w:div w:id="1206673894">
      <w:marLeft w:val="480"/>
      <w:marRight w:val="0"/>
      <w:marTop w:val="0"/>
      <w:marBottom w:val="0"/>
      <w:divBdr>
        <w:top w:val="none" w:sz="0" w:space="0" w:color="auto"/>
        <w:left w:val="none" w:sz="0" w:space="0" w:color="auto"/>
        <w:bottom w:val="none" w:sz="0" w:space="0" w:color="auto"/>
        <w:right w:val="none" w:sz="0" w:space="0" w:color="auto"/>
      </w:divBdr>
    </w:div>
    <w:div w:id="1207713597">
      <w:marLeft w:val="640"/>
      <w:marRight w:val="0"/>
      <w:marTop w:val="0"/>
      <w:marBottom w:val="0"/>
      <w:divBdr>
        <w:top w:val="none" w:sz="0" w:space="0" w:color="auto"/>
        <w:left w:val="none" w:sz="0" w:space="0" w:color="auto"/>
        <w:bottom w:val="none" w:sz="0" w:space="0" w:color="auto"/>
        <w:right w:val="none" w:sz="0" w:space="0" w:color="auto"/>
      </w:divBdr>
    </w:div>
    <w:div w:id="1208954923">
      <w:marLeft w:val="640"/>
      <w:marRight w:val="0"/>
      <w:marTop w:val="0"/>
      <w:marBottom w:val="0"/>
      <w:divBdr>
        <w:top w:val="none" w:sz="0" w:space="0" w:color="auto"/>
        <w:left w:val="none" w:sz="0" w:space="0" w:color="auto"/>
        <w:bottom w:val="none" w:sz="0" w:space="0" w:color="auto"/>
        <w:right w:val="none" w:sz="0" w:space="0" w:color="auto"/>
      </w:divBdr>
    </w:div>
    <w:div w:id="1211376903">
      <w:marLeft w:val="480"/>
      <w:marRight w:val="0"/>
      <w:marTop w:val="0"/>
      <w:marBottom w:val="0"/>
      <w:divBdr>
        <w:top w:val="none" w:sz="0" w:space="0" w:color="auto"/>
        <w:left w:val="none" w:sz="0" w:space="0" w:color="auto"/>
        <w:bottom w:val="none" w:sz="0" w:space="0" w:color="auto"/>
        <w:right w:val="none" w:sz="0" w:space="0" w:color="auto"/>
      </w:divBdr>
    </w:div>
    <w:div w:id="1211919317">
      <w:marLeft w:val="480"/>
      <w:marRight w:val="0"/>
      <w:marTop w:val="0"/>
      <w:marBottom w:val="0"/>
      <w:divBdr>
        <w:top w:val="none" w:sz="0" w:space="0" w:color="auto"/>
        <w:left w:val="none" w:sz="0" w:space="0" w:color="auto"/>
        <w:bottom w:val="none" w:sz="0" w:space="0" w:color="auto"/>
        <w:right w:val="none" w:sz="0" w:space="0" w:color="auto"/>
      </w:divBdr>
    </w:div>
    <w:div w:id="1212767284">
      <w:marLeft w:val="480"/>
      <w:marRight w:val="0"/>
      <w:marTop w:val="0"/>
      <w:marBottom w:val="0"/>
      <w:divBdr>
        <w:top w:val="none" w:sz="0" w:space="0" w:color="auto"/>
        <w:left w:val="none" w:sz="0" w:space="0" w:color="auto"/>
        <w:bottom w:val="none" w:sz="0" w:space="0" w:color="auto"/>
        <w:right w:val="none" w:sz="0" w:space="0" w:color="auto"/>
      </w:divBdr>
    </w:div>
    <w:div w:id="1212772209">
      <w:marLeft w:val="480"/>
      <w:marRight w:val="0"/>
      <w:marTop w:val="0"/>
      <w:marBottom w:val="0"/>
      <w:divBdr>
        <w:top w:val="none" w:sz="0" w:space="0" w:color="auto"/>
        <w:left w:val="none" w:sz="0" w:space="0" w:color="auto"/>
        <w:bottom w:val="none" w:sz="0" w:space="0" w:color="auto"/>
        <w:right w:val="none" w:sz="0" w:space="0" w:color="auto"/>
      </w:divBdr>
    </w:div>
    <w:div w:id="1220481494">
      <w:marLeft w:val="480"/>
      <w:marRight w:val="0"/>
      <w:marTop w:val="0"/>
      <w:marBottom w:val="0"/>
      <w:divBdr>
        <w:top w:val="none" w:sz="0" w:space="0" w:color="auto"/>
        <w:left w:val="none" w:sz="0" w:space="0" w:color="auto"/>
        <w:bottom w:val="none" w:sz="0" w:space="0" w:color="auto"/>
        <w:right w:val="none" w:sz="0" w:space="0" w:color="auto"/>
      </w:divBdr>
    </w:div>
    <w:div w:id="1225410877">
      <w:marLeft w:val="640"/>
      <w:marRight w:val="0"/>
      <w:marTop w:val="0"/>
      <w:marBottom w:val="0"/>
      <w:divBdr>
        <w:top w:val="none" w:sz="0" w:space="0" w:color="auto"/>
        <w:left w:val="none" w:sz="0" w:space="0" w:color="auto"/>
        <w:bottom w:val="none" w:sz="0" w:space="0" w:color="auto"/>
        <w:right w:val="none" w:sz="0" w:space="0" w:color="auto"/>
      </w:divBdr>
    </w:div>
    <w:div w:id="1245720640">
      <w:marLeft w:val="480"/>
      <w:marRight w:val="0"/>
      <w:marTop w:val="0"/>
      <w:marBottom w:val="0"/>
      <w:divBdr>
        <w:top w:val="none" w:sz="0" w:space="0" w:color="auto"/>
        <w:left w:val="none" w:sz="0" w:space="0" w:color="auto"/>
        <w:bottom w:val="none" w:sz="0" w:space="0" w:color="auto"/>
        <w:right w:val="none" w:sz="0" w:space="0" w:color="auto"/>
      </w:divBdr>
    </w:div>
    <w:div w:id="1257205495">
      <w:marLeft w:val="480"/>
      <w:marRight w:val="0"/>
      <w:marTop w:val="0"/>
      <w:marBottom w:val="0"/>
      <w:divBdr>
        <w:top w:val="none" w:sz="0" w:space="0" w:color="auto"/>
        <w:left w:val="none" w:sz="0" w:space="0" w:color="auto"/>
        <w:bottom w:val="none" w:sz="0" w:space="0" w:color="auto"/>
        <w:right w:val="none" w:sz="0" w:space="0" w:color="auto"/>
      </w:divBdr>
    </w:div>
    <w:div w:id="1262837495">
      <w:marLeft w:val="480"/>
      <w:marRight w:val="0"/>
      <w:marTop w:val="0"/>
      <w:marBottom w:val="0"/>
      <w:divBdr>
        <w:top w:val="none" w:sz="0" w:space="0" w:color="auto"/>
        <w:left w:val="none" w:sz="0" w:space="0" w:color="auto"/>
        <w:bottom w:val="none" w:sz="0" w:space="0" w:color="auto"/>
        <w:right w:val="none" w:sz="0" w:space="0" w:color="auto"/>
      </w:divBdr>
    </w:div>
    <w:div w:id="1263995774">
      <w:marLeft w:val="480"/>
      <w:marRight w:val="0"/>
      <w:marTop w:val="0"/>
      <w:marBottom w:val="0"/>
      <w:divBdr>
        <w:top w:val="none" w:sz="0" w:space="0" w:color="auto"/>
        <w:left w:val="none" w:sz="0" w:space="0" w:color="auto"/>
        <w:bottom w:val="none" w:sz="0" w:space="0" w:color="auto"/>
        <w:right w:val="none" w:sz="0" w:space="0" w:color="auto"/>
      </w:divBdr>
    </w:div>
    <w:div w:id="1272780273">
      <w:marLeft w:val="640"/>
      <w:marRight w:val="0"/>
      <w:marTop w:val="0"/>
      <w:marBottom w:val="0"/>
      <w:divBdr>
        <w:top w:val="none" w:sz="0" w:space="0" w:color="auto"/>
        <w:left w:val="none" w:sz="0" w:space="0" w:color="auto"/>
        <w:bottom w:val="none" w:sz="0" w:space="0" w:color="auto"/>
        <w:right w:val="none" w:sz="0" w:space="0" w:color="auto"/>
      </w:divBdr>
    </w:div>
    <w:div w:id="1274216543">
      <w:marLeft w:val="480"/>
      <w:marRight w:val="0"/>
      <w:marTop w:val="0"/>
      <w:marBottom w:val="0"/>
      <w:divBdr>
        <w:top w:val="none" w:sz="0" w:space="0" w:color="auto"/>
        <w:left w:val="none" w:sz="0" w:space="0" w:color="auto"/>
        <w:bottom w:val="none" w:sz="0" w:space="0" w:color="auto"/>
        <w:right w:val="none" w:sz="0" w:space="0" w:color="auto"/>
      </w:divBdr>
    </w:div>
    <w:div w:id="1279066350">
      <w:marLeft w:val="640"/>
      <w:marRight w:val="0"/>
      <w:marTop w:val="0"/>
      <w:marBottom w:val="0"/>
      <w:divBdr>
        <w:top w:val="none" w:sz="0" w:space="0" w:color="auto"/>
        <w:left w:val="none" w:sz="0" w:space="0" w:color="auto"/>
        <w:bottom w:val="none" w:sz="0" w:space="0" w:color="auto"/>
        <w:right w:val="none" w:sz="0" w:space="0" w:color="auto"/>
      </w:divBdr>
    </w:div>
    <w:div w:id="1284532226">
      <w:marLeft w:val="640"/>
      <w:marRight w:val="0"/>
      <w:marTop w:val="0"/>
      <w:marBottom w:val="0"/>
      <w:divBdr>
        <w:top w:val="none" w:sz="0" w:space="0" w:color="auto"/>
        <w:left w:val="none" w:sz="0" w:space="0" w:color="auto"/>
        <w:bottom w:val="none" w:sz="0" w:space="0" w:color="auto"/>
        <w:right w:val="none" w:sz="0" w:space="0" w:color="auto"/>
      </w:divBdr>
    </w:div>
    <w:div w:id="1286817347">
      <w:marLeft w:val="480"/>
      <w:marRight w:val="0"/>
      <w:marTop w:val="0"/>
      <w:marBottom w:val="0"/>
      <w:divBdr>
        <w:top w:val="none" w:sz="0" w:space="0" w:color="auto"/>
        <w:left w:val="none" w:sz="0" w:space="0" w:color="auto"/>
        <w:bottom w:val="none" w:sz="0" w:space="0" w:color="auto"/>
        <w:right w:val="none" w:sz="0" w:space="0" w:color="auto"/>
      </w:divBdr>
    </w:div>
    <w:div w:id="1290042668">
      <w:marLeft w:val="640"/>
      <w:marRight w:val="0"/>
      <w:marTop w:val="0"/>
      <w:marBottom w:val="0"/>
      <w:divBdr>
        <w:top w:val="none" w:sz="0" w:space="0" w:color="auto"/>
        <w:left w:val="none" w:sz="0" w:space="0" w:color="auto"/>
        <w:bottom w:val="none" w:sz="0" w:space="0" w:color="auto"/>
        <w:right w:val="none" w:sz="0" w:space="0" w:color="auto"/>
      </w:divBdr>
    </w:div>
    <w:div w:id="1297226392">
      <w:marLeft w:val="640"/>
      <w:marRight w:val="0"/>
      <w:marTop w:val="0"/>
      <w:marBottom w:val="0"/>
      <w:divBdr>
        <w:top w:val="none" w:sz="0" w:space="0" w:color="auto"/>
        <w:left w:val="none" w:sz="0" w:space="0" w:color="auto"/>
        <w:bottom w:val="none" w:sz="0" w:space="0" w:color="auto"/>
        <w:right w:val="none" w:sz="0" w:space="0" w:color="auto"/>
      </w:divBdr>
    </w:div>
    <w:div w:id="1298804713">
      <w:marLeft w:val="640"/>
      <w:marRight w:val="0"/>
      <w:marTop w:val="0"/>
      <w:marBottom w:val="0"/>
      <w:divBdr>
        <w:top w:val="none" w:sz="0" w:space="0" w:color="auto"/>
        <w:left w:val="none" w:sz="0" w:space="0" w:color="auto"/>
        <w:bottom w:val="none" w:sz="0" w:space="0" w:color="auto"/>
        <w:right w:val="none" w:sz="0" w:space="0" w:color="auto"/>
      </w:divBdr>
    </w:div>
    <w:div w:id="1311982564">
      <w:marLeft w:val="640"/>
      <w:marRight w:val="0"/>
      <w:marTop w:val="0"/>
      <w:marBottom w:val="0"/>
      <w:divBdr>
        <w:top w:val="none" w:sz="0" w:space="0" w:color="auto"/>
        <w:left w:val="none" w:sz="0" w:space="0" w:color="auto"/>
        <w:bottom w:val="none" w:sz="0" w:space="0" w:color="auto"/>
        <w:right w:val="none" w:sz="0" w:space="0" w:color="auto"/>
      </w:divBdr>
    </w:div>
    <w:div w:id="1313558454">
      <w:marLeft w:val="640"/>
      <w:marRight w:val="0"/>
      <w:marTop w:val="0"/>
      <w:marBottom w:val="0"/>
      <w:divBdr>
        <w:top w:val="none" w:sz="0" w:space="0" w:color="auto"/>
        <w:left w:val="none" w:sz="0" w:space="0" w:color="auto"/>
        <w:bottom w:val="none" w:sz="0" w:space="0" w:color="auto"/>
        <w:right w:val="none" w:sz="0" w:space="0" w:color="auto"/>
      </w:divBdr>
    </w:div>
    <w:div w:id="1316641899">
      <w:marLeft w:val="640"/>
      <w:marRight w:val="0"/>
      <w:marTop w:val="0"/>
      <w:marBottom w:val="0"/>
      <w:divBdr>
        <w:top w:val="none" w:sz="0" w:space="0" w:color="auto"/>
        <w:left w:val="none" w:sz="0" w:space="0" w:color="auto"/>
        <w:bottom w:val="none" w:sz="0" w:space="0" w:color="auto"/>
        <w:right w:val="none" w:sz="0" w:space="0" w:color="auto"/>
      </w:divBdr>
    </w:div>
    <w:div w:id="1323243130">
      <w:marLeft w:val="480"/>
      <w:marRight w:val="0"/>
      <w:marTop w:val="0"/>
      <w:marBottom w:val="0"/>
      <w:divBdr>
        <w:top w:val="none" w:sz="0" w:space="0" w:color="auto"/>
        <w:left w:val="none" w:sz="0" w:space="0" w:color="auto"/>
        <w:bottom w:val="none" w:sz="0" w:space="0" w:color="auto"/>
        <w:right w:val="none" w:sz="0" w:space="0" w:color="auto"/>
      </w:divBdr>
    </w:div>
    <w:div w:id="1325161814">
      <w:marLeft w:val="480"/>
      <w:marRight w:val="0"/>
      <w:marTop w:val="0"/>
      <w:marBottom w:val="0"/>
      <w:divBdr>
        <w:top w:val="none" w:sz="0" w:space="0" w:color="auto"/>
        <w:left w:val="none" w:sz="0" w:space="0" w:color="auto"/>
        <w:bottom w:val="none" w:sz="0" w:space="0" w:color="auto"/>
        <w:right w:val="none" w:sz="0" w:space="0" w:color="auto"/>
      </w:divBdr>
    </w:div>
    <w:div w:id="1326933548">
      <w:marLeft w:val="480"/>
      <w:marRight w:val="0"/>
      <w:marTop w:val="0"/>
      <w:marBottom w:val="0"/>
      <w:divBdr>
        <w:top w:val="none" w:sz="0" w:space="0" w:color="auto"/>
        <w:left w:val="none" w:sz="0" w:space="0" w:color="auto"/>
        <w:bottom w:val="none" w:sz="0" w:space="0" w:color="auto"/>
        <w:right w:val="none" w:sz="0" w:space="0" w:color="auto"/>
      </w:divBdr>
    </w:div>
    <w:div w:id="1328704477">
      <w:marLeft w:val="480"/>
      <w:marRight w:val="0"/>
      <w:marTop w:val="0"/>
      <w:marBottom w:val="0"/>
      <w:divBdr>
        <w:top w:val="none" w:sz="0" w:space="0" w:color="auto"/>
        <w:left w:val="none" w:sz="0" w:space="0" w:color="auto"/>
        <w:bottom w:val="none" w:sz="0" w:space="0" w:color="auto"/>
        <w:right w:val="none" w:sz="0" w:space="0" w:color="auto"/>
      </w:divBdr>
    </w:div>
    <w:div w:id="1331636065">
      <w:marLeft w:val="640"/>
      <w:marRight w:val="0"/>
      <w:marTop w:val="0"/>
      <w:marBottom w:val="0"/>
      <w:divBdr>
        <w:top w:val="none" w:sz="0" w:space="0" w:color="auto"/>
        <w:left w:val="none" w:sz="0" w:space="0" w:color="auto"/>
        <w:bottom w:val="none" w:sz="0" w:space="0" w:color="auto"/>
        <w:right w:val="none" w:sz="0" w:space="0" w:color="auto"/>
      </w:divBdr>
    </w:div>
    <w:div w:id="1335114000">
      <w:marLeft w:val="480"/>
      <w:marRight w:val="0"/>
      <w:marTop w:val="0"/>
      <w:marBottom w:val="0"/>
      <w:divBdr>
        <w:top w:val="none" w:sz="0" w:space="0" w:color="auto"/>
        <w:left w:val="none" w:sz="0" w:space="0" w:color="auto"/>
        <w:bottom w:val="none" w:sz="0" w:space="0" w:color="auto"/>
        <w:right w:val="none" w:sz="0" w:space="0" w:color="auto"/>
      </w:divBdr>
    </w:div>
    <w:div w:id="1338461950">
      <w:marLeft w:val="480"/>
      <w:marRight w:val="0"/>
      <w:marTop w:val="0"/>
      <w:marBottom w:val="0"/>
      <w:divBdr>
        <w:top w:val="none" w:sz="0" w:space="0" w:color="auto"/>
        <w:left w:val="none" w:sz="0" w:space="0" w:color="auto"/>
        <w:bottom w:val="none" w:sz="0" w:space="0" w:color="auto"/>
        <w:right w:val="none" w:sz="0" w:space="0" w:color="auto"/>
      </w:divBdr>
    </w:div>
    <w:div w:id="1343586198">
      <w:marLeft w:val="640"/>
      <w:marRight w:val="0"/>
      <w:marTop w:val="0"/>
      <w:marBottom w:val="0"/>
      <w:divBdr>
        <w:top w:val="none" w:sz="0" w:space="0" w:color="auto"/>
        <w:left w:val="none" w:sz="0" w:space="0" w:color="auto"/>
        <w:bottom w:val="none" w:sz="0" w:space="0" w:color="auto"/>
        <w:right w:val="none" w:sz="0" w:space="0" w:color="auto"/>
      </w:divBdr>
    </w:div>
    <w:div w:id="1343971417">
      <w:marLeft w:val="640"/>
      <w:marRight w:val="0"/>
      <w:marTop w:val="0"/>
      <w:marBottom w:val="0"/>
      <w:divBdr>
        <w:top w:val="none" w:sz="0" w:space="0" w:color="auto"/>
        <w:left w:val="none" w:sz="0" w:space="0" w:color="auto"/>
        <w:bottom w:val="none" w:sz="0" w:space="0" w:color="auto"/>
        <w:right w:val="none" w:sz="0" w:space="0" w:color="auto"/>
      </w:divBdr>
    </w:div>
    <w:div w:id="1349529440">
      <w:marLeft w:val="480"/>
      <w:marRight w:val="0"/>
      <w:marTop w:val="0"/>
      <w:marBottom w:val="0"/>
      <w:divBdr>
        <w:top w:val="none" w:sz="0" w:space="0" w:color="auto"/>
        <w:left w:val="none" w:sz="0" w:space="0" w:color="auto"/>
        <w:bottom w:val="none" w:sz="0" w:space="0" w:color="auto"/>
        <w:right w:val="none" w:sz="0" w:space="0" w:color="auto"/>
      </w:divBdr>
    </w:div>
    <w:div w:id="1353651743">
      <w:marLeft w:val="480"/>
      <w:marRight w:val="0"/>
      <w:marTop w:val="0"/>
      <w:marBottom w:val="0"/>
      <w:divBdr>
        <w:top w:val="none" w:sz="0" w:space="0" w:color="auto"/>
        <w:left w:val="none" w:sz="0" w:space="0" w:color="auto"/>
        <w:bottom w:val="none" w:sz="0" w:space="0" w:color="auto"/>
        <w:right w:val="none" w:sz="0" w:space="0" w:color="auto"/>
      </w:divBdr>
    </w:div>
    <w:div w:id="1358582226">
      <w:marLeft w:val="640"/>
      <w:marRight w:val="0"/>
      <w:marTop w:val="0"/>
      <w:marBottom w:val="0"/>
      <w:divBdr>
        <w:top w:val="none" w:sz="0" w:space="0" w:color="auto"/>
        <w:left w:val="none" w:sz="0" w:space="0" w:color="auto"/>
        <w:bottom w:val="none" w:sz="0" w:space="0" w:color="auto"/>
        <w:right w:val="none" w:sz="0" w:space="0" w:color="auto"/>
      </w:divBdr>
    </w:div>
    <w:div w:id="1360275822">
      <w:marLeft w:val="640"/>
      <w:marRight w:val="0"/>
      <w:marTop w:val="0"/>
      <w:marBottom w:val="0"/>
      <w:divBdr>
        <w:top w:val="none" w:sz="0" w:space="0" w:color="auto"/>
        <w:left w:val="none" w:sz="0" w:space="0" w:color="auto"/>
        <w:bottom w:val="none" w:sz="0" w:space="0" w:color="auto"/>
        <w:right w:val="none" w:sz="0" w:space="0" w:color="auto"/>
      </w:divBdr>
    </w:div>
    <w:div w:id="1375351322">
      <w:marLeft w:val="480"/>
      <w:marRight w:val="0"/>
      <w:marTop w:val="0"/>
      <w:marBottom w:val="0"/>
      <w:divBdr>
        <w:top w:val="none" w:sz="0" w:space="0" w:color="auto"/>
        <w:left w:val="none" w:sz="0" w:space="0" w:color="auto"/>
        <w:bottom w:val="none" w:sz="0" w:space="0" w:color="auto"/>
        <w:right w:val="none" w:sz="0" w:space="0" w:color="auto"/>
      </w:divBdr>
    </w:div>
    <w:div w:id="1378777067">
      <w:marLeft w:val="640"/>
      <w:marRight w:val="0"/>
      <w:marTop w:val="0"/>
      <w:marBottom w:val="0"/>
      <w:divBdr>
        <w:top w:val="none" w:sz="0" w:space="0" w:color="auto"/>
        <w:left w:val="none" w:sz="0" w:space="0" w:color="auto"/>
        <w:bottom w:val="none" w:sz="0" w:space="0" w:color="auto"/>
        <w:right w:val="none" w:sz="0" w:space="0" w:color="auto"/>
      </w:divBdr>
    </w:div>
    <w:div w:id="1381856969">
      <w:marLeft w:val="640"/>
      <w:marRight w:val="0"/>
      <w:marTop w:val="0"/>
      <w:marBottom w:val="0"/>
      <w:divBdr>
        <w:top w:val="none" w:sz="0" w:space="0" w:color="auto"/>
        <w:left w:val="none" w:sz="0" w:space="0" w:color="auto"/>
        <w:bottom w:val="none" w:sz="0" w:space="0" w:color="auto"/>
        <w:right w:val="none" w:sz="0" w:space="0" w:color="auto"/>
      </w:divBdr>
    </w:div>
    <w:div w:id="1384523035">
      <w:marLeft w:val="480"/>
      <w:marRight w:val="0"/>
      <w:marTop w:val="0"/>
      <w:marBottom w:val="0"/>
      <w:divBdr>
        <w:top w:val="none" w:sz="0" w:space="0" w:color="auto"/>
        <w:left w:val="none" w:sz="0" w:space="0" w:color="auto"/>
        <w:bottom w:val="none" w:sz="0" w:space="0" w:color="auto"/>
        <w:right w:val="none" w:sz="0" w:space="0" w:color="auto"/>
      </w:divBdr>
    </w:div>
    <w:div w:id="1401096307">
      <w:marLeft w:val="640"/>
      <w:marRight w:val="0"/>
      <w:marTop w:val="0"/>
      <w:marBottom w:val="0"/>
      <w:divBdr>
        <w:top w:val="none" w:sz="0" w:space="0" w:color="auto"/>
        <w:left w:val="none" w:sz="0" w:space="0" w:color="auto"/>
        <w:bottom w:val="none" w:sz="0" w:space="0" w:color="auto"/>
        <w:right w:val="none" w:sz="0" w:space="0" w:color="auto"/>
      </w:divBdr>
    </w:div>
    <w:div w:id="1407725146">
      <w:marLeft w:val="640"/>
      <w:marRight w:val="0"/>
      <w:marTop w:val="0"/>
      <w:marBottom w:val="0"/>
      <w:divBdr>
        <w:top w:val="none" w:sz="0" w:space="0" w:color="auto"/>
        <w:left w:val="none" w:sz="0" w:space="0" w:color="auto"/>
        <w:bottom w:val="none" w:sz="0" w:space="0" w:color="auto"/>
        <w:right w:val="none" w:sz="0" w:space="0" w:color="auto"/>
      </w:divBdr>
    </w:div>
    <w:div w:id="1411122992">
      <w:marLeft w:val="640"/>
      <w:marRight w:val="0"/>
      <w:marTop w:val="0"/>
      <w:marBottom w:val="0"/>
      <w:divBdr>
        <w:top w:val="none" w:sz="0" w:space="0" w:color="auto"/>
        <w:left w:val="none" w:sz="0" w:space="0" w:color="auto"/>
        <w:bottom w:val="none" w:sz="0" w:space="0" w:color="auto"/>
        <w:right w:val="none" w:sz="0" w:space="0" w:color="auto"/>
      </w:divBdr>
    </w:div>
    <w:div w:id="1414887916">
      <w:marLeft w:val="480"/>
      <w:marRight w:val="0"/>
      <w:marTop w:val="0"/>
      <w:marBottom w:val="0"/>
      <w:divBdr>
        <w:top w:val="none" w:sz="0" w:space="0" w:color="auto"/>
        <w:left w:val="none" w:sz="0" w:space="0" w:color="auto"/>
        <w:bottom w:val="none" w:sz="0" w:space="0" w:color="auto"/>
        <w:right w:val="none" w:sz="0" w:space="0" w:color="auto"/>
      </w:divBdr>
    </w:div>
    <w:div w:id="1429735558">
      <w:marLeft w:val="640"/>
      <w:marRight w:val="0"/>
      <w:marTop w:val="0"/>
      <w:marBottom w:val="0"/>
      <w:divBdr>
        <w:top w:val="none" w:sz="0" w:space="0" w:color="auto"/>
        <w:left w:val="none" w:sz="0" w:space="0" w:color="auto"/>
        <w:bottom w:val="none" w:sz="0" w:space="0" w:color="auto"/>
        <w:right w:val="none" w:sz="0" w:space="0" w:color="auto"/>
      </w:divBdr>
    </w:div>
    <w:div w:id="1429816672">
      <w:marLeft w:val="640"/>
      <w:marRight w:val="0"/>
      <w:marTop w:val="0"/>
      <w:marBottom w:val="0"/>
      <w:divBdr>
        <w:top w:val="none" w:sz="0" w:space="0" w:color="auto"/>
        <w:left w:val="none" w:sz="0" w:space="0" w:color="auto"/>
        <w:bottom w:val="none" w:sz="0" w:space="0" w:color="auto"/>
        <w:right w:val="none" w:sz="0" w:space="0" w:color="auto"/>
      </w:divBdr>
    </w:div>
    <w:div w:id="1430154074">
      <w:marLeft w:val="640"/>
      <w:marRight w:val="0"/>
      <w:marTop w:val="0"/>
      <w:marBottom w:val="0"/>
      <w:divBdr>
        <w:top w:val="none" w:sz="0" w:space="0" w:color="auto"/>
        <w:left w:val="none" w:sz="0" w:space="0" w:color="auto"/>
        <w:bottom w:val="none" w:sz="0" w:space="0" w:color="auto"/>
        <w:right w:val="none" w:sz="0" w:space="0" w:color="auto"/>
      </w:divBdr>
    </w:div>
    <w:div w:id="1444223127">
      <w:marLeft w:val="640"/>
      <w:marRight w:val="0"/>
      <w:marTop w:val="0"/>
      <w:marBottom w:val="0"/>
      <w:divBdr>
        <w:top w:val="none" w:sz="0" w:space="0" w:color="auto"/>
        <w:left w:val="none" w:sz="0" w:space="0" w:color="auto"/>
        <w:bottom w:val="none" w:sz="0" w:space="0" w:color="auto"/>
        <w:right w:val="none" w:sz="0" w:space="0" w:color="auto"/>
      </w:divBdr>
    </w:div>
    <w:div w:id="1445802654">
      <w:marLeft w:val="640"/>
      <w:marRight w:val="0"/>
      <w:marTop w:val="0"/>
      <w:marBottom w:val="0"/>
      <w:divBdr>
        <w:top w:val="none" w:sz="0" w:space="0" w:color="auto"/>
        <w:left w:val="none" w:sz="0" w:space="0" w:color="auto"/>
        <w:bottom w:val="none" w:sz="0" w:space="0" w:color="auto"/>
        <w:right w:val="none" w:sz="0" w:space="0" w:color="auto"/>
      </w:divBdr>
    </w:div>
    <w:div w:id="1450663945">
      <w:marLeft w:val="480"/>
      <w:marRight w:val="0"/>
      <w:marTop w:val="0"/>
      <w:marBottom w:val="0"/>
      <w:divBdr>
        <w:top w:val="none" w:sz="0" w:space="0" w:color="auto"/>
        <w:left w:val="none" w:sz="0" w:space="0" w:color="auto"/>
        <w:bottom w:val="none" w:sz="0" w:space="0" w:color="auto"/>
        <w:right w:val="none" w:sz="0" w:space="0" w:color="auto"/>
      </w:divBdr>
    </w:div>
    <w:div w:id="1456365602">
      <w:marLeft w:val="640"/>
      <w:marRight w:val="0"/>
      <w:marTop w:val="0"/>
      <w:marBottom w:val="0"/>
      <w:divBdr>
        <w:top w:val="none" w:sz="0" w:space="0" w:color="auto"/>
        <w:left w:val="none" w:sz="0" w:space="0" w:color="auto"/>
        <w:bottom w:val="none" w:sz="0" w:space="0" w:color="auto"/>
        <w:right w:val="none" w:sz="0" w:space="0" w:color="auto"/>
      </w:divBdr>
    </w:div>
    <w:div w:id="1462337242">
      <w:marLeft w:val="640"/>
      <w:marRight w:val="0"/>
      <w:marTop w:val="0"/>
      <w:marBottom w:val="0"/>
      <w:divBdr>
        <w:top w:val="none" w:sz="0" w:space="0" w:color="auto"/>
        <w:left w:val="none" w:sz="0" w:space="0" w:color="auto"/>
        <w:bottom w:val="none" w:sz="0" w:space="0" w:color="auto"/>
        <w:right w:val="none" w:sz="0" w:space="0" w:color="auto"/>
      </w:divBdr>
    </w:div>
    <w:div w:id="1463037481">
      <w:marLeft w:val="640"/>
      <w:marRight w:val="0"/>
      <w:marTop w:val="0"/>
      <w:marBottom w:val="0"/>
      <w:divBdr>
        <w:top w:val="none" w:sz="0" w:space="0" w:color="auto"/>
        <w:left w:val="none" w:sz="0" w:space="0" w:color="auto"/>
        <w:bottom w:val="none" w:sz="0" w:space="0" w:color="auto"/>
        <w:right w:val="none" w:sz="0" w:space="0" w:color="auto"/>
      </w:divBdr>
    </w:div>
    <w:div w:id="1468740598">
      <w:marLeft w:val="480"/>
      <w:marRight w:val="0"/>
      <w:marTop w:val="0"/>
      <w:marBottom w:val="0"/>
      <w:divBdr>
        <w:top w:val="none" w:sz="0" w:space="0" w:color="auto"/>
        <w:left w:val="none" w:sz="0" w:space="0" w:color="auto"/>
        <w:bottom w:val="none" w:sz="0" w:space="0" w:color="auto"/>
        <w:right w:val="none" w:sz="0" w:space="0" w:color="auto"/>
      </w:divBdr>
    </w:div>
    <w:div w:id="1474713487">
      <w:marLeft w:val="640"/>
      <w:marRight w:val="0"/>
      <w:marTop w:val="0"/>
      <w:marBottom w:val="0"/>
      <w:divBdr>
        <w:top w:val="none" w:sz="0" w:space="0" w:color="auto"/>
        <w:left w:val="none" w:sz="0" w:space="0" w:color="auto"/>
        <w:bottom w:val="none" w:sz="0" w:space="0" w:color="auto"/>
        <w:right w:val="none" w:sz="0" w:space="0" w:color="auto"/>
      </w:divBdr>
    </w:div>
    <w:div w:id="1482622624">
      <w:marLeft w:val="640"/>
      <w:marRight w:val="0"/>
      <w:marTop w:val="0"/>
      <w:marBottom w:val="0"/>
      <w:divBdr>
        <w:top w:val="none" w:sz="0" w:space="0" w:color="auto"/>
        <w:left w:val="none" w:sz="0" w:space="0" w:color="auto"/>
        <w:bottom w:val="none" w:sz="0" w:space="0" w:color="auto"/>
        <w:right w:val="none" w:sz="0" w:space="0" w:color="auto"/>
      </w:divBdr>
    </w:div>
    <w:div w:id="1484858291">
      <w:marLeft w:val="480"/>
      <w:marRight w:val="0"/>
      <w:marTop w:val="0"/>
      <w:marBottom w:val="0"/>
      <w:divBdr>
        <w:top w:val="none" w:sz="0" w:space="0" w:color="auto"/>
        <w:left w:val="none" w:sz="0" w:space="0" w:color="auto"/>
        <w:bottom w:val="none" w:sz="0" w:space="0" w:color="auto"/>
        <w:right w:val="none" w:sz="0" w:space="0" w:color="auto"/>
      </w:divBdr>
    </w:div>
    <w:div w:id="1486701716">
      <w:marLeft w:val="480"/>
      <w:marRight w:val="0"/>
      <w:marTop w:val="0"/>
      <w:marBottom w:val="0"/>
      <w:divBdr>
        <w:top w:val="none" w:sz="0" w:space="0" w:color="auto"/>
        <w:left w:val="none" w:sz="0" w:space="0" w:color="auto"/>
        <w:bottom w:val="none" w:sz="0" w:space="0" w:color="auto"/>
        <w:right w:val="none" w:sz="0" w:space="0" w:color="auto"/>
      </w:divBdr>
    </w:div>
    <w:div w:id="1489981914">
      <w:marLeft w:val="640"/>
      <w:marRight w:val="0"/>
      <w:marTop w:val="0"/>
      <w:marBottom w:val="0"/>
      <w:divBdr>
        <w:top w:val="none" w:sz="0" w:space="0" w:color="auto"/>
        <w:left w:val="none" w:sz="0" w:space="0" w:color="auto"/>
        <w:bottom w:val="none" w:sz="0" w:space="0" w:color="auto"/>
        <w:right w:val="none" w:sz="0" w:space="0" w:color="auto"/>
      </w:divBdr>
    </w:div>
    <w:div w:id="1492335029">
      <w:marLeft w:val="640"/>
      <w:marRight w:val="0"/>
      <w:marTop w:val="0"/>
      <w:marBottom w:val="0"/>
      <w:divBdr>
        <w:top w:val="none" w:sz="0" w:space="0" w:color="auto"/>
        <w:left w:val="none" w:sz="0" w:space="0" w:color="auto"/>
        <w:bottom w:val="none" w:sz="0" w:space="0" w:color="auto"/>
        <w:right w:val="none" w:sz="0" w:space="0" w:color="auto"/>
      </w:divBdr>
    </w:div>
    <w:div w:id="1492796492">
      <w:marLeft w:val="480"/>
      <w:marRight w:val="0"/>
      <w:marTop w:val="0"/>
      <w:marBottom w:val="0"/>
      <w:divBdr>
        <w:top w:val="none" w:sz="0" w:space="0" w:color="auto"/>
        <w:left w:val="none" w:sz="0" w:space="0" w:color="auto"/>
        <w:bottom w:val="none" w:sz="0" w:space="0" w:color="auto"/>
        <w:right w:val="none" w:sz="0" w:space="0" w:color="auto"/>
      </w:divBdr>
    </w:div>
    <w:div w:id="1509633882">
      <w:marLeft w:val="640"/>
      <w:marRight w:val="0"/>
      <w:marTop w:val="0"/>
      <w:marBottom w:val="0"/>
      <w:divBdr>
        <w:top w:val="none" w:sz="0" w:space="0" w:color="auto"/>
        <w:left w:val="none" w:sz="0" w:space="0" w:color="auto"/>
        <w:bottom w:val="none" w:sz="0" w:space="0" w:color="auto"/>
        <w:right w:val="none" w:sz="0" w:space="0" w:color="auto"/>
      </w:divBdr>
    </w:div>
    <w:div w:id="1517496772">
      <w:marLeft w:val="640"/>
      <w:marRight w:val="0"/>
      <w:marTop w:val="0"/>
      <w:marBottom w:val="0"/>
      <w:divBdr>
        <w:top w:val="none" w:sz="0" w:space="0" w:color="auto"/>
        <w:left w:val="none" w:sz="0" w:space="0" w:color="auto"/>
        <w:bottom w:val="none" w:sz="0" w:space="0" w:color="auto"/>
        <w:right w:val="none" w:sz="0" w:space="0" w:color="auto"/>
      </w:divBdr>
    </w:div>
    <w:div w:id="1521701440">
      <w:marLeft w:val="480"/>
      <w:marRight w:val="0"/>
      <w:marTop w:val="0"/>
      <w:marBottom w:val="0"/>
      <w:divBdr>
        <w:top w:val="none" w:sz="0" w:space="0" w:color="auto"/>
        <w:left w:val="none" w:sz="0" w:space="0" w:color="auto"/>
        <w:bottom w:val="none" w:sz="0" w:space="0" w:color="auto"/>
        <w:right w:val="none" w:sz="0" w:space="0" w:color="auto"/>
      </w:divBdr>
    </w:div>
    <w:div w:id="1525363107">
      <w:marLeft w:val="640"/>
      <w:marRight w:val="0"/>
      <w:marTop w:val="0"/>
      <w:marBottom w:val="0"/>
      <w:divBdr>
        <w:top w:val="none" w:sz="0" w:space="0" w:color="auto"/>
        <w:left w:val="none" w:sz="0" w:space="0" w:color="auto"/>
        <w:bottom w:val="none" w:sz="0" w:space="0" w:color="auto"/>
        <w:right w:val="none" w:sz="0" w:space="0" w:color="auto"/>
      </w:divBdr>
    </w:div>
    <w:div w:id="1529950593">
      <w:marLeft w:val="480"/>
      <w:marRight w:val="0"/>
      <w:marTop w:val="0"/>
      <w:marBottom w:val="0"/>
      <w:divBdr>
        <w:top w:val="none" w:sz="0" w:space="0" w:color="auto"/>
        <w:left w:val="none" w:sz="0" w:space="0" w:color="auto"/>
        <w:bottom w:val="none" w:sz="0" w:space="0" w:color="auto"/>
        <w:right w:val="none" w:sz="0" w:space="0" w:color="auto"/>
      </w:divBdr>
    </w:div>
    <w:div w:id="1535844319">
      <w:marLeft w:val="480"/>
      <w:marRight w:val="0"/>
      <w:marTop w:val="0"/>
      <w:marBottom w:val="0"/>
      <w:divBdr>
        <w:top w:val="none" w:sz="0" w:space="0" w:color="auto"/>
        <w:left w:val="none" w:sz="0" w:space="0" w:color="auto"/>
        <w:bottom w:val="none" w:sz="0" w:space="0" w:color="auto"/>
        <w:right w:val="none" w:sz="0" w:space="0" w:color="auto"/>
      </w:divBdr>
    </w:div>
    <w:div w:id="1540049780">
      <w:marLeft w:val="480"/>
      <w:marRight w:val="0"/>
      <w:marTop w:val="0"/>
      <w:marBottom w:val="0"/>
      <w:divBdr>
        <w:top w:val="none" w:sz="0" w:space="0" w:color="auto"/>
        <w:left w:val="none" w:sz="0" w:space="0" w:color="auto"/>
        <w:bottom w:val="none" w:sz="0" w:space="0" w:color="auto"/>
        <w:right w:val="none" w:sz="0" w:space="0" w:color="auto"/>
      </w:divBdr>
    </w:div>
    <w:div w:id="1544946935">
      <w:marLeft w:val="480"/>
      <w:marRight w:val="0"/>
      <w:marTop w:val="0"/>
      <w:marBottom w:val="0"/>
      <w:divBdr>
        <w:top w:val="none" w:sz="0" w:space="0" w:color="auto"/>
        <w:left w:val="none" w:sz="0" w:space="0" w:color="auto"/>
        <w:bottom w:val="none" w:sz="0" w:space="0" w:color="auto"/>
        <w:right w:val="none" w:sz="0" w:space="0" w:color="auto"/>
      </w:divBdr>
    </w:div>
    <w:div w:id="1548839533">
      <w:marLeft w:val="480"/>
      <w:marRight w:val="0"/>
      <w:marTop w:val="0"/>
      <w:marBottom w:val="0"/>
      <w:divBdr>
        <w:top w:val="none" w:sz="0" w:space="0" w:color="auto"/>
        <w:left w:val="none" w:sz="0" w:space="0" w:color="auto"/>
        <w:bottom w:val="none" w:sz="0" w:space="0" w:color="auto"/>
        <w:right w:val="none" w:sz="0" w:space="0" w:color="auto"/>
      </w:divBdr>
    </w:div>
    <w:div w:id="1549996052">
      <w:marLeft w:val="480"/>
      <w:marRight w:val="0"/>
      <w:marTop w:val="0"/>
      <w:marBottom w:val="0"/>
      <w:divBdr>
        <w:top w:val="none" w:sz="0" w:space="0" w:color="auto"/>
        <w:left w:val="none" w:sz="0" w:space="0" w:color="auto"/>
        <w:bottom w:val="none" w:sz="0" w:space="0" w:color="auto"/>
        <w:right w:val="none" w:sz="0" w:space="0" w:color="auto"/>
      </w:divBdr>
    </w:div>
    <w:div w:id="1558201898">
      <w:marLeft w:val="640"/>
      <w:marRight w:val="0"/>
      <w:marTop w:val="0"/>
      <w:marBottom w:val="0"/>
      <w:divBdr>
        <w:top w:val="none" w:sz="0" w:space="0" w:color="auto"/>
        <w:left w:val="none" w:sz="0" w:space="0" w:color="auto"/>
        <w:bottom w:val="none" w:sz="0" w:space="0" w:color="auto"/>
        <w:right w:val="none" w:sz="0" w:space="0" w:color="auto"/>
      </w:divBdr>
    </w:div>
    <w:div w:id="1558472484">
      <w:marLeft w:val="480"/>
      <w:marRight w:val="0"/>
      <w:marTop w:val="0"/>
      <w:marBottom w:val="0"/>
      <w:divBdr>
        <w:top w:val="none" w:sz="0" w:space="0" w:color="auto"/>
        <w:left w:val="none" w:sz="0" w:space="0" w:color="auto"/>
        <w:bottom w:val="none" w:sz="0" w:space="0" w:color="auto"/>
        <w:right w:val="none" w:sz="0" w:space="0" w:color="auto"/>
      </w:divBdr>
    </w:div>
    <w:div w:id="1571380167">
      <w:marLeft w:val="480"/>
      <w:marRight w:val="0"/>
      <w:marTop w:val="0"/>
      <w:marBottom w:val="0"/>
      <w:divBdr>
        <w:top w:val="none" w:sz="0" w:space="0" w:color="auto"/>
        <w:left w:val="none" w:sz="0" w:space="0" w:color="auto"/>
        <w:bottom w:val="none" w:sz="0" w:space="0" w:color="auto"/>
        <w:right w:val="none" w:sz="0" w:space="0" w:color="auto"/>
      </w:divBdr>
    </w:div>
    <w:div w:id="1572345359">
      <w:marLeft w:val="640"/>
      <w:marRight w:val="0"/>
      <w:marTop w:val="0"/>
      <w:marBottom w:val="0"/>
      <w:divBdr>
        <w:top w:val="none" w:sz="0" w:space="0" w:color="auto"/>
        <w:left w:val="none" w:sz="0" w:space="0" w:color="auto"/>
        <w:bottom w:val="none" w:sz="0" w:space="0" w:color="auto"/>
        <w:right w:val="none" w:sz="0" w:space="0" w:color="auto"/>
      </w:divBdr>
    </w:div>
    <w:div w:id="1572498634">
      <w:marLeft w:val="480"/>
      <w:marRight w:val="0"/>
      <w:marTop w:val="0"/>
      <w:marBottom w:val="0"/>
      <w:divBdr>
        <w:top w:val="none" w:sz="0" w:space="0" w:color="auto"/>
        <w:left w:val="none" w:sz="0" w:space="0" w:color="auto"/>
        <w:bottom w:val="none" w:sz="0" w:space="0" w:color="auto"/>
        <w:right w:val="none" w:sz="0" w:space="0" w:color="auto"/>
      </w:divBdr>
    </w:div>
    <w:div w:id="1574126102">
      <w:marLeft w:val="480"/>
      <w:marRight w:val="0"/>
      <w:marTop w:val="0"/>
      <w:marBottom w:val="0"/>
      <w:divBdr>
        <w:top w:val="none" w:sz="0" w:space="0" w:color="auto"/>
        <w:left w:val="none" w:sz="0" w:space="0" w:color="auto"/>
        <w:bottom w:val="none" w:sz="0" w:space="0" w:color="auto"/>
        <w:right w:val="none" w:sz="0" w:space="0" w:color="auto"/>
      </w:divBdr>
    </w:div>
    <w:div w:id="1580821138">
      <w:marLeft w:val="480"/>
      <w:marRight w:val="0"/>
      <w:marTop w:val="0"/>
      <w:marBottom w:val="0"/>
      <w:divBdr>
        <w:top w:val="none" w:sz="0" w:space="0" w:color="auto"/>
        <w:left w:val="none" w:sz="0" w:space="0" w:color="auto"/>
        <w:bottom w:val="none" w:sz="0" w:space="0" w:color="auto"/>
        <w:right w:val="none" w:sz="0" w:space="0" w:color="auto"/>
      </w:divBdr>
    </w:div>
    <w:div w:id="1588728688">
      <w:marLeft w:val="480"/>
      <w:marRight w:val="0"/>
      <w:marTop w:val="0"/>
      <w:marBottom w:val="0"/>
      <w:divBdr>
        <w:top w:val="none" w:sz="0" w:space="0" w:color="auto"/>
        <w:left w:val="none" w:sz="0" w:space="0" w:color="auto"/>
        <w:bottom w:val="none" w:sz="0" w:space="0" w:color="auto"/>
        <w:right w:val="none" w:sz="0" w:space="0" w:color="auto"/>
      </w:divBdr>
    </w:div>
    <w:div w:id="1594321547">
      <w:marLeft w:val="480"/>
      <w:marRight w:val="0"/>
      <w:marTop w:val="0"/>
      <w:marBottom w:val="0"/>
      <w:divBdr>
        <w:top w:val="none" w:sz="0" w:space="0" w:color="auto"/>
        <w:left w:val="none" w:sz="0" w:space="0" w:color="auto"/>
        <w:bottom w:val="none" w:sz="0" w:space="0" w:color="auto"/>
        <w:right w:val="none" w:sz="0" w:space="0" w:color="auto"/>
      </w:divBdr>
    </w:div>
    <w:div w:id="1594388669">
      <w:marLeft w:val="640"/>
      <w:marRight w:val="0"/>
      <w:marTop w:val="0"/>
      <w:marBottom w:val="0"/>
      <w:divBdr>
        <w:top w:val="none" w:sz="0" w:space="0" w:color="auto"/>
        <w:left w:val="none" w:sz="0" w:space="0" w:color="auto"/>
        <w:bottom w:val="none" w:sz="0" w:space="0" w:color="auto"/>
        <w:right w:val="none" w:sz="0" w:space="0" w:color="auto"/>
      </w:divBdr>
    </w:div>
    <w:div w:id="1597904251">
      <w:marLeft w:val="640"/>
      <w:marRight w:val="0"/>
      <w:marTop w:val="0"/>
      <w:marBottom w:val="0"/>
      <w:divBdr>
        <w:top w:val="none" w:sz="0" w:space="0" w:color="auto"/>
        <w:left w:val="none" w:sz="0" w:space="0" w:color="auto"/>
        <w:bottom w:val="none" w:sz="0" w:space="0" w:color="auto"/>
        <w:right w:val="none" w:sz="0" w:space="0" w:color="auto"/>
      </w:divBdr>
    </w:div>
    <w:div w:id="1600211674">
      <w:marLeft w:val="480"/>
      <w:marRight w:val="0"/>
      <w:marTop w:val="0"/>
      <w:marBottom w:val="0"/>
      <w:divBdr>
        <w:top w:val="none" w:sz="0" w:space="0" w:color="auto"/>
        <w:left w:val="none" w:sz="0" w:space="0" w:color="auto"/>
        <w:bottom w:val="none" w:sz="0" w:space="0" w:color="auto"/>
        <w:right w:val="none" w:sz="0" w:space="0" w:color="auto"/>
      </w:divBdr>
    </w:div>
    <w:div w:id="1600604902">
      <w:marLeft w:val="640"/>
      <w:marRight w:val="0"/>
      <w:marTop w:val="0"/>
      <w:marBottom w:val="0"/>
      <w:divBdr>
        <w:top w:val="none" w:sz="0" w:space="0" w:color="auto"/>
        <w:left w:val="none" w:sz="0" w:space="0" w:color="auto"/>
        <w:bottom w:val="none" w:sz="0" w:space="0" w:color="auto"/>
        <w:right w:val="none" w:sz="0" w:space="0" w:color="auto"/>
      </w:divBdr>
    </w:div>
    <w:div w:id="1601377316">
      <w:marLeft w:val="640"/>
      <w:marRight w:val="0"/>
      <w:marTop w:val="0"/>
      <w:marBottom w:val="0"/>
      <w:divBdr>
        <w:top w:val="none" w:sz="0" w:space="0" w:color="auto"/>
        <w:left w:val="none" w:sz="0" w:space="0" w:color="auto"/>
        <w:bottom w:val="none" w:sz="0" w:space="0" w:color="auto"/>
        <w:right w:val="none" w:sz="0" w:space="0" w:color="auto"/>
      </w:divBdr>
    </w:div>
    <w:div w:id="1603877866">
      <w:marLeft w:val="480"/>
      <w:marRight w:val="0"/>
      <w:marTop w:val="0"/>
      <w:marBottom w:val="0"/>
      <w:divBdr>
        <w:top w:val="none" w:sz="0" w:space="0" w:color="auto"/>
        <w:left w:val="none" w:sz="0" w:space="0" w:color="auto"/>
        <w:bottom w:val="none" w:sz="0" w:space="0" w:color="auto"/>
        <w:right w:val="none" w:sz="0" w:space="0" w:color="auto"/>
      </w:divBdr>
    </w:div>
    <w:div w:id="1605651967">
      <w:marLeft w:val="480"/>
      <w:marRight w:val="0"/>
      <w:marTop w:val="0"/>
      <w:marBottom w:val="0"/>
      <w:divBdr>
        <w:top w:val="none" w:sz="0" w:space="0" w:color="auto"/>
        <w:left w:val="none" w:sz="0" w:space="0" w:color="auto"/>
        <w:bottom w:val="none" w:sz="0" w:space="0" w:color="auto"/>
        <w:right w:val="none" w:sz="0" w:space="0" w:color="auto"/>
      </w:divBdr>
    </w:div>
    <w:div w:id="1609117144">
      <w:marLeft w:val="640"/>
      <w:marRight w:val="0"/>
      <w:marTop w:val="0"/>
      <w:marBottom w:val="0"/>
      <w:divBdr>
        <w:top w:val="none" w:sz="0" w:space="0" w:color="auto"/>
        <w:left w:val="none" w:sz="0" w:space="0" w:color="auto"/>
        <w:bottom w:val="none" w:sz="0" w:space="0" w:color="auto"/>
        <w:right w:val="none" w:sz="0" w:space="0" w:color="auto"/>
      </w:divBdr>
    </w:div>
    <w:div w:id="1609312602">
      <w:marLeft w:val="480"/>
      <w:marRight w:val="0"/>
      <w:marTop w:val="0"/>
      <w:marBottom w:val="0"/>
      <w:divBdr>
        <w:top w:val="none" w:sz="0" w:space="0" w:color="auto"/>
        <w:left w:val="none" w:sz="0" w:space="0" w:color="auto"/>
        <w:bottom w:val="none" w:sz="0" w:space="0" w:color="auto"/>
        <w:right w:val="none" w:sz="0" w:space="0" w:color="auto"/>
      </w:divBdr>
    </w:div>
    <w:div w:id="1614362732">
      <w:marLeft w:val="640"/>
      <w:marRight w:val="0"/>
      <w:marTop w:val="0"/>
      <w:marBottom w:val="0"/>
      <w:divBdr>
        <w:top w:val="none" w:sz="0" w:space="0" w:color="auto"/>
        <w:left w:val="none" w:sz="0" w:space="0" w:color="auto"/>
        <w:bottom w:val="none" w:sz="0" w:space="0" w:color="auto"/>
        <w:right w:val="none" w:sz="0" w:space="0" w:color="auto"/>
      </w:divBdr>
    </w:div>
    <w:div w:id="1627928637">
      <w:marLeft w:val="640"/>
      <w:marRight w:val="0"/>
      <w:marTop w:val="0"/>
      <w:marBottom w:val="0"/>
      <w:divBdr>
        <w:top w:val="none" w:sz="0" w:space="0" w:color="auto"/>
        <w:left w:val="none" w:sz="0" w:space="0" w:color="auto"/>
        <w:bottom w:val="none" w:sz="0" w:space="0" w:color="auto"/>
        <w:right w:val="none" w:sz="0" w:space="0" w:color="auto"/>
      </w:divBdr>
    </w:div>
    <w:div w:id="1632396954">
      <w:marLeft w:val="480"/>
      <w:marRight w:val="0"/>
      <w:marTop w:val="0"/>
      <w:marBottom w:val="0"/>
      <w:divBdr>
        <w:top w:val="none" w:sz="0" w:space="0" w:color="auto"/>
        <w:left w:val="none" w:sz="0" w:space="0" w:color="auto"/>
        <w:bottom w:val="none" w:sz="0" w:space="0" w:color="auto"/>
        <w:right w:val="none" w:sz="0" w:space="0" w:color="auto"/>
      </w:divBdr>
    </w:div>
    <w:div w:id="1633171763">
      <w:marLeft w:val="480"/>
      <w:marRight w:val="0"/>
      <w:marTop w:val="0"/>
      <w:marBottom w:val="0"/>
      <w:divBdr>
        <w:top w:val="none" w:sz="0" w:space="0" w:color="auto"/>
        <w:left w:val="none" w:sz="0" w:space="0" w:color="auto"/>
        <w:bottom w:val="none" w:sz="0" w:space="0" w:color="auto"/>
        <w:right w:val="none" w:sz="0" w:space="0" w:color="auto"/>
      </w:divBdr>
    </w:div>
    <w:div w:id="1637102994">
      <w:marLeft w:val="640"/>
      <w:marRight w:val="0"/>
      <w:marTop w:val="0"/>
      <w:marBottom w:val="0"/>
      <w:divBdr>
        <w:top w:val="none" w:sz="0" w:space="0" w:color="auto"/>
        <w:left w:val="none" w:sz="0" w:space="0" w:color="auto"/>
        <w:bottom w:val="none" w:sz="0" w:space="0" w:color="auto"/>
        <w:right w:val="none" w:sz="0" w:space="0" w:color="auto"/>
      </w:divBdr>
    </w:div>
    <w:div w:id="1646742434">
      <w:marLeft w:val="480"/>
      <w:marRight w:val="0"/>
      <w:marTop w:val="0"/>
      <w:marBottom w:val="0"/>
      <w:divBdr>
        <w:top w:val="none" w:sz="0" w:space="0" w:color="auto"/>
        <w:left w:val="none" w:sz="0" w:space="0" w:color="auto"/>
        <w:bottom w:val="none" w:sz="0" w:space="0" w:color="auto"/>
        <w:right w:val="none" w:sz="0" w:space="0" w:color="auto"/>
      </w:divBdr>
    </w:div>
    <w:div w:id="1650818066">
      <w:marLeft w:val="640"/>
      <w:marRight w:val="0"/>
      <w:marTop w:val="0"/>
      <w:marBottom w:val="0"/>
      <w:divBdr>
        <w:top w:val="none" w:sz="0" w:space="0" w:color="auto"/>
        <w:left w:val="none" w:sz="0" w:space="0" w:color="auto"/>
        <w:bottom w:val="none" w:sz="0" w:space="0" w:color="auto"/>
        <w:right w:val="none" w:sz="0" w:space="0" w:color="auto"/>
      </w:divBdr>
    </w:div>
    <w:div w:id="1652901342">
      <w:marLeft w:val="640"/>
      <w:marRight w:val="0"/>
      <w:marTop w:val="0"/>
      <w:marBottom w:val="0"/>
      <w:divBdr>
        <w:top w:val="none" w:sz="0" w:space="0" w:color="auto"/>
        <w:left w:val="none" w:sz="0" w:space="0" w:color="auto"/>
        <w:bottom w:val="none" w:sz="0" w:space="0" w:color="auto"/>
        <w:right w:val="none" w:sz="0" w:space="0" w:color="auto"/>
      </w:divBdr>
    </w:div>
    <w:div w:id="1666467749">
      <w:marLeft w:val="640"/>
      <w:marRight w:val="0"/>
      <w:marTop w:val="0"/>
      <w:marBottom w:val="0"/>
      <w:divBdr>
        <w:top w:val="none" w:sz="0" w:space="0" w:color="auto"/>
        <w:left w:val="none" w:sz="0" w:space="0" w:color="auto"/>
        <w:bottom w:val="none" w:sz="0" w:space="0" w:color="auto"/>
        <w:right w:val="none" w:sz="0" w:space="0" w:color="auto"/>
      </w:divBdr>
    </w:div>
    <w:div w:id="1674531605">
      <w:marLeft w:val="480"/>
      <w:marRight w:val="0"/>
      <w:marTop w:val="0"/>
      <w:marBottom w:val="0"/>
      <w:divBdr>
        <w:top w:val="none" w:sz="0" w:space="0" w:color="auto"/>
        <w:left w:val="none" w:sz="0" w:space="0" w:color="auto"/>
        <w:bottom w:val="none" w:sz="0" w:space="0" w:color="auto"/>
        <w:right w:val="none" w:sz="0" w:space="0" w:color="auto"/>
      </w:divBdr>
    </w:div>
    <w:div w:id="1675107304">
      <w:marLeft w:val="480"/>
      <w:marRight w:val="0"/>
      <w:marTop w:val="0"/>
      <w:marBottom w:val="0"/>
      <w:divBdr>
        <w:top w:val="none" w:sz="0" w:space="0" w:color="auto"/>
        <w:left w:val="none" w:sz="0" w:space="0" w:color="auto"/>
        <w:bottom w:val="none" w:sz="0" w:space="0" w:color="auto"/>
        <w:right w:val="none" w:sz="0" w:space="0" w:color="auto"/>
      </w:divBdr>
    </w:div>
    <w:div w:id="1693531549">
      <w:marLeft w:val="480"/>
      <w:marRight w:val="0"/>
      <w:marTop w:val="0"/>
      <w:marBottom w:val="0"/>
      <w:divBdr>
        <w:top w:val="none" w:sz="0" w:space="0" w:color="auto"/>
        <w:left w:val="none" w:sz="0" w:space="0" w:color="auto"/>
        <w:bottom w:val="none" w:sz="0" w:space="0" w:color="auto"/>
        <w:right w:val="none" w:sz="0" w:space="0" w:color="auto"/>
      </w:divBdr>
    </w:div>
    <w:div w:id="1712073269">
      <w:marLeft w:val="480"/>
      <w:marRight w:val="0"/>
      <w:marTop w:val="0"/>
      <w:marBottom w:val="0"/>
      <w:divBdr>
        <w:top w:val="none" w:sz="0" w:space="0" w:color="auto"/>
        <w:left w:val="none" w:sz="0" w:space="0" w:color="auto"/>
        <w:bottom w:val="none" w:sz="0" w:space="0" w:color="auto"/>
        <w:right w:val="none" w:sz="0" w:space="0" w:color="auto"/>
      </w:divBdr>
    </w:div>
    <w:div w:id="1712609074">
      <w:marLeft w:val="640"/>
      <w:marRight w:val="0"/>
      <w:marTop w:val="0"/>
      <w:marBottom w:val="0"/>
      <w:divBdr>
        <w:top w:val="none" w:sz="0" w:space="0" w:color="auto"/>
        <w:left w:val="none" w:sz="0" w:space="0" w:color="auto"/>
        <w:bottom w:val="none" w:sz="0" w:space="0" w:color="auto"/>
        <w:right w:val="none" w:sz="0" w:space="0" w:color="auto"/>
      </w:divBdr>
    </w:div>
    <w:div w:id="1712925857">
      <w:marLeft w:val="640"/>
      <w:marRight w:val="0"/>
      <w:marTop w:val="0"/>
      <w:marBottom w:val="0"/>
      <w:divBdr>
        <w:top w:val="none" w:sz="0" w:space="0" w:color="auto"/>
        <w:left w:val="none" w:sz="0" w:space="0" w:color="auto"/>
        <w:bottom w:val="none" w:sz="0" w:space="0" w:color="auto"/>
        <w:right w:val="none" w:sz="0" w:space="0" w:color="auto"/>
      </w:divBdr>
    </w:div>
    <w:div w:id="1713337523">
      <w:marLeft w:val="480"/>
      <w:marRight w:val="0"/>
      <w:marTop w:val="0"/>
      <w:marBottom w:val="0"/>
      <w:divBdr>
        <w:top w:val="none" w:sz="0" w:space="0" w:color="auto"/>
        <w:left w:val="none" w:sz="0" w:space="0" w:color="auto"/>
        <w:bottom w:val="none" w:sz="0" w:space="0" w:color="auto"/>
        <w:right w:val="none" w:sz="0" w:space="0" w:color="auto"/>
      </w:divBdr>
    </w:div>
    <w:div w:id="1715109076">
      <w:marLeft w:val="480"/>
      <w:marRight w:val="0"/>
      <w:marTop w:val="0"/>
      <w:marBottom w:val="0"/>
      <w:divBdr>
        <w:top w:val="none" w:sz="0" w:space="0" w:color="auto"/>
        <w:left w:val="none" w:sz="0" w:space="0" w:color="auto"/>
        <w:bottom w:val="none" w:sz="0" w:space="0" w:color="auto"/>
        <w:right w:val="none" w:sz="0" w:space="0" w:color="auto"/>
      </w:divBdr>
    </w:div>
    <w:div w:id="1719015489">
      <w:marLeft w:val="480"/>
      <w:marRight w:val="0"/>
      <w:marTop w:val="0"/>
      <w:marBottom w:val="0"/>
      <w:divBdr>
        <w:top w:val="none" w:sz="0" w:space="0" w:color="auto"/>
        <w:left w:val="none" w:sz="0" w:space="0" w:color="auto"/>
        <w:bottom w:val="none" w:sz="0" w:space="0" w:color="auto"/>
        <w:right w:val="none" w:sz="0" w:space="0" w:color="auto"/>
      </w:divBdr>
    </w:div>
    <w:div w:id="1719354854">
      <w:marLeft w:val="480"/>
      <w:marRight w:val="0"/>
      <w:marTop w:val="0"/>
      <w:marBottom w:val="0"/>
      <w:divBdr>
        <w:top w:val="none" w:sz="0" w:space="0" w:color="auto"/>
        <w:left w:val="none" w:sz="0" w:space="0" w:color="auto"/>
        <w:bottom w:val="none" w:sz="0" w:space="0" w:color="auto"/>
        <w:right w:val="none" w:sz="0" w:space="0" w:color="auto"/>
      </w:divBdr>
    </w:div>
    <w:div w:id="1719544955">
      <w:marLeft w:val="480"/>
      <w:marRight w:val="0"/>
      <w:marTop w:val="0"/>
      <w:marBottom w:val="0"/>
      <w:divBdr>
        <w:top w:val="none" w:sz="0" w:space="0" w:color="auto"/>
        <w:left w:val="none" w:sz="0" w:space="0" w:color="auto"/>
        <w:bottom w:val="none" w:sz="0" w:space="0" w:color="auto"/>
        <w:right w:val="none" w:sz="0" w:space="0" w:color="auto"/>
      </w:divBdr>
    </w:div>
    <w:div w:id="1720283060">
      <w:marLeft w:val="480"/>
      <w:marRight w:val="0"/>
      <w:marTop w:val="0"/>
      <w:marBottom w:val="0"/>
      <w:divBdr>
        <w:top w:val="none" w:sz="0" w:space="0" w:color="auto"/>
        <w:left w:val="none" w:sz="0" w:space="0" w:color="auto"/>
        <w:bottom w:val="none" w:sz="0" w:space="0" w:color="auto"/>
        <w:right w:val="none" w:sz="0" w:space="0" w:color="auto"/>
      </w:divBdr>
    </w:div>
    <w:div w:id="1721513188">
      <w:marLeft w:val="480"/>
      <w:marRight w:val="0"/>
      <w:marTop w:val="0"/>
      <w:marBottom w:val="0"/>
      <w:divBdr>
        <w:top w:val="none" w:sz="0" w:space="0" w:color="auto"/>
        <w:left w:val="none" w:sz="0" w:space="0" w:color="auto"/>
        <w:bottom w:val="none" w:sz="0" w:space="0" w:color="auto"/>
        <w:right w:val="none" w:sz="0" w:space="0" w:color="auto"/>
      </w:divBdr>
    </w:div>
    <w:div w:id="1725373129">
      <w:marLeft w:val="480"/>
      <w:marRight w:val="0"/>
      <w:marTop w:val="0"/>
      <w:marBottom w:val="0"/>
      <w:divBdr>
        <w:top w:val="none" w:sz="0" w:space="0" w:color="auto"/>
        <w:left w:val="none" w:sz="0" w:space="0" w:color="auto"/>
        <w:bottom w:val="none" w:sz="0" w:space="0" w:color="auto"/>
        <w:right w:val="none" w:sz="0" w:space="0" w:color="auto"/>
      </w:divBdr>
    </w:div>
    <w:div w:id="1725718118">
      <w:marLeft w:val="640"/>
      <w:marRight w:val="0"/>
      <w:marTop w:val="0"/>
      <w:marBottom w:val="0"/>
      <w:divBdr>
        <w:top w:val="none" w:sz="0" w:space="0" w:color="auto"/>
        <w:left w:val="none" w:sz="0" w:space="0" w:color="auto"/>
        <w:bottom w:val="none" w:sz="0" w:space="0" w:color="auto"/>
        <w:right w:val="none" w:sz="0" w:space="0" w:color="auto"/>
      </w:divBdr>
    </w:div>
    <w:div w:id="1726297032">
      <w:marLeft w:val="480"/>
      <w:marRight w:val="0"/>
      <w:marTop w:val="0"/>
      <w:marBottom w:val="0"/>
      <w:divBdr>
        <w:top w:val="none" w:sz="0" w:space="0" w:color="auto"/>
        <w:left w:val="none" w:sz="0" w:space="0" w:color="auto"/>
        <w:bottom w:val="none" w:sz="0" w:space="0" w:color="auto"/>
        <w:right w:val="none" w:sz="0" w:space="0" w:color="auto"/>
      </w:divBdr>
    </w:div>
    <w:div w:id="1729036616">
      <w:marLeft w:val="640"/>
      <w:marRight w:val="0"/>
      <w:marTop w:val="0"/>
      <w:marBottom w:val="0"/>
      <w:divBdr>
        <w:top w:val="none" w:sz="0" w:space="0" w:color="auto"/>
        <w:left w:val="none" w:sz="0" w:space="0" w:color="auto"/>
        <w:bottom w:val="none" w:sz="0" w:space="0" w:color="auto"/>
        <w:right w:val="none" w:sz="0" w:space="0" w:color="auto"/>
      </w:divBdr>
    </w:div>
    <w:div w:id="1730034282">
      <w:marLeft w:val="640"/>
      <w:marRight w:val="0"/>
      <w:marTop w:val="0"/>
      <w:marBottom w:val="0"/>
      <w:divBdr>
        <w:top w:val="none" w:sz="0" w:space="0" w:color="auto"/>
        <w:left w:val="none" w:sz="0" w:space="0" w:color="auto"/>
        <w:bottom w:val="none" w:sz="0" w:space="0" w:color="auto"/>
        <w:right w:val="none" w:sz="0" w:space="0" w:color="auto"/>
      </w:divBdr>
    </w:div>
    <w:div w:id="1737313481">
      <w:marLeft w:val="640"/>
      <w:marRight w:val="0"/>
      <w:marTop w:val="0"/>
      <w:marBottom w:val="0"/>
      <w:divBdr>
        <w:top w:val="none" w:sz="0" w:space="0" w:color="auto"/>
        <w:left w:val="none" w:sz="0" w:space="0" w:color="auto"/>
        <w:bottom w:val="none" w:sz="0" w:space="0" w:color="auto"/>
        <w:right w:val="none" w:sz="0" w:space="0" w:color="auto"/>
      </w:divBdr>
    </w:div>
    <w:div w:id="1738242946">
      <w:marLeft w:val="480"/>
      <w:marRight w:val="0"/>
      <w:marTop w:val="0"/>
      <w:marBottom w:val="0"/>
      <w:divBdr>
        <w:top w:val="none" w:sz="0" w:space="0" w:color="auto"/>
        <w:left w:val="none" w:sz="0" w:space="0" w:color="auto"/>
        <w:bottom w:val="none" w:sz="0" w:space="0" w:color="auto"/>
        <w:right w:val="none" w:sz="0" w:space="0" w:color="auto"/>
      </w:divBdr>
    </w:div>
    <w:div w:id="1740594525">
      <w:marLeft w:val="640"/>
      <w:marRight w:val="0"/>
      <w:marTop w:val="0"/>
      <w:marBottom w:val="0"/>
      <w:divBdr>
        <w:top w:val="none" w:sz="0" w:space="0" w:color="auto"/>
        <w:left w:val="none" w:sz="0" w:space="0" w:color="auto"/>
        <w:bottom w:val="none" w:sz="0" w:space="0" w:color="auto"/>
        <w:right w:val="none" w:sz="0" w:space="0" w:color="auto"/>
      </w:divBdr>
    </w:div>
    <w:div w:id="1743873677">
      <w:marLeft w:val="480"/>
      <w:marRight w:val="0"/>
      <w:marTop w:val="0"/>
      <w:marBottom w:val="0"/>
      <w:divBdr>
        <w:top w:val="none" w:sz="0" w:space="0" w:color="auto"/>
        <w:left w:val="none" w:sz="0" w:space="0" w:color="auto"/>
        <w:bottom w:val="none" w:sz="0" w:space="0" w:color="auto"/>
        <w:right w:val="none" w:sz="0" w:space="0" w:color="auto"/>
      </w:divBdr>
    </w:div>
    <w:div w:id="1746566159">
      <w:marLeft w:val="480"/>
      <w:marRight w:val="0"/>
      <w:marTop w:val="0"/>
      <w:marBottom w:val="0"/>
      <w:divBdr>
        <w:top w:val="none" w:sz="0" w:space="0" w:color="auto"/>
        <w:left w:val="none" w:sz="0" w:space="0" w:color="auto"/>
        <w:bottom w:val="none" w:sz="0" w:space="0" w:color="auto"/>
        <w:right w:val="none" w:sz="0" w:space="0" w:color="auto"/>
      </w:divBdr>
    </w:div>
    <w:div w:id="1750811774">
      <w:marLeft w:val="640"/>
      <w:marRight w:val="0"/>
      <w:marTop w:val="0"/>
      <w:marBottom w:val="0"/>
      <w:divBdr>
        <w:top w:val="none" w:sz="0" w:space="0" w:color="auto"/>
        <w:left w:val="none" w:sz="0" w:space="0" w:color="auto"/>
        <w:bottom w:val="none" w:sz="0" w:space="0" w:color="auto"/>
        <w:right w:val="none" w:sz="0" w:space="0" w:color="auto"/>
      </w:divBdr>
    </w:div>
    <w:div w:id="1756583453">
      <w:marLeft w:val="480"/>
      <w:marRight w:val="0"/>
      <w:marTop w:val="0"/>
      <w:marBottom w:val="0"/>
      <w:divBdr>
        <w:top w:val="none" w:sz="0" w:space="0" w:color="auto"/>
        <w:left w:val="none" w:sz="0" w:space="0" w:color="auto"/>
        <w:bottom w:val="none" w:sz="0" w:space="0" w:color="auto"/>
        <w:right w:val="none" w:sz="0" w:space="0" w:color="auto"/>
      </w:divBdr>
    </w:div>
    <w:div w:id="1760247035">
      <w:marLeft w:val="640"/>
      <w:marRight w:val="0"/>
      <w:marTop w:val="0"/>
      <w:marBottom w:val="0"/>
      <w:divBdr>
        <w:top w:val="none" w:sz="0" w:space="0" w:color="auto"/>
        <w:left w:val="none" w:sz="0" w:space="0" w:color="auto"/>
        <w:bottom w:val="none" w:sz="0" w:space="0" w:color="auto"/>
        <w:right w:val="none" w:sz="0" w:space="0" w:color="auto"/>
      </w:divBdr>
    </w:div>
    <w:div w:id="1761216583">
      <w:marLeft w:val="480"/>
      <w:marRight w:val="0"/>
      <w:marTop w:val="0"/>
      <w:marBottom w:val="0"/>
      <w:divBdr>
        <w:top w:val="none" w:sz="0" w:space="0" w:color="auto"/>
        <w:left w:val="none" w:sz="0" w:space="0" w:color="auto"/>
        <w:bottom w:val="none" w:sz="0" w:space="0" w:color="auto"/>
        <w:right w:val="none" w:sz="0" w:space="0" w:color="auto"/>
      </w:divBdr>
    </w:div>
    <w:div w:id="1761875517">
      <w:marLeft w:val="480"/>
      <w:marRight w:val="0"/>
      <w:marTop w:val="0"/>
      <w:marBottom w:val="0"/>
      <w:divBdr>
        <w:top w:val="none" w:sz="0" w:space="0" w:color="auto"/>
        <w:left w:val="none" w:sz="0" w:space="0" w:color="auto"/>
        <w:bottom w:val="none" w:sz="0" w:space="0" w:color="auto"/>
        <w:right w:val="none" w:sz="0" w:space="0" w:color="auto"/>
      </w:divBdr>
    </w:div>
    <w:div w:id="1762607907">
      <w:marLeft w:val="640"/>
      <w:marRight w:val="0"/>
      <w:marTop w:val="0"/>
      <w:marBottom w:val="0"/>
      <w:divBdr>
        <w:top w:val="none" w:sz="0" w:space="0" w:color="auto"/>
        <w:left w:val="none" w:sz="0" w:space="0" w:color="auto"/>
        <w:bottom w:val="none" w:sz="0" w:space="0" w:color="auto"/>
        <w:right w:val="none" w:sz="0" w:space="0" w:color="auto"/>
      </w:divBdr>
    </w:div>
    <w:div w:id="1764260971">
      <w:marLeft w:val="640"/>
      <w:marRight w:val="0"/>
      <w:marTop w:val="0"/>
      <w:marBottom w:val="0"/>
      <w:divBdr>
        <w:top w:val="none" w:sz="0" w:space="0" w:color="auto"/>
        <w:left w:val="none" w:sz="0" w:space="0" w:color="auto"/>
        <w:bottom w:val="none" w:sz="0" w:space="0" w:color="auto"/>
        <w:right w:val="none" w:sz="0" w:space="0" w:color="auto"/>
      </w:divBdr>
    </w:div>
    <w:div w:id="1766536379">
      <w:marLeft w:val="640"/>
      <w:marRight w:val="0"/>
      <w:marTop w:val="0"/>
      <w:marBottom w:val="0"/>
      <w:divBdr>
        <w:top w:val="none" w:sz="0" w:space="0" w:color="auto"/>
        <w:left w:val="none" w:sz="0" w:space="0" w:color="auto"/>
        <w:bottom w:val="none" w:sz="0" w:space="0" w:color="auto"/>
        <w:right w:val="none" w:sz="0" w:space="0" w:color="auto"/>
      </w:divBdr>
    </w:div>
    <w:div w:id="1772510488">
      <w:marLeft w:val="480"/>
      <w:marRight w:val="0"/>
      <w:marTop w:val="0"/>
      <w:marBottom w:val="0"/>
      <w:divBdr>
        <w:top w:val="none" w:sz="0" w:space="0" w:color="auto"/>
        <w:left w:val="none" w:sz="0" w:space="0" w:color="auto"/>
        <w:bottom w:val="none" w:sz="0" w:space="0" w:color="auto"/>
        <w:right w:val="none" w:sz="0" w:space="0" w:color="auto"/>
      </w:divBdr>
    </w:div>
    <w:div w:id="1773940918">
      <w:marLeft w:val="480"/>
      <w:marRight w:val="0"/>
      <w:marTop w:val="0"/>
      <w:marBottom w:val="0"/>
      <w:divBdr>
        <w:top w:val="none" w:sz="0" w:space="0" w:color="auto"/>
        <w:left w:val="none" w:sz="0" w:space="0" w:color="auto"/>
        <w:bottom w:val="none" w:sz="0" w:space="0" w:color="auto"/>
        <w:right w:val="none" w:sz="0" w:space="0" w:color="auto"/>
      </w:divBdr>
    </w:div>
    <w:div w:id="1776360127">
      <w:marLeft w:val="480"/>
      <w:marRight w:val="0"/>
      <w:marTop w:val="0"/>
      <w:marBottom w:val="0"/>
      <w:divBdr>
        <w:top w:val="none" w:sz="0" w:space="0" w:color="auto"/>
        <w:left w:val="none" w:sz="0" w:space="0" w:color="auto"/>
        <w:bottom w:val="none" w:sz="0" w:space="0" w:color="auto"/>
        <w:right w:val="none" w:sz="0" w:space="0" w:color="auto"/>
      </w:divBdr>
    </w:div>
    <w:div w:id="1777290050">
      <w:marLeft w:val="640"/>
      <w:marRight w:val="0"/>
      <w:marTop w:val="0"/>
      <w:marBottom w:val="0"/>
      <w:divBdr>
        <w:top w:val="none" w:sz="0" w:space="0" w:color="auto"/>
        <w:left w:val="none" w:sz="0" w:space="0" w:color="auto"/>
        <w:bottom w:val="none" w:sz="0" w:space="0" w:color="auto"/>
        <w:right w:val="none" w:sz="0" w:space="0" w:color="auto"/>
      </w:divBdr>
    </w:div>
    <w:div w:id="1782918725">
      <w:marLeft w:val="480"/>
      <w:marRight w:val="0"/>
      <w:marTop w:val="0"/>
      <w:marBottom w:val="0"/>
      <w:divBdr>
        <w:top w:val="none" w:sz="0" w:space="0" w:color="auto"/>
        <w:left w:val="none" w:sz="0" w:space="0" w:color="auto"/>
        <w:bottom w:val="none" w:sz="0" w:space="0" w:color="auto"/>
        <w:right w:val="none" w:sz="0" w:space="0" w:color="auto"/>
      </w:divBdr>
    </w:div>
    <w:div w:id="1795099717">
      <w:marLeft w:val="480"/>
      <w:marRight w:val="0"/>
      <w:marTop w:val="0"/>
      <w:marBottom w:val="0"/>
      <w:divBdr>
        <w:top w:val="none" w:sz="0" w:space="0" w:color="auto"/>
        <w:left w:val="none" w:sz="0" w:space="0" w:color="auto"/>
        <w:bottom w:val="none" w:sz="0" w:space="0" w:color="auto"/>
        <w:right w:val="none" w:sz="0" w:space="0" w:color="auto"/>
      </w:divBdr>
    </w:div>
    <w:div w:id="1797992885">
      <w:marLeft w:val="480"/>
      <w:marRight w:val="0"/>
      <w:marTop w:val="0"/>
      <w:marBottom w:val="0"/>
      <w:divBdr>
        <w:top w:val="none" w:sz="0" w:space="0" w:color="auto"/>
        <w:left w:val="none" w:sz="0" w:space="0" w:color="auto"/>
        <w:bottom w:val="none" w:sz="0" w:space="0" w:color="auto"/>
        <w:right w:val="none" w:sz="0" w:space="0" w:color="auto"/>
      </w:divBdr>
    </w:div>
    <w:div w:id="1798985080">
      <w:marLeft w:val="640"/>
      <w:marRight w:val="0"/>
      <w:marTop w:val="0"/>
      <w:marBottom w:val="0"/>
      <w:divBdr>
        <w:top w:val="none" w:sz="0" w:space="0" w:color="auto"/>
        <w:left w:val="none" w:sz="0" w:space="0" w:color="auto"/>
        <w:bottom w:val="none" w:sz="0" w:space="0" w:color="auto"/>
        <w:right w:val="none" w:sz="0" w:space="0" w:color="auto"/>
      </w:divBdr>
    </w:div>
    <w:div w:id="1815413498">
      <w:marLeft w:val="480"/>
      <w:marRight w:val="0"/>
      <w:marTop w:val="0"/>
      <w:marBottom w:val="0"/>
      <w:divBdr>
        <w:top w:val="none" w:sz="0" w:space="0" w:color="auto"/>
        <w:left w:val="none" w:sz="0" w:space="0" w:color="auto"/>
        <w:bottom w:val="none" w:sz="0" w:space="0" w:color="auto"/>
        <w:right w:val="none" w:sz="0" w:space="0" w:color="auto"/>
      </w:divBdr>
    </w:div>
    <w:div w:id="1817069836">
      <w:marLeft w:val="480"/>
      <w:marRight w:val="0"/>
      <w:marTop w:val="0"/>
      <w:marBottom w:val="0"/>
      <w:divBdr>
        <w:top w:val="none" w:sz="0" w:space="0" w:color="auto"/>
        <w:left w:val="none" w:sz="0" w:space="0" w:color="auto"/>
        <w:bottom w:val="none" w:sz="0" w:space="0" w:color="auto"/>
        <w:right w:val="none" w:sz="0" w:space="0" w:color="auto"/>
      </w:divBdr>
    </w:div>
    <w:div w:id="1817145429">
      <w:marLeft w:val="480"/>
      <w:marRight w:val="0"/>
      <w:marTop w:val="0"/>
      <w:marBottom w:val="0"/>
      <w:divBdr>
        <w:top w:val="none" w:sz="0" w:space="0" w:color="auto"/>
        <w:left w:val="none" w:sz="0" w:space="0" w:color="auto"/>
        <w:bottom w:val="none" w:sz="0" w:space="0" w:color="auto"/>
        <w:right w:val="none" w:sz="0" w:space="0" w:color="auto"/>
      </w:divBdr>
    </w:div>
    <w:div w:id="1819494312">
      <w:marLeft w:val="480"/>
      <w:marRight w:val="0"/>
      <w:marTop w:val="0"/>
      <w:marBottom w:val="0"/>
      <w:divBdr>
        <w:top w:val="none" w:sz="0" w:space="0" w:color="auto"/>
        <w:left w:val="none" w:sz="0" w:space="0" w:color="auto"/>
        <w:bottom w:val="none" w:sz="0" w:space="0" w:color="auto"/>
        <w:right w:val="none" w:sz="0" w:space="0" w:color="auto"/>
      </w:divBdr>
    </w:div>
    <w:div w:id="1823307348">
      <w:marLeft w:val="480"/>
      <w:marRight w:val="0"/>
      <w:marTop w:val="0"/>
      <w:marBottom w:val="0"/>
      <w:divBdr>
        <w:top w:val="none" w:sz="0" w:space="0" w:color="auto"/>
        <w:left w:val="none" w:sz="0" w:space="0" w:color="auto"/>
        <w:bottom w:val="none" w:sz="0" w:space="0" w:color="auto"/>
        <w:right w:val="none" w:sz="0" w:space="0" w:color="auto"/>
      </w:divBdr>
    </w:div>
    <w:div w:id="1828399392">
      <w:marLeft w:val="480"/>
      <w:marRight w:val="0"/>
      <w:marTop w:val="0"/>
      <w:marBottom w:val="0"/>
      <w:divBdr>
        <w:top w:val="none" w:sz="0" w:space="0" w:color="auto"/>
        <w:left w:val="none" w:sz="0" w:space="0" w:color="auto"/>
        <w:bottom w:val="none" w:sz="0" w:space="0" w:color="auto"/>
        <w:right w:val="none" w:sz="0" w:space="0" w:color="auto"/>
      </w:divBdr>
    </w:div>
    <w:div w:id="1840149596">
      <w:marLeft w:val="480"/>
      <w:marRight w:val="0"/>
      <w:marTop w:val="0"/>
      <w:marBottom w:val="0"/>
      <w:divBdr>
        <w:top w:val="none" w:sz="0" w:space="0" w:color="auto"/>
        <w:left w:val="none" w:sz="0" w:space="0" w:color="auto"/>
        <w:bottom w:val="none" w:sz="0" w:space="0" w:color="auto"/>
        <w:right w:val="none" w:sz="0" w:space="0" w:color="auto"/>
      </w:divBdr>
    </w:div>
    <w:div w:id="1841769012">
      <w:marLeft w:val="480"/>
      <w:marRight w:val="0"/>
      <w:marTop w:val="0"/>
      <w:marBottom w:val="0"/>
      <w:divBdr>
        <w:top w:val="none" w:sz="0" w:space="0" w:color="auto"/>
        <w:left w:val="none" w:sz="0" w:space="0" w:color="auto"/>
        <w:bottom w:val="none" w:sz="0" w:space="0" w:color="auto"/>
        <w:right w:val="none" w:sz="0" w:space="0" w:color="auto"/>
      </w:divBdr>
    </w:div>
    <w:div w:id="1845853091">
      <w:marLeft w:val="640"/>
      <w:marRight w:val="0"/>
      <w:marTop w:val="0"/>
      <w:marBottom w:val="0"/>
      <w:divBdr>
        <w:top w:val="none" w:sz="0" w:space="0" w:color="auto"/>
        <w:left w:val="none" w:sz="0" w:space="0" w:color="auto"/>
        <w:bottom w:val="none" w:sz="0" w:space="0" w:color="auto"/>
        <w:right w:val="none" w:sz="0" w:space="0" w:color="auto"/>
      </w:divBdr>
    </w:div>
    <w:div w:id="1854034025">
      <w:marLeft w:val="480"/>
      <w:marRight w:val="0"/>
      <w:marTop w:val="0"/>
      <w:marBottom w:val="0"/>
      <w:divBdr>
        <w:top w:val="none" w:sz="0" w:space="0" w:color="auto"/>
        <w:left w:val="none" w:sz="0" w:space="0" w:color="auto"/>
        <w:bottom w:val="none" w:sz="0" w:space="0" w:color="auto"/>
        <w:right w:val="none" w:sz="0" w:space="0" w:color="auto"/>
      </w:divBdr>
    </w:div>
    <w:div w:id="1857575448">
      <w:marLeft w:val="480"/>
      <w:marRight w:val="0"/>
      <w:marTop w:val="0"/>
      <w:marBottom w:val="0"/>
      <w:divBdr>
        <w:top w:val="none" w:sz="0" w:space="0" w:color="auto"/>
        <w:left w:val="none" w:sz="0" w:space="0" w:color="auto"/>
        <w:bottom w:val="none" w:sz="0" w:space="0" w:color="auto"/>
        <w:right w:val="none" w:sz="0" w:space="0" w:color="auto"/>
      </w:divBdr>
    </w:div>
    <w:div w:id="1869755662">
      <w:marLeft w:val="640"/>
      <w:marRight w:val="0"/>
      <w:marTop w:val="0"/>
      <w:marBottom w:val="0"/>
      <w:divBdr>
        <w:top w:val="none" w:sz="0" w:space="0" w:color="auto"/>
        <w:left w:val="none" w:sz="0" w:space="0" w:color="auto"/>
        <w:bottom w:val="none" w:sz="0" w:space="0" w:color="auto"/>
        <w:right w:val="none" w:sz="0" w:space="0" w:color="auto"/>
      </w:divBdr>
    </w:div>
    <w:div w:id="1870100943">
      <w:marLeft w:val="480"/>
      <w:marRight w:val="0"/>
      <w:marTop w:val="0"/>
      <w:marBottom w:val="0"/>
      <w:divBdr>
        <w:top w:val="none" w:sz="0" w:space="0" w:color="auto"/>
        <w:left w:val="none" w:sz="0" w:space="0" w:color="auto"/>
        <w:bottom w:val="none" w:sz="0" w:space="0" w:color="auto"/>
        <w:right w:val="none" w:sz="0" w:space="0" w:color="auto"/>
      </w:divBdr>
    </w:div>
    <w:div w:id="1875459060">
      <w:marLeft w:val="640"/>
      <w:marRight w:val="0"/>
      <w:marTop w:val="0"/>
      <w:marBottom w:val="0"/>
      <w:divBdr>
        <w:top w:val="none" w:sz="0" w:space="0" w:color="auto"/>
        <w:left w:val="none" w:sz="0" w:space="0" w:color="auto"/>
        <w:bottom w:val="none" w:sz="0" w:space="0" w:color="auto"/>
        <w:right w:val="none" w:sz="0" w:space="0" w:color="auto"/>
      </w:divBdr>
    </w:div>
    <w:div w:id="1880434582">
      <w:marLeft w:val="480"/>
      <w:marRight w:val="0"/>
      <w:marTop w:val="0"/>
      <w:marBottom w:val="0"/>
      <w:divBdr>
        <w:top w:val="none" w:sz="0" w:space="0" w:color="auto"/>
        <w:left w:val="none" w:sz="0" w:space="0" w:color="auto"/>
        <w:bottom w:val="none" w:sz="0" w:space="0" w:color="auto"/>
        <w:right w:val="none" w:sz="0" w:space="0" w:color="auto"/>
      </w:divBdr>
    </w:div>
    <w:div w:id="1884052998">
      <w:marLeft w:val="480"/>
      <w:marRight w:val="0"/>
      <w:marTop w:val="0"/>
      <w:marBottom w:val="0"/>
      <w:divBdr>
        <w:top w:val="none" w:sz="0" w:space="0" w:color="auto"/>
        <w:left w:val="none" w:sz="0" w:space="0" w:color="auto"/>
        <w:bottom w:val="none" w:sz="0" w:space="0" w:color="auto"/>
        <w:right w:val="none" w:sz="0" w:space="0" w:color="auto"/>
      </w:divBdr>
    </w:div>
    <w:div w:id="1889225889">
      <w:marLeft w:val="480"/>
      <w:marRight w:val="0"/>
      <w:marTop w:val="0"/>
      <w:marBottom w:val="0"/>
      <w:divBdr>
        <w:top w:val="none" w:sz="0" w:space="0" w:color="auto"/>
        <w:left w:val="none" w:sz="0" w:space="0" w:color="auto"/>
        <w:bottom w:val="none" w:sz="0" w:space="0" w:color="auto"/>
        <w:right w:val="none" w:sz="0" w:space="0" w:color="auto"/>
      </w:divBdr>
    </w:div>
    <w:div w:id="1890992393">
      <w:marLeft w:val="640"/>
      <w:marRight w:val="0"/>
      <w:marTop w:val="0"/>
      <w:marBottom w:val="0"/>
      <w:divBdr>
        <w:top w:val="none" w:sz="0" w:space="0" w:color="auto"/>
        <w:left w:val="none" w:sz="0" w:space="0" w:color="auto"/>
        <w:bottom w:val="none" w:sz="0" w:space="0" w:color="auto"/>
        <w:right w:val="none" w:sz="0" w:space="0" w:color="auto"/>
      </w:divBdr>
    </w:div>
    <w:div w:id="1895189853">
      <w:marLeft w:val="480"/>
      <w:marRight w:val="0"/>
      <w:marTop w:val="0"/>
      <w:marBottom w:val="0"/>
      <w:divBdr>
        <w:top w:val="none" w:sz="0" w:space="0" w:color="auto"/>
        <w:left w:val="none" w:sz="0" w:space="0" w:color="auto"/>
        <w:bottom w:val="none" w:sz="0" w:space="0" w:color="auto"/>
        <w:right w:val="none" w:sz="0" w:space="0" w:color="auto"/>
      </w:divBdr>
    </w:div>
    <w:div w:id="1898391170">
      <w:marLeft w:val="640"/>
      <w:marRight w:val="0"/>
      <w:marTop w:val="0"/>
      <w:marBottom w:val="0"/>
      <w:divBdr>
        <w:top w:val="none" w:sz="0" w:space="0" w:color="auto"/>
        <w:left w:val="none" w:sz="0" w:space="0" w:color="auto"/>
        <w:bottom w:val="none" w:sz="0" w:space="0" w:color="auto"/>
        <w:right w:val="none" w:sz="0" w:space="0" w:color="auto"/>
      </w:divBdr>
    </w:div>
    <w:div w:id="1907258919">
      <w:marLeft w:val="480"/>
      <w:marRight w:val="0"/>
      <w:marTop w:val="0"/>
      <w:marBottom w:val="0"/>
      <w:divBdr>
        <w:top w:val="none" w:sz="0" w:space="0" w:color="auto"/>
        <w:left w:val="none" w:sz="0" w:space="0" w:color="auto"/>
        <w:bottom w:val="none" w:sz="0" w:space="0" w:color="auto"/>
        <w:right w:val="none" w:sz="0" w:space="0" w:color="auto"/>
      </w:divBdr>
    </w:div>
    <w:div w:id="1909219223">
      <w:marLeft w:val="640"/>
      <w:marRight w:val="0"/>
      <w:marTop w:val="0"/>
      <w:marBottom w:val="0"/>
      <w:divBdr>
        <w:top w:val="none" w:sz="0" w:space="0" w:color="auto"/>
        <w:left w:val="none" w:sz="0" w:space="0" w:color="auto"/>
        <w:bottom w:val="none" w:sz="0" w:space="0" w:color="auto"/>
        <w:right w:val="none" w:sz="0" w:space="0" w:color="auto"/>
      </w:divBdr>
    </w:div>
    <w:div w:id="1932732963">
      <w:marLeft w:val="640"/>
      <w:marRight w:val="0"/>
      <w:marTop w:val="0"/>
      <w:marBottom w:val="0"/>
      <w:divBdr>
        <w:top w:val="none" w:sz="0" w:space="0" w:color="auto"/>
        <w:left w:val="none" w:sz="0" w:space="0" w:color="auto"/>
        <w:bottom w:val="none" w:sz="0" w:space="0" w:color="auto"/>
        <w:right w:val="none" w:sz="0" w:space="0" w:color="auto"/>
      </w:divBdr>
    </w:div>
    <w:div w:id="1935089732">
      <w:marLeft w:val="480"/>
      <w:marRight w:val="0"/>
      <w:marTop w:val="0"/>
      <w:marBottom w:val="0"/>
      <w:divBdr>
        <w:top w:val="none" w:sz="0" w:space="0" w:color="auto"/>
        <w:left w:val="none" w:sz="0" w:space="0" w:color="auto"/>
        <w:bottom w:val="none" w:sz="0" w:space="0" w:color="auto"/>
        <w:right w:val="none" w:sz="0" w:space="0" w:color="auto"/>
      </w:divBdr>
    </w:div>
    <w:div w:id="1937008603">
      <w:marLeft w:val="480"/>
      <w:marRight w:val="0"/>
      <w:marTop w:val="0"/>
      <w:marBottom w:val="0"/>
      <w:divBdr>
        <w:top w:val="none" w:sz="0" w:space="0" w:color="auto"/>
        <w:left w:val="none" w:sz="0" w:space="0" w:color="auto"/>
        <w:bottom w:val="none" w:sz="0" w:space="0" w:color="auto"/>
        <w:right w:val="none" w:sz="0" w:space="0" w:color="auto"/>
      </w:divBdr>
    </w:div>
    <w:div w:id="1937513199">
      <w:marLeft w:val="480"/>
      <w:marRight w:val="0"/>
      <w:marTop w:val="0"/>
      <w:marBottom w:val="0"/>
      <w:divBdr>
        <w:top w:val="none" w:sz="0" w:space="0" w:color="auto"/>
        <w:left w:val="none" w:sz="0" w:space="0" w:color="auto"/>
        <w:bottom w:val="none" w:sz="0" w:space="0" w:color="auto"/>
        <w:right w:val="none" w:sz="0" w:space="0" w:color="auto"/>
      </w:divBdr>
    </w:div>
    <w:div w:id="1948809780">
      <w:marLeft w:val="480"/>
      <w:marRight w:val="0"/>
      <w:marTop w:val="0"/>
      <w:marBottom w:val="0"/>
      <w:divBdr>
        <w:top w:val="none" w:sz="0" w:space="0" w:color="auto"/>
        <w:left w:val="none" w:sz="0" w:space="0" w:color="auto"/>
        <w:bottom w:val="none" w:sz="0" w:space="0" w:color="auto"/>
        <w:right w:val="none" w:sz="0" w:space="0" w:color="auto"/>
      </w:divBdr>
    </w:div>
    <w:div w:id="1953440931">
      <w:marLeft w:val="480"/>
      <w:marRight w:val="0"/>
      <w:marTop w:val="0"/>
      <w:marBottom w:val="0"/>
      <w:divBdr>
        <w:top w:val="none" w:sz="0" w:space="0" w:color="auto"/>
        <w:left w:val="none" w:sz="0" w:space="0" w:color="auto"/>
        <w:bottom w:val="none" w:sz="0" w:space="0" w:color="auto"/>
        <w:right w:val="none" w:sz="0" w:space="0" w:color="auto"/>
      </w:divBdr>
    </w:div>
    <w:div w:id="1963345345">
      <w:marLeft w:val="640"/>
      <w:marRight w:val="0"/>
      <w:marTop w:val="0"/>
      <w:marBottom w:val="0"/>
      <w:divBdr>
        <w:top w:val="none" w:sz="0" w:space="0" w:color="auto"/>
        <w:left w:val="none" w:sz="0" w:space="0" w:color="auto"/>
        <w:bottom w:val="none" w:sz="0" w:space="0" w:color="auto"/>
        <w:right w:val="none" w:sz="0" w:space="0" w:color="auto"/>
      </w:divBdr>
    </w:div>
    <w:div w:id="1971588298">
      <w:marLeft w:val="640"/>
      <w:marRight w:val="0"/>
      <w:marTop w:val="0"/>
      <w:marBottom w:val="0"/>
      <w:divBdr>
        <w:top w:val="none" w:sz="0" w:space="0" w:color="auto"/>
        <w:left w:val="none" w:sz="0" w:space="0" w:color="auto"/>
        <w:bottom w:val="none" w:sz="0" w:space="0" w:color="auto"/>
        <w:right w:val="none" w:sz="0" w:space="0" w:color="auto"/>
      </w:divBdr>
    </w:div>
    <w:div w:id="1977368887">
      <w:marLeft w:val="480"/>
      <w:marRight w:val="0"/>
      <w:marTop w:val="0"/>
      <w:marBottom w:val="0"/>
      <w:divBdr>
        <w:top w:val="none" w:sz="0" w:space="0" w:color="auto"/>
        <w:left w:val="none" w:sz="0" w:space="0" w:color="auto"/>
        <w:bottom w:val="none" w:sz="0" w:space="0" w:color="auto"/>
        <w:right w:val="none" w:sz="0" w:space="0" w:color="auto"/>
      </w:divBdr>
    </w:div>
    <w:div w:id="1978218199">
      <w:marLeft w:val="640"/>
      <w:marRight w:val="0"/>
      <w:marTop w:val="0"/>
      <w:marBottom w:val="0"/>
      <w:divBdr>
        <w:top w:val="none" w:sz="0" w:space="0" w:color="auto"/>
        <w:left w:val="none" w:sz="0" w:space="0" w:color="auto"/>
        <w:bottom w:val="none" w:sz="0" w:space="0" w:color="auto"/>
        <w:right w:val="none" w:sz="0" w:space="0" w:color="auto"/>
      </w:divBdr>
    </w:div>
    <w:div w:id="1984654829">
      <w:marLeft w:val="640"/>
      <w:marRight w:val="0"/>
      <w:marTop w:val="0"/>
      <w:marBottom w:val="0"/>
      <w:divBdr>
        <w:top w:val="none" w:sz="0" w:space="0" w:color="auto"/>
        <w:left w:val="none" w:sz="0" w:space="0" w:color="auto"/>
        <w:bottom w:val="none" w:sz="0" w:space="0" w:color="auto"/>
        <w:right w:val="none" w:sz="0" w:space="0" w:color="auto"/>
      </w:divBdr>
    </w:div>
    <w:div w:id="1993093452">
      <w:marLeft w:val="480"/>
      <w:marRight w:val="0"/>
      <w:marTop w:val="0"/>
      <w:marBottom w:val="0"/>
      <w:divBdr>
        <w:top w:val="none" w:sz="0" w:space="0" w:color="auto"/>
        <w:left w:val="none" w:sz="0" w:space="0" w:color="auto"/>
        <w:bottom w:val="none" w:sz="0" w:space="0" w:color="auto"/>
        <w:right w:val="none" w:sz="0" w:space="0" w:color="auto"/>
      </w:divBdr>
    </w:div>
    <w:div w:id="1994139164">
      <w:marLeft w:val="640"/>
      <w:marRight w:val="0"/>
      <w:marTop w:val="0"/>
      <w:marBottom w:val="0"/>
      <w:divBdr>
        <w:top w:val="none" w:sz="0" w:space="0" w:color="auto"/>
        <w:left w:val="none" w:sz="0" w:space="0" w:color="auto"/>
        <w:bottom w:val="none" w:sz="0" w:space="0" w:color="auto"/>
        <w:right w:val="none" w:sz="0" w:space="0" w:color="auto"/>
      </w:divBdr>
    </w:div>
    <w:div w:id="2013753945">
      <w:marLeft w:val="480"/>
      <w:marRight w:val="0"/>
      <w:marTop w:val="0"/>
      <w:marBottom w:val="0"/>
      <w:divBdr>
        <w:top w:val="none" w:sz="0" w:space="0" w:color="auto"/>
        <w:left w:val="none" w:sz="0" w:space="0" w:color="auto"/>
        <w:bottom w:val="none" w:sz="0" w:space="0" w:color="auto"/>
        <w:right w:val="none" w:sz="0" w:space="0" w:color="auto"/>
      </w:divBdr>
    </w:div>
    <w:div w:id="2018385831">
      <w:marLeft w:val="480"/>
      <w:marRight w:val="0"/>
      <w:marTop w:val="0"/>
      <w:marBottom w:val="0"/>
      <w:divBdr>
        <w:top w:val="none" w:sz="0" w:space="0" w:color="auto"/>
        <w:left w:val="none" w:sz="0" w:space="0" w:color="auto"/>
        <w:bottom w:val="none" w:sz="0" w:space="0" w:color="auto"/>
        <w:right w:val="none" w:sz="0" w:space="0" w:color="auto"/>
      </w:divBdr>
    </w:div>
    <w:div w:id="2030568740">
      <w:marLeft w:val="480"/>
      <w:marRight w:val="0"/>
      <w:marTop w:val="0"/>
      <w:marBottom w:val="0"/>
      <w:divBdr>
        <w:top w:val="none" w:sz="0" w:space="0" w:color="auto"/>
        <w:left w:val="none" w:sz="0" w:space="0" w:color="auto"/>
        <w:bottom w:val="none" w:sz="0" w:space="0" w:color="auto"/>
        <w:right w:val="none" w:sz="0" w:space="0" w:color="auto"/>
      </w:divBdr>
    </w:div>
    <w:div w:id="2032408950">
      <w:marLeft w:val="640"/>
      <w:marRight w:val="0"/>
      <w:marTop w:val="0"/>
      <w:marBottom w:val="0"/>
      <w:divBdr>
        <w:top w:val="none" w:sz="0" w:space="0" w:color="auto"/>
        <w:left w:val="none" w:sz="0" w:space="0" w:color="auto"/>
        <w:bottom w:val="none" w:sz="0" w:space="0" w:color="auto"/>
        <w:right w:val="none" w:sz="0" w:space="0" w:color="auto"/>
      </w:divBdr>
    </w:div>
    <w:div w:id="2034453604">
      <w:marLeft w:val="480"/>
      <w:marRight w:val="0"/>
      <w:marTop w:val="0"/>
      <w:marBottom w:val="0"/>
      <w:divBdr>
        <w:top w:val="none" w:sz="0" w:space="0" w:color="auto"/>
        <w:left w:val="none" w:sz="0" w:space="0" w:color="auto"/>
        <w:bottom w:val="none" w:sz="0" w:space="0" w:color="auto"/>
        <w:right w:val="none" w:sz="0" w:space="0" w:color="auto"/>
      </w:divBdr>
    </w:div>
    <w:div w:id="2050836824">
      <w:marLeft w:val="480"/>
      <w:marRight w:val="0"/>
      <w:marTop w:val="0"/>
      <w:marBottom w:val="0"/>
      <w:divBdr>
        <w:top w:val="none" w:sz="0" w:space="0" w:color="auto"/>
        <w:left w:val="none" w:sz="0" w:space="0" w:color="auto"/>
        <w:bottom w:val="none" w:sz="0" w:space="0" w:color="auto"/>
        <w:right w:val="none" w:sz="0" w:space="0" w:color="auto"/>
      </w:divBdr>
    </w:div>
    <w:div w:id="2058503213">
      <w:marLeft w:val="640"/>
      <w:marRight w:val="0"/>
      <w:marTop w:val="0"/>
      <w:marBottom w:val="0"/>
      <w:divBdr>
        <w:top w:val="none" w:sz="0" w:space="0" w:color="auto"/>
        <w:left w:val="none" w:sz="0" w:space="0" w:color="auto"/>
        <w:bottom w:val="none" w:sz="0" w:space="0" w:color="auto"/>
        <w:right w:val="none" w:sz="0" w:space="0" w:color="auto"/>
      </w:divBdr>
    </w:div>
    <w:div w:id="2066759558">
      <w:marLeft w:val="640"/>
      <w:marRight w:val="0"/>
      <w:marTop w:val="0"/>
      <w:marBottom w:val="0"/>
      <w:divBdr>
        <w:top w:val="none" w:sz="0" w:space="0" w:color="auto"/>
        <w:left w:val="none" w:sz="0" w:space="0" w:color="auto"/>
        <w:bottom w:val="none" w:sz="0" w:space="0" w:color="auto"/>
        <w:right w:val="none" w:sz="0" w:space="0" w:color="auto"/>
      </w:divBdr>
    </w:div>
    <w:div w:id="2079014479">
      <w:marLeft w:val="480"/>
      <w:marRight w:val="0"/>
      <w:marTop w:val="0"/>
      <w:marBottom w:val="0"/>
      <w:divBdr>
        <w:top w:val="none" w:sz="0" w:space="0" w:color="auto"/>
        <w:left w:val="none" w:sz="0" w:space="0" w:color="auto"/>
        <w:bottom w:val="none" w:sz="0" w:space="0" w:color="auto"/>
        <w:right w:val="none" w:sz="0" w:space="0" w:color="auto"/>
      </w:divBdr>
    </w:div>
    <w:div w:id="2081949355">
      <w:marLeft w:val="640"/>
      <w:marRight w:val="0"/>
      <w:marTop w:val="0"/>
      <w:marBottom w:val="0"/>
      <w:divBdr>
        <w:top w:val="none" w:sz="0" w:space="0" w:color="auto"/>
        <w:left w:val="none" w:sz="0" w:space="0" w:color="auto"/>
        <w:bottom w:val="none" w:sz="0" w:space="0" w:color="auto"/>
        <w:right w:val="none" w:sz="0" w:space="0" w:color="auto"/>
      </w:divBdr>
    </w:div>
    <w:div w:id="2084570640">
      <w:marLeft w:val="480"/>
      <w:marRight w:val="0"/>
      <w:marTop w:val="0"/>
      <w:marBottom w:val="0"/>
      <w:divBdr>
        <w:top w:val="none" w:sz="0" w:space="0" w:color="auto"/>
        <w:left w:val="none" w:sz="0" w:space="0" w:color="auto"/>
        <w:bottom w:val="none" w:sz="0" w:space="0" w:color="auto"/>
        <w:right w:val="none" w:sz="0" w:space="0" w:color="auto"/>
      </w:divBdr>
    </w:div>
    <w:div w:id="2089645341">
      <w:marLeft w:val="640"/>
      <w:marRight w:val="0"/>
      <w:marTop w:val="0"/>
      <w:marBottom w:val="0"/>
      <w:divBdr>
        <w:top w:val="none" w:sz="0" w:space="0" w:color="auto"/>
        <w:left w:val="none" w:sz="0" w:space="0" w:color="auto"/>
        <w:bottom w:val="none" w:sz="0" w:space="0" w:color="auto"/>
        <w:right w:val="none" w:sz="0" w:space="0" w:color="auto"/>
      </w:divBdr>
    </w:div>
    <w:div w:id="2099398173">
      <w:marLeft w:val="640"/>
      <w:marRight w:val="0"/>
      <w:marTop w:val="0"/>
      <w:marBottom w:val="0"/>
      <w:divBdr>
        <w:top w:val="none" w:sz="0" w:space="0" w:color="auto"/>
        <w:left w:val="none" w:sz="0" w:space="0" w:color="auto"/>
        <w:bottom w:val="none" w:sz="0" w:space="0" w:color="auto"/>
        <w:right w:val="none" w:sz="0" w:space="0" w:color="auto"/>
      </w:divBdr>
    </w:div>
    <w:div w:id="2102095826">
      <w:marLeft w:val="640"/>
      <w:marRight w:val="0"/>
      <w:marTop w:val="0"/>
      <w:marBottom w:val="0"/>
      <w:divBdr>
        <w:top w:val="none" w:sz="0" w:space="0" w:color="auto"/>
        <w:left w:val="none" w:sz="0" w:space="0" w:color="auto"/>
        <w:bottom w:val="none" w:sz="0" w:space="0" w:color="auto"/>
        <w:right w:val="none" w:sz="0" w:space="0" w:color="auto"/>
      </w:divBdr>
    </w:div>
    <w:div w:id="2109615222">
      <w:marLeft w:val="480"/>
      <w:marRight w:val="0"/>
      <w:marTop w:val="0"/>
      <w:marBottom w:val="0"/>
      <w:divBdr>
        <w:top w:val="none" w:sz="0" w:space="0" w:color="auto"/>
        <w:left w:val="none" w:sz="0" w:space="0" w:color="auto"/>
        <w:bottom w:val="none" w:sz="0" w:space="0" w:color="auto"/>
        <w:right w:val="none" w:sz="0" w:space="0" w:color="auto"/>
      </w:divBdr>
    </w:div>
    <w:div w:id="2111120012">
      <w:marLeft w:val="480"/>
      <w:marRight w:val="0"/>
      <w:marTop w:val="0"/>
      <w:marBottom w:val="0"/>
      <w:divBdr>
        <w:top w:val="none" w:sz="0" w:space="0" w:color="auto"/>
        <w:left w:val="none" w:sz="0" w:space="0" w:color="auto"/>
        <w:bottom w:val="none" w:sz="0" w:space="0" w:color="auto"/>
        <w:right w:val="none" w:sz="0" w:space="0" w:color="auto"/>
      </w:divBdr>
    </w:div>
    <w:div w:id="2112044387">
      <w:marLeft w:val="640"/>
      <w:marRight w:val="0"/>
      <w:marTop w:val="0"/>
      <w:marBottom w:val="0"/>
      <w:divBdr>
        <w:top w:val="none" w:sz="0" w:space="0" w:color="auto"/>
        <w:left w:val="none" w:sz="0" w:space="0" w:color="auto"/>
        <w:bottom w:val="none" w:sz="0" w:space="0" w:color="auto"/>
        <w:right w:val="none" w:sz="0" w:space="0" w:color="auto"/>
      </w:divBdr>
    </w:div>
    <w:div w:id="2115906012">
      <w:marLeft w:val="640"/>
      <w:marRight w:val="0"/>
      <w:marTop w:val="0"/>
      <w:marBottom w:val="0"/>
      <w:divBdr>
        <w:top w:val="none" w:sz="0" w:space="0" w:color="auto"/>
        <w:left w:val="none" w:sz="0" w:space="0" w:color="auto"/>
        <w:bottom w:val="none" w:sz="0" w:space="0" w:color="auto"/>
        <w:right w:val="none" w:sz="0" w:space="0" w:color="auto"/>
      </w:divBdr>
    </w:div>
    <w:div w:id="2126927190">
      <w:marLeft w:val="640"/>
      <w:marRight w:val="0"/>
      <w:marTop w:val="0"/>
      <w:marBottom w:val="0"/>
      <w:divBdr>
        <w:top w:val="none" w:sz="0" w:space="0" w:color="auto"/>
        <w:left w:val="none" w:sz="0" w:space="0" w:color="auto"/>
        <w:bottom w:val="none" w:sz="0" w:space="0" w:color="auto"/>
        <w:right w:val="none" w:sz="0" w:space="0" w:color="auto"/>
      </w:divBdr>
    </w:div>
    <w:div w:id="2128428761">
      <w:marLeft w:val="480"/>
      <w:marRight w:val="0"/>
      <w:marTop w:val="0"/>
      <w:marBottom w:val="0"/>
      <w:divBdr>
        <w:top w:val="none" w:sz="0" w:space="0" w:color="auto"/>
        <w:left w:val="none" w:sz="0" w:space="0" w:color="auto"/>
        <w:bottom w:val="none" w:sz="0" w:space="0" w:color="auto"/>
        <w:right w:val="none" w:sz="0" w:space="0" w:color="auto"/>
      </w:divBdr>
    </w:div>
    <w:div w:id="2132702484">
      <w:marLeft w:val="640"/>
      <w:marRight w:val="0"/>
      <w:marTop w:val="0"/>
      <w:marBottom w:val="0"/>
      <w:divBdr>
        <w:top w:val="none" w:sz="0" w:space="0" w:color="auto"/>
        <w:left w:val="none" w:sz="0" w:space="0" w:color="auto"/>
        <w:bottom w:val="none" w:sz="0" w:space="0" w:color="auto"/>
        <w:right w:val="none" w:sz="0" w:space="0" w:color="auto"/>
      </w:divBdr>
    </w:div>
    <w:div w:id="2132743316">
      <w:marLeft w:val="480"/>
      <w:marRight w:val="0"/>
      <w:marTop w:val="0"/>
      <w:marBottom w:val="0"/>
      <w:divBdr>
        <w:top w:val="none" w:sz="0" w:space="0" w:color="auto"/>
        <w:left w:val="none" w:sz="0" w:space="0" w:color="auto"/>
        <w:bottom w:val="none" w:sz="0" w:space="0" w:color="auto"/>
        <w:right w:val="none" w:sz="0" w:space="0" w:color="auto"/>
      </w:divBdr>
    </w:div>
    <w:div w:id="2134789311">
      <w:marLeft w:val="640"/>
      <w:marRight w:val="0"/>
      <w:marTop w:val="0"/>
      <w:marBottom w:val="0"/>
      <w:divBdr>
        <w:top w:val="none" w:sz="0" w:space="0" w:color="auto"/>
        <w:left w:val="none" w:sz="0" w:space="0" w:color="auto"/>
        <w:bottom w:val="none" w:sz="0" w:space="0" w:color="auto"/>
        <w:right w:val="none" w:sz="0" w:space="0" w:color="auto"/>
      </w:divBdr>
    </w:div>
    <w:div w:id="2136629876">
      <w:marLeft w:val="640"/>
      <w:marRight w:val="0"/>
      <w:marTop w:val="0"/>
      <w:marBottom w:val="0"/>
      <w:divBdr>
        <w:top w:val="none" w:sz="0" w:space="0" w:color="auto"/>
        <w:left w:val="none" w:sz="0" w:space="0" w:color="auto"/>
        <w:bottom w:val="none" w:sz="0" w:space="0" w:color="auto"/>
        <w:right w:val="none" w:sz="0" w:space="0" w:color="auto"/>
      </w:divBdr>
    </w:div>
    <w:div w:id="2138570852">
      <w:marLeft w:val="640"/>
      <w:marRight w:val="0"/>
      <w:marTop w:val="0"/>
      <w:marBottom w:val="0"/>
      <w:divBdr>
        <w:top w:val="none" w:sz="0" w:space="0" w:color="auto"/>
        <w:left w:val="none" w:sz="0" w:space="0" w:color="auto"/>
        <w:bottom w:val="none" w:sz="0" w:space="0" w:color="auto"/>
        <w:right w:val="none" w:sz="0" w:space="0" w:color="auto"/>
      </w:divBdr>
    </w:div>
    <w:div w:id="2145731861">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6C84210-2B7B-473B-B7D7-DBB1EAB5802A}">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86595008340"/>
    <we:property name="MENDELEY_CITATIONS" value="[{&quot;citationID&quot;:&quot;MENDELEY_CITATION_7a763633-cad4-4620-b5fb-6e9fad63b407&quot;,&quot;properties&quot;:{&quot;noteIndex&quot;:0},&quot;isEdited&quot;:false,&quot;manualOverride&quot;:{&quot;isManuallyOverridden&quot;:false,&quot;citeprocText&quot;:&quot;[1]&quot;,&quot;manualOverrideText&quot;:&quot;&quot;},&quot;citationTag&quot;:&quot;MENDELEY_CITATION_v3_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&quot;,&quot;citationItems&quot;:[{&quot;id&quot;:&quot;c8ce616e-640b-335e-96d4-c2b6cf1eb5f7&quot;,&quot;itemData&quot;:{&quot;type&quot;:&quot;article-journal&quot;,&quot;id&quot;:&quot;c8ce616e-640b-335e-96d4-c2b6cf1eb5f7&quot;,&quot;title&quot;:&quot;The relevance of sectoral clustering in corporate debt policy: The case study of Slovak enterprises&quot;,&quot;author&quot;:[{&quot;family&quot;:&quot;Gajdosikova&quot;,&quot;given&quot;:&quot;D&quot;,&quot;parse-names&quot;:false,&quot;dropping-particle&quot;:&quot;&quot;,&quot;non-dropping-particle&quot;:&quot;&quot;},{&quot;family&quot;:&quot;Valaskova&quot;,&quot;given&quot;:&quot;K&quot;,&quot;parse-names&quot;:false,&quot;dropping-particle&quot;:&quot;&quot;,&quot;non-dropping-particle&quot;:&quot;&quot;},{&quot;family&quot;:&quot;Lazaroiu&quot;,&quot;given&quot;:&quot;G&quot;,&quot;parse-names&quot;:false,&quot;dropping-particle&quot;:&quot;&quot;,&quot;non-dropping-particle&quot;:&quot;&quot;}],&quot;container-title&quot;:&quot;Administrative Sciences&quot;,&quot;container-title-short&quot;:&quot;Adm. Sci.&quot;,&quot;issued&quot;:{&quot;date-parts&quot;:[[2024]]},&quot;page&quot;:&quot;26&quot;,&quot;issue&quot;:&quot;2&quot;,&quot;volume&quot;:&quot;14&quot;},&quot;isTemporary&quot;:false}]},{&quot;citationID&quot;:&quot;MENDELEY_CITATION_db3cae8e-488c-4ea1-8356-b1e10fe2b972&quot;,&quot;properties&quot;:{&quot;noteIndex&quot;:0},&quot;isEdited&quot;:false,&quot;manualOverride&quot;:{&quot;isManuallyOverridden&quot;:false,&quot;citeprocText&quot;:&quot;[2]&quot;,&quot;manualOverrideText&quot;:&quot;&quot;},&quot;citationTag&quot;:&quot;MENDELEY_CITATION_v3_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&quot;,&quot;citationItems&quot;:[{&quot;id&quot;:&quot;0f0cd150-2a95-3ab8-b749-b762bdc2cc80&quot;,&quot;itemData&quot;:{&quot;type&quot;:&quot;article-journal&quot;,&quot;id&quot;:&quot;0f0cd150-2a95-3ab8-b749-b762bdc2cc80&quot;,&quot;title&quot;:&quot;Remaining financially healthy and competitive: The role of financial predictors&quot;,&quot;author&quot;:[{&quot;family&quot;:&quot;Kliestik&quot;,&quot;given&quot;:&quot;T&quot;,&quot;parse-names&quot;:false,&quot;dropping-particle&quot;:&quot;&quot;,&quot;non-dropping-particle&quot;:&quot;&quot;},{&quot;family&quot;:&quot;Valaskova&quot;,&quot;given&quot;:&quot;K&quot;,&quot;parse-names&quot;:false,&quot;dropping-particle&quot;:&quot;&quot;,&quot;non-dropping-particle&quot;:&quot;&quot;},{&quot;family&quot;:&quot;Lazaroiu&quot;,&quot;given&quot;:&quot;G&quot;,&quot;parse-names&quot;:false,&quot;dropping-particle&quot;:&quot;&quot;,&quot;non-dropping-particle&quot;:&quot;&quot;},{&quot;family&quot;:&quot;Kovacova&quot;,&quot;given&quot;:&quot;M&quot;,&quot;parse-names&quot;:false,&quot;dropping-particle&quot;:&quot;&quot;,&quot;non-dropping-particle&quot;:&quot;&quot;},{&quot;family&quot;:&quot;Vrbka&quot;,&quot;given&quot;:&quot;J&quot;,&quot;parse-names&quot;:false,&quot;dropping-particle&quot;:&quot;&quot;,&quot;non-dropping-particle&quot;:&quot;&quot;}],&quot;container-title&quot;:&quot;Journal of Competitiveness&quot;,&quot;issued&quot;:{&quot;date-parts&quot;:[[2020]]},&quot;issue&quot;:&quot;1&quot;,&quot;container-title-short&quot;:&quot;&quot;},&quot;isTemporary&quot;:false}]},{&quot;citationID&quot;:&quot;MENDELEY_CITATION_c44307c8-8e07-4459-b8ff-23ddddf38a67&quot;,&quot;properties&quot;:{&quot;noteIndex&quot;:0},&quot;isEdited&quot;:false,&quot;manualOverride&quot;:{&quot;isManuallyOverridden&quot;:false,&quot;citeprocText&quot;:&quot;[3–5]&quot;,&quot;manualOverrideText&quot;:&quot;&quot;},&quot;citationTag&quot;:&quot;MENDELEY_CITATION_v3_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&quot;,&quot;citationItems&quot;:[{&quot;id&quot;:&quot;7ae8269a-0004-3124-9679-996883349949&quot;,&quot;itemData&quot;:{&quot;type&quot;:&quot;article-journal&quot;,&quot;id&quot;:&quot;7ae8269a-0004-3124-9679-996883349949&quot;,&quot;title&quot;:&quot;The application of principal component analysis on financial analysis in real estate listed company&quot;,&quot;author&quot;:[{&quot;family&quot;:&quot;Li&quot;,&quot;given&quot;:&quot;Y&quot;,&quot;parse-names&quot;:false,&quot;dropping-particle&quot;:&quot;&quot;,&quot;non-dropping-particle&quot;:&quot;&quot;},{&quot;family&quot;:&quot;Zhang&quot;,&quot;given&quot;:&quot;Q&quot;,&quot;parse-names&quot;:false,&quot;dropping-particle&quot;:&quot;&quot;,&quot;non-dropping-particle&quot;:&quot;&quot;}],&quot;container-title&quot;:&quot;Procedia Engineering&quot;,&quot;container-title-short&quot;:&quot;Procedia Eng.&quot;,&quot;issued&quot;:{&quot;date-parts&quot;:[[2011]]},&quot;page&quot;:&quot;4499-4503&quot;,&quot;volume&quot;:&quot;15&quot;},&quot;isTemporary&quot;:false},{&quot;id&quot;:&quot;80bf4010-2e3d-3248-a0f3-490e49eba3b8&quot;,&quot;itemData&quot;:{&quot;type&quot;:&quot;article-journal&quot;,&quot;id&quot;:&quot;80bf4010-2e3d-3248-a0f3-490e49eba3b8&quot;,&quot;title&quot;:&quot;Financial Performance Evaluation of Electric Power Listed Companies Based on Principal Component Analysis&quot;,&quot;author&quot;:[{&quot;family&quot;:&quot;Liu&quot;,&quot;given&quot;:&quot;Z&quot;,&quot;parse-names&quot;:false,&quot;dropping-particle&quot;:&quot;&quot;,&quot;non-dropping-particle&quot;:&quot;&quot;},{&quot;family&quot;:&quot;Bai&quot;,&quot;given&quot;:&quot;Y&quot;,&quot;parse-names&quot;:false,&quot;dropping-particle&quot;:&quot;&quot;,&quot;non-dropping-particle&quot;:&quot;&quot;}],&quot;container-title&quot;:&quot;Journal of Applied Science and Engineering Innovation&quot;,&quot;issued&quot;:{&quot;date-parts&quot;:[[2021]]},&quot;page&quot;:&quot;18-23&quot;,&quot;issue&quot;:&quot;1&quot;,&quot;volume&quot;:&quot;8&quot;,&quot;container-title-short&quot;:&quot;&quot;},&quot;isTemporary&quot;:false},{&quot;id&quot;:&quot;fdb083e1-c580-30b6-8897-ad668efaf9ed&quot;,&quot;itemData&quot;:{&quot;type&quot;:&quot;article-journal&quot;,&quot;id&quot;:&quot;fdb083e1-c580-30b6-8897-ad668efaf9ed&quot;,&quot;title&quot;:&quot;The application of principal component analysis in the selection of industry specific financial ratios&quot;,&quot;author&quot;:[{&quot;family&quot;:&quot;Yap&quot;,&quot;given&quot;:&quot;B C F&quot;,&quot;parse-names&quot;:false,&quot;dropping-particle&quot;:&quot;&quot;,&quot;non-dropping-particle&quot;:&quot;&quot;},{&quot;family&quot;:&quot;Mohamad&quot;,&quot;given&quot;:&quot;Z&quot;,&quot;parse-names&quot;:false,&quot;dropping-particle&quot;:&quot;&quot;,&quot;non-dropping-particle&quot;:&quot;&quot;},{&quot;family&quot;:&quot;Chong&quot;,&quot;given&quot;:&quot;K R&quot;,&quot;parse-names&quot;:false,&quot;dropping-particle&quot;:&quot;&quot;,&quot;non-dropping-particle&quot;:&quot;&quot;}],&quot;container-title&quot;:&quot;British Journal of Economics, Management &amp; Trade&quot;,&quot;issued&quot;:{&quot;date-parts&quot;:[[2013]]},&quot;page&quot;:&quot;242-252&quot;,&quot;issue&quot;:&quot;3&quot;,&quot;volume&quot;:&quot;3&quot;,&quot;container-title-short&quot;:&quot;&quot;},&quot;isTemporary&quot;:false}]},{&quot;citationID&quot;:&quot;MENDELEY_CITATION_165eec67-80e5-46b4-a8ad-db384f13084c&quot;,&quot;properties&quot;:{&quot;noteIndex&quot;:0},&quot;isEdited&quot;:false,&quot;manualOverride&quot;:{&quot;isManuallyOverridden&quot;:false,&quot;citeprocText&quot;:&quot;[5]&quot;,&quot;manualOverrideText&quot;:&quot;&quot;},&quot;citationTag&quot;:&quot;MENDELEY_CITATION_v3_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&quot;,&quot;citationItems&quot;:[{&quot;id&quot;:&quot;fdb083e1-c580-30b6-8897-ad668efaf9ed&quot;,&quot;itemData&quot;:{&quot;type&quot;:&quot;article-journal&quot;,&quot;id&quot;:&quot;fdb083e1-c580-30b6-8897-ad668efaf9ed&quot;,&quot;title&quot;:&quot;The application of principal component analysis in the selection of industry specific financial ratios&quot;,&quot;author&quot;:[{&quot;family&quot;:&quot;Yap&quot;,&quot;given&quot;:&quot;B C F&quot;,&quot;parse-names&quot;:false,&quot;dropping-particle&quot;:&quot;&quot;,&quot;non-dropping-particle&quot;:&quot;&quot;},{&quot;family&quot;:&quot;Mohamad&quot;,&quot;given&quot;:&quot;Z&quot;,&quot;parse-names&quot;:false,&quot;dropping-particle&quot;:&quot;&quot;,&quot;non-dropping-particle&quot;:&quot;&quot;},{&quot;family&quot;:&quot;Chong&quot;,&quot;given&quot;:&quot;K R&quot;,&quot;parse-names&quot;:false,&quot;dropping-particle&quot;:&quot;&quot;,&quot;non-dropping-particle&quot;:&quot;&quot;}],&quot;container-title&quot;:&quot;British Journal of Economics, Management &amp; Trade&quot;,&quot;issued&quot;:{&quot;date-parts&quot;:[[2013]]},&quot;page&quot;:&quot;242-252&quot;,&quot;issue&quot;:&quot;3&quot;,&quot;volume&quot;:&quot;3&quot;,&quot;container-title-short&quot;:&quot;&quot;},&quot;isTemporary&quot;:false}]},{&quot;citationID&quot;:&quot;MENDELEY_CITATION_5a84332d-1d42-49b0-9944-075111e64172&quot;,&quot;properties&quot;:{&quot;noteIndex&quot;:0},&quot;isEdited&quot;:false,&quot;manualOverride&quot;:{&quot;isManuallyOverridden&quot;:false,&quot;citeprocText&quot;:&quot;[1, 6, 7]&quot;,&quot;manualOverrideText&quot;:&quot;&quot;},&quot;citationTag&quot;:&quot;MENDELEY_CITATION_v3_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&quot;,&quot;citationItems&quot;:[{&quot;id&quot;:&quot;0e1df571-6413-3e0f-95dd-6a306416720a&quot;,&quot;itemData&quot;:{&quot;type&quot;:&quot;article-journal&quot;,&quot;id&quot;:&quot;0e1df571-6413-3e0f-95dd-6a306416720a&quot;,&quot;title&quot;:&quot;Predicting corporate financial distress based on integration of decision tree classification and logistic regression&quot;,&quot;author&quot;:[{&quot;family&quot;:&quot;Chen&quot;,&quot;given&quot;:&quot;M Y&quot;,&quot;parse-names&quot;:false,&quot;dropping-particle&quot;:&quot;&quot;,&quot;non-dropping-particle&quot;:&quot;&quot;}],&quot;container-title&quot;:&quot;Expert systems with applications&quot;,&quot;issued&quot;:{&quot;date-parts&quot;:[[2011]]},&quot;page&quot;:&quot;11261-11272&quot;,&quot;issue&quot;:&quot;9&quot;,&quot;volume&quot;:&quot;38&quot;,&quot;container-title-short&quot;:&quot;Expert Syst. Appl.&quot;},&quot;isTemporary&quot;:false},{&quot;id&quot;:&quot;c8ce616e-640b-335e-96d4-c2b6cf1eb5f7&quot;,&quot;itemData&quot;:{&quot;type&quot;:&quot;article-journal&quot;,&quot;id&quot;:&quot;c8ce616e-640b-335e-96d4-c2b6cf1eb5f7&quot;,&quot;title&quot;:&quot;The relevance of sectoral clustering in corporate debt policy: The case study of Slovak enterprises&quot;,&quot;author&quot;:[{&quot;family&quot;:&quot;Gajdosikova&quot;,&quot;given&quot;:&quot;D&quot;,&quot;parse-names&quot;:false,&quot;dropping-particle&quot;:&quot;&quot;,&quot;non-dropping-particle&quot;:&quot;&quot;},{&quot;family&quot;:&quot;Valaskova&quot;,&quot;given&quot;:&quot;K&quot;,&quot;parse-names&quot;:false,&quot;dropping-particle&quot;:&quot;&quot;,&quot;non-dropping-particle&quot;:&quot;&quot;},{&quot;family&quot;:&quot;Lazaroiu&quot;,&quot;given&quot;:&quot;G&quot;,&quot;parse-names&quot;:false,&quot;dropping-particle&quot;:&quot;&quot;,&quot;non-dropping-particle&quot;:&quot;&quot;}],&quot;container-title&quot;:&quot;Administrative Sciences&quot;,&quot;issued&quot;:{&quot;date-parts&quot;:[[2024]]},&quot;page&quot;:&quot;26&quot;,&quot;issue&quot;:&quot;2&quot;,&quot;volume&quot;:&quot;14&quot;,&quot;container-title-short&quot;:&quot;Adm. Sci.&quot;},&quot;isTemporary&quot;:false},{&quot;id&quot;:&quot;b8977c57-e0cc-3c01-8553-325a33293871&quot;,&quot;itemData&quot;:{&quot;type&quot;:&quot;article-journal&quot;,&quot;id&quot;:&quot;b8977c57-e0cc-3c01-8553-325a33293871&quot;,&quot;title&quot;:&quot;Applying grey relational analysis and grey decision-making to evaluate the relationship between company attributes and its financial performance—a case study of venture capital enterprises in Taiwan&quot;,&quot;author&quot;:[{&quot;family&quot;:&quot;Kung&quot;,&quot;given&quot;:&quot;C Y&quot;,&quot;parse-names&quot;:false,&quot;dropping-particle&quot;:&quot;&quot;,&quot;non-dropping-particle&quot;:&quot;&quot;},{&quot;family&quot;:&quot;Wen&quot;,&quot;given&quot;:&quot;K L&quot;,&quot;parse-names&quot;:false,&quot;dropping-particle&quot;:&quot;&quot;,&quot;non-dropping-particle&quot;:&quot;&quot;}],&quot;container-title&quot;:&quot;Decision support systems&quot;,&quot;issued&quot;:{&quot;date-parts&quot;:[[2007]]},&quot;page&quot;:&quot;842-852&quot;,&quot;issue&quot;:&quot;3&quot;,&quot;volume&quot;:&quot;43&quot;,&quot;container-title-short&quot;:&quot;Decis. Support Syst.&quot;},&quot;isTemporary&quot;:false}]},{&quot;citationID&quot;:&quot;MENDELEY_CITATION_5b4d820f-ad46-41a3-94c5-a10f874e55b4&quot;,&quot;properties&quot;:{&quot;noteIndex&quot;:0},&quot;isEdited&quot;:false,&quot;manualOverride&quot;:{&quot;isManuallyOverridden&quot;:false,&quot;citeprocText&quot;:&quot;[2]&quot;,&quot;manualOverrideText&quot;:&quot;&quot;},&quot;citationTag&quot;:&quot;MENDELEY_CITATION_v3_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&quot;,&quot;citationItems&quot;:[{&quot;id&quot;:&quot;0f0cd150-2a95-3ab8-b749-b762bdc2cc80&quot;,&quot;itemData&quot;:{&quot;type&quot;:&quot;article-journal&quot;,&quot;id&quot;:&quot;0f0cd150-2a95-3ab8-b749-b762bdc2cc80&quot;,&quot;title&quot;:&quot;Remaining financially healthy and competitive: The role of financial predictors&quot;,&quot;author&quot;:[{&quot;family&quot;:&quot;Kliestik&quot;,&quot;given&quot;:&quot;T&quot;,&quot;parse-names&quot;:false,&quot;dropping-particle&quot;:&quot;&quot;,&quot;non-dropping-particle&quot;:&quot;&quot;},{&quot;family&quot;:&quot;Valaskova&quot;,&quot;given&quot;:&quot;K&quot;,&quot;parse-names&quot;:false,&quot;dropping-particle&quot;:&quot;&quot;,&quot;non-dropping-particle&quot;:&quot;&quot;},{&quot;family&quot;:&quot;Lazaroiu&quot;,&quot;given&quot;:&quot;G&quot;,&quot;parse-names&quot;:false,&quot;dropping-particle&quot;:&quot;&quot;,&quot;non-dropping-particle&quot;:&quot;&quot;},{&quot;family&quot;:&quot;Kovacova&quot;,&quot;given&quot;:&quot;M&quot;,&quot;parse-names&quot;:false,&quot;dropping-particle&quot;:&quot;&quot;,&quot;non-dropping-particle&quot;:&quot;&quot;},{&quot;family&quot;:&quot;Vrbka&quot;,&quot;given&quot;:&quot;J&quot;,&quot;parse-names&quot;:false,&quot;dropping-particle&quot;:&quot;&quot;,&quot;non-dropping-particle&quot;:&quot;&quot;}],&quot;container-title&quot;:&quot;Journal of Competitiveness&quot;,&quot;issued&quot;:{&quot;date-parts&quot;:[[2020]]},&quot;issue&quot;:&quot;1&quot;,&quot;container-title-short&quot;:&quot;&quot;},&quot;isTemporary&quot;:false}]},{&quot;citationID&quot;:&quot;MENDELEY_CITATION_a697dc2c-de27-4764-b5f6-cef826ae01c4&quot;,&quot;properties&quot;:{&quot;noteIndex&quot;:0},&quot;isEdited&quot;:false,&quot;manualOverride&quot;:{&quot;isManuallyOverridden&quot;:false,&quot;citeprocText&quot;:&quot;[3]&quot;,&quot;manualOverrideText&quot;:&quot;&quot;},&quot;citationTag&quot;:&quot;MENDELEY_CITATION_v3_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&quot;,&quot;citationItems&quot;:[{&quot;id&quot;:&quot;7ae8269a-0004-3124-9679-996883349949&quot;,&quot;itemData&quot;:{&quot;type&quot;:&quot;article-journal&quot;,&quot;id&quot;:&quot;7ae8269a-0004-3124-9679-996883349949&quot;,&quot;title&quot;:&quot;The application of principal component analysis on financial analysis in real estate listed company&quot;,&quot;author&quot;:[{&quot;family&quot;:&quot;Li&quot;,&quot;given&quot;:&quot;Y&quot;,&quot;parse-names&quot;:false,&quot;dropping-particle&quot;:&quot;&quot;,&quot;non-dropping-particle&quot;:&quot;&quot;},{&quot;family&quot;:&quot;Zhang&quot;,&quot;given&quot;:&quot;Q&quot;,&quot;parse-names&quot;:false,&quot;dropping-particle&quot;:&quot;&quot;,&quot;non-dropping-particle&quot;:&quot;&quot;}],&quot;container-title&quot;:&quot;Procedia Engineering&quot;,&quot;issued&quot;:{&quot;date-parts&quot;:[[2011]]},&quot;page&quot;:&quot;4499-4503&quot;,&quot;volume&quot;:&quot;15&quot;,&quot;container-title-short&quot;:&quot;Procedia Eng.&quot;},&quot;isTemporary&quot;:false}]},{&quot;citationID&quot;:&quot;MENDELEY_CITATION_6884d6be-1429-4a76-b71a-bc464f9929b0&quot;,&quot;properties&quot;:{&quot;noteIndex&quot;:0},&quot;isEdited&quot;:false,&quot;manualOverride&quot;:{&quot;isManuallyOverridden&quot;:false,&quot;citeprocText&quot;:&quot;[8]&quot;,&quot;manualOverrideText&quot;:&quot;&quot;},&quot;citationTag&quot;:&quot;MENDELEY_CITATION_v3_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&quot;,&quot;citationItems&quot;:[{&quot;id&quot;:&quot;cc563ea6-e42a-321c-89e7-06f66cd39dc8&quot;,&quot;itemData&quot;:{&quot;type&quot;:&quot;article-journal&quot;,&quot;id&quot;:&quot;cc563ea6-e42a-321c-89e7-06f66cd39dc8&quot;,&quot;title&quot;:&quot;Industry financial ratios—application of factor analysis in Turkish construction industry&quot;,&quot;author&quot;:[{&quot;family&quot;:&quot;Öcal&quot;,&quot;given&quot;:&quot;M E&quot;,&quot;parse-names&quot;:false,&quot;dropping-particle&quot;:&quot;&quot;,&quot;non-dropping-particle&quot;:&quot;&quot;},{&quot;family&quot;:&quot;Oral&quot;,&quot;given&quot;:&quot;E L&quot;,&quot;parse-names&quot;:false,&quot;dropping-particle&quot;:&quot;&quot;,&quot;non-dropping-particle&quot;:&quot;&quot;},{&quot;family&quot;:&quot;Erdis&quot;,&quot;given&quot;:&quot;E&quot;,&quot;parse-names&quot;:false,&quot;dropping-particle&quot;:&quot;&quot;,&quot;non-dropping-particle&quot;:&quot;&quot;},{&quot;family&quot;:&quot;Vural&quot;,&quot;given&quot;:&quot;G&quot;,&quot;parse-names&quot;:false,&quot;dropping-particle&quot;:&quot;&quot;,&quot;non-dropping-particle&quot;:&quot;&quot;}],&quot;container-title&quot;:&quot;Building and environment&quot;,&quot;issued&quot;:{&quot;date-parts&quot;:[[2007]]},&quot;page&quot;:&quot;385-392&quot;,&quot;issue&quot;:&quot;1&quot;,&quot;volume&quot;:&quot;42&quot;,&quot;container-title-short&quot;:&quot;Build. Environ.&quot;},&quot;isTemporary&quot;:false}]},{&quot;citationID&quot;:&quot;MENDELEY_CITATION_6ca2e684-5180-4aca-b3c0-a678bf0125d1&quot;,&quot;properties&quot;:{&quot;noteIndex&quot;:0},&quot;isEdited&quot;:false,&quot;manualOverride&quot;:{&quot;isManuallyOverridden&quot;:false,&quot;citeprocText&quot;:&quot;[9]&quot;,&quot;manualOverrideText&quot;:&quot;&quot;},&quot;citationTag&quot;:&quot;MENDELEY_CITATION_v3_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&quot;,&quot;citationItems&quot;:[{&quot;id&quot;:&quot;00a07f39-be09-36e0-8e1c-2f54db4e7702&quot;,&quot;itemData&quot;:{&quot;type&quot;:&quot;article-journal&quot;,&quot;id&quot;:&quot;00a07f39-be09-36e0-8e1c-2f54db4e7702&quot;,&quot;title&quot;:&quot;Application of principal component analysis to facilitate financial statement analysis: an automobile industry case&quot;,&quot;author&quot;:[{&quot;family&quot;:&quot;Puri&quot;,&quot;given&quot;:&quot;N&quot;,&quot;parse-names&quot;:false,&quot;dropping-particle&quot;:&quot;&quot;,&quot;non-dropping-particle&quot;:&quot;&quot;},{&quot;family&quot;:&quot;Singh&quot;,&quot;given&quot;:&quot;H&quot;,&quot;parse-names&quot;:false,&quot;dropping-particle&quot;:&quot;&quot;,&quot;non-dropping-particle&quot;:&quot;&quot;},{&quot;family&quot;:&quot;Chakrabarti&quot;,&quot;given&quot;:&quot;A&quot;,&quot;parse-names&quot;:false,&quot;dropping-particle&quot;:&quot;&quot;,&quot;non-dropping-particle&quot;:&quot;&quot;},{&quot;family&quot;:&quot;Tandon&quot;,&quot;given&quot;:&quot;D&quot;,&quot;parse-names&quot;:false,&quot;dropping-particle&quot;:&quot;&quot;,&quot;non-dropping-particle&quot;:&quot;&quot;}],&quot;container-title&quot;:&quot;Academy of Accounting and Financial Studies Journal&quot;,&quot;issued&quot;:{&quot;date-parts&quot;:[[2022]]},&quot;page&quot;:&quot;1-19&quot;,&quot;issue&quot;:&quot;1&quot;,&quot;volume&quot;:&quot;26&quot;,&quot;container-title-short&quot;:&quot;&quot;},&quot;isTemporary&quot;:false}]},{&quot;citationID&quot;:&quot;MENDELEY_CITATION_37d727a1-bad1-4f7b-af3a-1c5db23ed1de&quot;,&quot;properties&quot;:{&quot;noteIndex&quot;:0},&quot;isEdited&quot;:false,&quot;manualOverride&quot;:{&quot;isManuallyOverridden&quot;:false,&quot;citeprocText&quot;:&quot;[5]&quot;,&quot;manualOverrideText&quot;:&quot;&quot;},&quot;citationTag&quot;:&quot;MENDELEY_CITATION_v3_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&quot;,&quot;citationItems&quot;:[{&quot;id&quot;:&quot;fdb083e1-c580-30b6-8897-ad668efaf9ed&quot;,&quot;itemData&quot;:{&quot;type&quot;:&quot;article-journal&quot;,&quot;id&quot;:&quot;fdb083e1-c580-30b6-8897-ad668efaf9ed&quot;,&quot;title&quot;:&quot;The application of principal component analysis in the selection of industry specific financial ratios&quot;,&quot;author&quot;:[{&quot;family&quot;:&quot;Yap&quot;,&quot;given&quot;:&quot;B C F&quot;,&quot;parse-names&quot;:false,&quot;dropping-particle&quot;:&quot;&quot;,&quot;non-dropping-particle&quot;:&quot;&quot;},{&quot;family&quot;:&quot;Mohamad&quot;,&quot;given&quot;:&quot;Z&quot;,&quot;parse-names&quot;:false,&quot;dropping-particle&quot;:&quot;&quot;,&quot;non-dropping-particle&quot;:&quot;&quot;},{&quot;family&quot;:&quot;Chong&quot;,&quot;given&quot;:&quot;K R&quot;,&quot;parse-names&quot;:false,&quot;dropping-particle&quot;:&quot;&quot;,&quot;non-dropping-particle&quot;:&quot;&quot;}],&quot;container-title&quot;:&quot;British Journal of Economics, Management &amp; Trade&quot;,&quot;issued&quot;:{&quot;date-parts&quot;:[[2013]]},&quot;page&quot;:&quot;242-252&quot;,&quot;issue&quot;:&quot;3&quot;,&quot;volume&quot;:&quot;3&quot;,&quot;container-title-short&quot;:&quot;&quot;},&quot;isTemporary&quot;:false}]},{&quot;citationID&quot;:&quot;MENDELEY_CITATION_d7800faf-896b-4755-a08e-7c29568bba4a&quot;,&quot;properties&quot;:{&quot;noteIndex&quot;:0},&quot;isEdited&quot;:false,&quot;manualOverride&quot;:{&quot;isManuallyOverridden&quot;:false,&quot;citeprocText&quot;:&quot;[10]&quot;,&quot;manualOverrideText&quot;:&quot;&quot;},&quot;citationTag&quot;:&quot;MENDELEY_CITATION_v3_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&quot;,&quot;citationItems&quot;:[{&quot;id&quot;:&quot;1d1ea1d3-d0fb-35ab-9374-55cc38d29b3b&quot;,&quot;itemData&quot;:{&quot;type&quot;:&quot;article-journal&quot;,&quot;id&quot;:&quot;1d1ea1d3-d0fb-35ab-9374-55cc38d29b3b&quot;,&quot;title&quot;:&quot;Financial statement analysis: Principal component analysis (PCA) approach case study on China telecoms industry&quot;,&quot;author&quot;:[{&quot;family&quot;:&quot;Mbona&quot;,&quot;given&quot;:&quot;R M&quot;,&quot;parse-names&quot;:false,&quot;dropping-particle&quot;:&quot;&quot;,&quot;non-dropping-particle&quot;:&quot;&quot;},{&quot;family&quot;:&quot;Yusheng&quot;,&quot;given&quot;:&quot;K&quot;,&quot;parse-names&quot;:false,&quot;dropping-particle&quot;:&quot;&quot;,&quot;non-dropping-particle&quot;:&quot;&quot;}],&quot;container-title&quot;:&quot;Asian Journal of Accounting Research&quot;,&quot;issued&quot;:{&quot;date-parts&quot;:[[2019]]},&quot;page&quot;:&quot;233-245&quot;,&quot;issue&quot;:&quot;2&quot;,&quot;volume&quot;:&quot;4&quot;,&quot;container-title-short&quot;:&quot;&quot;},&quot;isTemporary&quot;:false}]},{&quot;citationID&quot;:&quot;MENDELEY_CITATION_f33ca54c-a108-49c4-b686-e6a015f40504&quot;,&quot;properties&quot;:{&quot;noteIndex&quot;:0},&quot;isEdited&quot;:false,&quot;manualOverride&quot;:{&quot;isManuallyOverridden&quot;:false,&quot;citeprocText&quot;:&quot;[4]&quot;,&quot;manualOverrideText&quot;:&quot;&quot;},&quot;citationTag&quot;:&quot;MENDELEY_CITATION_v3_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&quot;,&quot;citationItems&quot;:[{&quot;id&quot;:&quot;80bf4010-2e3d-3248-a0f3-490e49eba3b8&quot;,&quot;itemData&quot;:{&quot;type&quot;:&quot;article-journal&quot;,&quot;id&quot;:&quot;80bf4010-2e3d-3248-a0f3-490e49eba3b8&quot;,&quot;title&quot;:&quot;Financial Performance Evaluation of Electric Power Listed Companies Based on Principal Component Analysis&quot;,&quot;author&quot;:[{&quot;family&quot;:&quot;Liu&quot;,&quot;given&quot;:&quot;Z&quot;,&quot;parse-names&quot;:false,&quot;dropping-particle&quot;:&quot;&quot;,&quot;non-dropping-particle&quot;:&quot;&quot;},{&quot;family&quot;:&quot;Bai&quot;,&quot;given&quot;:&quot;Y&quot;,&quot;parse-names&quot;:false,&quot;dropping-particle&quot;:&quot;&quot;,&quot;non-dropping-particle&quot;:&quot;&quot;}],&quot;container-title&quot;:&quot;Journal of Applied Science and Engineering Innovation&quot;,&quot;issued&quot;:{&quot;date-parts&quot;:[[2021]]},&quot;page&quot;:&quot;18-23&quot;,&quot;issue&quot;:&quot;1&quot;,&quot;volume&quot;:&quot;8&quot;,&quot;container-title-short&quot;:&quot;&quot;},&quot;isTemporary&quot;:false}]},{&quot;citationID&quot;:&quot;MENDELEY_CITATION_9ac10ba8-62ff-4c88-878a-b93cdc3c7399&quot;,&quot;properties&quot;:{&quot;noteIndex&quot;:0},&quot;isEdited&quot;:false,&quot;manualOverride&quot;:{&quot;isManuallyOverridden&quot;:false,&quot;citeprocText&quot;:&quot;[11]&quot;,&quot;manualOverrideText&quot;:&quot;&quot;},&quot;citationTag&quot;:&quot;MENDELEY_CITATION_v3_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&quot;,&quot;citationItems&quot;:[{&quot;id&quot;:&quot;9b3d3f44-bb4d-3b89-87f9-3d5f35cb0e4c&quot;,&quot;itemData&quot;:{&quot;type&quot;:&quot;article-journal&quot;,&quot;id&quot;:&quot;9b3d3f44-bb4d-3b89-87f9-3d5f35cb0e4c&quot;,&quot;title&quot;:&quot;Enterprise financial strategy and performance management analysis based on principal component analysis&quot;,&quot;author&quot;:[{&quot;family&quot;:&quot;Tang&quot;,&quot;given&quot;:&quot;Y&quot;,&quot;parse-names&quot;:false,&quot;dropping-particle&quot;:&quot;&quot;,&quot;non-dropping-particle&quot;:&quot;&quot;},{&quot;family&quot;:&quot;Aldulaimi&quot;,&quot;given&quot;:&quot;S H&quot;,&quot;parse-names&quot;:false,&quot;dropping-particle&quot;:&quot;&quot;,&quot;non-dropping-particle&quot;:&quot;&quot;}],&quot;container-title&quot;:&quot;Applied Mathematics and Nonlinear Sciences&quot;,&quot;issued&quot;:{&quot;date-parts&quot;:[[2023]]},&quot;page&quot;:&quot;1265-1276&quot;,&quot;issue&quot;:&quot;1&quot;,&quot;volume&quot;:&quot;8&quot;,&quot;container-title-short&quot;:&quot;&quot;},&quot;isTemporary&quot;:false}]},{&quot;citationID&quot;:&quot;MENDELEY_CITATION_249a0a07-4c1f-4eda-9e31-59db64c41432&quot;,&quot;properties&quot;:{&quot;noteIndex&quot;:0},&quot;isEdited&quot;:false,&quot;manualOverride&quot;:{&quot;isManuallyOverridden&quot;:false,&quot;citeprocText&quot;:&quot;[12, 13]&quot;,&quot;manualOverrideText&quot;:&quot;&quot;},&quot;citationTag&quot;:&quot;MENDELEY_CITATION_v3_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&quot;,&quot;citationItems&quot;:[{&quot;id&quot;:&quot;4958bd58-dcd1-3e2e-89da-1efcc14b139e&quot;,&quot;itemData&quot;:{&quot;type&quot;:&quot;article-journal&quot;,&quot;id&quot;:&quot;4958bd58-dcd1-3e2e-89da-1efcc14b139e&quot;,&quot;title&quot;:&quot;Isometric Logratio Transformations for Compositional Data Analysis&quot;,&quot;author&quot;:[{&quot;family&quot;:&quot;Egozcue&quot;,&quot;given&quot;:&quot;J. J.&quot;,&quot;parse-names&quot;:false,&quot;dropping-particle&quot;:&quot;&quot;,&quot;non-dropping-particle&quot;:&quot;&quot;},{&quot;family&quot;:&quot;Pawlowsky-Glahn&quot;,&quot;given&quot;:&quot;V.&quot;,&quot;parse-names&quot;:false,&quot;dropping-particle&quot;:&quot;&quot;,&quot;non-dropping-particle&quot;:&quot;&quot;},{&quot;family&quot;:&quot;Mateu-Figueras&quot;,&quot;given&quot;:&quot;G.&quot;,&quot;parse-names&quot;:false,&quot;dropping-particle&quot;:&quot;&quot;,&quot;non-dropping-particle&quot;:&quot;&quot;},{&quot;family&quot;:&quot;Barceló-Vidal&quot;,&quot;given&quot;:&quot;C.&quot;,&quot;parse-names&quot;:false,&quot;dropping-particle&quot;:&quot;&quot;,&quot;non-dropping-particle&quot;:&quot;&quot;}],&quot;container-title&quot;:&quot;Mathematical Geology&quot;,&quot;accessed&quot;:{&quot;date-parts&quot;:[[2026,1,26]]},&quot;DOI&quot;:&quot;10.1023/A:1023818214614/METRICS&quot;,&quot;ISSN&quot;:&quot;08828121&quot;,&quot;URL&quot;:&quot;https://link.springer.com/article/10.1023/A:1023818214614&quot;,&quot;issued&quot;:{&quot;date-parts&quot;:[[2003,4]]},&quot;page&quot;:&quot;279-300&quot;,&quot;abstract&quot;:&quot;Geometry in the simplex has been developed in the last 15 years mainly based on the contributions due to J. Aitchison. The main goal was to develop analytical tools for the statistical analysis of compositional data. Our present aim is to get a further insight into some aspects of this geometry in order to clarify the way for more complex statistical approaches. This is done by way of orthonormal bases, which allow for a straightforward handling of geometric elements in the simplex. The transformation into real coordinates preserves all metric properties and is thus called isometric logratio transformation (ilr). An important result is the decomposition of the simplex, as a vector space, into orthogonal subspaces associated with nonoverlapping subcompositions. This gives the key to join compositions with different parts into a single composition by using a balancing element. The relationship between ilr transformations and the centered-logratio (clr) and additive-logratio (alr) transformations is also studied. Exponential growth or decay of mass is used to illustrate compositional linear processes, parallelism and orthogonality in the simplex.&quot;,&quot;publisher&quot;:&quot;Springer&quot;,&quot;issue&quot;:&quot;3&quot;,&quot;volume&quot;:&quot;35&quot;,&quot;container-title-short&quot;:&quot;Math. Geol.&quot;},&quot;isTemporary&quot;:false},{&quot;id&quot;:&quot;94f516f2-cbec-33af-9b1b-28ab229de17d&quot;,&quot;itemData&quot;:{&quot;type&quot;:&quot;book&quot;,&quot;id&quot;:&quot;94f516f2-cbec-33af-9b1b-28ab229de17d&quot;,&quot;title&quot;:&quot;The Statistical Analysis of Compositional Data&quot;,&quot;author&quot;:[{&quot;family&quot;:&quot;Aitchison&quot;,&quot;given&quot;:&quot;J.&quot;,&quot;parse-names&quot;:false,&quot;dropping-particle&quot;:&quot;&quot;,&quot;non-dropping-particle&quot;:&quot;&quot;}],&quot;issued&quot;:{&quot;date-parts&quot;:[[1986]]},&quot;publisher&quot;:&quot;Chapman and Hall&quot;,&quot;container-title-short&quot;:&quot;&quot;},&quot;isTemporary&quot;:false}]},{&quot;citationID&quot;:&quot;MENDELEY_CITATION_ff3fe124-3bf7-47dc-9577-4380ecde694c&quot;,&quot;properties&quot;:{&quot;noteIndex&quot;:0},&quot;isEdited&quot;:false,&quot;manualOverride&quot;:{&quot;isManuallyOverridden&quot;:false,&quot;citeprocText&quot;:&quot;[14, 15]&quot;,&quot;manualOverrideText&quot;:&quot;&quot;},&quot;citationTag&quot;:&quot;MENDELEY_CITATION_v3_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&quot;,&quot;citationItems&quot;:[{&quot;id&quot;:&quot;35c06033-e455-3119-a5c0-2b608cb4f83e&quot;,&quot;itemData&quot;:{&quot;type&quot;:&quot;article-journal&quot;,&quot;id&quot;:&quot;35c06033-e455-3119-a5c0-2b608cb4f83e&quot;,&quot;title&quot;:&quot;Compositional Classification of Financial Statement Profiles: The Weighted Case&quot;,&quot;author&quot;:[{&quot;family&quot;:&quot;Jofre-Campuzano&quot;,&quot;given&quot;:&quot;Pol&quot;,&quot;parse-names&quot;:false,&quot;dropping-particle&quot;:&quot;&quot;,&quot;non-dropping-particle&quot;:&quot;&quot;},{&quot;family&quot;:&quot;Coenders&quot;,&quot;given&quot;:&quot;Germà&quot;,&quot;parse-names&quot;:false,&quot;dropping-particle&quot;:&quot;&quot;,&quot;non-dropping-particle&quot;:&quot;&quot;}],&quot;container-title&quot;:&quot;Journal of Risk and Financial Management 2022, Vol. 15, Page 546&quot;,&quot;accessed&quot;:{&quot;date-parts&quot;:[[2024,12,22]]},&quot;DOI&quot;:&quot;10.3390/JRFM15120546&quot;,&quot;ISSN&quot;:&quot;1911-8074&quot;,&quot;URL&quot;:&quot;https://www.mdpi.com/1911-8074/15/12/546/htm&quot;,&quot;issued&quot;:{&quot;date-parts&quot;:[[2022,11,22]]},&quot;page&quot;:&quot;546&quot;,&quot;abstract&quot;:&quot;This article classifies petrol retail companies in Spain based on their financial ratios using the compositional data analysis (CoDA) methodology. This methodology solves the most common distributional problems encountered in the statistical analysis of financial ratios. The main purpose of this article is to show that with the CoDA methodology, accounting figures presenting low values can have a disproportional influence on classification. This problem can be attenuated by applying weighted CoDA, which is a novelty in the financial statement analysis field. The suggested weight of each accounting figure is proportional to its arithmetic mean. The results of Ward clustering show that after weighting, the contributions of the accounting figures to the total variance and to the clustering solution are more balanced, and the clusters are more interpretable. Four distinct financial profiles are identified and related to non-financial variables. Only one of the profiles represents companies in financial distress, with low turnover, low return on assets, high indebtedness, and low liquidity. Further developments include alternative weighting schemes.&quot;,&quot;publisher&quot;:&quot;Multidisciplinary Digital Publishing Institute&quot;,&quot;issue&quot;:&quot;12&quot;,&quot;volume&quot;:&quot;15&quot;,&quot;container-title-short&quot;:&quot;&quot;},&quot;isTemporary&quot;:false},{&quot;id&quot;:&quot;609784d9-c0fa-3dd0-8464-4b6edc3a2a91&quot;,&quot;itemData&quot;:{&quot;type&quot;:&quot;article-journal&quot;,&quot;id&quot;:&quot;609784d9-c0fa-3dd0-8464-4b6edc3a2a91&quot;,&quot;title&quot;:&quot;Financial performance and distress profiles. From classification according to financial ratios to compositional classification&quot;,&quot;author&quot;:[{&quot;family&quot;:&quot;Linares-Mustarós&quot;,&quot;given&quot;:&quot;Salvador&quot;,&quot;parse-names&quot;:false,&quot;dropping-particle&quot;:&quot;&quot;,&quot;non-dropping-particle&quot;:&quot;&quot;},{&quot;family&quot;:&quot;Coenders&quot;,&quot;given&quot;:&quot;Germà&quot;,&quot;parse-names&quot;:false,&quot;dropping-particle&quot;:&quot;&quot;,&quot;non-dropping-particle&quot;:&quot;&quot;},{&quot;family&quot;:&quot;Vives-Mestres&quot;,&quot;given&quot;:&quot;Marina&quot;,&quot;parse-names&quot;:false,&quot;dropping-particle&quot;:&quot;&quot;,&quot;non-dropping-particle&quot;:&quot;&quot;}],&quot;container-title&quot;:&quot;Advances in Accounting&quot;,&quot;accessed&quot;:{&quot;date-parts&quot;:[[2024,12,22]]},&quot;DOI&quot;:&quot;10.1016/J.ADIAC.2017.10.003&quot;,&quot;ISSN&quot;:&quot;0882-6110&quot;,&quot;issued&quot;:{&quot;date-parts&quot;:[[2018,3,1]]},&quot;page&quot;:&quot;1-10&quot;,&quot;abstract&quot;:&quot;Financial ratios are often used in cluster analysis to classify firms according to the similarity of their financial structures. Besides the dependence of distances on ratio choice, ratios themselves have a number of serious problems when subject to a cluster analysis such as skewed distributions, outliers, and redundancy. Some solutions to overcome those drawbacks have been proposed in the literature, but have proven problematic. In this work we put forward an alternative financial statement analysis method for classifying firms which aims at solving the above mentioned shortcomings and draws from compositional data analysis. The method is based on the use of existent clustering methods with standard software on transformed data by means of the so-called isometric logarithms of ratios. The method saves analysis steps (outlier treatment and data reduction) while defining distances among firms in a meaningful way which does not depend on the particular ratios selected. We show examples of application to two different industries and compare the results with those obtained from standard ratios.&quot;,&quot;publisher&quot;:&quot;Elsevier&quot;,&quot;volume&quot;:&quot;40&quot;,&quot;container-title-short&quot;:&quot;&quot;},&quot;isTemporary&quot;:false}]},{&quot;citationID&quot;:&quot;MENDELEY_CITATION_3995339c-0c6d-4005-a19c-01ccdd345b6f&quot;,&quot;properties&quot;:{&quot;noteIndex&quot;:0},&quot;isEdited&quot;:false,&quot;manualOverride&quot;:{&quot;isManuallyOverridden&quot;:false,&quot;citeprocText&quot;:&quot;[16]&quot;,&quot;manualOverrideText&quot;:&quot;&quot;},&quot;citationTag&quot;:&quot;MENDELEY_CITATION_v3_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&quot;,&quot;citationItems&quot;:[{&quot;id&quot;:&quot;eddbc41e-4cfe-33e3-bdfd-1dc71670504a&quot;,&quot;itemData&quot;:{&quot;type&quot;:&quot;article-journal&quot;,&quot;id&quot;:&quot;eddbc41e-4cfe-33e3-bdfd-1dc71670504a&quot;,&quot;title&quot;:&quot;Combining cluster analysis with classifier ensembles to predict financial distress&quot;,&quot;author&quot;:[{&quot;family&quot;:&quot;Tsai&quot;,&quot;given&quot;:&quot;Chih Fong&quot;,&quot;parse-names&quot;:false,&quot;dropping-particle&quot;:&quot;&quot;,&quot;non-dropping-particle&quot;:&quot;&quot;}],&quot;container-title&quot;:&quot;Information Fusion&quot;,&quot;accessed&quot;:{&quot;date-parts&quot;:[[2026,1,26]]},&quot;DOI&quot;:&quot;10.1016/J.INFFUS.2011.12.001&quot;,&quot;ISSN&quot;:&quot;1566-2535&quot;,&quot;URL&quot;:&quot;https://www.sciencedirect.com/science/article/abs/pii/S1566253511000807&quot;,&quot;issued&quot;:{&quot;date-parts&quot;:[[2014,3,1]]},&quot;page&quot;:&quot;46-58&quot;,&quot;abstract&quot;:&quot;The ability to accurately predict business failure is a very important issue in financial decision-making. Incorrect decision-making in financial institutions is very likely to cause financial crises and distress. Bankruptcy prediction and credit scoring are two important problems facing financial decision support. As many related studies develop financial distress models by some machine learning techniques, more advanced machine learning techniques, such as classifier ensembles and hybrid classifiers, have not been fully assessed. The aim of this paper is to develop a novel hybrid financial distress model based on combining the clustering technique and classifier ensembles. In addition, single baseline classifiers, hybrid classifiers, and classifier ensembles are developed for comparisons. In particular, two clustering techniques, Self-Organizing Maps (SOMs) and k-means and three classification techniques, logistic regression, multilayer-perceptron (MLP) neural network, and decision trees, are used to develop these four different types of bankruptcy prediction models. As a result, 21 different models are compared in terms of average prediction accuracy and Type I &amp; II errors. By using five related datasets, combining Self-Organizing Maps (SOMs) with MLP classifier ensembles performs the best, which provides higher predication accuracy and lower Type I &amp; II errors. © 2011 Elsevier B.V. All rights reserved.&quot;,&quot;publisher&quot;:&quot;Elsevier&quot;,&quot;issue&quot;:&quot;1&quot;,&quot;volume&quot;:&quot;16&quot;,&quot;container-title-short&quot;:&quot;&quot;},&quot;isTemporary&quot;:false}]},{&quot;citationID&quot;:&quot;MENDELEY_CITATION_13945f42-7824-4dc2-8920-10208c744a76&quot;,&quot;properties&quot;:{&quot;noteIndex&quot;:0},&quot;isEdited&quot;:false,&quot;manualOverride&quot;:{&quot;isManuallyOverridden&quot;:false,&quot;citeprocText&quot;:&quot;[17]&quot;,&quot;manualOverrideText&quot;:&quot;&quot;},&quot;citationTag&quot;:&quot;MENDELEY_CITATION_v3_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&quot;,&quot;citationItems&quot;:[{&quot;id&quot;:&quot;78bd1ee9-9987-32dd-9019-56e73c940758&quot;,&quot;itemData&quot;:{&quot;type&quot;:&quot;article-journal&quot;,&quot;id&quot;:&quot;78bd1ee9-9987-32dd-9019-56e73c940758&quot;,&quot;title&quot;:&quot;Evaluation of clustering algorithms for financial risk analysis using MCDM methods&quot;,&quot;author&quot;:[{&quot;family&quot;:&quot;Kou&quot;,&quot;given&quot;:&quot;Gang&quot;,&quot;parse-names&quot;:false,&quot;dropping-particle&quot;:&quot;&quot;,&quot;non-dropping-particle&quot;:&quot;&quot;},{&quot;family&quot;:&quot;Peng&quot;,&quot;given&quot;:&quot;Yi&quot;,&quot;parse-names&quot;:false,&quot;dropping-particle&quot;:&quot;&quot;,&quot;non-dropping-particle&quot;:&quot;&quot;},{&quot;family&quot;:&quot;Wang&quot;,&quot;given&quot;:&quot;Guoxun&quot;,&quot;parse-names&quot;:false,&quot;dropping-particle&quot;:&quot;&quot;,&quot;non-dropping-particle&quot;:&quot;&quot;}],&quot;container-title&quot;:&quot;Information Sciences&quot;,&quot;accessed&quot;:{&quot;date-parts&quot;:[[2026,1,26]]},&quot;DOI&quot;:&quot;10.1016/J.INS.2014.02.137&quot;,&quot;ISSN&quot;:&quot;0020-0255&quot;,&quot;URL&quot;:&quot;https://www.sciencedirect.com/science/article/abs/pii/S0020025514002503&quot;,&quot;issued&quot;:{&quot;date-parts&quot;:[[2014,8,10]]},&quot;page&quot;:&quot;1-12&quot;,&quot;abstract&quot;:&quot;The evaluation of clustering algorithms is intrinsically difficult because of the lack of objective measures. Since the evaluation of clustering algorithms normally involves multiple criteria, it can be modeled as a multiple criteria decision making (MCDM) problem. This paper presents an MCDM-based approach to rank a selection of popular clustering algorithms in the domain of financial risk analysis. An experimental study is designed to validate the proposed approach using three MCDM methods, six clustering algorithms, and eleven cluster validity indices over three real-life credit risk and bankruptcy risk data sets. The results demonstrate the effectiveness of MCDM methods in evaluating clustering algorithms and indicate that the repeated-bisection method leads to good 2-way clustering solutions on the selected financial risk data sets. © 2014 Elsevier Inc. All rights reserved.&quot;,&quot;publisher&quot;:&quot;Elsevier&quot;,&quot;volume&quot;:&quot;275&quot;,&quot;container-title-short&quot;:&quot;Inf. Sci. (N. Y).&quot;},&quot;isTemporary&quot;:false}]},{&quot;citationID&quot;:&quot;MENDELEY_CITATION_4f8e0210-742e-4f53-b19a-ad1deebcc9ed&quot;,&quot;properties&quot;:{&quot;noteIndex&quot;:0},&quot;isEdited&quot;:false,&quot;manualOverride&quot;:{&quot;isManuallyOverridden&quot;:false,&quot;citeprocText&quot;:&quot;[18]&quot;,&quot;manualOverrideText&quot;:&quot;&quot;},&quot;citationTag&quot;:&quot;MENDELEY_CITATION_v3_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&quot;,&quot;citationItems&quot;:[{&quot;id&quot;:&quot;f7e77dda-828b-3687-b211-ad27b1e35a16&quot;,&quot;itemData&quot;:{&quot;type&quot;:&quot;article-journal&quot;,&quot;id&quot;:&quot;f7e77dda-828b-3687-b211-ad27b1e35a16&quot;,&quot;title&quot;:&quot;Corporate social responsibility and financial profile of Spanish private hospitals&quot;,&quot;author&quot;:[{&quot;family&quot;:&quot;Creixans-Tenas&quot;,&quot;given&quot;:&quot;J.&quot;,&quot;parse-names&quot;:false,&quot;dropping-particle&quot;:&quot;&quot;,&quot;non-dropping-particle&quot;:&quot;&quot;},{&quot;family&quot;:&quot;Coenders&quot;,&quot;given&quot;:&quot;G.&quot;,&quot;parse-names&quot;:false,&quot;dropping-particle&quot;:&quot;&quot;,&quot;non-dropping-particle&quot;:&quot;&quot;},{&quot;family&quot;:&quot;Arimany-Serrat&quot;,&quot;given&quot;:&quot;N.&quot;,&quot;parse-names&quot;:false,&quot;dropping-particle&quot;:&quot;&quot;,&quot;non-dropping-particle&quot;:&quot;&quot;}],&quot;container-title&quot;:&quot;Heliyon&quot;,&quot;accessed&quot;:{&quot;date-parts&quot;:[[2024,12,22]]},&quot;DOI&quot;:&quot;10.1016/J.HELIYON.2019.E02623/ASSET/55B19D87-CC28-4BF9-8C92-496F8576C8D1/MAIN.ASSETS/GR2.JPG&quot;,&quot;ISSN&quot;:&quot;24058440&quot;,&quot;URL&quot;:&quot;http://www.cell.com/article/S2405844019362838/fulltext&quot;,&quot;issued&quot;:{&quot;date-parts&quot;:[[2019,10,1]]},&quot;page&quot;:&quot;e02623&quot;,&quot;abstract&quot;:&quot;Financial ratios; Compositional data analysis (CoDa); Private hospitals; Partial-least-squares structural equation models (PLS-SEM); Corporate social responsibility; Economics; Business.&quot;,&quot;publisher&quot;:&quot;Elsevier Ltd&quot;,&quot;issue&quot;:&quot;10&quot;,&quot;volume&quot;:&quot;5&quot;,&quot;container-title-short&quot;:&quot;Heliyon&quot;},&quot;isTemporary&quot;:false}]},{&quot;citationID&quot;:&quot;MENDELEY_CITATION_2619d056-7daf-4c03-ab5a-71646bfe4b6f&quot;,&quot;properties&quot;:{&quot;noteIndex&quot;:0},&quot;isEdited&quot;:false,&quot;manualOverride&quot;:{&quot;isManuallyOverridden&quot;:false,&quot;citeprocText&quot;:&quot;[19]&quot;,&quot;manualOverrideText&quot;:&quot;&quot;},&quot;citationTag&quot;:&quot;MENDELEY_CITATION_v3_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&quot;,&quot;citationItems&quot;:[{&quot;id&quot;:&quot;15d49145-21e8-30db-a97c-96fec5878344&quot;,&quot;itemData&quot;:{&quot;type&quot;:&quot;article-journal&quot;,&quot;id&quot;:&quot;15d49145-21e8-30db-a97c-96fec5878344&quot;,&quot;title&quot;:&quot;New developments in financial statement analysis. Liquidity in the winery sector&quot;,&quot;author&quot;:[{&quot;family&quot;:&quot;Arimany-Serrat&quot;,&quot;given&quot;:&quot;Núria&quot;,&quot;parse-names&quot;:false,&quot;dropping-particle&quot;:&quot;&quot;,&quot;non-dropping-particle&quot;:&quot;&quot;},{&quot;family&quot;:&quot;Àngels Farreras-Noguer&quot;,&quot;given&quot;:&quot;M&quot;,&quot;parse-names&quot;:false,&quot;dropping-particle&quot;:&quot;&quot;,&quot;non-dropping-particle&quot;:&quot;&quot;},{&quot;family&quot;:&quot;Coenders&quot;,&quot;given&quot;:&quot;Germà&quot;,&quot;parse-names&quot;:false,&quot;dropping-particle&quot;:&quot;&quot;,&quot;non-dropping-particle&quot;:&quot;&quot;}],&quot;accessed&quot;:{&quot;date-parts&quot;:[[2024,12,22]]},&quot;DOI&quot;:&quot;10.5267/j.ac.2021.10.002&quot;,&quot;URL&quot;:&quot;www.GrowingScience.com/ac/ac.html&quot;,&quot;issued&quot;:{&quot;date-parts&quot;:[[2021]]},&quot;container-title-short&quot;:&quot;&quot;},&quot;isTemporary&quot;:false}]},{&quot;citationID&quot;:&quot;MENDELEY_CITATION_85cf3da1-58ff-4768-8796-1cf43bdd56e8&quot;,&quot;properties&quot;:{&quot;noteIndex&quot;:0},&quot;isEdited&quot;:false,&quot;manualOverride&quot;:{&quot;isManuallyOverridden&quot;:false,&quot;citeprocText&quot;:&quot;[20]&quot;,&quot;manualOverrideText&quot;:&quot;&quot;},&quot;citationTag&quot;:&quot;MENDELEY_CITATION_v3_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&quot;,&quot;citationItems&quot;:[{&quot;id&quot;:&quot;d3df7f56-6ddc-3d11-aa85-c77bac605af2&quot;,&quot;itemData&quot;:{&quot;type&quot;:&quot;article-journal&quot;,&quot;id&quot;:&quot;d3df7f56-6ddc-3d11-aa85-c77bac605af2&quot;,&quot;title&quot;:&quot;A compositional analysis of systemic risk in European financial institutions&quot;,&quot;author&quot;:[{&quot;family&quot;:&quot;Fiori&quot;,&quot;given&quot;:&quot;Anna Maria&quot;,&quot;parse-names&quot;:false,&quot;dropping-particle&quot;:&quot;&quot;,&quot;non-dropping-particle&quot;:&quot;&quot;},{&quot;family&quot;:&quot;Porro&quot;,&quot;given&quot;:&quot;Francesco&quot;,&quot;parse-names&quot;:false,&quot;dropping-particle&quot;:&quot;&quot;,&quot;non-dropping-particle&quot;:&quot;&quot;}],&quot;container-title&quot;:&quot;Annals of Finance&quot;,&quot;accessed&quot;:{&quot;date-parts&quot;:[[2024,12,22]]},&quot;DOI&quot;:&quot;10.1007/S10436-023-00427-0/FIGURES/11&quot;,&quot;ISSN&quot;:&quot;16142454&quot;,&quot;URL&quot;:&quot;https://link.springer.com/article/10.1007/s10436-023-00427-0&quot;,&quot;issued&quot;:{&quot;date-parts&quot;:[[2023,9,1]]},&quot;page&quot;:&quot;325-354&quot;,&quot;abstract&quot;:&quot;Systemic risk is a complex and multifaceted phenomenon that needs to be addressed from different perspectives. In this work we propose a Compositional Data (CoDa) approach to analyze the distribution of relative contributions to systemic risk associated with major European countries during the period 2008–2021. We represent systemic risk measures corresponding to those countries as percentage shares, or parts, of a compositional dataset and we perform a multivariate statistical analysis using specific CoDa procedures. The proposed approach sheds new light on some variability patterns and cross-country relationships that appear to be linked to the composition of systemic risk parts in the system.&quot;,&quot;publisher&quot;:&quot;Springer Science and Business Media Deutschland GmbH&quot;,&quot;issue&quot;:&quot;3&quot;,&quot;volume&quot;:&quot;19&quot;,&quot;container-title-short&quot;:&quot;&quot;},&quot;isTemporary&quot;:false}]},{&quot;citationID&quot;:&quot;MENDELEY_CITATION_850880d5-b3a9-4fca-b4d7-75dacca3b41b&quot;,&quot;properties&quot;:{&quot;noteIndex&quot;:0},&quot;isEdited&quot;:false,&quot;manualOverride&quot;:{&quot;isManuallyOverridden&quot;:false,&quot;citeprocText&quot;:&quot;[21]&quot;,&quot;manualOverrideText&quot;:&quot;&quot;},&quot;citationTag&quot;:&quot;MENDELEY_CITATION_v3_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&quot;,&quot;citationItems&quot;:[{&quot;id&quot;:&quot;e332035d-a147-348d-a824-2fb6a40e5dee&quot;,&quot;itemData&quot;:{&quot;type&quot;:&quot;webpage&quot;,&quot;id&quot;:&quot;e332035d-a147-348d-a824-2fb6a40e5dee&quot;,&quot;title&quot;:&quot;FDI attraction in 2024&quot;,&quot;author&quot;:[{&quot;family&quot;:&quot;Ministry of Planning and Investment (MPI)&quot;,&quot;given&quot;:&quot;&quot;,&quot;parse-names&quot;:false,&quot;dropping-particle&quot;:&quot;&quot;,&quot;non-dropping-particle&quot;:&quot;&quot;}],&quot;container-title&quot;:&quot;https://www.mpi.gov.vn/en/Pages/2025-1-9/FDI-attraction-in-2024hjke3g.aspx&quot;,&quot;issued&quot;:{&quot;date-parts&quot;:[[2025,1,9]]},&quot;container-title-short&quot;:&quot;&quot;},&quot;isTemporary&quot;:false}]},{&quot;citationID&quot;:&quot;MENDELEY_CITATION_3454faa8-0799-4a15-b595-eb70bc2cc24f&quot;,&quot;properties&quot;:{&quot;noteIndex&quot;:0},&quot;isEdited&quot;:false,&quot;manualOverride&quot;:{&quot;isManuallyOverridden&quot;:false,&quot;citeprocText&quot;:&quot;[22, 23]&quot;,&quot;manualOverrideText&quot;:&quot;&quot;},&quot;citationTag&quot;:&quot;MENDELEY_CITATION_v3_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&quot;,&quot;citationItems&quot;:[{&quot;id&quot;:&quot;cde92351-995b-31c1-baec-b00b2c1af6d1&quot;,&quot;itemData&quot;:{&quot;type&quot;:&quot;article-journal&quot;,&quot;id&quot;:&quot;cde92351-995b-31c1-baec-b00b2c1af6d1&quot;,&quot;title&quot;:&quot;Cluster Analysis of Vietnamese, Thai, and Indonesian Firms during the Period 2018-2022: Application of Compositional Data Analysis&quot;,&quot;author&quot;:[{&quot;family&quot;:&quot;Dao&quot;,&quot;given&quot;:&quot;Binh Thi Thanh&quot;,&quot;parse-names&quot;:false,&quot;dropping-particle&quot;:&quot;&quot;,&quot;non-dropping-particle&quot;:&quot;&quot;},{&quot;family&quot;:&quot;Nguyen&quot;,&quot;given&quot;:&quot;Tuan Anh&quot;,&quot;parse-names&quot;:false,&quot;dropping-particle&quot;:&quot;&quot;,&quot;non-dropping-particle&quot;:&quot;&quot;},{&quot;family&quot;:&quot;Le&quot;,&quot;given&quot;:&quot;Binh Thanh&quot;,&quot;parse-names&quot;:false,&quot;dropping-particle&quot;:&quot;&quot;,&quot;non-dropping-particle&quot;:&quot;&quot;},{&quot;family&quot;:&quot;Pham&quot;,&quot;given&quot;:&quot;Hung&quot;,&quot;parse-names&quot;:false,&quot;dropping-particle&quot;:&quot;Van&quot;,&quot;non-dropping-particle&quot;:&quot;&quot;}],&quot;container-title&quot;:&quot;The Journal of Asian Business and Economic Studies&quot;,&quot;accessed&quot;:{&quot;date-parts&quot;:[[2026,1,26]]},&quot;DOI&quot;:&quot;10.24311/JABES/2025.36.3.04&quot;,&quot;ISSN&quot;:&quot;2615-9104&quot;,&quot;URL&quot;:&quot;https://jabes.ueh.edu.vn/Home/SearchArticle?article_Id=82f9f820-ed6a-4721-97f5-3e32fb0dd89d&quot;,&quot;issued&quot;:{&quot;date-parts&quot;:[[2025,3]]},&quot;page&quot;:&quot;61-78&quot;,&quot;abstract&quot;:&quot;The study focuses on using financial indicators to analyze the clustering of businesses, employing a compositional data analysis method. (CoDA). With data taken from the financial reports of 300 large enterprises in Thailand, Indonesia, and Vietnam, the study aims to cluster the enterprises and thereby understand the characteristics of each cluster as well as the movement of enterprises between clusters during the period from 2018 to 2022. The results obtained show no significant difference when using both CLR and ALR methods; the financial indicators are effective in classifying companies, dividing them into three clusters based on business efficiency and financial risk levels. Analysis in the pre- and post-COVID-19 periods also shows signs of recovery in business results through the clustering shifts of some companies. Notably, Vietnamese businesses demonstrate good operational performance and maintain a significant presence in the group with the best performance results and high payment safety.&quot;,&quot;publisher&quot;:&quot;TrÆ°á»ng Äáº¡i há»c Kinh táº¿ ThÃ nh phá»‘ Há»“ ChÃ­ Minh&quot;,&quot;issue&quot;:&quot;3&quot;,&quot;volume&quot;:&quot;36&quot;,&quot;container-title-short&quot;:&quot;&quot;},&quot;isTemporary&quot;:false},{&quot;id&quot;:&quot;03c70897-e173-38e2-862f-8f76750c45b9&quot;,&quot;itemData&quot;:{&quot;type&quot;:&quot;article-journal&quot;,&quot;id&quot;:&quot;03c70897-e173-38e2-862f-8f76750c45b9&quot;,&quot;title&quot;:&quot;An empirical examination of financial performance and distress profiles during COVID-19: the case of fishery and food production firms in Vietnam&quot;,&quot;author&quot;:[{&quot;family&quot;:&quot;Dao&quot;,&quot;given&quot;:&quot;Binh Thi Thanh&quot;,&quot;parse-names&quot;:false,&quot;dropping-particle&quot;:&quot;&quot;,&quot;non-dropping-particle&quot;:&quot;&quot;},{&quot;family&quot;:&quot;Coenders&quot;,&quot;given&quot;:&quot;Germa&quot;,&quot;parse-names&quot;:false,&quot;dropping-particle&quot;:&quot;&quot;,&quot;non-dropping-particle&quot;:&quot;&quot;},{&quot;family&quot;:&quot;Lai&quot;,&quot;given&quot;:&quot;Phuong Hoai&quot;,&quot;parse-names&quot;:false,&quot;dropping-particle&quot;:&quot;&quot;,&quot;non-dropping-particle&quot;:&quot;&quot;},{&quot;family&quot;:&quot;Dam&quot;,&quot;given&quot;:&quot;Trang Thu&quot;,&quot;parse-names&quot;:false,&quot;dropping-particle&quot;:&quot;&quot;,&quot;non-dropping-particle&quot;:&quot;&quot;},{&quot;family&quot;:&quot;Trinh&quot;,&quot;given&quot;:&quot;Huong Thi&quot;,&quot;parse-names&quot;:false,&quot;dropping-particle&quot;:&quot;&quot;,&quot;non-dropping-particle&quot;:&quot;&quot;}],&quot;container-title&quot;:&quot;Journal of Financial Reporting &amp; Accounting&quot;,&quot;accessed&quot;:{&quot;date-parts&quot;:[[2026,1,26]]},&quot;DOI&quot;:&quot;10.1108/JFRA-09-2023-0509&quot;,&quot;ISSN&quot;:&quot;20425856&quot;,&quot;issued&quot;:{&quot;date-parts&quot;:[[2024]]},&quot;abstract&quot;:&quot;Purpose: Financial ratios are often used to classify firms into different clusters of financial performance. This study aims to classify firms using financial ratios with advanced techniques and identify the transition matrix of firms moving clusters during the COVID-19 period. Design/methodology/approach: This study uses compositional data (CoDa) analysis based on existing clustering methods with transformed data by weighted logarithms of financial ratios. The data include 66 listed firms in Vietnam’s food and beverage and fishery sectors over a three-year period from 2019 to 2021, including the COVID-19 period. Findings: These firms can be classified into three clusters of distinctive characteristics, which can serve as benchmarks for solvency and profitability. The results also show the migration from one cluster to another during the COVID-19 pandemic, allowing for the calculation of the transition probability or the transition matrix. Practical implications: The findings indicate three distinct clusters (good, average and below-average firm performance) that can help financial analysts, accountants, investors and other strategic decision-makers in making informed choices. Originality/value: Clustering firms with their financial ratios often suffer from various limitations, such as ratio choices, skewed distributions, outliers and redundancy. This study is motivated by a weighted CoDa approach that addresses these issues. This method can be extended to classify firms in multiple sectors or other emerging markets.&quot;,&quot;publisher&quot;:&quot;Emerald Publishing&quot;,&quot;container-title-short&quot;:&quot;&quot;},&quot;isTemporary&quot;:false}]},{&quot;citationID&quot;:&quot;MENDELEY_CITATION_8aa167f4-4db0-4771-b2ed-2f7262ee9515&quot;,&quot;properties&quot;:{&quot;noteIndex&quot;:0},&quot;isEdited&quot;:false,&quot;manualOverride&quot;:{&quot;isManuallyOverridden&quot;:false,&quot;citeprocText&quot;:&quot;[24]&quot;,&quot;manualOverrideText&quot;:&quot;&quot;},&quot;citationTag&quot;:&quot;MENDELEY_CITATION_v3_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&quot;,&quot;citationItems&quot;:[{&quot;id&quot;:&quot;a3da0e4f-5c5f-3451-9902-adfad73b4da4&quot;,&quot;itemData&quot;:{&quot;type&quot;:&quot;article-journal&quot;,&quot;id&quot;:&quot;a3da0e4f-5c5f-3451-9902-adfad73b4da4&quot;,&quot;title&quot;:&quot;Impact of corporate governance on firm performance and earnings management a study on vietnamese non-financial companies&quot;,&quot;author&quot;:[{&quot;family&quot;:&quot;Dao&quot;,&quot;given&quot;:&quot;Binh Thi Thanh&quot;,&quot;parse-names&quot;:false,&quot;dropping-particle&quot;:&quot;&quot;,&quot;non-dropping-particle&quot;:&quot;&quot;},{&quot;family&quot;:&quot;Ngo&quot;,&quot;given&quot;:&quot;Hoang Anh&quot;,&quot;parse-names&quot;:false,&quot;dropping-particle&quot;:&quot;&quot;,&quot;non-dropping-particle&quot;:&quot;&quot;}],&quot;container-title&quot;:&quot;Asian Economic and Financial Review&quot;,&quot;DOI&quot;:&quot;10.18488/journal.aefr.2020.105.480.501&quot;,&quot;ISSN&quot;:&quot;22226737&quot;,&quot;issued&quot;:{&quot;date-parts&quot;:[[2020]]},&quot;page&quot;:&quot;480-501&quot;,&quot;abstract&quot;:&quot;This paper investigated the impact of corporate governance and earnings management on firm performance, both as separate variables and as a combined one. Company size, supervisory size and auditors have negative and significant influence on firm performance, but earnings management was also found to have a positive influence on firm performance. In addition, the study showed that corporate control variables of were leverage and profitability which have positive influence on earnings management. Other corporate governance determinant factors such as board size, executive size, supervisory size, auditor, and executive in board have insignificant relationships with earnings management. These results were obtained from the panel data of 60 companies for a period of three years from 2014 to 2016.&quot;,&quot;publisher&quot;:&quot;Asian Economic and Social Society&quot;,&quot;issue&quot;:&quot;5&quot;,&quot;volume&quot;:&quot;10&quot;,&quot;container-title-short&quot;:&quot;&quot;},&quot;isTemporary&quot;:false}]},{&quot;citationID&quot;:&quot;MENDELEY_CITATION_5463c66f-d5ba-4738-b77a-d73442ac494b&quot;,&quot;properties&quot;:{&quot;noteIndex&quot;:0},&quot;isEdited&quot;:false,&quot;manualOverride&quot;:{&quot;isManuallyOverridden&quot;:false,&quot;citeprocText&quot;:&quot;[13]&quot;,&quot;manualOverrideText&quot;:&quot;&quot;},&quot;citationTag&quot;:&quot;MENDELEY_CITATION_v3_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&quot;,&quot;citationItems&quot;:[{&quot;id&quot;:&quot;94f516f2-cbec-33af-9b1b-28ab229de17d&quot;,&quot;itemData&quot;:{&quot;type&quot;:&quot;book&quot;,&quot;id&quot;:&quot;94f516f2-cbec-33af-9b1b-28ab229de17d&quot;,&quot;title&quot;:&quot;The Statistical Analysis of Compositional Data&quot;,&quot;author&quot;:[{&quot;family&quot;:&quot;Aitchison&quot;,&quot;given&quot;:&quot;J.&quot;,&quot;parse-names&quot;:false,&quot;dropping-particle&quot;:&quot;&quot;,&quot;non-dropping-particle&quot;:&quot;&quot;}],&quot;issued&quot;:{&quot;date-parts&quot;:[[1986]]},&quot;publisher&quot;:&quot;Chapman and Hall&quot;,&quot;container-title-short&quot;:&quot;&quot;},&quot;isTemporary&quot;:false}]},{&quot;citationID&quot;:&quot;MENDELEY_CITATION_4052a5d7-2c61-465f-9a01-ff951fc79506&quot;,&quot;properties&quot;:{&quot;noteIndex&quot;:0},&quot;isEdited&quot;:false,&quot;manualOverride&quot;:{&quot;isManuallyOverridden&quot;:false,&quot;citeprocText&quot;:&quot;[25]&quot;,&quot;manualOverrideText&quot;:&quot;&quot;},&quot;citationTag&quot;:&quot;MENDELEY_CITATION_v3_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&quot;,&quot;citationItems&quot;:[{&quot;id&quot;:&quot;406d3402-2ebd-3193-a071-68eb475d50a9&quot;,&quot;itemData&quot;:{&quot;type&quot;:&quot;article-journal&quot;,&quot;id&quot;:&quot;406d3402-2ebd-3193-a071-68eb475d50a9&quot;,&quot;title&quot;:&quot;Methodological issues in the use of financial ratios&quot;,&quot;author&quot;:[{&quot;family&quot;:&quot;Lev&quot;,&quot;given&quot;:&quot;Baruch&quot;,&quot;parse-names&quot;:false,&quot;dropping-particle&quot;:&quot;&quot;,&quot;non-dropping-particle&quot;:&quot;&quot;},{&quot;family&quot;:&quot;Sunder&quot;,&quot;given&quot;:&quot;Shyam&quot;,&quot;parse-names&quot;:false,&quot;dropping-particle&quot;:&quot;&quot;,&quot;non-dropping-particle&quot;:&quot;&quot;}],&quot;container-title&quot;:&quot;Journal of Accounting and Economics&quot;,&quot;accessed&quot;:{&quot;date-parts&quot;:[[2024,12,22]]},&quot;DOI&quot;:&quot;10.1016/0165-4101(79)90007-7&quot;,&quot;ISSN&quot;:&quot;0165-4101&quot;,&quot;issued&quot;:{&quot;date-parts&quot;:[[1979,12,1]]},&quot;page&quot;:&quot;187-210&quot;,&quot;abstract&quot;:&quot;It appears that the extensive use of financial ratios by both practitioners and researchers is often motivated by tradition and convenience rather than resulting from theoretical considerations or from a careful statistical analysis. Basic questions, such as: Is the control for firm size, a major objective of the ratio form, called for by the theory examined; what is the structural relationship between the examined variables and size; and what is the optimal way to control for industry-wide factors, are rarely addressed by users of financial ratios. The major purpose of this study is to discuss the conditions under which conventional tools, such as financial ratios and measures of industry central tendency, achieve the intended objectives of analysis (e.g., size control). Various issues related to financial analysis, such as spurious correlation due to a common denominator, the choice of an optimal size variable, and the treatment of outlier observations, are also examined. © 1979.&quot;,&quot;publisher&quot;:&quot;North-Holland&quot;,&quot;issue&quot;:&quot;3&quot;,&quot;volume&quot;:&quot;1&quot;,&quot;container-title-short&quot;:&quot;&quot;},&quot;isTemporary&quot;:false}]},{&quot;citationID&quot;:&quot;MENDELEY_CITATION_79c748f0-9aa0-44ee-9d2b-d895ebcb856a&quot;,&quot;properties&quot;:{&quot;noteIndex&quot;:0},&quot;isEdited&quot;:false,&quot;manualOverride&quot;:{&quot;isManuallyOverridden&quot;:false,&quot;citeprocText&quot;:&quot;[18]&quot;,&quot;manualOverrideText&quot;:&quot;&quot;},&quot;citationTag&quot;:&quot;MENDELEY_CITATION_v3_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&quot;,&quot;citationItems&quot;:[{&quot;id&quot;:&quot;f7e77dda-828b-3687-b211-ad27b1e35a16&quot;,&quot;itemData&quot;:{&quot;type&quot;:&quot;article-journal&quot;,&quot;id&quot;:&quot;f7e77dda-828b-3687-b211-ad27b1e35a16&quot;,&quot;title&quot;:&quot;Corporate social responsibility and financial profile of Spanish private hospitals&quot;,&quot;author&quot;:[{&quot;family&quot;:&quot;Creixans-Tenas&quot;,&quot;given&quot;:&quot;J.&quot;,&quot;parse-names&quot;:false,&quot;dropping-particle&quot;:&quot;&quot;,&quot;non-dropping-particle&quot;:&quot;&quot;},{&quot;family&quot;:&quot;Coenders&quot;,&quot;given&quot;:&quot;G.&quot;,&quot;parse-names&quot;:false,&quot;dropping-particle&quot;:&quot;&quot;,&quot;non-dropping-particle&quot;:&quot;&quot;},{&quot;family&quot;:&quot;Arimany-Serrat&quot;,&quot;given&quot;:&quot;N.&quot;,&quot;parse-names&quot;:false,&quot;dropping-particle&quot;:&quot;&quot;,&quot;non-dropping-particle&quot;:&quot;&quot;}],&quot;container-title&quot;:&quot;Heliyon&quot;,&quot;accessed&quot;:{&quot;date-parts&quot;:[[2024,12,22]]},&quot;DOI&quot;:&quot;10.1016/J.HELIYON.2019.E02623/ASSET/55B19D87-CC28-4BF9-8C92-496F8576C8D1/MAIN.ASSETS/GR2.JPG&quot;,&quot;ISSN&quot;:&quot;24058440&quot;,&quot;URL&quot;:&quot;http://www.cell.com/article/S2405844019362838/fulltext&quot;,&quot;issued&quot;:{&quot;date-parts&quot;:[[2019,10,1]]},&quot;page&quot;:&quot;e02623&quot;,&quot;abstract&quot;:&quot;Financial ratios; Compositional data analysis (CoDa); Private hospitals; Partial-least-squares structural equation models (PLS-SEM); Corporate social responsibility; Economics; Business.&quot;,&quot;publisher&quot;:&quot;Elsevier Ltd&quot;,&quot;issue&quot;:&quot;10&quot;,&quot;volume&quot;:&quot;5&quot;,&quot;container-title-short&quot;:&quot;Heliyon&quot;},&quot;isTemporary&quot;:false}]},{&quot;citationID&quot;:&quot;MENDELEY_CITATION_7a77ef7e-2646-4a61-9aef-454dc0dd61c5&quot;,&quot;properties&quot;:{&quot;noteIndex&quot;:0},&quot;isEdited&quot;:false,&quot;manualOverride&quot;:{&quot;isManuallyOverridden&quot;:false,&quot;citeprocText&quot;:&quot;[14, 18, 19, 26]&quot;,&quot;manualOverrideText&quot;:&quot;&quot;},&quot;citationTag&quot;:&quot;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&quot;,&quot;citationItems&quot;:[{&quot;id&quot;:&quot;15d49145-21e8-30db-a97c-96fec5878344&quot;,&quot;itemData&quot;:{&quot;type&quot;:&quot;article-journal&quot;,&quot;id&quot;:&quot;15d49145-21e8-30db-a97c-96fec5878344&quot;,&quot;title&quot;:&quot;New developments in financial statement analysis. Liquidity in the winery sector&quot;,&quot;author&quot;:[{&quot;family&quot;:&quot;Arimany-Serrat&quot;,&quot;given&quot;:&quot;Núria&quot;,&quot;parse-names&quot;:false,&quot;dropping-particle&quot;:&quot;&quot;,&quot;non-dropping-particle&quot;:&quot;&quot;},{&quot;family&quot;:&quot;Àngels Farreras-Noguer&quot;,&quot;given&quot;:&quot;M&quot;,&quot;parse-names&quot;:false,&quot;dropping-particle&quot;:&quot;&quot;,&quot;non-dropping-particle&quot;:&quot;&quot;},{&quot;family&quot;:&quot;Coenders&quot;,&quot;given&quot;:&quot;Germà&quot;,&quot;parse-names&quot;:false,&quot;dropping-particle&quot;:&quot;&quot;,&quot;non-dropping-particle&quot;:&quot;&quot;}],&quot;accessed&quot;:{&quot;date-parts&quot;:[[2024,12,22]]},&quot;DOI&quot;:&quot;10.5267/j.ac.2021.10.002&quot;,&quot;URL&quot;:&quot;www.GrowingScience.com/ac/ac.html&quot;,&quot;issued&quot;:{&quot;date-parts&quot;:[[2021]]},&quot;container-title-short&quot;:&quot;&quot;},&quot;isTemporary&quot;:false},{&quot;id&quot;:&quot;219330f8-2bfa-35fc-ae4b-260876f05861&quot;,&quot;itemData&quot;:{&quot;type&quot;:&quot;article-journal&quot;,&quot;id&quot;:&quot;219330f8-2bfa-35fc-ae4b-260876f05861&quot;,&quot;title&quot;:&quot;Accounting statement analysis at industry level. A gentle introduction to the compositional approach&quot;,&quot;author&quot;:[{&quot;family&quot;:&quot;Coenders&quot;,&quot;given&quot;:&quot;Germà&quot;,&quot;parse-names&quot;:false,&quot;dropping-particle&quot;:&quot;&quot;,&quot;non-dropping-particle&quot;:&quot;&quot;},{&quot;family&quot;:&quot;Serrat&quot;,&quot;given&quot;:&quot;Núria Arimany&quot;,&quot;parse-names&quot;:false,&quot;dropping-particle&quot;:&quot;&quot;,&quot;non-dropping-particle&quot;:&quot;&quot;}],&quot;accessed&quot;:{&quot;date-parts&quot;:[[2024,12,22]]},&quot;URL&quot;:&quot;https://arxiv.org/abs/2305.16842v5&quot;,&quot;issued&quot;:{&quot;date-parts&quot;:[[2023,5,26]]},&quot;abstract&quot;:&quot;Compositional data are contemporarily defined as positive vectors, the ratios among whose elements are of interest to the researcher. Financial statement analysis by means of accounting ratios a.k.a. financial ratios fulfils this definition to the letter. Compositional data analysis solves the major problems in statistical analysis of standard financial ratios at industry level, such as skewness, non-normality, non-linearity, outliers, and dependence of the results on the choice of which accounting figure goes to the numerator and to the denominator of the ratio. Despite this, compositional applications to financial statement analysis are still rare. In this article, we present some transformations within compositional data analysis that are particularly useful for financial statement analysis. We show how to compute industry or sub-industry means of standard financial ratios from a compositional perspective by means of geometric means. We show how to visualise firms in an industry with a compositional principal-component-analysis biplot; how to classify them into homogeneous financial performance profiles with compositional cluster analysis; and how to introduce financial ratios as variables in a statistical model, for instance to relate financial performance and firm characteristics with compositional regression models. We show an application to the accounting statements of Spanish wineries using the decomposition of return on equity by means of DuPont analysis, and a step-by-step tutorial to the compositional freeware CoDaPack.&quot;,&quot;container-title-short&quot;:&quot;&quot;},&quot;isTemporary&quot;:false},{&quot;id&quot;:&quot;35c06033-e455-3119-a5c0-2b608cb4f83e&quot;,&quot;itemData&quot;:{&quot;type&quot;:&quot;article-journal&quot;,&quot;id&quot;:&quot;35c06033-e455-3119-a5c0-2b608cb4f83e&quot;,&quot;title&quot;:&quot;Compositional Classification of Financial Statement Profiles: The Weighted Case&quot;,&quot;author&quot;:[{&quot;family&quot;:&quot;Jofre-Campuzano&quot;,&quot;given&quot;:&quot;Pol&quot;,&quot;parse-names&quot;:false,&quot;dropping-particle&quot;:&quot;&quot;,&quot;non-dropping-particle&quot;:&quot;&quot;},{&quot;family&quot;:&quot;Coenders&quot;,&quot;given&quot;:&quot;Germà&quot;,&quot;parse-names&quot;:false,&quot;dropping-particle&quot;:&quot;&quot;,&quot;non-dropping-particle&quot;:&quot;&quot;}],&quot;container-title&quot;:&quot;Journal of Risk and Financial Management 2022, Vol. 15, Page 546&quot;,&quot;accessed&quot;:{&quot;date-parts&quot;:[[2024,12,22]]},&quot;DOI&quot;:&quot;10.3390/JRFM15120546&quot;,&quot;ISSN&quot;:&quot;1911-8074&quot;,&quot;URL&quot;:&quot;https://www.mdpi.com/1911-8074/15/12/546/htm&quot;,&quot;issued&quot;:{&quot;date-parts&quot;:[[2022,11,22]]},&quot;page&quot;:&quot;546&quot;,&quot;abstract&quot;:&quot;This article classifies petrol retail companies in Spain based on their financial ratios using the compositional data analysis (CoDA) methodology. This methodology solves the most common distributional problems encountered in the statistical analysis of financial ratios. The main purpose of this article is to show that with the CoDA methodology, accounting figures presenting low values can have a disproportional influence on classification. This problem can be attenuated by applying weighted CoDA, which is a novelty in the financial statement analysis field. The suggested weight of each accounting figure is proportional to its arithmetic mean. The results of Ward clustering show that after weighting, the contributions of the accounting figures to the total variance and to the clustering solution are more balanced, and the clusters are more interpretable. Four distinct financial profiles are identified and related to non-financial variables. Only one of the profiles represents companies in financial distress, with low turnover, low return on assets, high indebtedness, and low liquidity. Further developments include alternative weighting schemes.&quot;,&quot;publisher&quot;:&quot;Multidisciplinary Digital Publishing Institute&quot;,&quot;issue&quot;:&quot;12&quot;,&quot;volume&quot;:&quot;15&quot;,&quot;container-title-short&quot;:&quot;&quot;},&quot;isTemporary&quot;:false},{&quot;id&quot;:&quot;f7e77dda-828b-3687-b211-ad27b1e35a16&quot;,&quot;itemData&quot;:{&quot;type&quot;:&quot;article-journal&quot;,&quot;id&quot;:&quot;f7e77dda-828b-3687-b211-ad27b1e35a16&quot;,&quot;title&quot;:&quot;Corporate social responsibility and financial profile of Spanish private hospitals&quot;,&quot;author&quot;:[{&quot;family&quot;:&quot;Creixans-Tenas&quot;,&quot;given&quot;:&quot;J.&quot;,&quot;parse-names&quot;:false,&quot;dropping-particle&quot;:&quot;&quot;,&quot;non-dropping-particle&quot;:&quot;&quot;},{&quot;family&quot;:&quot;Coenders&quot;,&quot;given&quot;:&quot;G.&quot;,&quot;parse-names&quot;:false,&quot;dropping-particle&quot;:&quot;&quot;,&quot;non-dropping-particle&quot;:&quot;&quot;},{&quot;family&quot;:&quot;Arimany-Serrat&quot;,&quot;given&quot;:&quot;N.&quot;,&quot;parse-names&quot;:false,&quot;dropping-particle&quot;:&quot;&quot;,&quot;non-dropping-particle&quot;:&quot;&quot;}],&quot;container-title&quot;:&quot;Heliyon&quot;,&quot;accessed&quot;:{&quot;date-parts&quot;:[[2024,12,22]]},&quot;DOI&quot;:&quot;10.1016/J.HELIYON.2019.E02623/ASSET/55B19D87-CC28-4BF9-8C92-496F8576C8D1/MAIN.ASSETS/GR2.JPG&quot;,&quot;ISSN&quot;:&quot;24058440&quot;,&quot;URL&quot;:&quot;http://www.cell.com/article/S2405844019362838/fulltext&quot;,&quot;issued&quot;:{&quot;date-parts&quot;:[[2019,10,1]]},&quot;page&quot;:&quot;e02623&quot;,&quot;abstract&quot;:&quot;Financial ratios; Compositional data analysis (CoDa); Private hospitals; Partial-least-squares structural equation models (PLS-SEM); Corporate social responsibility; Economics; Business.&quot;,&quot;publisher&quot;:&quot;Elsevier Ltd&quot;,&quot;issue&quot;:&quot;10&quot;,&quot;volume&quot;:&quot;5&quot;,&quot;container-title-short&quot;:&quot;Heliyon&quot;},&quot;isTemporary&quot;:false}]},{&quot;citationID&quot;:&quot;MENDELEY_CITATION_f5f62be8-81d6-4f30-bb95-7f7510a28e74&quot;,&quot;properties&quot;:{&quot;noteIndex&quot;:0},&quot;isEdited&quot;:false,&quot;manualOverride&quot;:{&quot;isManuallyOverridden&quot;:false,&quot;citeprocText&quot;:&quot;[14, 22, 24]&quot;,&quot;manualOverrideText&quot;:&quot;&quot;},&quot;citationTag&quot;:&quot;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&quot;,&quot;citationItems&quot;:[{&quot;id&quot;:&quot;35c06033-e455-3119-a5c0-2b608cb4f83e&quot;,&quot;itemData&quot;:{&quot;type&quot;:&quot;article-journal&quot;,&quot;id&quot;:&quot;35c06033-e455-3119-a5c0-2b608cb4f83e&quot;,&quot;title&quot;:&quot;Compositional Classification of Financial Statement Profiles: The Weighted Case&quot;,&quot;author&quot;:[{&quot;family&quot;:&quot;Jofre-Campuzano&quot;,&quot;given&quot;:&quot;Pol&quot;,&quot;parse-names&quot;:false,&quot;dropping-particle&quot;:&quot;&quot;,&quot;non-dropping-particle&quot;:&quot;&quot;},{&quot;family&quot;:&quot;Coenders&quot;,&quot;given&quot;:&quot;Germà&quot;,&quot;parse-names&quot;:false,&quot;dropping-particle&quot;:&quot;&quot;,&quot;non-dropping-particle&quot;:&quot;&quot;}],&quot;container-title&quot;:&quot;Journal of Risk and Financial Management 2022, Vol. 15, Page 546&quot;,&quot;accessed&quot;:{&quot;date-parts&quot;:[[2024,12,22]]},&quot;DOI&quot;:&quot;10.3390/JRFM15120546&quot;,&quot;ISSN&quot;:&quot;1911-8074&quot;,&quot;URL&quot;:&quot;https://www.mdpi.com/1911-8074/15/12/546/htm&quot;,&quot;issued&quot;:{&quot;date-parts&quot;:[[2022,11,22]]},&quot;page&quot;:&quot;546&quot;,&quot;abstract&quot;:&quot;This article classifies petrol retail companies in Spain based on their financial ratios using the compositional data analysis (CoDA) methodology. This methodology solves the most common distributional problems encountered in the statistical analysis of financial ratios. The main purpose of this article is to show that with the CoDA methodology, accounting figures presenting low values can have a disproportional influence on classification. This problem can be attenuated by applying weighted CoDA, which is a novelty in the financial statement analysis field. The suggested weight of each accounting figure is proportional to its arithmetic mean. The results of Ward clustering show that after weighting, the contributions of the accounting figures to the total variance and to the clustering solution are more balanced, and the clusters are more interpretable. Four distinct financial profiles are identified and related to non-financial variables. Only one of the profiles represents companies in financial distress, with low turnover, low return on assets, high indebtedness, and low liquidity. Further developments include alternative weighting schemes.&quot;,&quot;publisher&quot;:&quot;Multidisciplinary Digital Publishing Institute&quot;,&quot;issue&quot;:&quot;12&quot;,&quot;volume&quot;:&quot;15&quot;,&quot;container-title-short&quot;:&quot;&quot;},&quot;isTemporary&quot;:false},{&quot;id&quot;:&quot;a3da0e4f-5c5f-3451-9902-adfad73b4da4&quot;,&quot;itemData&quot;:{&quot;type&quot;:&quot;article-journal&quot;,&quot;id&quot;:&quot;a3da0e4f-5c5f-3451-9902-adfad73b4da4&quot;,&quot;title&quot;:&quot;Impact of corporate governance on firm performance and earnings management a study on vietnamese non-financial companies&quot;,&quot;author&quot;:[{&quot;family&quot;:&quot;Dao&quot;,&quot;given&quot;:&quot;Binh Thi Thanh&quot;,&quot;parse-names&quot;:false,&quot;dropping-particle&quot;:&quot;&quot;,&quot;non-dropping-particle&quot;:&quot;&quot;},{&quot;family&quot;:&quot;Ngo&quot;,&quot;given&quot;:&quot;Hoang Anh&quot;,&quot;parse-names&quot;:false,&quot;dropping-particle&quot;:&quot;&quot;,&quot;non-dropping-particle&quot;:&quot;&quot;}],&quot;container-title&quot;:&quot;Asian Economic and Financial Review&quot;,&quot;DOI&quot;:&quot;10.18488/journal.aefr.2020.105.480.501&quot;,&quot;ISSN&quot;:&quot;22226737&quot;,&quot;issued&quot;:{&quot;date-parts&quot;:[[2020]]},&quot;page&quot;:&quot;480-501&quot;,&quot;abstract&quot;:&quot;This paper investigated the impact of corporate governance and earnings management on firm performance, both as separate variables and as a combined one. Company size, supervisory size and auditors have negative and significant influence on firm performance, but earnings management was also found to have a positive influence on firm performance. In addition, the study showed that corporate control variables of were leverage and profitability which have positive influence on earnings management. Other corporate governance determinant factors such as board size, executive size, supervisory size, auditor, and executive in board have insignificant relationships with earnings management. These results were obtained from the panel data of 60 companies for a period of three years from 2014 to 2016.&quot;,&quot;publisher&quot;:&quot;Asian Economic and Social Society&quot;,&quot;issue&quot;:&quot;5&quot;,&quot;volume&quot;:&quot;10&quot;,&quot;container-title-short&quot;:&quot;&quot;},&quot;isTemporary&quot;:false},{&quot;id&quot;:&quot;cde92351-995b-31c1-baec-b00b2c1af6d1&quot;,&quot;itemData&quot;:{&quot;type&quot;:&quot;article-journal&quot;,&quot;id&quot;:&quot;cde92351-995b-31c1-baec-b00b2c1af6d1&quot;,&quot;title&quot;:&quot;Cluster Analysis of Vietnamese, Thai, and Indonesian Firms during the Period 2018-2022: Application of Compositional Data Analysis&quot;,&quot;author&quot;:[{&quot;family&quot;:&quot;Dao&quot;,&quot;given&quot;:&quot;Binh Thi Thanh&quot;,&quot;parse-names&quot;:false,&quot;dropping-particle&quot;:&quot;&quot;,&quot;non-dropping-particle&quot;:&quot;&quot;},{&quot;family&quot;:&quot;Nguyen&quot;,&quot;given&quot;:&quot;Tuan Anh&quot;,&quot;parse-names&quot;:false,&quot;dropping-particle&quot;:&quot;&quot;,&quot;non-dropping-particle&quot;:&quot;&quot;},{&quot;family&quot;:&quot;Le&quot;,&quot;given&quot;:&quot;Binh Thanh&quot;,&quot;parse-names&quot;:false,&quot;dropping-particle&quot;:&quot;&quot;,&quot;non-dropping-particle&quot;:&quot;&quot;},{&quot;family&quot;:&quot;Pham&quot;,&quot;given&quot;:&quot;Hung&quot;,&quot;parse-names&quot;:false,&quot;dropping-particle&quot;:&quot;Van&quot;,&quot;non-dropping-particle&quot;:&quot;&quot;}],&quot;container-title&quot;:&quot;The Journal of Asian Business and Economic Studies&quot;,&quot;accessed&quot;:{&quot;date-parts&quot;:[[2026,1,26]]},&quot;DOI&quot;:&quot;10.24311/JABES/2025.36.3.04&quot;,&quot;ISSN&quot;:&quot;2615-9104&quot;,&quot;URL&quot;:&quot;https://jabes.ueh.edu.vn/Home/SearchArticle?article_Id=82f9f820-ed6a-4721-97f5-3e32fb0dd89d&quot;,&quot;issued&quot;:{&quot;date-parts&quot;:[[2025,3]]},&quot;page&quot;:&quot;61-78&quot;,&quot;abstract&quot;:&quot;The study focuses on using financial indicators to analyze the clustering of businesses, employing a compositional data analysis method. (CoDA). With data taken from the financial reports of 300 large enterprises in Thailand, Indonesia, and Vietnam, the study aims to cluster the enterprises and thereby understand the characteristics of each cluster as well as the movement of enterprises between clusters during the period from 2018 to 2022. The results obtained show no significant difference when using both CLR and ALR methods; the financial indicators are effective in classifying companies, dividing them into three clusters based on business efficiency and financial risk levels. Analysis in the pre- and post-COVID-19 periods also shows signs of recovery in business results through the clustering shifts of some companies. Notably, Vietnamese businesses demonstrate good operational performance and maintain a significant presence in the group with the best performance results and high payment safety.&quot;,&quot;publisher&quot;:&quot;TrÆ°á»ng Äáº¡i há»c Kinh táº¿ ThÃ nh phá»‘ Há»“ ChÃ­ Minh&quot;,&quot;issue&quot;:&quot;3&quot;,&quot;volume&quot;:&quot;36&quot;,&quot;container-title-short&quot;:&quot;&quot;},&quot;isTemporary&quot;:false}]},{&quot;citationID&quot;:&quot;MENDELEY_CITATION_34af7c81-4c96-4505-b063-645afd6831ba&quot;,&quot;properties&quot;:{&quot;noteIndex&quot;:0},&quot;isEdited&quot;:false,&quot;manualOverride&quot;:{&quot;isManuallyOverridden&quot;:false,&quot;citeprocText&quot;:&quot;[13]&quot;,&quot;manualOverrideText&quot;:&quot;&quot;},&quot;citationTag&quot;:&quot;MENDELEY_CITATION_v3_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&quot;,&quot;citationItems&quot;:[{&quot;id&quot;:&quot;94f516f2-cbec-33af-9b1b-28ab229de17d&quot;,&quot;itemData&quot;:{&quot;type&quot;:&quot;book&quot;,&quot;id&quot;:&quot;94f516f2-cbec-33af-9b1b-28ab229de17d&quot;,&quot;title&quot;:&quot;The Statistical Analysis of Compositional Data&quot;,&quot;author&quot;:[{&quot;family&quot;:&quot;Aitchison&quot;,&quot;given&quot;:&quot;J.&quot;,&quot;parse-names&quot;:false,&quot;dropping-particle&quot;:&quot;&quot;,&quot;non-dropping-particle&quot;:&quot;&quot;}],&quot;issued&quot;:{&quot;date-parts&quot;:[[1986]]},&quot;publisher&quot;:&quot;Chapman and Hall&quot;,&quot;container-title-short&quot;:&quot;&quot;},&quot;isTemporary&quot;:false}]},{&quot;citationID&quot;:&quot;MENDELEY_CITATION_40a038fc-0b2e-4e08-8d70-56b1971fc10c&quot;,&quot;properties&quot;:{&quot;noteIndex&quot;:0},&quot;isEdited&quot;:false,&quot;manualOverride&quot;:{&quot;isManuallyOverridden&quot;:false,&quot;citeprocText&quot;:&quot;[27]&quot;,&quot;manualOverrideText&quot;:&quot;&quot;},&quot;citationTag&quot;:&quot;MENDELEY_CITATION_v3_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&quot;,&quot;citationItems&quot;:[{&quot;id&quot;:&quot;b3d009c2-d5ad-3008-af6d-4bba1dfa81d9&quot;,&quot;itemData&quot;:{&quot;type&quot;:&quot;article-journal&quot;,&quot;id&quot;:&quot;b3d009c2-d5ad-3008-af6d-4bba1dfa81d9&quot;,&quot;title&quot;:&quot;Principal component analysis of compositional data&quot;,&quot;author&quot;:[{&quot;family&quot;:&quot;Aitchison&quot;,&quot;given&quot;:&quot;J&quot;,&quot;parse-names&quot;:false,&quot;dropping-particle&quot;:&quot;&quot;,&quot;non-dropping-particle&quot;:&quot;&quot;}],&quot;container-title&quot;:&quot;Biometrika&quot;,&quot;container-title-short&quot;:&quot;Biometrika&quot;,&quot;DOI&quot;:&quot;10.1093/biomet/70.1.57&quot;,&quot;ISSN&quot;:&quot;0006-3444&quot;,&quot;URL&quot;:&quot;https://doi.org/10.1093/biomet/70.1.57&quot;,&quot;issued&quot;:{&quot;date-parts&quot;:[[1983,4,1]]},&quot;page&quot;:&quot;57-65&quot;,&quot;abstract&quot;:&quot;Compositional data, consisting of vectors of proportions, have proved difficult to handle statistically because of the awkward constraint that the components of each vector must sum to unity. Moreover such data sets frequently display marked curvature so that linear techniques such as standard principal component analysis are likely to prove inadequate. From a critical reexamination of previous approaches we evolve, through adaptation of recently introduced transformation techniques for compositional data analysis, a log linear contrast form of principal component analysis and illustrate its advantages in applications.&quot;,&quot;issue&quot;:&quot;1&quot;,&quot;volume&quot;:&quot;70&quot;},&quot;isTemporary&quot;:false}]},{&quot;citationID&quot;:&quot;MENDELEY_CITATION_dbbf8bca-e475-4689-82d4-2e4d7e14af8d&quot;,&quot;properties&quot;:{&quot;noteIndex&quot;:0},&quot;isEdited&quot;:false,&quot;manualOverride&quot;:{&quot;isManuallyOverridden&quot;:false,&quot;citeprocText&quot;:&quot;[20, 28, 29]&quot;,&quot;manualOverrideText&quot;:&quot;&quot;},&quot;citationTag&quot;:&quot;MENDELEY_CITATION_v3_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&quot;,&quot;citationItems&quot;:[{&quot;id&quot;:&quot;d3df7f56-6ddc-3d11-aa85-c77bac605af2&quot;,&quot;itemData&quot;:{&quot;type&quot;:&quot;article-journal&quot;,&quot;id&quot;:&quot;d3df7f56-6ddc-3d11-aa85-c77bac605af2&quot;,&quot;title&quot;:&quot;A compositional analysis of systemic risk in European financial institutions&quot;,&quot;author&quot;:[{&quot;family&quot;:&quot;Fiori&quot;,&quot;given&quot;:&quot;Anna Maria&quot;,&quot;parse-names&quot;:false,&quot;dropping-particle&quot;:&quot;&quot;,&quot;non-dropping-particle&quot;:&quot;&quot;},{&quot;family&quot;:&quot;Porro&quot;,&quot;given&quot;:&quot;Francesco&quot;,&quot;parse-names&quot;:false,&quot;dropping-particle&quot;:&quot;&quot;,&quot;non-dropping-particle&quot;:&quot;&quot;}],&quot;container-title&quot;:&quot;Annals of Finance&quot;,&quot;accessed&quot;:{&quot;date-parts&quot;:[[2024,12,22]]},&quot;DOI&quot;:&quot;10.1007/S10436-023-00427-0/FIGURES/11&quot;,&quot;ISSN&quot;:&quot;16142454&quot;,&quot;URL&quot;:&quot;https://link.springer.com/article/10.1007/s10436-023-00427-0&quot;,&quot;issued&quot;:{&quot;date-parts&quot;:[[2023,9,1]]},&quot;page&quot;:&quot;325-354&quot;,&quot;abstract&quot;:&quot;Systemic risk is a complex and multifaceted phenomenon that needs to be addressed from different perspectives. In this work we propose a Compositional Data (CoDa) approach to analyze the distribution of relative contributions to systemic risk associated with major European countries during the period 2008–2021. We represent systemic risk measures corresponding to those countries as percentage shares, or parts, of a compositional dataset and we perform a multivariate statistical analysis using specific CoDa procedures. The proposed approach sheds new light on some variability patterns and cross-country relationships that appear to be linked to the composition of systemic risk parts in the system.&quot;,&quot;publisher&quot;:&quot;Springer Science and Business Media Deutschland GmbH&quot;,&quot;issue&quot;:&quot;3&quot;,&quot;volume&quot;:&quot;19&quot;,&quot;container-title-short&quot;:&quot;&quot;},&quot;isTemporary&quot;:false},{&quot;id&quot;:&quot;929b8a95-ca12-3d44-8004-4e2c6c11fec9&quot;,&quot;itemData&quot;:{&quot;type&quot;:&quot;article-journal&quot;,&quot;id&quot;:&quot;929b8a95-ca12-3d44-8004-4e2c6c11fec9&quot;,&quot;title&quot;:&quot;Compositional DuPont Analysis. A Visual Tool for Strategic Financial Performance Assessment&quot;,&quot;author&quot;:[{&quot;family&quot;:&quot;Saus-Sala&quot;,&quot;given&quot;:&quot;Elisabet&quot;,&quot;parse-names&quot;:false,&quot;dropping-particle&quot;:&quot;&quot;,&quot;non-dropping-particle&quot;:&quot;&quot;},{&quot;family&quot;:&quot;Farreras-Noguer&quot;,&quot;given&quot;:&quot;Àngels&quot;,&quot;parse-names&quot;:false,&quot;dropping-particle&quot;:&quot;&quot;,&quot;non-dropping-particle&quot;:&quot;&quot;},{&quot;family&quot;:&quot;Arimany-Serrat&quot;,&quot;given&quot;:&quot;Núria&quot;,&quot;parse-names&quot;:false,&quot;dropping-particle&quot;:&quot;&quot;,&quot;non-dropping-particle&quot;:&quot;&quot;},{&quot;family&quot;:&quot;Coenders&quot;,&quot;given&quot;:&quot;Germà&quot;,&quot;parse-names&quot;:false,&quot;dropping-particle&quot;:&quot;&quot;,&quot;non-dropping-particle&quot;:&quot;&quot;}],&quot;container-title&quot;:&quot;Advances in Compositional Data Analysis: Festschrift in Honour of Vera Pawlowsky-Glahn&quot;,&quot;accessed&quot;:{&quot;date-parts&quot;:[[2024,12,22]]},&quot;DOI&quot;:&quot;10.1007/978-3-030-71175-7_10&quot;,&quot;ISBN&quot;:&quot;978-3-030-71175-7&quot;,&quot;URL&quot;:&quot;https://link.springer.com/chapter/10.1007/978-3-030-71175-7_10&quot;,&quot;issued&quot;:{&quot;date-parts&quot;:[[2021,6,1]]},&quot;page&quot;:&quot;189-206&quot;,&quot;abstract&quot;:&quot;DuPont analysis is a classical tool for assessing the determinants of financial performance of firms. It is based on financial ratios comparing revenues with costs (the so-called margin ratio), revenues with assets (turnover ratio), and debt with assets (leverage...&quot;,&quot;publisher&quot;:&quot;Springer, Cham&quot;,&quot;container-title-short&quot;:&quot;&quot;},&quot;isTemporary&quot;:false},{&quot;id&quot;:&quot;4b237c02-4467-37ea-905f-fef674e008b5&quot;,&quot;itemData&quot;:{&quot;type&quot;:&quot;article-journal&quot;,&quot;id&quot;:&quot;4b237c02-4467-37ea-905f-fef674e008b5&quot;,&quot;title&quot;:&quot;Principal component analysis of financial statements. A compositional approach&quot;,&quot;author&quot;:[{&quot;family&quot;:&quot;Miquel&quot;,&quot;given&quot;:&quot;Carreras Simó&quot;,&quot;parse-names&quot;:false,&quot;dropping-particle&quot;:&quot;&quot;,&quot;non-dropping-particle&quot;:&quot;&quot;},{&quot;family&quot;:&quot;Germà&quot;,&quot;given&quot;:&quot;Coenders&quot;,&quot;parse-names&quot;:false,&quot;dropping-particle&quot;:&quot;&quot;,&quot;non-dropping-particle&quot;:&quot;&quot;}],&quot;container-title&quot;:&quot;Revista de Metodos Cuantitativos para la Economia y la Empresa&quot;,&quot;accessed&quot;:{&quot;date-parts&quot;:[[2024,12,22]]},&quot;DOI&quot;:&quot;10.46661/REVMETODOSCUANTECONEMPRESA.3580&quot;,&quot;ISSN&quot;:&quot;1886516X&quot;,&quot;issued&quot;:{&quot;date-parts&quot;:[[2020]]},&quot;page&quot;:&quot;18-37&quot;,&quot;abstract&quot;:&quot;Financial ratios are often used in principal component analysis and related techniques for the purposes of data reduction and visualization. Besides the dependence of results on ratio choice, ratios themselves pose a number of problems when subjected to a principal component analysis, such as skewed distributions. In this work, we put forward an alternative method drawn from compositional data analysis (CoDa), a standard statistical toolbox for use when data convey information about relative magnitudes, as financial ratios do. The method, referred to as the CoDa biplot, does not rely on any particular choice of financial ratio but allows researchers to visually order firms along the pairwise financial ratios for any two accounts. Non-financial magnitudes and time evolution can be added to the visualization as desired. We show an example of its application to the top chains in the Spanish grocery retail sector and show how the technique can be used to depict strategic management differences in financial structure or performance, and their evolution over time.&quot;,&quot;publisher&quot;:&quot;Universidad Pablo de Olavide&quot;,&quot;volume&quot;:&quot;29&quot;,&quot;container-title-short&quot;:&quot;&quot;},&quot;isTemporary&quot;:false}]},{&quot;citationID&quot;:&quot;MENDELEY_CITATION_c0d562a7-5384-4ac6-b4c0-a1d9a89c5b83&quot;,&quot;properties&quot;:{&quot;noteIndex&quot;:0},&quot;isEdited&quot;:false,&quot;manualOverride&quot;:{&quot;isManuallyOverridden&quot;:false,&quot;citeprocText&quot;:&quot;[14, 30–33]&quot;,&quot;manualOverrideText&quot;:&quot;&quot;},&quot;citationTag&quot;:&quot;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&quot;,&quot;citationItems&quot;:[{&quot;id&quot;:&quot;a0608490-0337-303f-a742-91f694e97b89&quot;,&quot;itemData&quot;:{&quot;type&quot;:&quot;article-journal&quot;,&quot;id&quot;:&quot;a0608490-0337-303f-a742-91f694e97b89&quot;,&quot;title&quot;:&quot;Changing the Reference Measure in the Simplex and its Weighting Effects&quot;,&quot;author&quot;:[{&quot;family&quot;:&quot;Egozcue&quot;,&quot;given&quot;:&quot;Juan José&quot;,&quot;parse-names&quot;:false,&quot;dropping-particle&quot;:&quot;&quot;,&quot;non-dropping-particle&quot;:&quot;&quot;},{&quot;family&quot;:&quot;Pawlowsky-Glahn&quot;,&quot;given&quot;:&quot;Vera&quot;,&quot;parse-names&quot;:false,&quot;dropping-particle&quot;:&quot;&quot;,&quot;non-dropping-particle&quot;:&quot;&quot;}],&quot;container-title&quot;:&quot;Austrian Journal of Statistics&quot;,&quot;accessed&quot;:{&quot;date-parts&quot;:[[2024,12,22]]},&quot;DOI&quot;:&quot;10.17713/AJS.V45I4.126&quot;,&quot;ISSN&quot;:&quot;1026-597X&quot;,&quot;URL&quot;:&quot;https://www.ajs.or.at/index.php/ajs/article/view/vol45-4-2&quot;,&quot;issued&quot;:{&quot;date-parts&quot;:[[2016,7,28]]},&quot;page&quot;:&quot;25-44&quot;,&quot;abstract&quot;:&quot;Standard analysis of compositional data under the assumption that the Aitchison geometry holds assumes a uniform distribution as reference measure of the space. Weighting of parts can be done changing the reference measure. The changes that appear in the algebraic-geometric structure of the simplex are analysed, as a step towards understanding the implications for elementary statistics of random compositions. Some of the standard tools in exploratory analysis of compositional data analysis, such as center, variation matrix and biplots are studied in some detail, although further research is still needed. The main conclusion is that down-weighting some parts is approaching the geometry of the corresponding subcomposition, thus preserving a kind of coherence between standard and down-weighted analyses.&quot;,&quot;publisher&quot;:&quot;Austrian Statistical Society&quot;,&quot;issue&quot;:&quot;4&quot;,&quot;volume&quot;:&quot;45&quot;,&quot;container-title-short&quot;:&quot;&quot;},&quot;isTemporary&quot;:false},{&quot;id&quot;:&quot;f4a354d3-07ed-3845-b61c-0de03ebd6796&quot;,&quot;itemData&quot;:{&quot;type&quot;:&quot;book&quot;,&quot;id&quot;:&quot;f4a354d3-07ed-3845-b61c-0de03ebd6796&quot;,&quot;title&quot;:&quot;Compositional Data Analysis in Practice&quot;,&quot;author&quot;:[{&quot;family&quot;:&quot;Greenacre&quot;,&quot;given&quot;:&quot;Michael&quot;,&quot;parse-names&quot;:false,&quot;dropping-particle&quot;:&quot;&quot;,&quot;non-dropping-particle&quot;:&quot;&quot;}],&quot;container-title&quot;:&quot;Compositional Data Analysis in Practice&quot;,&quot;accessed&quot;:{&quot;date-parts&quot;:[[2024,12,22]]},&quot;DOI&quot;:&quot;10.1201/9780429455537&quot;,&quot;ISBN&quot;:&quot;9780429455537&quot;,&quot;URL&quot;:&quot;https://www.taylorfrancis.com/books/mono/10.1201/9780429455537/compositional-data-analysis-practice-michael-greenacre&quot;,&quot;issued&quot;:{&quot;date-parts&quot;:[[2018,7,17]]},&quot;publisher-place&quot;:&quot;New York&quot;,&quot;number-of-pages&quot;:&quot;1-120&quot;,&quot;abstract&quot;:&quot;Compositional data are quantitative descriptions of the parts of some whole, conveying exclusively relative information. Examples are found in various fields, including geology, medicine, chemistry, agriculture, economics, social science, etc. This concise book presents a very applied introduction to compositional data analysis, focussing on the use of R for analysis. It includes lots of real examples, code snippets, and colour figures, to illustrate the methods.&quot;,&quot;edition&quot;:&quot;1st &quot;,&quot;publisher&quot;:&quot;Chapman and Hall/CRC&quot;,&quot;container-title-short&quot;:&quot;&quot;},&quot;isTemporary&quot;:false},{&quot;id&quot;:&quot;1b2c49b7-8d17-3d1e-81d9-7a28f0b9c777&quot;,&quot;itemData&quot;:{&quot;type&quot;:&quot;article-journal&quot;,&quot;id&quot;:&quot;1b2c49b7-8d17-3d1e-81d9-7a28f0b9c777&quot;,&quot;title&quot;:&quot;Distributional equivalence and subcompositional coherence in the analysis of compositional data, contingency tables and ratio-scale measurements&quot;,&quot;author&quot;:[{&quot;family&quot;:&quot;Greenacre&quot;,&quot;given&quot;:&quot;Michael&quot;,&quot;parse-names&quot;:false,&quot;dropping-particle&quot;:&quot;&quot;,&quot;non-dropping-particle&quot;:&quot;&quot;},{&quot;family&quot;:&quot;Lewi&quot;,&quot;given&quot;:&quot;Paul&quot;,&quot;parse-names&quot;:false,&quot;dropping-particle&quot;:&quot;&quot;,&quot;non-dropping-particle&quot;:&quot;&quot;}],&quot;container-title&quot;:&quot;Journal of Classification&quot;,&quot;container-title-short&quot;:&quot;J. Classif.&quot;,&quot;accessed&quot;:{&quot;date-parts&quot;:[[2024,12,22]]},&quot;DOI&quot;:&quot;10.1007/S00357-009-9027-Y/METRICS&quot;,&quot;ISSN&quot;:&quot;01764268&quot;,&quot;URL&quot;:&quot;https://link.springer.com/article/10.1007/s00357-009-9027-y&quot;,&quot;issued&quot;:{&quot;date-parts&quot;:[[2009,4,5]]},&quot;page&quot;:&quot;29-54&quot;,&quot;abstract&quot;:&quot;We consider two fundamental properties in the analysis of two-way tables of positive data: the principle of distributional equivalence, one of the cornerstones of correspondence analysis of contingency tables, and the principle of subcompositional coherence, which forms the basis of compositional data analysis. For an analysis to be subcompositionally coherent, it suffices to analyze the ratios of the data values. A common approach to dimension reduction in compositional data analysis is to perform principal component analysis on the logarithms of ratios, but this method does not obey the principle of distributional equivalence. We show that by introducing weights for the rows and columns, the method achieves this desirable property and can be applied to a wider class of methods. This weighted log-ratio analysis is theoretically equivalent to \&quot;spectral mapping\&quot;, a multivariate method developed almost 30 years ago for displaying ratio-scale data from biological activity spectra. The close relationship between spectral mapping and correspondence analysis is also explained, as well as their connection with association modeling. The weighted log-ratio methodology is used here to visualize frequency data in linguistics and chemical compositional data in archeology. © 2009 Springer Science+Business Media, LLC.&quot;,&quot;publisher&quot;:&quot;Springer&quot;,&quot;issue&quot;:&quot;1&quot;,&quot;volume&quot;:&quot;26&quot;},&quot;isTemporary&quot;:false},{&quot;id&quot;:&quot;02fd3092-367a-3b0a-8a2a-327c3a71a6f2&quot;,&quot;itemData&quot;:{&quot;type&quot;:&quot;article-journal&quot;,&quot;id&quot;:&quot;02fd3092-367a-3b0a-8a2a-327c3a71a6f2&quot;,&quot;title&quot;:&quot;Weighting of Parts in Compositional Data Analysis: Advances and Applications&quot;,&quot;author&quot;:[{&quot;family&quot;:&quot;Hron&quot;,&quot;given&quot;:&quot;Karel&quot;,&quot;parse-names&quot;:false,&quot;dropping-particle&quot;:&quot;&quot;,&quot;non-dropping-particle&quot;:&quot;&quot;},{&quot;family&quot;:&quot;Menafoglio&quot;,&quot;given&quot;:&quot;Alessandra&quot;,&quot;parse-names&quot;:false,&quot;dropping-particle&quot;:&quot;&quot;,&quot;non-dropping-particle&quot;:&quot;&quot;},{&quot;family&quot;:&quot;Palarea-Albaladejo&quot;,&quot;given&quot;:&quot;Javier&quot;,&quot;parse-names&quot;:false,&quot;dropping-particle&quot;:&quot;&quot;,&quot;non-dropping-particle&quot;:&quot;&quot;},{&quot;family&quot;:&quot;Filzmoser&quot;,&quot;given&quot;:&quot;Peter&quot;,&quot;parse-names&quot;:false,&quot;dropping-particle&quot;:&quot;&quot;,&quot;non-dropping-particle&quot;:&quot;&quot;},{&quot;family&quot;:&quot;Talská&quot;,&quot;given&quot;:&quot;Renáta&quot;,&quot;parse-names&quot;:false,&quot;dropping-particle&quot;:&quot;&quot;,&quot;non-dropping-particle&quot;:&quot;&quot;},{&quot;family&quot;:&quot;Egozcue&quot;,&quot;given&quot;:&quot;Juan José&quot;,&quot;parse-names&quot;:false,&quot;dropping-particle&quot;:&quot;&quot;,&quot;non-dropping-particle&quot;:&quot;&quot;}],&quot;container-title&quot;:&quot;Mathematical Geosciences&quot;,&quot;container-title-short&quot;:&quot;Math. Geosci.&quot;,&quot;accessed&quot;:{&quot;date-parts&quot;:[[2024,12,22]]},&quot;DOI&quot;:&quot;10.1007/S11004-021-09952-Y/METRICS&quot;,&quot;ISSN&quot;:&quot;18748953&quot;,&quot;URL&quot;:&quot;https://link.springer.com/article/10.1007/s11004-021-09952-y&quot;,&quot;issued&quot;:{&quot;date-parts&quot;:[[2022,1,1]]},&quot;page&quot;:&quot;71-93&quot;,&quot;abstract&quot;:&quot;It often occurs in practice that it is sensible to give different weights to the variables involved in a multivariate data analysis—and the same holds for compositional data as multivariate observations carrying relative information. It can be convenient to apply weights to better accommodate differences in the quality of the measurements, the occurrence of zeros and missing values, or generally to highlight some specific features of compositional parts. The characterisation of compositional data as elements of a Bayes space, which is as a natural generalisation of the ordinary Aitchison geometry, enables the definition of a formal framework to implement weighting schemes for the parts of a composition. This is formally achieved by considering a reference measure in the Bayes space alternative to the common uniform measure via the well-known chain rule. Unweighted centred logratio (clr) coefficients and isometric logratio (ilr) coordinates then allow us to express compositions in real space equipped with (unweighted) Euclidean geometry. The resulting elements of real space generated by the clr coefficients or ilr coordinates are invariant to the scale of the original compositions, but the actual scale of the weights matters. In this work, these formal developments are presented and used to introduce a general approach for weighting parts in compositional data analysis. The practical use is demonstrated on simulated and real-world data sets in the context of the earth sciences.&quot;,&quot;publisher&quot;:&quot;Springer Science and Business Media Deutschland GmbH&quot;,&quot;issue&quot;:&quot;1&quot;,&quot;volume&quot;:&quot;54&quot;},&quot;isTemporary&quot;:false},{&quot;id&quot;:&quot;35c06033-e455-3119-a5c0-2b608cb4f83e&quot;,&quot;itemData&quot;:{&quot;type&quot;:&quot;article-journal&quot;,&quot;id&quot;:&quot;35c06033-e455-3119-a5c0-2b608cb4f83e&quot;,&quot;title&quot;:&quot;Compositional Classification of Financial Statement Profiles: The Weighted Case&quot;,&quot;author&quot;:[{&quot;family&quot;:&quot;Jofre-Campuzano&quot;,&quot;given&quot;:&quot;Pol&quot;,&quot;parse-names&quot;:false,&quot;dropping-particle&quot;:&quot;&quot;,&quot;non-dropping-particle&quot;:&quot;&quot;},{&quot;family&quot;:&quot;Coenders&quot;,&quot;given&quot;:&quot;Germà&quot;,&quot;parse-names&quot;:false,&quot;dropping-particle&quot;:&quot;&quot;,&quot;non-dropping-particle&quot;:&quot;&quot;}],&quot;container-title&quot;:&quot;Journal of Risk and Financial Management 2022, Vol. 15, Page 546&quot;,&quot;accessed&quot;:{&quot;date-parts&quot;:[[2024,12,22]]},&quot;DOI&quot;:&quot;10.3390/JRFM15120546&quot;,&quot;ISSN&quot;:&quot;1911-8074&quot;,&quot;URL&quot;:&quot;https://www.mdpi.com/1911-8074/15/12/546/htm&quot;,&quot;issued&quot;:{&quot;date-parts&quot;:[[2022,11,22]]},&quot;page&quot;:&quot;546&quot;,&quot;abstract&quot;:&quot;This article classifies petrol retail companies in Spain based on their financial ratios using the compositional data analysis (CoDA) methodology. This methodology solves the most common distributional problems encountered in the statistical analysis of financial ratios. The main purpose of this article is to show that with the CoDA methodology, accounting figures presenting low values can have a disproportional influence on classification. This problem can be attenuated by applying weighted CoDA, which is a novelty in the financial statement analysis field. The suggested weight of each accounting figure is proportional to its arithmetic mean. The results of Ward clustering show that after weighting, the contributions of the accounting figures to the total variance and to the clustering solution are more balanced, and the clusters are more interpretable. Four distinct financial profiles are identified and related to non-financial variables. Only one of the profiles represents companies in financial distress, with low turnover, low return on assets, high indebtedness, and low liquidity. Further developments include alternative weighting schemes.&quot;,&quot;publisher&quot;:&quot;Multidisciplinary Digital Publishing Institute&quot;,&quot;issue&quot;:&quot;12&quot;,&quot;volume&quot;:&quot;15&quot;,&quot;container-title-short&quot;:&quot;&quot;},&quot;isTemporary&quot;:false}]},{&quot;citationID&quot;:&quot;MENDELEY_CITATION_c4d197aa-d811-408c-9204-c279d72a3889&quot;,&quot;properties&quot;:{&quot;noteIndex&quot;:0},&quot;isEdited&quot;:false,&quot;manualOverride&quot;:{&quot;isManuallyOverridden&quot;:false,&quot;citeprocText&quot;:&quot;[14, 15, 34]&quot;,&quot;manualOverrideText&quot;:&quot;&quot;},&quot;citationTag&quot;:&quot;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&quot;,&quot;citationItems&quot;:[{&quot;id&quot;:&quot;609784d9-c0fa-3dd0-8464-4b6edc3a2a91&quot;,&quot;itemData&quot;:{&quot;type&quot;:&quot;article-journal&quot;,&quot;id&quot;:&quot;609784d9-c0fa-3dd0-8464-4b6edc3a2a91&quot;,&quot;title&quot;:&quot;Financial performance and distress profiles. From classification according to financial ratios to compositional classification&quot;,&quot;author&quot;:[{&quot;family&quot;:&quot;Linares-Mustarós&quot;,&quot;given&quot;:&quot;Salvador&quot;,&quot;parse-names&quot;:false,&quot;dropping-particle&quot;:&quot;&quot;,&quot;non-dropping-particle&quot;:&quot;&quot;},{&quot;family&quot;:&quot;Coenders&quot;,&quot;given&quot;:&quot;Germà&quot;,&quot;parse-names&quot;:false,&quot;dropping-particle&quot;:&quot;&quot;,&quot;non-dropping-particle&quot;:&quot;&quot;},{&quot;family&quot;:&quot;Vives-Mestres&quot;,&quot;given&quot;:&quot;Marina&quot;,&quot;parse-names&quot;:false,&quot;dropping-particle&quot;:&quot;&quot;,&quot;non-dropping-particle&quot;:&quot;&quot;}],&quot;container-title&quot;:&quot;Advances in Accounting&quot;,&quot;accessed&quot;:{&quot;date-parts&quot;:[[2024,12,22]]},&quot;DOI&quot;:&quot;10.1016/J.ADIAC.2017.10.003&quot;,&quot;ISSN&quot;:&quot;0882-6110&quot;,&quot;issued&quot;:{&quot;date-parts&quot;:[[2018,3,1]]},&quot;page&quot;:&quot;1-10&quot;,&quot;abstract&quot;:&quot;Financial ratios are often used in cluster analysis to classify firms according to the similarity of their financial structures. Besides the dependence of distances on ratio choice, ratios themselves have a number of serious problems when subject to a cluster analysis such as skewed distributions, outliers, and redundancy. Some solutions to overcome those drawbacks have been proposed in the literature, but have proven problematic. In this work we put forward an alternative financial statement analysis method for classifying firms which aims at solving the above mentioned shortcomings and draws from compositional data analysis. The method is based on the use of existent clustering methods with standard software on transformed data by means of the so-called isometric logarithms of ratios. The method saves analysis steps (outlier treatment and data reduction) while defining distances among firms in a meaningful way which does not depend on the particular ratios selected. We show examples of application to two different industries and compare the results with those obtained from standard ratios.&quot;,&quot;publisher&quot;:&quot;Elsevier&quot;,&quot;volume&quot;:&quot;40&quot;,&quot;container-title-short&quot;:&quot;&quot;},&quot;isTemporary&quot;:false},{&quot;id&quot;:&quot;e33e8499-8183-3eb5-bfb3-ceadcf195e04&quot;,&quot;itemData&quot;:{&quot;type&quot;:&quot;article-journal&quot;,&quot;id&quot;:&quot;e33e8499-8183-3eb5-bfb3-ceadcf195e04&quot;,&quot;title&quot;:&quot;The fall of Spanish cajas: Lessons of ownership and governance for banks&quot;,&quot;author&quot;:[{&quot;family&quot;:&quot;Martín-Oliver&quot;,&quot;given&quot;:&quot;Alfredo&quot;,&quot;parse-names&quot;:false,&quot;dropping-particle&quot;:&quot;&quot;,&quot;non-dropping-particle&quot;:&quot;&quot;},{&quot;family&quot;:&quot;Ruano&quot;,&quot;given&quot;:&quot;Sonia&quot;,&quot;parse-names&quot;:false,&quot;dropping-particle&quot;:&quot;&quot;,&quot;non-dropping-particle&quot;:&quot;&quot;},{&quot;family&quot;:&quot;Salas-Fumás&quot;,&quot;given&quot;:&quot;Vicente&quot;,&quot;parse-names&quot;:false,&quot;dropping-particle&quot;:&quot;&quot;,&quot;non-dropping-particle&quot;:&quot;&quot;}],&quot;container-title&quot;:&quot;Journal of Financial Stability&quot;,&quot;accessed&quot;:{&quot;date-parts&quot;:[[2024,12,22]]},&quot;DOI&quot;:&quot;10.1016/J.JFS.2017.02.004&quot;,&quot;ISSN&quot;:&quot;1572-3089&quot;,&quot;issued&quot;:{&quot;date-parts&quot;:[[2017,12,1]]},&quot;page&quot;:&quot;244-260&quot;,&quot;abstract&quot;:&quot;Ownership, governance, and institutional diversity among banks are a subject of public and regulatory concern. This paper addresses this issue by using a case study of Spain, where the retail banking market was split evenly between shareholder and stakeholder banks before the crisis. We examine how institutional diversity mattered in the accumulation of risk in the pre-crisis years, in the severity of losses caused by the crisis, and in the resilience to recover from the losses. The method of analysis consists in linking the risk position of the banks in the pre-crisis period and the losses arising during the crisis to the decisions of banks to migrate from business models based on deposit financing to models based on market-debt financing. We find that cajas migrated to more vulnerable business models following the strategy of the shareholder banks, but the losses in the crisis were much higher in the former than in the latter. The paper interprets this result as evidence that what matters the most about the ownership of banks is their resilience in bad times.&quot;,&quot;publisher&quot;:&quot;Elsevier&quot;,&quot;volume&quot;:&quot;33&quot;,&quot;container-title-short&quot;:&quot;&quot;},&quot;isTemporary&quot;:false},{&quot;id&quot;:&quot;35c06033-e455-3119-a5c0-2b608cb4f83e&quot;,&quot;itemData&quot;:{&quot;type&quot;:&quot;article-journal&quot;,&quot;id&quot;:&quot;35c06033-e455-3119-a5c0-2b608cb4f83e&quot;,&quot;title&quot;:&quot;Compositional Classification of Financial Statement Profiles: The Weighted Case&quot;,&quot;author&quot;:[{&quot;family&quot;:&quot;Jofre-Campuzano&quot;,&quot;given&quot;:&quot;Pol&quot;,&quot;parse-names&quot;:false,&quot;dropping-particle&quot;:&quot;&quot;,&quot;non-dropping-particle&quot;:&quot;&quot;},{&quot;family&quot;:&quot;Coenders&quot;,&quot;given&quot;:&quot;Germà&quot;,&quot;parse-names&quot;:false,&quot;dropping-particle&quot;:&quot;&quot;,&quot;non-dropping-particle&quot;:&quot;&quot;}],&quot;container-title&quot;:&quot;Journal of Risk and Financial Management 2022, Vol. 15, Page 546&quot;,&quot;accessed&quot;:{&quot;date-parts&quot;:[[2024,12,22]]},&quot;DOI&quot;:&quot;10.3390/JRFM15120546&quot;,&quot;ISSN&quot;:&quot;1911-8074&quot;,&quot;URL&quot;:&quot;https://www.mdpi.com/1911-8074/15/12/546/htm&quot;,&quot;issued&quot;:{&quot;date-parts&quot;:[[2022,11,22]]},&quot;page&quot;:&quot;546&quot;,&quot;abstract&quot;:&quot;This article classifies petrol retail companies in Spain based on their financial ratios using the compositional data analysis (CoDA) methodology. This methodology solves the most common distributional problems encountered in the statistical analysis of financial ratios. The main purpose of this article is to show that with the CoDA methodology, accounting figures presenting low values can have a disproportional influence on classification. This problem can be attenuated by applying weighted CoDA, which is a novelty in the financial statement analysis field. The suggested weight of each accounting figure is proportional to its arithmetic mean. The results of Ward clustering show that after weighting, the contributions of the accounting figures to the total variance and to the clustering solution are more balanced, and the clusters are more interpretable. Four distinct financial profiles are identified and related to non-financial variables. Only one of the profiles represents companies in financial distress, with low turnover, low return on assets, high indebtedness, and low liquidity. Further developments include alternative weighting schemes.&quot;,&quot;publisher&quot;:&quot;Multidisciplinary Digital Publishing Institute&quot;,&quot;issue&quot;:&quot;12&quot;,&quot;volume&quot;:&quot;15&quot;,&quot;container-title-short&quot;:&quot;&quot;},&quot;isTemporary&quot;:false}]},{&quot;citationID&quot;:&quot;MENDELEY_CITATION_1e36fee8-dbbe-44bc-af37-d713677a0ee0&quot;,&quot;properties&quot;:{&quot;noteIndex&quot;:0},&quot;isEdited&quot;:false,&quot;manualOverride&quot;:{&quot;isManuallyOverridden&quot;:false,&quot;citeprocText&quot;:&quot;[28]&quot;,&quot;manualOverrideText&quot;:&quot;&quot;},&quot;citationTag&quot;:&quot;MENDELEY_CITATION_v3_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&quot;,&quot;citationItems&quot;:[{&quot;id&quot;:&quot;929b8a95-ca12-3d44-8004-4e2c6c11fec9&quot;,&quot;itemData&quot;:{&quot;type&quot;:&quot;article-journal&quot;,&quot;id&quot;:&quot;929b8a95-ca12-3d44-8004-4e2c6c11fec9&quot;,&quot;title&quot;:&quot;Compositional DuPont Analysis. A Visual Tool for Strategic Financial Performance Assessment&quot;,&quot;author&quot;:[{&quot;family&quot;:&quot;Saus-Sala&quot;,&quot;given&quot;:&quot;Elisabet&quot;,&quot;parse-names&quot;:false,&quot;dropping-particle&quot;:&quot;&quot;,&quot;non-dropping-particle&quot;:&quot;&quot;},{&quot;family&quot;:&quot;Farreras-Noguer&quot;,&quot;given&quot;:&quot;Àngels&quot;,&quot;parse-names&quot;:false,&quot;dropping-particle&quot;:&quot;&quot;,&quot;non-dropping-particle&quot;:&quot;&quot;},{&quot;family&quot;:&quot;Arimany-Serrat&quot;,&quot;given&quot;:&quot;Núria&quot;,&quot;parse-names&quot;:false,&quot;dropping-particle&quot;:&quot;&quot;,&quot;non-dropping-particle&quot;:&quot;&quot;},{&quot;family&quot;:&quot;Coenders&quot;,&quot;given&quot;:&quot;Germà&quot;,&quot;parse-names&quot;:false,&quot;dropping-particle&quot;:&quot;&quot;,&quot;non-dropping-particle&quot;:&quot;&quot;}],&quot;container-title&quot;:&quot;Advances in Compositional Data Analysis: Festschrift in Honour of Vera Pawlowsky-Glahn&quot;,&quot;accessed&quot;:{&quot;date-parts&quot;:[[2024,12,22]]},&quot;DOI&quot;:&quot;10.1007/978-3-030-71175-7_10&quot;,&quot;ISBN&quot;:&quot;978-3-030-71175-7&quot;,&quot;URL&quot;:&quot;https://link.springer.com/chapter/10.1007/978-3-030-71175-7_10&quot;,&quot;issued&quot;:{&quot;date-parts&quot;:[[2021,6,1]]},&quot;page&quot;:&quot;189-206&quot;,&quot;abstract&quot;:&quot;DuPont analysis is a classical tool for assessing the determinants of financial performance of firms. It is based on financial ratios comparing revenues with costs (the so-called margin ratio), revenues with assets (turnover ratio), and debt with assets (leverage...&quot;,&quot;publisher&quot;:&quot;Springer, Cham&quot;,&quot;container-title-short&quot;:&quot;&quot;},&quot;isTemporary&quot;:false}]}]"/>
    <we:property name="MENDELEY_CITATIONS_LOCALE_CODE" value="&quot;en-US&quot;"/>
    <we:property name="MENDELEY_CITATIONS_STYLE" value="{&quot;id&quot;:&quot;https://www.zotero.org/styles/springer-basic-brackets&quot;,&quot;title&quot;:&quot;Springer - Basic (numeric, brackets)&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5E17C6-4D6A-4B57-A2DC-FABA2CD02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2959</TotalTime>
  <Pages>5</Pages>
  <Words>841</Words>
  <Characters>4800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Binh Dao Thi Thanh</dc:creator>
  <cp:keywords/>
  <dc:description/>
  <cp:lastModifiedBy>Van-Hung Pham</cp:lastModifiedBy>
  <cp:revision>621</cp:revision>
  <cp:lastPrinted>2026-07-16T01:47:00Z</cp:lastPrinted>
  <dcterms:created xsi:type="dcterms:W3CDTF">2026-02-07T09:16:00Z</dcterms:created>
  <dcterms:modified xsi:type="dcterms:W3CDTF">2026-09-30T09:39:00Z</dcterms:modified>
</cp:coreProperties>
</file>