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96E0A" w14:textId="6B9D1B08" w:rsidR="00FA0FFD" w:rsidRPr="006318F2" w:rsidRDefault="00FA0FFD" w:rsidP="00E22231">
      <w:pPr>
        <w:jc w:val="center"/>
        <w:rPr>
          <w:b/>
          <w:bCs/>
          <w:sz w:val="28"/>
          <w:szCs w:val="28"/>
        </w:rPr>
      </w:pPr>
      <w:r w:rsidRPr="006318F2">
        <w:rPr>
          <w:b/>
          <w:bCs/>
          <w:sz w:val="28"/>
          <w:szCs w:val="28"/>
        </w:rPr>
        <w:t>Supplementary data for “Large language models eroding science understanding</w:t>
      </w:r>
      <w:r w:rsidR="002B0F6E">
        <w:rPr>
          <w:b/>
          <w:bCs/>
          <w:sz w:val="28"/>
          <w:szCs w:val="28"/>
        </w:rPr>
        <w:t xml:space="preserve">: </w:t>
      </w:r>
      <w:r w:rsidR="005C5678">
        <w:rPr>
          <w:b/>
          <w:bCs/>
          <w:sz w:val="28"/>
          <w:szCs w:val="28"/>
        </w:rPr>
        <w:t>an experimental study</w:t>
      </w:r>
      <w:r w:rsidRPr="006318F2">
        <w:rPr>
          <w:b/>
          <w:bCs/>
          <w:sz w:val="28"/>
          <w:szCs w:val="28"/>
        </w:rPr>
        <w:t>”</w:t>
      </w:r>
    </w:p>
    <w:sdt>
      <w:sdtPr>
        <w:rPr>
          <w:rFonts w:asciiTheme="minorHAnsi" w:eastAsiaTheme="minorHAnsi" w:hAnsiTheme="minorHAnsi" w:cstheme="minorBidi"/>
          <w:color w:val="auto"/>
          <w:kern w:val="2"/>
          <w:sz w:val="22"/>
          <w:szCs w:val="22"/>
          <w:lang w:eastAsia="en-US"/>
        </w:rPr>
        <w:id w:val="1643379644"/>
        <w:docPartObj>
          <w:docPartGallery w:val="Table of Contents"/>
          <w:docPartUnique/>
        </w:docPartObj>
      </w:sdtPr>
      <w:sdtEndPr>
        <w:rPr>
          <w:b/>
          <w:bCs/>
        </w:rPr>
      </w:sdtEndPr>
      <w:sdtContent>
        <w:p w14:paraId="701F4F18" w14:textId="77777777" w:rsidR="00FA0FFD" w:rsidRPr="006318F2" w:rsidRDefault="00FA0FFD" w:rsidP="00FA0FFD">
          <w:pPr>
            <w:pStyle w:val="TOCHeading"/>
            <w:rPr>
              <w:b/>
              <w:bCs/>
              <w:color w:val="auto"/>
              <w:sz w:val="24"/>
              <w:szCs w:val="24"/>
            </w:rPr>
          </w:pPr>
          <w:r w:rsidRPr="006318F2">
            <w:rPr>
              <w:color w:val="auto"/>
              <w:sz w:val="24"/>
              <w:szCs w:val="24"/>
            </w:rPr>
            <w:t>Contents</w:t>
          </w:r>
        </w:p>
        <w:p w14:paraId="7C2A4746" w14:textId="77777777" w:rsidR="00FA0FFD" w:rsidRDefault="00FA0FFD" w:rsidP="00FA0FFD">
          <w:pPr>
            <w:pStyle w:val="TOC1"/>
            <w:tabs>
              <w:tab w:val="right" w:leader="dot" w:pos="9016"/>
            </w:tabs>
            <w:rPr>
              <w:rFonts w:eastAsiaTheme="minorEastAsia"/>
              <w:noProof/>
              <w:sz w:val="24"/>
              <w:szCs w:val="24"/>
              <w:lang w:eastAsia="en-GB"/>
            </w:rPr>
          </w:pPr>
          <w:r>
            <w:fldChar w:fldCharType="begin"/>
          </w:r>
          <w:r>
            <w:instrText xml:space="preserve"> TOC \o "1-3" \h \z \u </w:instrText>
          </w:r>
          <w:r>
            <w:fldChar w:fldCharType="separate"/>
          </w:r>
          <w:hyperlink w:anchor="_Toc219386895" w:history="1">
            <w:r w:rsidRPr="008771F4">
              <w:rPr>
                <w:rStyle w:val="Hyperlink"/>
                <w:noProof/>
              </w:rPr>
              <w:t>1.0 Introduction and overview</w:t>
            </w:r>
            <w:r>
              <w:rPr>
                <w:noProof/>
                <w:webHidden/>
              </w:rPr>
              <w:tab/>
            </w:r>
            <w:r>
              <w:rPr>
                <w:noProof/>
                <w:webHidden/>
              </w:rPr>
              <w:fldChar w:fldCharType="begin"/>
            </w:r>
            <w:r>
              <w:rPr>
                <w:noProof/>
                <w:webHidden/>
              </w:rPr>
              <w:instrText xml:space="preserve"> PAGEREF _Toc219386895 \h </w:instrText>
            </w:r>
            <w:r>
              <w:rPr>
                <w:noProof/>
                <w:webHidden/>
              </w:rPr>
            </w:r>
            <w:r>
              <w:rPr>
                <w:noProof/>
                <w:webHidden/>
              </w:rPr>
              <w:fldChar w:fldCharType="separate"/>
            </w:r>
            <w:r>
              <w:rPr>
                <w:noProof/>
                <w:webHidden/>
              </w:rPr>
              <w:t>2</w:t>
            </w:r>
            <w:r>
              <w:rPr>
                <w:noProof/>
                <w:webHidden/>
              </w:rPr>
              <w:fldChar w:fldCharType="end"/>
            </w:r>
          </w:hyperlink>
        </w:p>
        <w:p w14:paraId="7CFD367F" w14:textId="77777777" w:rsidR="00FA0FFD" w:rsidRDefault="00FA0FFD" w:rsidP="00FA0FFD">
          <w:pPr>
            <w:pStyle w:val="TOC1"/>
            <w:tabs>
              <w:tab w:val="right" w:leader="dot" w:pos="9016"/>
            </w:tabs>
            <w:rPr>
              <w:rFonts w:eastAsiaTheme="minorEastAsia"/>
              <w:noProof/>
              <w:sz w:val="24"/>
              <w:szCs w:val="24"/>
              <w:lang w:eastAsia="en-GB"/>
            </w:rPr>
          </w:pPr>
          <w:hyperlink w:anchor="_Toc219386896" w:history="1">
            <w:r w:rsidRPr="008771F4">
              <w:rPr>
                <w:rStyle w:val="Hyperlink"/>
                <w:noProof/>
              </w:rPr>
              <w:t xml:space="preserve">2.0 Supplementary </w:t>
            </w:r>
            <w:r w:rsidRPr="008771F4">
              <w:rPr>
                <w:rStyle w:val="Hyperlink"/>
                <w:bCs/>
                <w:noProof/>
              </w:rPr>
              <w:t>Data</w:t>
            </w:r>
            <w:r w:rsidRPr="008771F4">
              <w:rPr>
                <w:rStyle w:val="Hyperlink"/>
                <w:noProof/>
              </w:rPr>
              <w:t xml:space="preserve"> 1: Fine Structure Constant GPT full responses</w:t>
            </w:r>
            <w:r>
              <w:rPr>
                <w:noProof/>
                <w:webHidden/>
              </w:rPr>
              <w:tab/>
            </w:r>
            <w:r>
              <w:rPr>
                <w:noProof/>
                <w:webHidden/>
              </w:rPr>
              <w:fldChar w:fldCharType="begin"/>
            </w:r>
            <w:r>
              <w:rPr>
                <w:noProof/>
                <w:webHidden/>
              </w:rPr>
              <w:instrText xml:space="preserve"> PAGEREF _Toc219386896 \h </w:instrText>
            </w:r>
            <w:r>
              <w:rPr>
                <w:noProof/>
                <w:webHidden/>
              </w:rPr>
            </w:r>
            <w:r>
              <w:rPr>
                <w:noProof/>
                <w:webHidden/>
              </w:rPr>
              <w:fldChar w:fldCharType="separate"/>
            </w:r>
            <w:r>
              <w:rPr>
                <w:noProof/>
                <w:webHidden/>
              </w:rPr>
              <w:t>2</w:t>
            </w:r>
            <w:r>
              <w:rPr>
                <w:noProof/>
                <w:webHidden/>
              </w:rPr>
              <w:fldChar w:fldCharType="end"/>
            </w:r>
          </w:hyperlink>
        </w:p>
        <w:p w14:paraId="19209FE6" w14:textId="77777777" w:rsidR="00FA0FFD" w:rsidRDefault="00FA0FFD" w:rsidP="00FA0FFD">
          <w:pPr>
            <w:pStyle w:val="TOC1"/>
            <w:tabs>
              <w:tab w:val="right" w:leader="dot" w:pos="9016"/>
            </w:tabs>
            <w:rPr>
              <w:rFonts w:eastAsiaTheme="minorEastAsia"/>
              <w:noProof/>
              <w:sz w:val="24"/>
              <w:szCs w:val="24"/>
              <w:lang w:eastAsia="en-GB"/>
            </w:rPr>
          </w:pPr>
          <w:hyperlink w:anchor="_Toc219386897" w:history="1">
            <w:r w:rsidRPr="008771F4">
              <w:rPr>
                <w:rStyle w:val="Hyperlink"/>
                <w:noProof/>
              </w:rPr>
              <w:t>2.1 Introduction</w:t>
            </w:r>
            <w:r>
              <w:rPr>
                <w:noProof/>
                <w:webHidden/>
              </w:rPr>
              <w:tab/>
            </w:r>
            <w:r>
              <w:rPr>
                <w:noProof/>
                <w:webHidden/>
              </w:rPr>
              <w:fldChar w:fldCharType="begin"/>
            </w:r>
            <w:r>
              <w:rPr>
                <w:noProof/>
                <w:webHidden/>
              </w:rPr>
              <w:instrText xml:space="preserve"> PAGEREF _Toc219386897 \h </w:instrText>
            </w:r>
            <w:r>
              <w:rPr>
                <w:noProof/>
                <w:webHidden/>
              </w:rPr>
            </w:r>
            <w:r>
              <w:rPr>
                <w:noProof/>
                <w:webHidden/>
              </w:rPr>
              <w:fldChar w:fldCharType="separate"/>
            </w:r>
            <w:r>
              <w:rPr>
                <w:noProof/>
                <w:webHidden/>
              </w:rPr>
              <w:t>2</w:t>
            </w:r>
            <w:r>
              <w:rPr>
                <w:noProof/>
                <w:webHidden/>
              </w:rPr>
              <w:fldChar w:fldCharType="end"/>
            </w:r>
          </w:hyperlink>
        </w:p>
        <w:p w14:paraId="13A2F47A" w14:textId="77777777" w:rsidR="00FA0FFD" w:rsidRDefault="00FA0FFD" w:rsidP="00FA0FFD">
          <w:pPr>
            <w:pStyle w:val="TOC1"/>
            <w:tabs>
              <w:tab w:val="right" w:leader="dot" w:pos="9016"/>
            </w:tabs>
            <w:rPr>
              <w:rFonts w:eastAsiaTheme="minorEastAsia"/>
              <w:noProof/>
              <w:sz w:val="24"/>
              <w:szCs w:val="24"/>
              <w:lang w:eastAsia="en-GB"/>
            </w:rPr>
          </w:pPr>
          <w:hyperlink w:anchor="_Toc219386898" w:history="1">
            <w:r w:rsidRPr="008771F4">
              <w:rPr>
                <w:rStyle w:val="Hyperlink"/>
                <w:noProof/>
              </w:rPr>
              <w:t>2.2 Supplementary AI Generation Details</w:t>
            </w:r>
            <w:r>
              <w:rPr>
                <w:noProof/>
                <w:webHidden/>
              </w:rPr>
              <w:tab/>
            </w:r>
            <w:r>
              <w:rPr>
                <w:noProof/>
                <w:webHidden/>
              </w:rPr>
              <w:fldChar w:fldCharType="begin"/>
            </w:r>
            <w:r>
              <w:rPr>
                <w:noProof/>
                <w:webHidden/>
              </w:rPr>
              <w:instrText xml:space="preserve"> PAGEREF _Toc219386898 \h </w:instrText>
            </w:r>
            <w:r>
              <w:rPr>
                <w:noProof/>
                <w:webHidden/>
              </w:rPr>
            </w:r>
            <w:r>
              <w:rPr>
                <w:noProof/>
                <w:webHidden/>
              </w:rPr>
              <w:fldChar w:fldCharType="separate"/>
            </w:r>
            <w:r>
              <w:rPr>
                <w:noProof/>
                <w:webHidden/>
              </w:rPr>
              <w:t>2</w:t>
            </w:r>
            <w:r>
              <w:rPr>
                <w:noProof/>
                <w:webHidden/>
              </w:rPr>
              <w:fldChar w:fldCharType="end"/>
            </w:r>
          </w:hyperlink>
        </w:p>
        <w:p w14:paraId="6D89AF74" w14:textId="77777777" w:rsidR="00FA0FFD" w:rsidRDefault="00FA0FFD" w:rsidP="00FA0FFD">
          <w:pPr>
            <w:pStyle w:val="TOC1"/>
            <w:tabs>
              <w:tab w:val="right" w:leader="dot" w:pos="9016"/>
            </w:tabs>
            <w:rPr>
              <w:rFonts w:eastAsiaTheme="minorEastAsia"/>
              <w:noProof/>
              <w:sz w:val="24"/>
              <w:szCs w:val="24"/>
              <w:lang w:eastAsia="en-GB"/>
            </w:rPr>
          </w:pPr>
          <w:hyperlink w:anchor="_Toc219386899" w:history="1">
            <w:r w:rsidRPr="008771F4">
              <w:rPr>
                <w:rStyle w:val="Hyperlink"/>
                <w:noProof/>
              </w:rPr>
              <w:t>2.3 Statement on “Use of Generative AI in Research”</w:t>
            </w:r>
            <w:r>
              <w:rPr>
                <w:noProof/>
                <w:webHidden/>
              </w:rPr>
              <w:tab/>
            </w:r>
            <w:r>
              <w:rPr>
                <w:noProof/>
                <w:webHidden/>
              </w:rPr>
              <w:fldChar w:fldCharType="begin"/>
            </w:r>
            <w:r>
              <w:rPr>
                <w:noProof/>
                <w:webHidden/>
              </w:rPr>
              <w:instrText xml:space="preserve"> PAGEREF _Toc219386899 \h </w:instrText>
            </w:r>
            <w:r>
              <w:rPr>
                <w:noProof/>
                <w:webHidden/>
              </w:rPr>
            </w:r>
            <w:r>
              <w:rPr>
                <w:noProof/>
                <w:webHidden/>
              </w:rPr>
              <w:fldChar w:fldCharType="separate"/>
            </w:r>
            <w:r>
              <w:rPr>
                <w:noProof/>
                <w:webHidden/>
              </w:rPr>
              <w:t>3</w:t>
            </w:r>
            <w:r>
              <w:rPr>
                <w:noProof/>
                <w:webHidden/>
              </w:rPr>
              <w:fldChar w:fldCharType="end"/>
            </w:r>
          </w:hyperlink>
        </w:p>
        <w:p w14:paraId="561CEBC0" w14:textId="77777777" w:rsidR="00FA0FFD" w:rsidRDefault="00FA0FFD" w:rsidP="00FA0FFD">
          <w:pPr>
            <w:pStyle w:val="TOC1"/>
            <w:tabs>
              <w:tab w:val="right" w:leader="dot" w:pos="9016"/>
            </w:tabs>
            <w:rPr>
              <w:rFonts w:eastAsiaTheme="minorEastAsia"/>
              <w:noProof/>
              <w:sz w:val="24"/>
              <w:szCs w:val="24"/>
              <w:lang w:eastAsia="en-GB"/>
            </w:rPr>
          </w:pPr>
          <w:hyperlink w:anchor="_Toc219386900" w:history="1">
            <w:r w:rsidRPr="008771F4">
              <w:rPr>
                <w:rStyle w:val="Hyperlink"/>
                <w:noProof/>
              </w:rPr>
              <w:t>2.4 Statement on Data availability</w:t>
            </w:r>
            <w:r>
              <w:rPr>
                <w:noProof/>
                <w:webHidden/>
              </w:rPr>
              <w:tab/>
            </w:r>
            <w:r>
              <w:rPr>
                <w:noProof/>
                <w:webHidden/>
              </w:rPr>
              <w:fldChar w:fldCharType="begin"/>
            </w:r>
            <w:r>
              <w:rPr>
                <w:noProof/>
                <w:webHidden/>
              </w:rPr>
              <w:instrText xml:space="preserve"> PAGEREF _Toc219386900 \h </w:instrText>
            </w:r>
            <w:r>
              <w:rPr>
                <w:noProof/>
                <w:webHidden/>
              </w:rPr>
            </w:r>
            <w:r>
              <w:rPr>
                <w:noProof/>
                <w:webHidden/>
              </w:rPr>
              <w:fldChar w:fldCharType="separate"/>
            </w:r>
            <w:r>
              <w:rPr>
                <w:noProof/>
                <w:webHidden/>
              </w:rPr>
              <w:t>3</w:t>
            </w:r>
            <w:r>
              <w:rPr>
                <w:noProof/>
                <w:webHidden/>
              </w:rPr>
              <w:fldChar w:fldCharType="end"/>
            </w:r>
          </w:hyperlink>
        </w:p>
        <w:p w14:paraId="2E8D1345" w14:textId="77777777" w:rsidR="00FA0FFD" w:rsidRDefault="00FA0FFD" w:rsidP="00FA0FFD">
          <w:pPr>
            <w:pStyle w:val="TOC1"/>
            <w:tabs>
              <w:tab w:val="right" w:leader="dot" w:pos="9016"/>
            </w:tabs>
            <w:rPr>
              <w:rFonts w:eastAsiaTheme="minorEastAsia"/>
              <w:noProof/>
              <w:sz w:val="24"/>
              <w:szCs w:val="24"/>
              <w:lang w:eastAsia="en-GB"/>
            </w:rPr>
          </w:pPr>
          <w:hyperlink w:anchor="_Toc219386901" w:history="1">
            <w:r w:rsidRPr="008771F4">
              <w:rPr>
                <w:rStyle w:val="Hyperlink"/>
                <w:noProof/>
              </w:rPr>
              <w:t>3.0 Full Responses on the Fine Structure Constant</w:t>
            </w:r>
            <w:r>
              <w:rPr>
                <w:noProof/>
                <w:webHidden/>
              </w:rPr>
              <w:tab/>
            </w:r>
            <w:r>
              <w:rPr>
                <w:noProof/>
                <w:webHidden/>
              </w:rPr>
              <w:fldChar w:fldCharType="begin"/>
            </w:r>
            <w:r>
              <w:rPr>
                <w:noProof/>
                <w:webHidden/>
              </w:rPr>
              <w:instrText xml:space="preserve"> PAGEREF _Toc219386901 \h </w:instrText>
            </w:r>
            <w:r>
              <w:rPr>
                <w:noProof/>
                <w:webHidden/>
              </w:rPr>
            </w:r>
            <w:r>
              <w:rPr>
                <w:noProof/>
                <w:webHidden/>
              </w:rPr>
              <w:fldChar w:fldCharType="separate"/>
            </w:r>
            <w:r>
              <w:rPr>
                <w:noProof/>
                <w:webHidden/>
              </w:rPr>
              <w:t>3</w:t>
            </w:r>
            <w:r>
              <w:rPr>
                <w:noProof/>
                <w:webHidden/>
              </w:rPr>
              <w:fldChar w:fldCharType="end"/>
            </w:r>
          </w:hyperlink>
        </w:p>
        <w:p w14:paraId="752914D5" w14:textId="77777777" w:rsidR="00FA0FFD" w:rsidRDefault="00FA0FFD" w:rsidP="00FA0FFD">
          <w:pPr>
            <w:pStyle w:val="TOC1"/>
            <w:tabs>
              <w:tab w:val="right" w:leader="dot" w:pos="9016"/>
            </w:tabs>
            <w:rPr>
              <w:rFonts w:eastAsiaTheme="minorEastAsia"/>
              <w:noProof/>
              <w:sz w:val="24"/>
              <w:szCs w:val="24"/>
              <w:lang w:eastAsia="en-GB"/>
            </w:rPr>
          </w:pPr>
          <w:hyperlink w:anchor="_Toc219386902" w:history="1">
            <w:r w:rsidRPr="008771F4">
              <w:rPr>
                <w:rStyle w:val="Hyperlink"/>
                <w:noProof/>
              </w:rPr>
              <w:t>3.1 Question 1: Can the fine structure constant be explained by a deeper law of physics?  Answer:</w:t>
            </w:r>
            <w:r>
              <w:rPr>
                <w:noProof/>
                <w:webHidden/>
              </w:rPr>
              <w:tab/>
            </w:r>
            <w:r>
              <w:rPr>
                <w:noProof/>
                <w:webHidden/>
              </w:rPr>
              <w:fldChar w:fldCharType="begin"/>
            </w:r>
            <w:r>
              <w:rPr>
                <w:noProof/>
                <w:webHidden/>
              </w:rPr>
              <w:instrText xml:space="preserve"> PAGEREF _Toc219386902 \h </w:instrText>
            </w:r>
            <w:r>
              <w:rPr>
                <w:noProof/>
                <w:webHidden/>
              </w:rPr>
            </w:r>
            <w:r>
              <w:rPr>
                <w:noProof/>
                <w:webHidden/>
              </w:rPr>
              <w:fldChar w:fldCharType="separate"/>
            </w:r>
            <w:r>
              <w:rPr>
                <w:noProof/>
                <w:webHidden/>
              </w:rPr>
              <w:t>3</w:t>
            </w:r>
            <w:r>
              <w:rPr>
                <w:noProof/>
                <w:webHidden/>
              </w:rPr>
              <w:fldChar w:fldCharType="end"/>
            </w:r>
          </w:hyperlink>
        </w:p>
        <w:p w14:paraId="44111641" w14:textId="77777777" w:rsidR="00FA0FFD" w:rsidRDefault="00FA0FFD" w:rsidP="00FA0FFD">
          <w:pPr>
            <w:pStyle w:val="TOC1"/>
            <w:tabs>
              <w:tab w:val="right" w:leader="dot" w:pos="9016"/>
            </w:tabs>
            <w:rPr>
              <w:rFonts w:eastAsiaTheme="minorEastAsia"/>
              <w:noProof/>
              <w:sz w:val="24"/>
              <w:szCs w:val="24"/>
              <w:lang w:eastAsia="en-GB"/>
            </w:rPr>
          </w:pPr>
          <w:hyperlink w:anchor="_Toc219386903" w:history="1">
            <w:r w:rsidRPr="008771F4">
              <w:rPr>
                <w:rStyle w:val="Hyperlink"/>
                <w:noProof/>
              </w:rPr>
              <w:t>3.2 Question 2: Can the fine structure constant be represented by a closed mathematical expression?</w:t>
            </w:r>
            <w:r>
              <w:rPr>
                <w:noProof/>
                <w:webHidden/>
              </w:rPr>
              <w:tab/>
            </w:r>
            <w:r>
              <w:rPr>
                <w:noProof/>
                <w:webHidden/>
              </w:rPr>
              <w:fldChar w:fldCharType="begin"/>
            </w:r>
            <w:r>
              <w:rPr>
                <w:noProof/>
                <w:webHidden/>
              </w:rPr>
              <w:instrText xml:space="preserve"> PAGEREF _Toc219386903 \h </w:instrText>
            </w:r>
            <w:r>
              <w:rPr>
                <w:noProof/>
                <w:webHidden/>
              </w:rPr>
            </w:r>
            <w:r>
              <w:rPr>
                <w:noProof/>
                <w:webHidden/>
              </w:rPr>
              <w:fldChar w:fldCharType="separate"/>
            </w:r>
            <w:r>
              <w:rPr>
                <w:noProof/>
                <w:webHidden/>
              </w:rPr>
              <w:t>5</w:t>
            </w:r>
            <w:r>
              <w:rPr>
                <w:noProof/>
                <w:webHidden/>
              </w:rPr>
              <w:fldChar w:fldCharType="end"/>
            </w:r>
          </w:hyperlink>
        </w:p>
        <w:p w14:paraId="5E8FA496" w14:textId="77777777" w:rsidR="00FA0FFD" w:rsidRDefault="00FA0FFD" w:rsidP="00FA0FFD">
          <w:pPr>
            <w:pStyle w:val="TOC1"/>
            <w:tabs>
              <w:tab w:val="right" w:leader="dot" w:pos="9016"/>
            </w:tabs>
            <w:rPr>
              <w:rFonts w:eastAsiaTheme="minorEastAsia"/>
              <w:noProof/>
              <w:sz w:val="24"/>
              <w:szCs w:val="24"/>
              <w:lang w:eastAsia="en-GB"/>
            </w:rPr>
          </w:pPr>
          <w:hyperlink w:anchor="_Toc219386904" w:history="1">
            <w:r w:rsidRPr="008771F4">
              <w:rPr>
                <w:rStyle w:val="Hyperlink"/>
                <w:noProof/>
              </w:rPr>
              <w:t>3.3 Question 3: Can the fine structure constant be expressed by the Madelung constant?</w:t>
            </w:r>
            <w:r>
              <w:rPr>
                <w:noProof/>
                <w:webHidden/>
              </w:rPr>
              <w:tab/>
            </w:r>
            <w:r>
              <w:rPr>
                <w:noProof/>
                <w:webHidden/>
              </w:rPr>
              <w:fldChar w:fldCharType="begin"/>
            </w:r>
            <w:r>
              <w:rPr>
                <w:noProof/>
                <w:webHidden/>
              </w:rPr>
              <w:instrText xml:space="preserve"> PAGEREF _Toc219386904 \h </w:instrText>
            </w:r>
            <w:r>
              <w:rPr>
                <w:noProof/>
                <w:webHidden/>
              </w:rPr>
            </w:r>
            <w:r>
              <w:rPr>
                <w:noProof/>
                <w:webHidden/>
              </w:rPr>
              <w:fldChar w:fldCharType="separate"/>
            </w:r>
            <w:r>
              <w:rPr>
                <w:noProof/>
                <w:webHidden/>
              </w:rPr>
              <w:t>7</w:t>
            </w:r>
            <w:r>
              <w:rPr>
                <w:noProof/>
                <w:webHidden/>
              </w:rPr>
              <w:fldChar w:fldCharType="end"/>
            </w:r>
          </w:hyperlink>
        </w:p>
        <w:p w14:paraId="47A9FAB0" w14:textId="77777777" w:rsidR="00FA0FFD" w:rsidRDefault="00FA0FFD" w:rsidP="00FA0FFD">
          <w:pPr>
            <w:pStyle w:val="TOC1"/>
            <w:tabs>
              <w:tab w:val="right" w:leader="dot" w:pos="9016"/>
            </w:tabs>
            <w:rPr>
              <w:rFonts w:eastAsiaTheme="minorEastAsia"/>
              <w:noProof/>
              <w:sz w:val="24"/>
              <w:szCs w:val="24"/>
              <w:lang w:eastAsia="en-GB"/>
            </w:rPr>
          </w:pPr>
          <w:hyperlink w:anchor="_Toc219386905" w:history="1">
            <w:r w:rsidRPr="008771F4">
              <w:rPr>
                <w:rStyle w:val="Hyperlink"/>
                <w:noProof/>
              </w:rPr>
              <w:t>3.4 Question 4: Can the fine structure constant be derived from optimal packing algorithms?</w:t>
            </w:r>
            <w:r>
              <w:rPr>
                <w:noProof/>
                <w:webHidden/>
              </w:rPr>
              <w:tab/>
            </w:r>
            <w:r>
              <w:rPr>
                <w:noProof/>
                <w:webHidden/>
              </w:rPr>
              <w:fldChar w:fldCharType="begin"/>
            </w:r>
            <w:r>
              <w:rPr>
                <w:noProof/>
                <w:webHidden/>
              </w:rPr>
              <w:instrText xml:space="preserve"> PAGEREF _Toc219386905 \h </w:instrText>
            </w:r>
            <w:r>
              <w:rPr>
                <w:noProof/>
                <w:webHidden/>
              </w:rPr>
            </w:r>
            <w:r>
              <w:rPr>
                <w:noProof/>
                <w:webHidden/>
              </w:rPr>
              <w:fldChar w:fldCharType="separate"/>
            </w:r>
            <w:r>
              <w:rPr>
                <w:noProof/>
                <w:webHidden/>
              </w:rPr>
              <w:t>8</w:t>
            </w:r>
            <w:r>
              <w:rPr>
                <w:noProof/>
                <w:webHidden/>
              </w:rPr>
              <w:fldChar w:fldCharType="end"/>
            </w:r>
          </w:hyperlink>
        </w:p>
        <w:p w14:paraId="5F0316DD" w14:textId="77777777" w:rsidR="00FA0FFD" w:rsidRDefault="00FA0FFD" w:rsidP="00FA0FFD">
          <w:pPr>
            <w:pStyle w:val="TOC1"/>
            <w:tabs>
              <w:tab w:val="right" w:leader="dot" w:pos="9016"/>
            </w:tabs>
            <w:rPr>
              <w:rFonts w:eastAsiaTheme="minorEastAsia"/>
              <w:noProof/>
              <w:sz w:val="24"/>
              <w:szCs w:val="24"/>
              <w:lang w:eastAsia="en-GB"/>
            </w:rPr>
          </w:pPr>
          <w:hyperlink w:anchor="_Toc219386906" w:history="1">
            <w:r w:rsidRPr="008771F4">
              <w:rPr>
                <w:rStyle w:val="Hyperlink"/>
                <w:noProof/>
              </w:rPr>
              <w:t>3.5 Question 5: Is there a relationship between the fine structure constant and the golden ratio? Answer:</w:t>
            </w:r>
            <w:r>
              <w:rPr>
                <w:noProof/>
                <w:webHidden/>
              </w:rPr>
              <w:tab/>
            </w:r>
            <w:r>
              <w:rPr>
                <w:noProof/>
                <w:webHidden/>
              </w:rPr>
              <w:fldChar w:fldCharType="begin"/>
            </w:r>
            <w:r>
              <w:rPr>
                <w:noProof/>
                <w:webHidden/>
              </w:rPr>
              <w:instrText xml:space="preserve"> PAGEREF _Toc219386906 \h </w:instrText>
            </w:r>
            <w:r>
              <w:rPr>
                <w:noProof/>
                <w:webHidden/>
              </w:rPr>
            </w:r>
            <w:r>
              <w:rPr>
                <w:noProof/>
                <w:webHidden/>
              </w:rPr>
              <w:fldChar w:fldCharType="separate"/>
            </w:r>
            <w:r>
              <w:rPr>
                <w:noProof/>
                <w:webHidden/>
              </w:rPr>
              <w:t>10</w:t>
            </w:r>
            <w:r>
              <w:rPr>
                <w:noProof/>
                <w:webHidden/>
              </w:rPr>
              <w:fldChar w:fldCharType="end"/>
            </w:r>
          </w:hyperlink>
        </w:p>
        <w:p w14:paraId="14910FD4" w14:textId="77777777" w:rsidR="00FA0FFD" w:rsidRDefault="00FA0FFD" w:rsidP="00FA0FFD">
          <w:pPr>
            <w:pStyle w:val="TOC1"/>
            <w:tabs>
              <w:tab w:val="right" w:leader="dot" w:pos="9016"/>
            </w:tabs>
            <w:rPr>
              <w:rFonts w:eastAsiaTheme="minorEastAsia"/>
              <w:noProof/>
              <w:sz w:val="24"/>
              <w:szCs w:val="24"/>
              <w:lang w:eastAsia="en-GB"/>
            </w:rPr>
          </w:pPr>
          <w:hyperlink w:anchor="_Toc219386907" w:history="1">
            <w:r w:rsidRPr="008771F4">
              <w:rPr>
                <w:rStyle w:val="Hyperlink"/>
                <w:noProof/>
              </w:rPr>
              <w:t>4.0 Fine Structure Literature Corpus</w:t>
            </w:r>
            <w:r>
              <w:rPr>
                <w:noProof/>
                <w:webHidden/>
              </w:rPr>
              <w:tab/>
            </w:r>
            <w:r>
              <w:rPr>
                <w:noProof/>
                <w:webHidden/>
              </w:rPr>
              <w:fldChar w:fldCharType="begin"/>
            </w:r>
            <w:r>
              <w:rPr>
                <w:noProof/>
                <w:webHidden/>
              </w:rPr>
              <w:instrText xml:space="preserve"> PAGEREF _Toc219386907 \h </w:instrText>
            </w:r>
            <w:r>
              <w:rPr>
                <w:noProof/>
                <w:webHidden/>
              </w:rPr>
            </w:r>
            <w:r>
              <w:rPr>
                <w:noProof/>
                <w:webHidden/>
              </w:rPr>
              <w:fldChar w:fldCharType="separate"/>
            </w:r>
            <w:r>
              <w:rPr>
                <w:noProof/>
                <w:webHidden/>
              </w:rPr>
              <w:t>12</w:t>
            </w:r>
            <w:r>
              <w:rPr>
                <w:noProof/>
                <w:webHidden/>
              </w:rPr>
              <w:fldChar w:fldCharType="end"/>
            </w:r>
          </w:hyperlink>
        </w:p>
        <w:p w14:paraId="1C18EEF1" w14:textId="77777777" w:rsidR="00FA0FFD" w:rsidRDefault="00FA0FFD" w:rsidP="00FA0FFD">
          <w:pPr>
            <w:pStyle w:val="TOC1"/>
            <w:tabs>
              <w:tab w:val="right" w:leader="dot" w:pos="9016"/>
            </w:tabs>
            <w:rPr>
              <w:rFonts w:eastAsiaTheme="minorEastAsia"/>
              <w:noProof/>
              <w:sz w:val="24"/>
              <w:szCs w:val="24"/>
              <w:lang w:eastAsia="en-GB"/>
            </w:rPr>
          </w:pPr>
          <w:hyperlink w:anchor="_Toc219386908" w:history="1">
            <w:r w:rsidRPr="008771F4">
              <w:rPr>
                <w:rStyle w:val="Hyperlink"/>
                <w:noProof/>
              </w:rPr>
              <w:t>4.1 Introduction</w:t>
            </w:r>
            <w:r>
              <w:rPr>
                <w:noProof/>
                <w:webHidden/>
              </w:rPr>
              <w:tab/>
            </w:r>
            <w:r>
              <w:rPr>
                <w:noProof/>
                <w:webHidden/>
              </w:rPr>
              <w:fldChar w:fldCharType="begin"/>
            </w:r>
            <w:r>
              <w:rPr>
                <w:noProof/>
                <w:webHidden/>
              </w:rPr>
              <w:instrText xml:space="preserve"> PAGEREF _Toc219386908 \h </w:instrText>
            </w:r>
            <w:r>
              <w:rPr>
                <w:noProof/>
                <w:webHidden/>
              </w:rPr>
            </w:r>
            <w:r>
              <w:rPr>
                <w:noProof/>
                <w:webHidden/>
              </w:rPr>
              <w:fldChar w:fldCharType="separate"/>
            </w:r>
            <w:r>
              <w:rPr>
                <w:noProof/>
                <w:webHidden/>
              </w:rPr>
              <w:t>12</w:t>
            </w:r>
            <w:r>
              <w:rPr>
                <w:noProof/>
                <w:webHidden/>
              </w:rPr>
              <w:fldChar w:fldCharType="end"/>
            </w:r>
          </w:hyperlink>
        </w:p>
        <w:p w14:paraId="03934C80" w14:textId="77777777" w:rsidR="00FA0FFD" w:rsidRDefault="00FA0FFD" w:rsidP="00FA0FFD">
          <w:pPr>
            <w:pStyle w:val="TOC1"/>
            <w:tabs>
              <w:tab w:val="right" w:leader="dot" w:pos="9016"/>
            </w:tabs>
            <w:rPr>
              <w:rFonts w:eastAsiaTheme="minorEastAsia"/>
              <w:noProof/>
              <w:sz w:val="24"/>
              <w:szCs w:val="24"/>
              <w:lang w:eastAsia="en-GB"/>
            </w:rPr>
          </w:pPr>
          <w:hyperlink w:anchor="_Toc219386909" w:history="1">
            <w:r w:rsidRPr="008771F4">
              <w:rPr>
                <w:rStyle w:val="Hyperlink"/>
                <w:noProof/>
              </w:rPr>
              <w:t>4.2 Fine Structure Constant Corpus</w:t>
            </w:r>
            <w:r>
              <w:rPr>
                <w:noProof/>
                <w:webHidden/>
              </w:rPr>
              <w:tab/>
            </w:r>
            <w:r>
              <w:rPr>
                <w:noProof/>
                <w:webHidden/>
              </w:rPr>
              <w:fldChar w:fldCharType="begin"/>
            </w:r>
            <w:r>
              <w:rPr>
                <w:noProof/>
                <w:webHidden/>
              </w:rPr>
              <w:instrText xml:space="preserve"> PAGEREF _Toc219386909 \h </w:instrText>
            </w:r>
            <w:r>
              <w:rPr>
                <w:noProof/>
                <w:webHidden/>
              </w:rPr>
            </w:r>
            <w:r>
              <w:rPr>
                <w:noProof/>
                <w:webHidden/>
              </w:rPr>
              <w:fldChar w:fldCharType="separate"/>
            </w:r>
            <w:r>
              <w:rPr>
                <w:noProof/>
                <w:webHidden/>
              </w:rPr>
              <w:t>12</w:t>
            </w:r>
            <w:r>
              <w:rPr>
                <w:noProof/>
                <w:webHidden/>
              </w:rPr>
              <w:fldChar w:fldCharType="end"/>
            </w:r>
          </w:hyperlink>
        </w:p>
        <w:p w14:paraId="44EA7FC6" w14:textId="77777777" w:rsidR="00FA0FFD" w:rsidRDefault="00FA0FFD" w:rsidP="00FA0FFD">
          <w:pPr>
            <w:pStyle w:val="TOC1"/>
            <w:tabs>
              <w:tab w:val="right" w:leader="dot" w:pos="9016"/>
            </w:tabs>
            <w:rPr>
              <w:rFonts w:eastAsiaTheme="minorEastAsia"/>
              <w:noProof/>
              <w:sz w:val="24"/>
              <w:szCs w:val="24"/>
              <w:lang w:eastAsia="en-GB"/>
            </w:rPr>
          </w:pPr>
          <w:hyperlink w:anchor="_Toc219386910" w:history="1">
            <w:r w:rsidRPr="008771F4">
              <w:rPr>
                <w:rStyle w:val="Hyperlink"/>
                <w:noProof/>
              </w:rPr>
              <w:t>5.0 Supplementary Data 2: Gravitational Waves GPT full responses</w:t>
            </w:r>
            <w:r>
              <w:rPr>
                <w:noProof/>
                <w:webHidden/>
              </w:rPr>
              <w:tab/>
            </w:r>
            <w:r>
              <w:rPr>
                <w:noProof/>
                <w:webHidden/>
              </w:rPr>
              <w:fldChar w:fldCharType="begin"/>
            </w:r>
            <w:r>
              <w:rPr>
                <w:noProof/>
                <w:webHidden/>
              </w:rPr>
              <w:instrText xml:space="preserve"> PAGEREF _Toc219386910 \h </w:instrText>
            </w:r>
            <w:r>
              <w:rPr>
                <w:noProof/>
                <w:webHidden/>
              </w:rPr>
            </w:r>
            <w:r>
              <w:rPr>
                <w:noProof/>
                <w:webHidden/>
              </w:rPr>
              <w:fldChar w:fldCharType="separate"/>
            </w:r>
            <w:r>
              <w:rPr>
                <w:noProof/>
                <w:webHidden/>
              </w:rPr>
              <w:t>13</w:t>
            </w:r>
            <w:r>
              <w:rPr>
                <w:noProof/>
                <w:webHidden/>
              </w:rPr>
              <w:fldChar w:fldCharType="end"/>
            </w:r>
          </w:hyperlink>
        </w:p>
        <w:p w14:paraId="7334AE63" w14:textId="77777777" w:rsidR="00FA0FFD" w:rsidRDefault="00FA0FFD" w:rsidP="00FA0FFD">
          <w:pPr>
            <w:pStyle w:val="TOC1"/>
            <w:tabs>
              <w:tab w:val="right" w:leader="dot" w:pos="9016"/>
            </w:tabs>
            <w:rPr>
              <w:rFonts w:eastAsiaTheme="minorEastAsia"/>
              <w:noProof/>
              <w:sz w:val="24"/>
              <w:szCs w:val="24"/>
              <w:lang w:eastAsia="en-GB"/>
            </w:rPr>
          </w:pPr>
          <w:hyperlink w:anchor="_Toc219386911" w:history="1">
            <w:r w:rsidRPr="008771F4">
              <w:rPr>
                <w:rStyle w:val="Hyperlink"/>
                <w:bCs/>
                <w:noProof/>
              </w:rPr>
              <w:t>5.1 Introduction</w:t>
            </w:r>
            <w:r>
              <w:rPr>
                <w:noProof/>
                <w:webHidden/>
              </w:rPr>
              <w:tab/>
            </w:r>
            <w:r>
              <w:rPr>
                <w:noProof/>
                <w:webHidden/>
              </w:rPr>
              <w:fldChar w:fldCharType="begin"/>
            </w:r>
            <w:r>
              <w:rPr>
                <w:noProof/>
                <w:webHidden/>
              </w:rPr>
              <w:instrText xml:space="preserve"> PAGEREF _Toc219386911 \h </w:instrText>
            </w:r>
            <w:r>
              <w:rPr>
                <w:noProof/>
                <w:webHidden/>
              </w:rPr>
            </w:r>
            <w:r>
              <w:rPr>
                <w:noProof/>
                <w:webHidden/>
              </w:rPr>
              <w:fldChar w:fldCharType="separate"/>
            </w:r>
            <w:r>
              <w:rPr>
                <w:noProof/>
                <w:webHidden/>
              </w:rPr>
              <w:t>13</w:t>
            </w:r>
            <w:r>
              <w:rPr>
                <w:noProof/>
                <w:webHidden/>
              </w:rPr>
              <w:fldChar w:fldCharType="end"/>
            </w:r>
          </w:hyperlink>
        </w:p>
        <w:p w14:paraId="4712F58A" w14:textId="77777777" w:rsidR="00FA0FFD" w:rsidRDefault="00FA0FFD" w:rsidP="00FA0FFD">
          <w:pPr>
            <w:pStyle w:val="TOC1"/>
            <w:tabs>
              <w:tab w:val="right" w:leader="dot" w:pos="9016"/>
            </w:tabs>
            <w:rPr>
              <w:rFonts w:eastAsiaTheme="minorEastAsia"/>
              <w:noProof/>
              <w:sz w:val="24"/>
              <w:szCs w:val="24"/>
              <w:lang w:eastAsia="en-GB"/>
            </w:rPr>
          </w:pPr>
          <w:hyperlink w:anchor="_Toc219386912" w:history="1">
            <w:r w:rsidRPr="008771F4">
              <w:rPr>
                <w:rStyle w:val="Hyperlink"/>
                <w:noProof/>
              </w:rPr>
              <w:t>5.2 Supplementary AI Generation Details</w:t>
            </w:r>
            <w:r>
              <w:rPr>
                <w:noProof/>
                <w:webHidden/>
              </w:rPr>
              <w:tab/>
            </w:r>
            <w:r>
              <w:rPr>
                <w:noProof/>
                <w:webHidden/>
              </w:rPr>
              <w:fldChar w:fldCharType="begin"/>
            </w:r>
            <w:r>
              <w:rPr>
                <w:noProof/>
                <w:webHidden/>
              </w:rPr>
              <w:instrText xml:space="preserve"> PAGEREF _Toc219386912 \h </w:instrText>
            </w:r>
            <w:r>
              <w:rPr>
                <w:noProof/>
                <w:webHidden/>
              </w:rPr>
            </w:r>
            <w:r>
              <w:rPr>
                <w:noProof/>
                <w:webHidden/>
              </w:rPr>
              <w:fldChar w:fldCharType="separate"/>
            </w:r>
            <w:r>
              <w:rPr>
                <w:noProof/>
                <w:webHidden/>
              </w:rPr>
              <w:t>13</w:t>
            </w:r>
            <w:r>
              <w:rPr>
                <w:noProof/>
                <w:webHidden/>
              </w:rPr>
              <w:fldChar w:fldCharType="end"/>
            </w:r>
          </w:hyperlink>
        </w:p>
        <w:p w14:paraId="3D62866D" w14:textId="77777777" w:rsidR="00FA0FFD" w:rsidRDefault="00FA0FFD" w:rsidP="00FA0FFD">
          <w:pPr>
            <w:pStyle w:val="TOC1"/>
            <w:tabs>
              <w:tab w:val="right" w:leader="dot" w:pos="9016"/>
            </w:tabs>
            <w:rPr>
              <w:rFonts w:eastAsiaTheme="minorEastAsia"/>
              <w:noProof/>
              <w:sz w:val="24"/>
              <w:szCs w:val="24"/>
              <w:lang w:eastAsia="en-GB"/>
            </w:rPr>
          </w:pPr>
          <w:hyperlink w:anchor="_Toc219386913" w:history="1">
            <w:r w:rsidRPr="008771F4">
              <w:rPr>
                <w:rStyle w:val="Hyperlink"/>
                <w:noProof/>
              </w:rPr>
              <w:t>5.3 Statement on “Use of Generative AI in Research”</w:t>
            </w:r>
            <w:r>
              <w:rPr>
                <w:noProof/>
                <w:webHidden/>
              </w:rPr>
              <w:tab/>
            </w:r>
            <w:r>
              <w:rPr>
                <w:noProof/>
                <w:webHidden/>
              </w:rPr>
              <w:fldChar w:fldCharType="begin"/>
            </w:r>
            <w:r>
              <w:rPr>
                <w:noProof/>
                <w:webHidden/>
              </w:rPr>
              <w:instrText xml:space="preserve"> PAGEREF _Toc219386913 \h </w:instrText>
            </w:r>
            <w:r>
              <w:rPr>
                <w:noProof/>
                <w:webHidden/>
              </w:rPr>
            </w:r>
            <w:r>
              <w:rPr>
                <w:noProof/>
                <w:webHidden/>
              </w:rPr>
              <w:fldChar w:fldCharType="separate"/>
            </w:r>
            <w:r>
              <w:rPr>
                <w:noProof/>
                <w:webHidden/>
              </w:rPr>
              <w:t>13</w:t>
            </w:r>
            <w:r>
              <w:rPr>
                <w:noProof/>
                <w:webHidden/>
              </w:rPr>
              <w:fldChar w:fldCharType="end"/>
            </w:r>
          </w:hyperlink>
        </w:p>
        <w:p w14:paraId="07CBCE88" w14:textId="77777777" w:rsidR="00FA0FFD" w:rsidRDefault="00FA0FFD" w:rsidP="00FA0FFD">
          <w:pPr>
            <w:pStyle w:val="TOC1"/>
            <w:tabs>
              <w:tab w:val="right" w:leader="dot" w:pos="9016"/>
            </w:tabs>
            <w:rPr>
              <w:rFonts w:eastAsiaTheme="minorEastAsia"/>
              <w:noProof/>
              <w:sz w:val="24"/>
              <w:szCs w:val="24"/>
              <w:lang w:eastAsia="en-GB"/>
            </w:rPr>
          </w:pPr>
          <w:hyperlink w:anchor="_Toc219386914" w:history="1">
            <w:r w:rsidRPr="008771F4">
              <w:rPr>
                <w:rStyle w:val="Hyperlink"/>
                <w:noProof/>
              </w:rPr>
              <w:t>5.4 Statement on Data availability</w:t>
            </w:r>
            <w:r>
              <w:rPr>
                <w:noProof/>
                <w:webHidden/>
              </w:rPr>
              <w:tab/>
            </w:r>
            <w:r>
              <w:rPr>
                <w:noProof/>
                <w:webHidden/>
              </w:rPr>
              <w:fldChar w:fldCharType="begin"/>
            </w:r>
            <w:r>
              <w:rPr>
                <w:noProof/>
                <w:webHidden/>
              </w:rPr>
              <w:instrText xml:space="preserve"> PAGEREF _Toc219386914 \h </w:instrText>
            </w:r>
            <w:r>
              <w:rPr>
                <w:noProof/>
                <w:webHidden/>
              </w:rPr>
            </w:r>
            <w:r>
              <w:rPr>
                <w:noProof/>
                <w:webHidden/>
              </w:rPr>
              <w:fldChar w:fldCharType="separate"/>
            </w:r>
            <w:r>
              <w:rPr>
                <w:noProof/>
                <w:webHidden/>
              </w:rPr>
              <w:t>14</w:t>
            </w:r>
            <w:r>
              <w:rPr>
                <w:noProof/>
                <w:webHidden/>
              </w:rPr>
              <w:fldChar w:fldCharType="end"/>
            </w:r>
          </w:hyperlink>
        </w:p>
        <w:p w14:paraId="30BEDD19" w14:textId="77777777" w:rsidR="00FA0FFD" w:rsidRDefault="00FA0FFD" w:rsidP="00FA0FFD">
          <w:pPr>
            <w:pStyle w:val="TOC1"/>
            <w:tabs>
              <w:tab w:val="right" w:leader="dot" w:pos="9016"/>
            </w:tabs>
            <w:rPr>
              <w:rFonts w:eastAsiaTheme="minorEastAsia"/>
              <w:noProof/>
              <w:sz w:val="24"/>
              <w:szCs w:val="24"/>
              <w:lang w:eastAsia="en-GB"/>
            </w:rPr>
          </w:pPr>
          <w:hyperlink w:anchor="_Toc219386915" w:history="1">
            <w:r w:rsidRPr="008771F4">
              <w:rPr>
                <w:rStyle w:val="Hyperlink"/>
                <w:noProof/>
              </w:rPr>
              <w:t>6.0 Full Responses on Gravitational Waves</w:t>
            </w:r>
            <w:r>
              <w:rPr>
                <w:noProof/>
                <w:webHidden/>
              </w:rPr>
              <w:tab/>
            </w:r>
            <w:r>
              <w:rPr>
                <w:noProof/>
                <w:webHidden/>
              </w:rPr>
              <w:fldChar w:fldCharType="begin"/>
            </w:r>
            <w:r>
              <w:rPr>
                <w:noProof/>
                <w:webHidden/>
              </w:rPr>
              <w:instrText xml:space="preserve"> PAGEREF _Toc219386915 \h </w:instrText>
            </w:r>
            <w:r>
              <w:rPr>
                <w:noProof/>
                <w:webHidden/>
              </w:rPr>
            </w:r>
            <w:r>
              <w:rPr>
                <w:noProof/>
                <w:webHidden/>
              </w:rPr>
              <w:fldChar w:fldCharType="separate"/>
            </w:r>
            <w:r>
              <w:rPr>
                <w:noProof/>
                <w:webHidden/>
              </w:rPr>
              <w:t>14</w:t>
            </w:r>
            <w:r>
              <w:rPr>
                <w:noProof/>
                <w:webHidden/>
              </w:rPr>
              <w:fldChar w:fldCharType="end"/>
            </w:r>
          </w:hyperlink>
        </w:p>
        <w:p w14:paraId="2534C992" w14:textId="77777777" w:rsidR="00FA0FFD" w:rsidRDefault="00FA0FFD" w:rsidP="00FA0FFD">
          <w:pPr>
            <w:pStyle w:val="TOC1"/>
            <w:tabs>
              <w:tab w:val="right" w:leader="dot" w:pos="9016"/>
            </w:tabs>
            <w:rPr>
              <w:rFonts w:eastAsiaTheme="minorEastAsia"/>
              <w:noProof/>
              <w:sz w:val="24"/>
              <w:szCs w:val="24"/>
              <w:lang w:eastAsia="en-GB"/>
            </w:rPr>
          </w:pPr>
          <w:hyperlink w:anchor="_Toc219386916" w:history="1">
            <w:r w:rsidRPr="008771F4">
              <w:rPr>
                <w:rStyle w:val="Hyperlink"/>
                <w:noProof/>
              </w:rPr>
              <w:t>6.1 Question 1 Do gravitational waves exist?</w:t>
            </w:r>
            <w:r>
              <w:rPr>
                <w:noProof/>
                <w:webHidden/>
              </w:rPr>
              <w:tab/>
            </w:r>
            <w:r>
              <w:rPr>
                <w:noProof/>
                <w:webHidden/>
              </w:rPr>
              <w:fldChar w:fldCharType="begin"/>
            </w:r>
            <w:r>
              <w:rPr>
                <w:noProof/>
                <w:webHidden/>
              </w:rPr>
              <w:instrText xml:space="preserve"> PAGEREF _Toc219386916 \h </w:instrText>
            </w:r>
            <w:r>
              <w:rPr>
                <w:noProof/>
                <w:webHidden/>
              </w:rPr>
            </w:r>
            <w:r>
              <w:rPr>
                <w:noProof/>
                <w:webHidden/>
              </w:rPr>
              <w:fldChar w:fldCharType="separate"/>
            </w:r>
            <w:r>
              <w:rPr>
                <w:noProof/>
                <w:webHidden/>
              </w:rPr>
              <w:t>14</w:t>
            </w:r>
            <w:r>
              <w:rPr>
                <w:noProof/>
                <w:webHidden/>
              </w:rPr>
              <w:fldChar w:fldCharType="end"/>
            </w:r>
          </w:hyperlink>
        </w:p>
        <w:p w14:paraId="7525B66F" w14:textId="77777777" w:rsidR="00FA0FFD" w:rsidRDefault="00FA0FFD" w:rsidP="00FA0FFD">
          <w:pPr>
            <w:pStyle w:val="TOC1"/>
            <w:tabs>
              <w:tab w:val="right" w:leader="dot" w:pos="9016"/>
            </w:tabs>
            <w:rPr>
              <w:rFonts w:eastAsiaTheme="minorEastAsia"/>
              <w:noProof/>
              <w:sz w:val="24"/>
              <w:szCs w:val="24"/>
              <w:lang w:eastAsia="en-GB"/>
            </w:rPr>
          </w:pPr>
          <w:hyperlink w:anchor="_Toc219386917" w:history="1">
            <w:r w:rsidRPr="008771F4">
              <w:rPr>
                <w:rStyle w:val="Hyperlink"/>
                <w:noProof/>
              </w:rPr>
              <w:t>6.2 Question 2 What are gravitational waves?</w:t>
            </w:r>
            <w:r>
              <w:rPr>
                <w:noProof/>
                <w:webHidden/>
              </w:rPr>
              <w:tab/>
            </w:r>
            <w:r>
              <w:rPr>
                <w:noProof/>
                <w:webHidden/>
              </w:rPr>
              <w:fldChar w:fldCharType="begin"/>
            </w:r>
            <w:r>
              <w:rPr>
                <w:noProof/>
                <w:webHidden/>
              </w:rPr>
              <w:instrText xml:space="preserve"> PAGEREF _Toc219386917 \h </w:instrText>
            </w:r>
            <w:r>
              <w:rPr>
                <w:noProof/>
                <w:webHidden/>
              </w:rPr>
            </w:r>
            <w:r>
              <w:rPr>
                <w:noProof/>
                <w:webHidden/>
              </w:rPr>
              <w:fldChar w:fldCharType="separate"/>
            </w:r>
            <w:r>
              <w:rPr>
                <w:noProof/>
                <w:webHidden/>
              </w:rPr>
              <w:t>15</w:t>
            </w:r>
            <w:r>
              <w:rPr>
                <w:noProof/>
                <w:webHidden/>
              </w:rPr>
              <w:fldChar w:fldCharType="end"/>
            </w:r>
          </w:hyperlink>
        </w:p>
        <w:p w14:paraId="42D4BCB5" w14:textId="77777777" w:rsidR="00FA0FFD" w:rsidRDefault="00FA0FFD" w:rsidP="00FA0FFD">
          <w:pPr>
            <w:pStyle w:val="TOC1"/>
            <w:tabs>
              <w:tab w:val="right" w:leader="dot" w:pos="9016"/>
            </w:tabs>
            <w:rPr>
              <w:rFonts w:eastAsiaTheme="minorEastAsia"/>
              <w:noProof/>
              <w:sz w:val="24"/>
              <w:szCs w:val="24"/>
              <w:lang w:eastAsia="en-GB"/>
            </w:rPr>
          </w:pPr>
          <w:hyperlink w:anchor="_Toc219386918" w:history="1">
            <w:r w:rsidRPr="008771F4">
              <w:rPr>
                <w:rStyle w:val="Hyperlink"/>
                <w:noProof/>
              </w:rPr>
              <w:t>6.3 Question 3 Can gravitational waves be detected?</w:t>
            </w:r>
            <w:r>
              <w:rPr>
                <w:noProof/>
                <w:webHidden/>
              </w:rPr>
              <w:tab/>
            </w:r>
            <w:r>
              <w:rPr>
                <w:noProof/>
                <w:webHidden/>
              </w:rPr>
              <w:fldChar w:fldCharType="begin"/>
            </w:r>
            <w:r>
              <w:rPr>
                <w:noProof/>
                <w:webHidden/>
              </w:rPr>
              <w:instrText xml:space="preserve"> PAGEREF _Toc219386918 \h </w:instrText>
            </w:r>
            <w:r>
              <w:rPr>
                <w:noProof/>
                <w:webHidden/>
              </w:rPr>
            </w:r>
            <w:r>
              <w:rPr>
                <w:noProof/>
                <w:webHidden/>
              </w:rPr>
              <w:fldChar w:fldCharType="separate"/>
            </w:r>
            <w:r>
              <w:rPr>
                <w:noProof/>
                <w:webHidden/>
              </w:rPr>
              <w:t>17</w:t>
            </w:r>
            <w:r>
              <w:rPr>
                <w:noProof/>
                <w:webHidden/>
              </w:rPr>
              <w:fldChar w:fldCharType="end"/>
            </w:r>
          </w:hyperlink>
        </w:p>
        <w:p w14:paraId="7658334F" w14:textId="77777777" w:rsidR="00FA0FFD" w:rsidRDefault="00FA0FFD" w:rsidP="00FA0FFD">
          <w:pPr>
            <w:pStyle w:val="TOC1"/>
            <w:tabs>
              <w:tab w:val="right" w:leader="dot" w:pos="9016"/>
            </w:tabs>
            <w:rPr>
              <w:rFonts w:eastAsiaTheme="minorEastAsia"/>
              <w:noProof/>
              <w:sz w:val="24"/>
              <w:szCs w:val="24"/>
              <w:lang w:eastAsia="en-GB"/>
            </w:rPr>
          </w:pPr>
          <w:hyperlink w:anchor="_Toc219386919" w:history="1">
            <w:r w:rsidRPr="008771F4">
              <w:rPr>
                <w:rStyle w:val="Hyperlink"/>
                <w:noProof/>
              </w:rPr>
              <w:t>6.4 Question 4 Have gravitational waves been detected?</w:t>
            </w:r>
            <w:r>
              <w:rPr>
                <w:noProof/>
                <w:webHidden/>
              </w:rPr>
              <w:tab/>
            </w:r>
            <w:r>
              <w:rPr>
                <w:noProof/>
                <w:webHidden/>
              </w:rPr>
              <w:fldChar w:fldCharType="begin"/>
            </w:r>
            <w:r>
              <w:rPr>
                <w:noProof/>
                <w:webHidden/>
              </w:rPr>
              <w:instrText xml:space="preserve"> PAGEREF _Toc219386919 \h </w:instrText>
            </w:r>
            <w:r>
              <w:rPr>
                <w:noProof/>
                <w:webHidden/>
              </w:rPr>
            </w:r>
            <w:r>
              <w:rPr>
                <w:noProof/>
                <w:webHidden/>
              </w:rPr>
              <w:fldChar w:fldCharType="separate"/>
            </w:r>
            <w:r>
              <w:rPr>
                <w:noProof/>
                <w:webHidden/>
              </w:rPr>
              <w:t>19</w:t>
            </w:r>
            <w:r>
              <w:rPr>
                <w:noProof/>
                <w:webHidden/>
              </w:rPr>
              <w:fldChar w:fldCharType="end"/>
            </w:r>
          </w:hyperlink>
        </w:p>
        <w:p w14:paraId="30B54973" w14:textId="77777777" w:rsidR="00FA0FFD" w:rsidRDefault="00FA0FFD" w:rsidP="00FA0FFD">
          <w:pPr>
            <w:pStyle w:val="TOC1"/>
            <w:tabs>
              <w:tab w:val="right" w:leader="dot" w:pos="9016"/>
            </w:tabs>
            <w:rPr>
              <w:rFonts w:eastAsiaTheme="minorEastAsia"/>
              <w:noProof/>
              <w:sz w:val="24"/>
              <w:szCs w:val="24"/>
              <w:lang w:eastAsia="en-GB"/>
            </w:rPr>
          </w:pPr>
          <w:hyperlink w:anchor="_Toc219386920" w:history="1">
            <w:r w:rsidRPr="008771F4">
              <w:rPr>
                <w:rStyle w:val="Hyperlink"/>
                <w:noProof/>
              </w:rPr>
              <w:t>6.5 Question 5 Has LIGO detected gravitational waves?</w:t>
            </w:r>
            <w:r>
              <w:rPr>
                <w:noProof/>
                <w:webHidden/>
              </w:rPr>
              <w:tab/>
            </w:r>
            <w:r>
              <w:rPr>
                <w:noProof/>
                <w:webHidden/>
              </w:rPr>
              <w:fldChar w:fldCharType="begin"/>
            </w:r>
            <w:r>
              <w:rPr>
                <w:noProof/>
                <w:webHidden/>
              </w:rPr>
              <w:instrText xml:space="preserve"> PAGEREF _Toc219386920 \h </w:instrText>
            </w:r>
            <w:r>
              <w:rPr>
                <w:noProof/>
                <w:webHidden/>
              </w:rPr>
            </w:r>
            <w:r>
              <w:rPr>
                <w:noProof/>
                <w:webHidden/>
              </w:rPr>
              <w:fldChar w:fldCharType="separate"/>
            </w:r>
            <w:r>
              <w:rPr>
                <w:noProof/>
                <w:webHidden/>
              </w:rPr>
              <w:t>20</w:t>
            </w:r>
            <w:r>
              <w:rPr>
                <w:noProof/>
                <w:webHidden/>
              </w:rPr>
              <w:fldChar w:fldCharType="end"/>
            </w:r>
          </w:hyperlink>
        </w:p>
        <w:p w14:paraId="35CF7C0C" w14:textId="77777777" w:rsidR="00FA0FFD" w:rsidRDefault="00FA0FFD" w:rsidP="00FA0FFD">
          <w:pPr>
            <w:pStyle w:val="TOC1"/>
            <w:tabs>
              <w:tab w:val="right" w:leader="dot" w:pos="9016"/>
            </w:tabs>
            <w:rPr>
              <w:rFonts w:eastAsiaTheme="minorEastAsia"/>
              <w:noProof/>
              <w:sz w:val="24"/>
              <w:szCs w:val="24"/>
              <w:lang w:eastAsia="en-GB"/>
            </w:rPr>
          </w:pPr>
          <w:hyperlink w:anchor="_Toc219386921" w:history="1">
            <w:r w:rsidRPr="008771F4">
              <w:rPr>
                <w:rStyle w:val="Hyperlink"/>
                <w:noProof/>
              </w:rPr>
              <w:t>6.6 Question 6 Are there other methods to detect gravitational waves other than LIGO and laser interferometers?</w:t>
            </w:r>
            <w:r>
              <w:rPr>
                <w:noProof/>
                <w:webHidden/>
              </w:rPr>
              <w:tab/>
            </w:r>
            <w:r>
              <w:rPr>
                <w:noProof/>
                <w:webHidden/>
              </w:rPr>
              <w:fldChar w:fldCharType="begin"/>
            </w:r>
            <w:r>
              <w:rPr>
                <w:noProof/>
                <w:webHidden/>
              </w:rPr>
              <w:instrText xml:space="preserve"> PAGEREF _Toc219386921 \h </w:instrText>
            </w:r>
            <w:r>
              <w:rPr>
                <w:noProof/>
                <w:webHidden/>
              </w:rPr>
            </w:r>
            <w:r>
              <w:rPr>
                <w:noProof/>
                <w:webHidden/>
              </w:rPr>
              <w:fldChar w:fldCharType="separate"/>
            </w:r>
            <w:r>
              <w:rPr>
                <w:noProof/>
                <w:webHidden/>
              </w:rPr>
              <w:t>22</w:t>
            </w:r>
            <w:r>
              <w:rPr>
                <w:noProof/>
                <w:webHidden/>
              </w:rPr>
              <w:fldChar w:fldCharType="end"/>
            </w:r>
          </w:hyperlink>
        </w:p>
        <w:p w14:paraId="73D6A5D5" w14:textId="77777777" w:rsidR="00FA0FFD" w:rsidRDefault="00FA0FFD" w:rsidP="00FA0FFD">
          <w:pPr>
            <w:pStyle w:val="TOC1"/>
            <w:tabs>
              <w:tab w:val="right" w:leader="dot" w:pos="9016"/>
            </w:tabs>
            <w:rPr>
              <w:rFonts w:eastAsiaTheme="minorEastAsia"/>
              <w:noProof/>
              <w:sz w:val="24"/>
              <w:szCs w:val="24"/>
              <w:lang w:eastAsia="en-GB"/>
            </w:rPr>
          </w:pPr>
          <w:hyperlink w:anchor="_Toc219386922" w:history="1">
            <w:r w:rsidRPr="008771F4">
              <w:rPr>
                <w:rStyle w:val="Hyperlink"/>
                <w:noProof/>
              </w:rPr>
              <w:t>7.0 Supplementary Data 4: Gravitational Waves Corpus</w:t>
            </w:r>
            <w:r>
              <w:rPr>
                <w:noProof/>
                <w:webHidden/>
              </w:rPr>
              <w:tab/>
            </w:r>
            <w:r>
              <w:rPr>
                <w:noProof/>
                <w:webHidden/>
              </w:rPr>
              <w:fldChar w:fldCharType="begin"/>
            </w:r>
            <w:r>
              <w:rPr>
                <w:noProof/>
                <w:webHidden/>
              </w:rPr>
              <w:instrText xml:space="preserve"> PAGEREF _Toc219386922 \h </w:instrText>
            </w:r>
            <w:r>
              <w:rPr>
                <w:noProof/>
                <w:webHidden/>
              </w:rPr>
            </w:r>
            <w:r>
              <w:rPr>
                <w:noProof/>
                <w:webHidden/>
              </w:rPr>
              <w:fldChar w:fldCharType="separate"/>
            </w:r>
            <w:r>
              <w:rPr>
                <w:noProof/>
                <w:webHidden/>
              </w:rPr>
              <w:t>24</w:t>
            </w:r>
            <w:r>
              <w:rPr>
                <w:noProof/>
                <w:webHidden/>
              </w:rPr>
              <w:fldChar w:fldCharType="end"/>
            </w:r>
          </w:hyperlink>
        </w:p>
        <w:p w14:paraId="0CA4D58B" w14:textId="77777777" w:rsidR="00FA0FFD" w:rsidRDefault="00FA0FFD" w:rsidP="00FA0FFD">
          <w:pPr>
            <w:pStyle w:val="TOC1"/>
            <w:tabs>
              <w:tab w:val="right" w:leader="dot" w:pos="9016"/>
            </w:tabs>
            <w:rPr>
              <w:rFonts w:eastAsiaTheme="minorEastAsia"/>
              <w:noProof/>
              <w:sz w:val="24"/>
              <w:szCs w:val="24"/>
              <w:lang w:eastAsia="en-GB"/>
            </w:rPr>
          </w:pPr>
          <w:hyperlink w:anchor="_Toc219386923" w:history="1">
            <w:r w:rsidRPr="008771F4">
              <w:rPr>
                <w:rStyle w:val="Hyperlink"/>
                <w:noProof/>
              </w:rPr>
              <w:t>7.1 Introduction</w:t>
            </w:r>
            <w:r>
              <w:rPr>
                <w:noProof/>
                <w:webHidden/>
              </w:rPr>
              <w:tab/>
            </w:r>
            <w:r>
              <w:rPr>
                <w:noProof/>
                <w:webHidden/>
              </w:rPr>
              <w:fldChar w:fldCharType="begin"/>
            </w:r>
            <w:r>
              <w:rPr>
                <w:noProof/>
                <w:webHidden/>
              </w:rPr>
              <w:instrText xml:space="preserve"> PAGEREF _Toc219386923 \h </w:instrText>
            </w:r>
            <w:r>
              <w:rPr>
                <w:noProof/>
                <w:webHidden/>
              </w:rPr>
            </w:r>
            <w:r>
              <w:rPr>
                <w:noProof/>
                <w:webHidden/>
              </w:rPr>
              <w:fldChar w:fldCharType="separate"/>
            </w:r>
            <w:r>
              <w:rPr>
                <w:noProof/>
                <w:webHidden/>
              </w:rPr>
              <w:t>24</w:t>
            </w:r>
            <w:r>
              <w:rPr>
                <w:noProof/>
                <w:webHidden/>
              </w:rPr>
              <w:fldChar w:fldCharType="end"/>
            </w:r>
          </w:hyperlink>
        </w:p>
        <w:p w14:paraId="2AA0DE09" w14:textId="77777777" w:rsidR="00FA0FFD" w:rsidRDefault="00FA0FFD" w:rsidP="00FA0FFD">
          <w:pPr>
            <w:pStyle w:val="TOC1"/>
            <w:tabs>
              <w:tab w:val="right" w:leader="dot" w:pos="9016"/>
            </w:tabs>
            <w:rPr>
              <w:rFonts w:eastAsiaTheme="minorEastAsia"/>
              <w:noProof/>
              <w:sz w:val="24"/>
              <w:szCs w:val="24"/>
              <w:lang w:eastAsia="en-GB"/>
            </w:rPr>
          </w:pPr>
          <w:hyperlink w:anchor="_Toc219386924" w:history="1">
            <w:r w:rsidRPr="008771F4">
              <w:rPr>
                <w:rStyle w:val="Hyperlink"/>
                <w:noProof/>
              </w:rPr>
              <w:t>7.2 Gravitational Waves Corpus</w:t>
            </w:r>
            <w:r>
              <w:rPr>
                <w:noProof/>
                <w:webHidden/>
              </w:rPr>
              <w:tab/>
            </w:r>
            <w:r>
              <w:rPr>
                <w:noProof/>
                <w:webHidden/>
              </w:rPr>
              <w:fldChar w:fldCharType="begin"/>
            </w:r>
            <w:r>
              <w:rPr>
                <w:noProof/>
                <w:webHidden/>
              </w:rPr>
              <w:instrText xml:space="preserve"> PAGEREF _Toc219386924 \h </w:instrText>
            </w:r>
            <w:r>
              <w:rPr>
                <w:noProof/>
                <w:webHidden/>
              </w:rPr>
            </w:r>
            <w:r>
              <w:rPr>
                <w:noProof/>
                <w:webHidden/>
              </w:rPr>
              <w:fldChar w:fldCharType="separate"/>
            </w:r>
            <w:r>
              <w:rPr>
                <w:noProof/>
                <w:webHidden/>
              </w:rPr>
              <w:t>24</w:t>
            </w:r>
            <w:r>
              <w:rPr>
                <w:noProof/>
                <w:webHidden/>
              </w:rPr>
              <w:fldChar w:fldCharType="end"/>
            </w:r>
          </w:hyperlink>
        </w:p>
        <w:p w14:paraId="7872BD02" w14:textId="77777777" w:rsidR="00FA0FFD" w:rsidRDefault="00FA0FFD" w:rsidP="00FA0FFD">
          <w:pPr>
            <w:rPr>
              <w:b/>
              <w:bCs/>
            </w:rPr>
          </w:pPr>
          <w:r>
            <w:rPr>
              <w:b/>
              <w:bCs/>
            </w:rPr>
            <w:fldChar w:fldCharType="end"/>
          </w:r>
        </w:p>
      </w:sdtContent>
    </w:sdt>
    <w:p w14:paraId="64C9E957" w14:textId="77777777" w:rsidR="00FA0FFD" w:rsidRDefault="00FA0FFD" w:rsidP="00FA0FFD">
      <w:pPr>
        <w:pStyle w:val="Style1"/>
      </w:pPr>
      <w:bookmarkStart w:id="0" w:name="_Toc219386895"/>
      <w:r>
        <w:t>1.0 Introduction and overview</w:t>
      </w:r>
      <w:bookmarkEnd w:id="0"/>
    </w:p>
    <w:p w14:paraId="310992F0" w14:textId="7E6E1EC3" w:rsidR="00FA0FFD" w:rsidRPr="00AF3395" w:rsidRDefault="00FA0FFD" w:rsidP="00FA0FFD">
      <w:r w:rsidRPr="00AF3395">
        <w:t>This Supplementary Data file accompanies “Large language models eroding science understanding” and compiles the materials needed to understand, verify, and contextualise the study’s model outputs. It contains (i) a detailed methods overview describing the base model foundation, how the two domain corpora were selected and verified (Fine Structure Constant and Gravitational Waves), how those corpora were integrated into Custom GPTs, how the instruction set was characterised, and how the question sets and summary tables were developed; (ii) Supplementary Data 1, which provides generation metadata (model configuration, constraints, and dates), statements on the use of generative AI and data availability, and the full verbatim GPT responses to a five-question set on the Fine Structure Constant; (iii) the Fine Structure Constant literature corpus listing, including the sources used to build the FSC Custom GPT; (iv) Supplementary Data 2, which similarly provides generation metadata and statements plus the full verbatim GPT responses to a six-question set on Gravitational Waves; and (v) the Gravitational Waves literature corpus listing, documenting the sources used to build the GW Custom GPT. Together, these materials provide transparency about the model setup, the prompts used, the complete outputs analysed in the main manuscript, and the underlying document corpora that bounded the Custom GPTs’ responses.</w:t>
      </w:r>
    </w:p>
    <w:p w14:paraId="5756BCFB" w14:textId="77777777" w:rsidR="00FA0FFD" w:rsidRPr="00BD437A" w:rsidRDefault="00FA0FFD" w:rsidP="00FA0FFD">
      <w:pPr>
        <w:pStyle w:val="Style1"/>
      </w:pPr>
      <w:bookmarkStart w:id="1" w:name="_Toc219386896"/>
      <w:r>
        <w:t>2.0</w:t>
      </w:r>
      <w:r w:rsidRPr="00BD437A">
        <w:t xml:space="preserve"> Supplementary </w:t>
      </w:r>
      <w:r w:rsidRPr="00B86B88">
        <w:rPr>
          <w:bCs/>
        </w:rPr>
        <w:t>Data</w:t>
      </w:r>
      <w:r w:rsidRPr="00BD437A">
        <w:t xml:space="preserve"> 1: Fine Structure Constant GPT full responses</w:t>
      </w:r>
      <w:bookmarkEnd w:id="1"/>
    </w:p>
    <w:p w14:paraId="359CC113" w14:textId="77777777" w:rsidR="00FA0FFD" w:rsidRPr="001A79B4" w:rsidRDefault="00FA0FFD" w:rsidP="00FA0FFD">
      <w:bookmarkStart w:id="2" w:name="_Toc219386897"/>
      <w:r>
        <w:rPr>
          <w:rStyle w:val="Style1Char"/>
          <w:color w:val="auto"/>
        </w:rPr>
        <w:t>2</w:t>
      </w:r>
      <w:r w:rsidRPr="00BD437A">
        <w:rPr>
          <w:rStyle w:val="Style1Char"/>
          <w:color w:val="auto"/>
        </w:rPr>
        <w:t>.1 Introduction</w:t>
      </w:r>
      <w:bookmarkEnd w:id="2"/>
      <w:r>
        <w:rPr>
          <w:b/>
          <w:bCs/>
        </w:rPr>
        <w:br/>
      </w:r>
      <w:r>
        <w:rPr>
          <w:b/>
          <w:bCs/>
        </w:rPr>
        <w:br/>
      </w:r>
      <w:r w:rsidRPr="001A79B4">
        <w:t xml:space="preserve">This </w:t>
      </w:r>
      <w:r>
        <w:t>section</w:t>
      </w:r>
      <w:r w:rsidRPr="001A79B4">
        <w:t xml:space="preserve"> provides full</w:t>
      </w:r>
      <w:r>
        <w:t xml:space="preserve"> </w:t>
      </w:r>
      <w:r w:rsidRPr="001A79B4">
        <w:t>GPT-generated responses</w:t>
      </w:r>
      <w:r>
        <w:t xml:space="preserve"> provided by the Fine Structure Constant (FSC)</w:t>
      </w:r>
      <w:r w:rsidRPr="001A79B4">
        <w:t xml:space="preserve"> </w:t>
      </w:r>
      <w:r>
        <w:t>GPT</w:t>
      </w:r>
      <w:r w:rsidRPr="001A79B4">
        <w:t xml:space="preserve"> used in the analysis presented in the main manuscript </w:t>
      </w:r>
      <w:r w:rsidRPr="001A5B83">
        <w:rPr>
          <w:i/>
          <w:iCs/>
        </w:rPr>
        <w:t>“The Potential for Large Language Models to Undermine the Understanding of Science: An Experimental Approach”</w:t>
      </w:r>
      <w:r>
        <w:t xml:space="preserve">. This file contains supplementary AI generation details, a statement on the use of generative AI in research, a data availability statement and then the full verbatim responses gathered from the FSC presented sequentially. The question asked is presented and then the full verbatim response is given. </w:t>
      </w:r>
      <w:r w:rsidRPr="00BD437A">
        <w:t xml:space="preserve">The page ranges for each question are as follows: Question 1 (Pages </w:t>
      </w:r>
      <w:r>
        <w:t>3-5</w:t>
      </w:r>
      <w:r w:rsidRPr="00BD437A">
        <w:t xml:space="preserve">); Question 2 (Pages </w:t>
      </w:r>
      <w:r>
        <w:t>5</w:t>
      </w:r>
      <w:r w:rsidRPr="00BD437A">
        <w:t>–</w:t>
      </w:r>
      <w:r>
        <w:t>7</w:t>
      </w:r>
      <w:r w:rsidRPr="00BD437A">
        <w:t xml:space="preserve">); Question 3 (Pages </w:t>
      </w:r>
      <w:r>
        <w:t>7-8</w:t>
      </w:r>
      <w:r w:rsidRPr="00BD437A">
        <w:t xml:space="preserve">); Question 4 (Pages </w:t>
      </w:r>
      <w:r>
        <w:t>8-10</w:t>
      </w:r>
      <w:r w:rsidRPr="00BD437A">
        <w:t>)</w:t>
      </w:r>
      <w:r>
        <w:t xml:space="preserve"> and</w:t>
      </w:r>
      <w:r w:rsidRPr="00BD437A">
        <w:t xml:space="preserve"> Question 5 (Pages </w:t>
      </w:r>
      <w:r>
        <w:t>10-12</w:t>
      </w:r>
      <w:r w:rsidRPr="00BD437A">
        <w:t xml:space="preserve">) </w:t>
      </w:r>
    </w:p>
    <w:p w14:paraId="59A7D236" w14:textId="77777777" w:rsidR="00FA0FFD" w:rsidRPr="001A79B4" w:rsidRDefault="00FA0FFD" w:rsidP="00FA0FFD">
      <w:pPr>
        <w:pStyle w:val="Style1"/>
      </w:pPr>
      <w:bookmarkStart w:id="3" w:name="_Toc219386898"/>
      <w:r>
        <w:t xml:space="preserve">2.2 </w:t>
      </w:r>
      <w:r w:rsidRPr="001A79B4">
        <w:t>Supplementary AI Generation Details</w:t>
      </w:r>
      <w:bookmarkEnd w:id="3"/>
      <w:r w:rsidRPr="001A79B4">
        <w:t xml:space="preserve"> </w:t>
      </w:r>
    </w:p>
    <w:p w14:paraId="1638596E" w14:textId="77777777" w:rsidR="00FA0FFD" w:rsidRPr="001A79B4" w:rsidRDefault="00FA0FFD" w:rsidP="00FA0FFD">
      <w:r w:rsidRPr="001A79B4">
        <w:t>All model outputs contained in this Supplementary Data were generated using OpenAI ChatGPT 5.1 (Custom GPT configuration).</w:t>
      </w:r>
      <w:r w:rsidRPr="001A79B4">
        <w:br/>
        <w:t>The following conditions applied:</w:t>
      </w:r>
    </w:p>
    <w:p w14:paraId="0ACB9573" w14:textId="77777777" w:rsidR="00FA0FFD" w:rsidRPr="001A79B4" w:rsidRDefault="00FA0FFD" w:rsidP="00FA0FFD">
      <w:pPr>
        <w:numPr>
          <w:ilvl w:val="0"/>
          <w:numId w:val="32"/>
        </w:numPr>
      </w:pPr>
      <w:r w:rsidRPr="001A79B4">
        <w:t>Model version: ChatGPT 5.1</w:t>
      </w:r>
    </w:p>
    <w:p w14:paraId="3F311101" w14:textId="77777777" w:rsidR="00FA0FFD" w:rsidRPr="001A79B4" w:rsidRDefault="00FA0FFD" w:rsidP="00FA0FFD">
      <w:pPr>
        <w:numPr>
          <w:ilvl w:val="0"/>
          <w:numId w:val="32"/>
        </w:numPr>
      </w:pPr>
      <w:r w:rsidRPr="001A79B4">
        <w:t>Model type: Custom GPT with domain-specific corpus uploads</w:t>
      </w:r>
    </w:p>
    <w:p w14:paraId="58661DFE" w14:textId="77777777" w:rsidR="00FA0FFD" w:rsidRPr="001A79B4" w:rsidRDefault="00FA0FFD" w:rsidP="00FA0FFD">
      <w:pPr>
        <w:numPr>
          <w:ilvl w:val="0"/>
          <w:numId w:val="32"/>
        </w:numPr>
      </w:pPr>
      <w:r w:rsidRPr="001A79B4">
        <w:t>Sampling parameters: Default platform settings (no manual adjustment of temperature, top-p, or other decoding parameters)</w:t>
      </w:r>
    </w:p>
    <w:p w14:paraId="60996FD0" w14:textId="77777777" w:rsidR="00FA0FFD" w:rsidRPr="001A79B4" w:rsidRDefault="00FA0FFD" w:rsidP="00FA0FFD">
      <w:pPr>
        <w:numPr>
          <w:ilvl w:val="0"/>
          <w:numId w:val="32"/>
        </w:numPr>
      </w:pPr>
      <w:r w:rsidRPr="001A79B4">
        <w:lastRenderedPageBreak/>
        <w:t>Internet access: Disabled (model restricted to the uploaded corpus and internal model knowledge only)</w:t>
      </w:r>
    </w:p>
    <w:p w14:paraId="796376E5" w14:textId="77777777" w:rsidR="00FA0FFD" w:rsidRPr="001A79B4" w:rsidRDefault="00FA0FFD" w:rsidP="00FA0FFD">
      <w:pPr>
        <w:numPr>
          <w:ilvl w:val="0"/>
          <w:numId w:val="32"/>
        </w:numPr>
      </w:pPr>
      <w:r w:rsidRPr="001A79B4">
        <w:t>Instruction set: High-level behavioural guidelines supplied through the Custom GPT interface (general academic style, corpus-bounded reasoning; no weight modification)</w:t>
      </w:r>
      <w:r>
        <w:t xml:space="preserve">, see “Supplementary Materials Overview” for more detail on the instruction set. </w:t>
      </w:r>
    </w:p>
    <w:p w14:paraId="77D52473" w14:textId="77777777" w:rsidR="00FA0FFD" w:rsidRPr="001A79B4" w:rsidRDefault="00FA0FFD" w:rsidP="00FA0FFD">
      <w:pPr>
        <w:numPr>
          <w:ilvl w:val="0"/>
          <w:numId w:val="32"/>
        </w:numPr>
      </w:pPr>
      <w:r w:rsidRPr="001A79B4">
        <w:t xml:space="preserve">Generation dates: </w:t>
      </w:r>
      <w:r>
        <w:t>November 2025</w:t>
      </w:r>
    </w:p>
    <w:p w14:paraId="46E45A52" w14:textId="77777777" w:rsidR="00FA0FFD" w:rsidRDefault="00FA0FFD" w:rsidP="00FA0FFD">
      <w:pPr>
        <w:numPr>
          <w:ilvl w:val="0"/>
          <w:numId w:val="32"/>
        </w:numPr>
      </w:pPr>
      <w:r w:rsidRPr="001A79B4">
        <w:t>Verbatim outputs: All responses reproduced in this Supplementary Data are exact verbatim outputs returned by the model. No text has been altered other than formatting for readability.</w:t>
      </w:r>
    </w:p>
    <w:p w14:paraId="4169D015" w14:textId="77777777" w:rsidR="00FA0FFD" w:rsidRDefault="00FA0FFD" w:rsidP="00FA0FFD">
      <w:pPr>
        <w:pStyle w:val="Style1"/>
      </w:pPr>
      <w:bookmarkStart w:id="4" w:name="_Toc219386899"/>
      <w:r>
        <w:t xml:space="preserve">2.3 </w:t>
      </w:r>
      <w:r w:rsidRPr="00195D7A">
        <w:t>Statement on “Use of Generative AI in Research”</w:t>
      </w:r>
      <w:bookmarkEnd w:id="4"/>
      <w:r w:rsidRPr="00195D7A">
        <w:t xml:space="preserve"> </w:t>
      </w:r>
    </w:p>
    <w:p w14:paraId="13609CBC" w14:textId="77777777" w:rsidR="00FA0FFD" w:rsidRDefault="00FA0FFD" w:rsidP="00FA0FFD">
      <w:r w:rsidRPr="00195D7A">
        <w:t>Generative AI was used to produce the model outputs analysed in this study. All outputs were independently evaluated and validated by the authors. The AI system did not generate novel scientific claims beyond those found in the curated corpus. The authors take full responsibility for the accuracy of all presented data</w:t>
      </w:r>
    </w:p>
    <w:p w14:paraId="7C69895F" w14:textId="77777777" w:rsidR="00FA0FFD" w:rsidRPr="00220885" w:rsidRDefault="00FA0FFD" w:rsidP="00FA0FFD">
      <w:pPr>
        <w:pStyle w:val="Style1"/>
      </w:pPr>
      <w:bookmarkStart w:id="5" w:name="_Toc219386900"/>
      <w:r>
        <w:t xml:space="preserve">2.4 </w:t>
      </w:r>
      <w:r w:rsidRPr="00220885">
        <w:t>Statement on Data availability</w:t>
      </w:r>
      <w:bookmarkEnd w:id="5"/>
      <w:r w:rsidRPr="00220885">
        <w:t xml:space="preserve"> </w:t>
      </w:r>
    </w:p>
    <w:p w14:paraId="77C800BD" w14:textId="77777777" w:rsidR="00FA0FFD" w:rsidRPr="001A79B4" w:rsidRDefault="00FA0FFD" w:rsidP="00FA0FFD">
      <w:pPr>
        <w:rPr>
          <w:b/>
          <w:bCs/>
        </w:rPr>
      </w:pPr>
      <w:r w:rsidRPr="00220885">
        <w:t>All corpus documents used to construct the Custom GPTs are publicly available on viXra.org. Permalinks are included in S</w:t>
      </w:r>
      <w:r>
        <w:t xml:space="preserve">ection 3. </w:t>
      </w:r>
    </w:p>
    <w:p w14:paraId="4ED13CFC" w14:textId="77777777" w:rsidR="00FA0FFD" w:rsidRPr="00BD437A" w:rsidRDefault="00FA0FFD" w:rsidP="00FA0FFD">
      <w:pPr>
        <w:pStyle w:val="Style1"/>
      </w:pPr>
      <w:bookmarkStart w:id="6" w:name="_Toc219386901"/>
      <w:r>
        <w:t>3</w:t>
      </w:r>
      <w:r w:rsidRPr="00BD437A">
        <w:rPr>
          <w:rStyle w:val="Style1Char"/>
          <w:b/>
          <w:color w:val="auto"/>
        </w:rPr>
        <w:t>.0 Full Responses on the Fine Structure Constant</w:t>
      </w:r>
      <w:bookmarkEnd w:id="6"/>
    </w:p>
    <w:p w14:paraId="4C1D5FCB" w14:textId="77777777" w:rsidR="00FA0FFD" w:rsidRDefault="00FA0FFD" w:rsidP="00FA0FFD">
      <w:pPr>
        <w:pStyle w:val="Style1"/>
      </w:pPr>
      <w:bookmarkStart w:id="7" w:name="_Toc219386902"/>
      <w:r>
        <w:t>3</w:t>
      </w:r>
      <w:r w:rsidRPr="00B008F3">
        <w:t>.1 Question</w:t>
      </w:r>
      <w:r>
        <w:t xml:space="preserve"> 1</w:t>
      </w:r>
      <w:r w:rsidRPr="00E70A00">
        <w:t>: Can the fine structure constant be explained by a deeper law of physics?</w:t>
      </w:r>
      <w:r>
        <w:br/>
      </w:r>
      <w:r>
        <w:br/>
      </w:r>
      <w:r w:rsidRPr="003A7B1C">
        <w:t>Answer:</w:t>
      </w:r>
      <w:bookmarkEnd w:id="7"/>
      <w:r>
        <w:t xml:space="preserve"> </w:t>
      </w:r>
    </w:p>
    <w:p w14:paraId="1DF0DD31" w14:textId="77777777" w:rsidR="00FA0FFD" w:rsidRPr="009F1C1B" w:rsidRDefault="00FA0FFD" w:rsidP="00FA0FFD">
      <w:r>
        <w:br/>
      </w:r>
      <w:r w:rsidRPr="009F1C1B">
        <w:t xml:space="preserve">Yes. </w:t>
      </w:r>
      <w:r w:rsidRPr="009F1C1B">
        <w:rPr>
          <w:b/>
          <w:bCs/>
        </w:rPr>
        <w:t>Across the literature, the fine-structure constant (α) is consistently interpreted as the consequence of a deeper physical law.</w:t>
      </w:r>
      <w:r w:rsidRPr="009F1C1B">
        <w:br/>
        <w:t xml:space="preserve">While each author provides a distinct framework, they share the view that α is </w:t>
      </w:r>
      <w:r w:rsidRPr="009F1C1B">
        <w:rPr>
          <w:i/>
          <w:iCs/>
        </w:rPr>
        <w:t>derivable</w:t>
      </w:r>
      <w:r w:rsidRPr="009F1C1B">
        <w:t xml:space="preserve"> rather than </w:t>
      </w:r>
      <w:r w:rsidRPr="009F1C1B">
        <w:rPr>
          <w:i/>
          <w:iCs/>
        </w:rPr>
        <w:t>fundamental</w:t>
      </w:r>
      <w:r w:rsidRPr="009F1C1B">
        <w:t>.</w:t>
      </w:r>
    </w:p>
    <w:p w14:paraId="3C62709A" w14:textId="77777777" w:rsidR="00FA0FFD" w:rsidRPr="009F1C1B" w:rsidRDefault="00FA0FFD" w:rsidP="00FA0FFD">
      <w:r w:rsidRPr="009F1C1B">
        <w:t>Below is a concise synthesis of those explanations, grounded entirely in the published analyses.</w:t>
      </w:r>
    </w:p>
    <w:p w14:paraId="27868895" w14:textId="77777777" w:rsidR="00FA0FFD" w:rsidRPr="009F1C1B" w:rsidRDefault="00FA0FFD" w:rsidP="00FA0FFD">
      <w:pPr>
        <w:rPr>
          <w:b/>
          <w:bCs/>
        </w:rPr>
      </w:pPr>
      <w:r w:rsidRPr="009F1C1B">
        <w:rPr>
          <w:b/>
          <w:bCs/>
        </w:rPr>
        <w:t>1. Geometric and Packing Laws of Matter</w:t>
      </w:r>
    </w:p>
    <w:p w14:paraId="6F327E4A" w14:textId="77777777" w:rsidR="00FA0FFD" w:rsidRPr="009F1C1B" w:rsidRDefault="00FA0FFD" w:rsidP="00FA0FFD">
      <w:r w:rsidRPr="009F1C1B">
        <w:t xml:space="preserve">Koshy (2016) shows that α ≈ 1/137 emerges from a </w:t>
      </w:r>
      <w:r w:rsidRPr="009F1C1B">
        <w:rPr>
          <w:i/>
          <w:iCs/>
        </w:rPr>
        <w:t>spherical-packing constant</w:t>
      </w:r>
      <w:r w:rsidRPr="009F1C1B">
        <w:t xml:space="preserve"> derived from two-stage lattice construction, where particle substructures minimize curvature under a 7-entity diameter constraint.</w:t>
      </w:r>
      <w:r w:rsidRPr="009F1C1B">
        <w:br/>
        <w:t xml:space="preserve">In this view, α arises from a </w:t>
      </w:r>
      <w:r w:rsidRPr="009F1C1B">
        <w:rPr>
          <w:b/>
          <w:bCs/>
        </w:rPr>
        <w:t>length–mass ratio determined by optimal packing in composite particles</w:t>
      </w:r>
      <w:r w:rsidRPr="009F1C1B">
        <w:t>, revealing a structural, not arbitrary, origin for the constant.</w:t>
      </w:r>
    </w:p>
    <w:p w14:paraId="7F23C5A1" w14:textId="77777777" w:rsidR="00FA0FFD" w:rsidRPr="009F1C1B" w:rsidRDefault="00FA0FFD" w:rsidP="00FA0FFD">
      <w:pPr>
        <w:rPr>
          <w:b/>
          <w:bCs/>
        </w:rPr>
      </w:pPr>
      <w:r w:rsidRPr="009F1C1B">
        <w:rPr>
          <w:b/>
          <w:bCs/>
        </w:rPr>
        <w:t>2. Mass–Energy Equivalence as a Quantization Law</w:t>
      </w:r>
    </w:p>
    <w:p w14:paraId="1A61AF4C" w14:textId="77777777" w:rsidR="00FA0FFD" w:rsidRPr="009F1C1B" w:rsidRDefault="00FA0FFD" w:rsidP="00FA0FFD">
      <w:r w:rsidRPr="009F1C1B">
        <w:t xml:space="preserve">Perković (2019) argues that α is fixed by a </w:t>
      </w:r>
      <w:r w:rsidRPr="009F1C1B">
        <w:rPr>
          <w:b/>
          <w:bCs/>
        </w:rPr>
        <w:t>quantized form of mass–energy equivalence</w:t>
      </w:r>
      <w:r w:rsidRPr="009F1C1B">
        <w:t>, derived from momentum conservation in photon emission processes.</w:t>
      </w:r>
      <w:r w:rsidRPr="009F1C1B">
        <w:br/>
      </w:r>
      <w:r w:rsidRPr="009F1C1B">
        <w:lastRenderedPageBreak/>
        <w:t xml:space="preserve">Here, α is not an independent coupling but a </w:t>
      </w:r>
      <w:r w:rsidRPr="009F1C1B">
        <w:rPr>
          <w:i/>
          <w:iCs/>
        </w:rPr>
        <w:t>ratio emerging from relativistic energy accounting</w:t>
      </w:r>
      <w:r w:rsidRPr="009F1C1B">
        <w:t>, tightly linking electromagnetic strength to the deeper symmetry between mass and radiation.</w:t>
      </w:r>
    </w:p>
    <w:p w14:paraId="308EA930" w14:textId="77777777" w:rsidR="00FA0FFD" w:rsidRPr="009F1C1B" w:rsidRDefault="00FA0FFD" w:rsidP="00FA0FFD">
      <w:pPr>
        <w:rPr>
          <w:b/>
          <w:bCs/>
        </w:rPr>
      </w:pPr>
      <w:r w:rsidRPr="009F1C1B">
        <w:rPr>
          <w:b/>
          <w:bCs/>
        </w:rPr>
        <w:t>3. Deep Mathematical Structure (Eddington, Golden Ratio, Kepler Geometry)</w:t>
      </w:r>
    </w:p>
    <w:p w14:paraId="6BFD6137" w14:textId="77777777" w:rsidR="00FA0FFD" w:rsidRPr="009F1C1B" w:rsidRDefault="00FA0FFD" w:rsidP="00FA0FFD">
      <w:r w:rsidRPr="009F1C1B">
        <w:t xml:space="preserve">Sherbon (2018) shows that α follows from </w:t>
      </w:r>
      <w:r w:rsidRPr="009F1C1B">
        <w:rPr>
          <w:b/>
          <w:bCs/>
        </w:rPr>
        <w:t>geometric structures intrinsic to physical mathematics</w:t>
      </w:r>
      <w:r w:rsidRPr="009F1C1B">
        <w:t>, including Eddington’s Principle, golden-ratio relations in the hydrogen atom, and hyperbolic functions linked to the Laplace limit of Kepler’s equation.</w:t>
      </w:r>
      <w:r w:rsidRPr="009F1C1B">
        <w:br/>
        <w:t xml:space="preserve">These analyses treat α as a </w:t>
      </w:r>
      <w:r w:rsidRPr="009F1C1B">
        <w:rPr>
          <w:b/>
          <w:bCs/>
        </w:rPr>
        <w:t>mathematically necessary value arising from geometry and group-theoretic constraints</w:t>
      </w:r>
      <w:r w:rsidRPr="009F1C1B">
        <w:t>.</w:t>
      </w:r>
    </w:p>
    <w:p w14:paraId="72875F75" w14:textId="77777777" w:rsidR="00FA0FFD" w:rsidRPr="009F1C1B" w:rsidRDefault="00FA0FFD" w:rsidP="00FA0FFD">
      <w:pPr>
        <w:rPr>
          <w:b/>
          <w:bCs/>
        </w:rPr>
      </w:pPr>
      <w:r w:rsidRPr="009F1C1B">
        <w:rPr>
          <w:b/>
          <w:bCs/>
        </w:rPr>
        <w:t>4. Dynamical Systems and Universality (Feigenbaum Constant)</w:t>
      </w:r>
    </w:p>
    <w:p w14:paraId="4E65FBAC" w14:textId="77777777" w:rsidR="00FA0FFD" w:rsidRPr="009F1C1B" w:rsidRDefault="00FA0FFD" w:rsidP="00FA0FFD">
      <w:r w:rsidRPr="009F1C1B">
        <w:t xml:space="preserve">Hieb (2017) establishes a quantitative relationship between α and the </w:t>
      </w:r>
      <w:r w:rsidRPr="009F1C1B">
        <w:rPr>
          <w:b/>
          <w:bCs/>
        </w:rPr>
        <w:t>Feigenbaum scaling constant δ</w:t>
      </w:r>
      <w:r w:rsidRPr="009F1C1B">
        <w:t>, arguing that both constants reflect universal scaling behavior in nonlinear systems.</w:t>
      </w:r>
      <w:r w:rsidRPr="009F1C1B">
        <w:br/>
        <w:t xml:space="preserve">This connects α to the deeper law of </w:t>
      </w:r>
      <w:r w:rsidRPr="009F1C1B">
        <w:rPr>
          <w:b/>
          <w:bCs/>
        </w:rPr>
        <w:t>period-doubling universality</w:t>
      </w:r>
      <w:r w:rsidRPr="009F1C1B">
        <w:t>, suggesting the electromagnetic coupling is rooted in the mathematics of chaotic bifurcation.</w:t>
      </w:r>
    </w:p>
    <w:p w14:paraId="3974CC2D" w14:textId="77777777" w:rsidR="00FA0FFD" w:rsidRPr="009F1C1B" w:rsidRDefault="00FA0FFD" w:rsidP="00FA0FFD">
      <w:pPr>
        <w:rPr>
          <w:b/>
          <w:bCs/>
        </w:rPr>
      </w:pPr>
      <w:r w:rsidRPr="009F1C1B">
        <w:rPr>
          <w:b/>
          <w:bCs/>
        </w:rPr>
        <w:t>5. Knot-Theoretic Spacetime Geometry</w:t>
      </w:r>
    </w:p>
    <w:p w14:paraId="50C9BA41" w14:textId="77777777" w:rsidR="00FA0FFD" w:rsidRPr="009F1C1B" w:rsidRDefault="00FA0FFD" w:rsidP="00FA0FFD">
      <w:r w:rsidRPr="009F1C1B">
        <w:t xml:space="preserve">Ellgen (2015) derives α by modelling electrons as </w:t>
      </w:r>
      <w:r w:rsidRPr="009F1C1B">
        <w:rPr>
          <w:b/>
          <w:bCs/>
        </w:rPr>
        <w:t>geometric knots</w:t>
      </w:r>
      <w:r w:rsidRPr="009F1C1B">
        <w:t>, where electromagnetic cusps require compensating geometric-field cusps.</w:t>
      </w:r>
      <w:r w:rsidRPr="009F1C1B">
        <w:br/>
        <w:t>The ratio of geometric to electromagnetic field momentum yields a predicted α</w:t>
      </w:r>
      <w:r w:rsidRPr="009F1C1B">
        <w:rPr>
          <w:rFonts w:ascii="Cambria Math" w:hAnsi="Cambria Math" w:cs="Cambria Math"/>
        </w:rPr>
        <w:t>⁻</w:t>
      </w:r>
      <w:r w:rsidRPr="009F1C1B">
        <w:rPr>
          <w:rFonts w:ascii="Aptos" w:hAnsi="Aptos" w:cs="Aptos"/>
        </w:rPr>
        <w:t>¹</w:t>
      </w:r>
      <w:r w:rsidRPr="009F1C1B">
        <w:t xml:space="preserve"> </w:t>
      </w:r>
      <w:r w:rsidRPr="009F1C1B">
        <w:rPr>
          <w:rFonts w:ascii="Aptos" w:hAnsi="Aptos" w:cs="Aptos"/>
        </w:rPr>
        <w:t>≈</w:t>
      </w:r>
      <w:r w:rsidRPr="009F1C1B">
        <w:t xml:space="preserve"> 136.85, showing </w:t>
      </w:r>
      <w:r w:rsidRPr="009F1C1B">
        <w:rPr>
          <w:rFonts w:ascii="Aptos" w:hAnsi="Aptos" w:cs="Aptos"/>
        </w:rPr>
        <w:t>α</w:t>
      </w:r>
      <w:r w:rsidRPr="009F1C1B">
        <w:t xml:space="preserve"> emerges from </w:t>
      </w:r>
      <w:r w:rsidRPr="009F1C1B">
        <w:rPr>
          <w:b/>
          <w:bCs/>
        </w:rPr>
        <w:t>topological constraints on spacetime geometry</w:t>
      </w:r>
      <w:r w:rsidRPr="009F1C1B">
        <w:t>.</w:t>
      </w:r>
    </w:p>
    <w:p w14:paraId="65FB3CA2" w14:textId="77777777" w:rsidR="00FA0FFD" w:rsidRPr="009F1C1B" w:rsidRDefault="00FA0FFD" w:rsidP="00FA0FFD">
      <w:pPr>
        <w:rPr>
          <w:b/>
          <w:bCs/>
        </w:rPr>
      </w:pPr>
      <w:r w:rsidRPr="009F1C1B">
        <w:rPr>
          <w:b/>
          <w:bCs/>
        </w:rPr>
        <w:t>6. Golden-Ratio and Quartic-Equation Foundations</w:t>
      </w:r>
    </w:p>
    <w:p w14:paraId="7251F7B4" w14:textId="77777777" w:rsidR="00FA0FFD" w:rsidRPr="009F1C1B" w:rsidRDefault="00FA0FFD" w:rsidP="00FA0FFD">
      <w:r w:rsidRPr="009F1C1B">
        <w:t xml:space="preserve">Sherbon (2019) further demonstrates that α can be recovered from </w:t>
      </w:r>
      <w:r w:rsidRPr="009F1C1B">
        <w:rPr>
          <w:b/>
          <w:bCs/>
        </w:rPr>
        <w:t>Kepler-triangle proportions and quartic polynomial structures</w:t>
      </w:r>
      <w:r w:rsidRPr="009F1C1B">
        <w:t>, reinforcing the theme that α originates from deep mathematical harmonics of atomic geometry.</w:t>
      </w:r>
    </w:p>
    <w:p w14:paraId="4D98A0F6" w14:textId="77777777" w:rsidR="00FA0FFD" w:rsidRPr="009F1C1B" w:rsidRDefault="00FA0FFD" w:rsidP="00FA0FFD">
      <w:pPr>
        <w:rPr>
          <w:b/>
          <w:bCs/>
        </w:rPr>
      </w:pPr>
      <w:r w:rsidRPr="009F1C1B">
        <w:rPr>
          <w:b/>
          <w:bCs/>
        </w:rPr>
        <w:t>7. Exact Analytical Formulae (π, e, Golden Angle, Madelung Constant)</w:t>
      </w:r>
    </w:p>
    <w:p w14:paraId="7363DED9" w14:textId="77777777" w:rsidR="00FA0FFD" w:rsidRPr="009F1C1B" w:rsidRDefault="00FA0FFD" w:rsidP="00FA0FFD">
      <w:r w:rsidRPr="009F1C1B">
        <w:t>Pellis (2021) presents several “exact” closed-form expressions for α in terms of:</w:t>
      </w:r>
    </w:p>
    <w:p w14:paraId="596910BC" w14:textId="77777777" w:rsidR="00FA0FFD" w:rsidRPr="009F1C1B" w:rsidRDefault="00FA0FFD" w:rsidP="00FA0FFD">
      <w:pPr>
        <w:numPr>
          <w:ilvl w:val="0"/>
          <w:numId w:val="17"/>
        </w:numPr>
      </w:pPr>
      <w:r w:rsidRPr="009F1C1B">
        <w:t>π and ln 2,</w:t>
      </w:r>
    </w:p>
    <w:p w14:paraId="2EB3D756" w14:textId="77777777" w:rsidR="00FA0FFD" w:rsidRPr="009F1C1B" w:rsidRDefault="00FA0FFD" w:rsidP="00FA0FFD">
      <w:pPr>
        <w:numPr>
          <w:ilvl w:val="0"/>
          <w:numId w:val="17"/>
        </w:numPr>
      </w:pPr>
      <w:r w:rsidRPr="009F1C1B">
        <w:t>the golden angle,</w:t>
      </w:r>
    </w:p>
    <w:p w14:paraId="4458CC51" w14:textId="77777777" w:rsidR="00FA0FFD" w:rsidRPr="009F1C1B" w:rsidRDefault="00FA0FFD" w:rsidP="00FA0FFD">
      <w:pPr>
        <w:numPr>
          <w:ilvl w:val="0"/>
          <w:numId w:val="17"/>
        </w:numPr>
      </w:pPr>
      <w:r w:rsidRPr="009F1C1B">
        <w:t>relativistic factors, and</w:t>
      </w:r>
    </w:p>
    <w:p w14:paraId="1DA3239B" w14:textId="77777777" w:rsidR="00FA0FFD" w:rsidRPr="009F1C1B" w:rsidRDefault="00FA0FFD" w:rsidP="00FA0FFD">
      <w:pPr>
        <w:numPr>
          <w:ilvl w:val="0"/>
          <w:numId w:val="17"/>
        </w:numPr>
      </w:pPr>
      <w:r w:rsidRPr="009F1C1B">
        <w:t>fifth powers of the golden mean.</w:t>
      </w:r>
    </w:p>
    <w:p w14:paraId="1699C588" w14:textId="77777777" w:rsidR="00FA0FFD" w:rsidRPr="009F1C1B" w:rsidRDefault="00FA0FFD" w:rsidP="00FA0FFD">
      <w:r w:rsidRPr="009F1C1B">
        <w:t xml:space="preserve">Such expressions treat α as a </w:t>
      </w:r>
      <w:r w:rsidRPr="009F1C1B">
        <w:rPr>
          <w:b/>
          <w:bCs/>
        </w:rPr>
        <w:t>precise mathematical constant</w:t>
      </w:r>
      <w:r w:rsidRPr="009F1C1B">
        <w:t>, not an empirical accident.</w:t>
      </w:r>
    </w:p>
    <w:p w14:paraId="243BAC2E" w14:textId="77777777" w:rsidR="00FA0FFD" w:rsidRPr="009F1C1B" w:rsidRDefault="00FA0FFD" w:rsidP="00FA0FFD">
      <w:pPr>
        <w:rPr>
          <w:b/>
          <w:bCs/>
        </w:rPr>
      </w:pPr>
      <w:r w:rsidRPr="009F1C1B">
        <w:rPr>
          <w:b/>
          <w:bCs/>
        </w:rPr>
        <w:t>8. Geometric Ratios in Lattice Vibrations</w:t>
      </w:r>
    </w:p>
    <w:p w14:paraId="204915EA" w14:textId="77777777" w:rsidR="00FA0FFD" w:rsidRPr="009F1C1B" w:rsidRDefault="00FA0FFD" w:rsidP="00FA0FFD">
      <w:r w:rsidRPr="009F1C1B">
        <w:t xml:space="preserve">Yee (2019) derives α as a </w:t>
      </w:r>
      <w:r w:rsidRPr="009F1C1B">
        <w:rPr>
          <w:b/>
          <w:bCs/>
        </w:rPr>
        <w:t>surface-area ratio</w:t>
      </w:r>
      <w:r w:rsidRPr="009F1C1B">
        <w:t xml:space="preserve"> arising from granule vibrations in a body-centered-cubic lattice of space.</w:t>
      </w:r>
      <w:r w:rsidRPr="009F1C1B">
        <w:br/>
        <w:t xml:space="preserve">In this model, α follows from the </w:t>
      </w:r>
      <w:r w:rsidRPr="009F1C1B">
        <w:rPr>
          <w:b/>
          <w:bCs/>
        </w:rPr>
        <w:t>geometry of wave propagation through a discrete vacuum medium</w:t>
      </w:r>
      <w:r w:rsidRPr="009F1C1B">
        <w:t>.</w:t>
      </w:r>
    </w:p>
    <w:p w14:paraId="2EDA6423" w14:textId="77777777" w:rsidR="00FA0FFD" w:rsidRPr="009F1C1B" w:rsidRDefault="00FA0FFD" w:rsidP="00FA0FFD">
      <w:pPr>
        <w:rPr>
          <w:b/>
          <w:bCs/>
        </w:rPr>
      </w:pPr>
      <w:r w:rsidRPr="009F1C1B">
        <w:rPr>
          <w:b/>
          <w:bCs/>
        </w:rPr>
        <w:t>9. Dual 2π–e Formulas and Nuclear-Number Scaling</w:t>
      </w:r>
    </w:p>
    <w:p w14:paraId="0B405A0D" w14:textId="77777777" w:rsidR="00FA0FFD" w:rsidRPr="009F1C1B" w:rsidRDefault="00FA0FFD" w:rsidP="00FA0FFD">
      <w:r w:rsidRPr="009F1C1B">
        <w:t>Chen et al. (2021) construct elegant 2π–e formulas that yield two values of α consistent with measurement.</w:t>
      </w:r>
      <w:r w:rsidRPr="009F1C1B">
        <w:br/>
      </w:r>
      <w:r w:rsidRPr="009F1C1B">
        <w:lastRenderedPageBreak/>
        <w:t xml:space="preserve">Here, α is the </w:t>
      </w:r>
      <w:r w:rsidRPr="009F1C1B">
        <w:rPr>
          <w:b/>
          <w:bCs/>
        </w:rPr>
        <w:t>ratio controlling the coordination of nuclear number systems</w:t>
      </w:r>
      <w:r w:rsidRPr="009F1C1B">
        <w:t>, suggesting a deep arithmetic–geometric origin.</w:t>
      </w:r>
    </w:p>
    <w:p w14:paraId="3ECB5534" w14:textId="77777777" w:rsidR="00FA0FFD" w:rsidRPr="009F1C1B" w:rsidRDefault="00FA0FFD" w:rsidP="00FA0FFD">
      <w:pPr>
        <w:rPr>
          <w:b/>
          <w:bCs/>
        </w:rPr>
      </w:pPr>
      <w:r w:rsidRPr="009F1C1B">
        <w:rPr>
          <w:b/>
          <w:bCs/>
        </w:rPr>
        <w:t>10. Coulomb–Planck Equivalence in Energy-Body Theory</w:t>
      </w:r>
    </w:p>
    <w:p w14:paraId="19907360" w14:textId="77777777" w:rsidR="00FA0FFD" w:rsidRPr="009F1C1B" w:rsidRDefault="00FA0FFD" w:rsidP="00FA0FFD">
      <w:r w:rsidRPr="009F1C1B">
        <w:t xml:space="preserve">Nakayama (2024) shows that the fine-structure constant arises by equating </w:t>
      </w:r>
      <w:r w:rsidRPr="009F1C1B">
        <w:rPr>
          <w:b/>
          <w:bCs/>
        </w:rPr>
        <w:t>Coulombic binding energy</w:t>
      </w:r>
      <w:r w:rsidRPr="009F1C1B">
        <w:t xml:space="preserve"> with </w:t>
      </w:r>
      <w:r w:rsidRPr="009F1C1B">
        <w:rPr>
          <w:b/>
          <w:bCs/>
        </w:rPr>
        <w:t>Planck-quantized radiative energy</w:t>
      </w:r>
      <w:r w:rsidRPr="009F1C1B">
        <w:t xml:space="preserve"> in electron–proton systems, giving α as the ratio between orbital separation and emitted-photon wavelength.</w:t>
      </w:r>
      <w:r w:rsidRPr="009F1C1B">
        <w:br/>
        <w:t xml:space="preserve">Thus α expresses a </w:t>
      </w:r>
      <w:r w:rsidRPr="009F1C1B">
        <w:rPr>
          <w:b/>
          <w:bCs/>
        </w:rPr>
        <w:t>fundamental unity between Coulomb’s law and Planck’s quantization</w:t>
      </w:r>
      <w:r w:rsidRPr="009F1C1B">
        <w:t>.</w:t>
      </w:r>
    </w:p>
    <w:p w14:paraId="55A6E84A" w14:textId="77777777" w:rsidR="00FA0FFD" w:rsidRPr="009F1C1B" w:rsidRDefault="00FA0FFD" w:rsidP="00FA0FFD">
      <w:pPr>
        <w:rPr>
          <w:b/>
          <w:bCs/>
        </w:rPr>
      </w:pPr>
      <w:r w:rsidRPr="009F1C1B">
        <w:rPr>
          <w:b/>
          <w:bCs/>
        </w:rPr>
        <w:t>Conclusion</w:t>
      </w:r>
    </w:p>
    <w:p w14:paraId="7F2A447B" w14:textId="77777777" w:rsidR="00FA0FFD" w:rsidRPr="009F1C1B" w:rsidRDefault="00FA0FFD" w:rsidP="00FA0FFD">
      <w:r w:rsidRPr="009F1C1B">
        <w:t>Across the literature, the fine-structure constant is not viewed as mysterious or arbitrary.</w:t>
      </w:r>
      <w:r w:rsidRPr="009F1C1B">
        <w:br/>
        <w:t>It is consistently derived from deeper laws:</w:t>
      </w:r>
    </w:p>
    <w:p w14:paraId="13922E94" w14:textId="77777777" w:rsidR="00FA0FFD" w:rsidRPr="009F1C1B" w:rsidRDefault="00FA0FFD" w:rsidP="00FA0FFD">
      <w:pPr>
        <w:numPr>
          <w:ilvl w:val="0"/>
          <w:numId w:val="18"/>
        </w:numPr>
      </w:pPr>
      <w:r w:rsidRPr="009F1C1B">
        <w:t>geometric packing principles,</w:t>
      </w:r>
    </w:p>
    <w:p w14:paraId="6A119C09" w14:textId="77777777" w:rsidR="00FA0FFD" w:rsidRPr="009F1C1B" w:rsidRDefault="00FA0FFD" w:rsidP="00FA0FFD">
      <w:pPr>
        <w:numPr>
          <w:ilvl w:val="0"/>
          <w:numId w:val="18"/>
        </w:numPr>
      </w:pPr>
      <w:r w:rsidRPr="009F1C1B">
        <w:t>quantized mass–energy symmetry,</w:t>
      </w:r>
    </w:p>
    <w:p w14:paraId="409BEEEB" w14:textId="77777777" w:rsidR="00FA0FFD" w:rsidRPr="009F1C1B" w:rsidRDefault="00FA0FFD" w:rsidP="00FA0FFD">
      <w:pPr>
        <w:numPr>
          <w:ilvl w:val="0"/>
          <w:numId w:val="18"/>
        </w:numPr>
      </w:pPr>
      <w:r w:rsidRPr="009F1C1B">
        <w:t>knot–theoretic spacetime structure,</w:t>
      </w:r>
    </w:p>
    <w:p w14:paraId="39298B8F" w14:textId="77777777" w:rsidR="00FA0FFD" w:rsidRPr="009F1C1B" w:rsidRDefault="00FA0FFD" w:rsidP="00FA0FFD">
      <w:pPr>
        <w:numPr>
          <w:ilvl w:val="0"/>
          <w:numId w:val="18"/>
        </w:numPr>
      </w:pPr>
      <w:r w:rsidRPr="009F1C1B">
        <w:t>universal scaling constants,</w:t>
      </w:r>
    </w:p>
    <w:p w14:paraId="09DBACCB" w14:textId="77777777" w:rsidR="00FA0FFD" w:rsidRPr="009F1C1B" w:rsidRDefault="00FA0FFD" w:rsidP="00FA0FFD">
      <w:pPr>
        <w:numPr>
          <w:ilvl w:val="0"/>
          <w:numId w:val="18"/>
        </w:numPr>
      </w:pPr>
      <w:r w:rsidRPr="009F1C1B">
        <w:t>golden-ratio and π–e mathematics,</w:t>
      </w:r>
    </w:p>
    <w:p w14:paraId="4B8091EE" w14:textId="77777777" w:rsidR="00FA0FFD" w:rsidRPr="009F1C1B" w:rsidRDefault="00FA0FFD" w:rsidP="00FA0FFD">
      <w:pPr>
        <w:numPr>
          <w:ilvl w:val="0"/>
          <w:numId w:val="18"/>
        </w:numPr>
      </w:pPr>
      <w:r w:rsidRPr="009F1C1B">
        <w:t>lattice geometry of the vacuum,</w:t>
      </w:r>
    </w:p>
    <w:p w14:paraId="1E6B3B6B" w14:textId="77777777" w:rsidR="00FA0FFD" w:rsidRPr="009F1C1B" w:rsidRDefault="00FA0FFD" w:rsidP="00FA0FFD">
      <w:pPr>
        <w:numPr>
          <w:ilvl w:val="0"/>
          <w:numId w:val="18"/>
        </w:numPr>
      </w:pPr>
      <w:r w:rsidRPr="009F1C1B">
        <w:t>nuclear number arithmetic, and</w:t>
      </w:r>
    </w:p>
    <w:p w14:paraId="12D33730" w14:textId="77777777" w:rsidR="00FA0FFD" w:rsidRPr="009F1C1B" w:rsidRDefault="00FA0FFD" w:rsidP="00FA0FFD">
      <w:pPr>
        <w:numPr>
          <w:ilvl w:val="0"/>
          <w:numId w:val="18"/>
        </w:numPr>
      </w:pPr>
      <w:r w:rsidRPr="009F1C1B">
        <w:t>Coulomb–Planck equivalence.</w:t>
      </w:r>
    </w:p>
    <w:p w14:paraId="4BF8F292" w14:textId="77777777" w:rsidR="00FA0FFD" w:rsidRPr="009F1C1B" w:rsidRDefault="00FA0FFD" w:rsidP="00FA0FFD">
      <w:r w:rsidRPr="009F1C1B">
        <w:rPr>
          <w:b/>
          <w:bCs/>
        </w:rPr>
        <w:t>Thus, the fine-structure constant can indeed be explained—and predicted—by deeper mathematical and physical principles.</w:t>
      </w:r>
    </w:p>
    <w:p w14:paraId="287EA57B" w14:textId="77777777" w:rsidR="00FA0FFD" w:rsidRPr="009F1C1B" w:rsidRDefault="00FA0FFD" w:rsidP="00FA0FFD">
      <w:pPr>
        <w:pStyle w:val="Style1"/>
      </w:pPr>
      <w:bookmarkStart w:id="8" w:name="_Toc219386903"/>
      <w:r>
        <w:t xml:space="preserve">3.2 </w:t>
      </w:r>
      <w:r w:rsidRPr="009F1C1B">
        <w:t>Question 2: Can the fine structure constant be represented by a closed mathematical expression?</w:t>
      </w:r>
      <w:bookmarkEnd w:id="8"/>
    </w:p>
    <w:p w14:paraId="1D9F1C61" w14:textId="77777777" w:rsidR="00FA0FFD" w:rsidRPr="009F1C1B" w:rsidRDefault="00FA0FFD" w:rsidP="00FA0FFD">
      <w:pPr>
        <w:rPr>
          <w:b/>
          <w:bCs/>
        </w:rPr>
      </w:pPr>
      <w:r w:rsidRPr="009F1C1B">
        <w:rPr>
          <w:b/>
          <w:bCs/>
        </w:rPr>
        <w:t xml:space="preserve">Answer: </w:t>
      </w:r>
    </w:p>
    <w:p w14:paraId="7C106DA8" w14:textId="77777777" w:rsidR="00FA0FFD" w:rsidRPr="00235A34" w:rsidRDefault="00FA0FFD" w:rsidP="00FA0FFD">
      <w:r w:rsidRPr="00235A34">
        <w:t xml:space="preserve">Yes. In the literature, the fine-structure constant </w:t>
      </w:r>
      <w:r w:rsidRPr="00235A34">
        <w:rPr>
          <w:b/>
          <w:bCs/>
        </w:rPr>
        <w:t>can be written in closed mathematical form</w:t>
      </w:r>
      <w:r w:rsidRPr="00235A34">
        <w:t xml:space="preserve"> in several independent but mutually consistent ways. Different authors emphasize different structures (π, </w:t>
      </w:r>
      <w:r w:rsidRPr="00235A34">
        <w:rPr>
          <w:i/>
          <w:iCs/>
        </w:rPr>
        <w:t>e</w:t>
      </w:r>
      <w:r w:rsidRPr="00235A34">
        <w:t>, the golden ratio, lattice geometry, etc.), but they all treat α as a derived pure number, not an unexplained parameter.</w:t>
      </w:r>
    </w:p>
    <w:p w14:paraId="1D4BBD9F" w14:textId="77777777" w:rsidR="00FA0FFD" w:rsidRPr="00235A34" w:rsidRDefault="00FA0FFD" w:rsidP="00FA0FFD">
      <w:r w:rsidRPr="00235A34">
        <w:t>Here are the main types of closed expressions that appear:</w:t>
      </w:r>
    </w:p>
    <w:p w14:paraId="7DB62C56" w14:textId="77777777" w:rsidR="00FA0FFD" w:rsidRPr="00235A34" w:rsidRDefault="00FA0FFD" w:rsidP="00FA0FFD">
      <w:pPr>
        <w:rPr>
          <w:b/>
          <w:bCs/>
        </w:rPr>
      </w:pPr>
      <w:r w:rsidRPr="00235A34">
        <w:rPr>
          <w:b/>
          <w:bCs/>
        </w:rPr>
        <w:t>1. Pure-number formulas in terms of π, ln 2 and the golden ratio</w:t>
      </w:r>
    </w:p>
    <w:p w14:paraId="50CFEC8E" w14:textId="77777777" w:rsidR="00FA0FFD" w:rsidRPr="00235A34" w:rsidRDefault="00FA0FFD" w:rsidP="00FA0FFD">
      <w:r w:rsidRPr="00235A34">
        <w:t>Pellis gives fully explicit expressions for α</w:t>
      </w:r>
      <w:r w:rsidRPr="00235A34">
        <w:rPr>
          <w:rFonts w:ascii="Cambria Math" w:hAnsi="Cambria Math" w:cs="Cambria Math"/>
        </w:rPr>
        <w:t>⁻</w:t>
      </w:r>
      <w:r w:rsidRPr="00235A34">
        <w:rPr>
          <w:rFonts w:ascii="Aptos" w:hAnsi="Aptos" w:cs="Aptos"/>
        </w:rPr>
        <w:t>¹</w:t>
      </w:r>
      <w:r w:rsidRPr="00235A34">
        <w:t xml:space="preserve"> as combinations of integers, </w:t>
      </w:r>
      <w:r w:rsidRPr="00235A34">
        <w:rPr>
          <w:rFonts w:ascii="Aptos" w:hAnsi="Aptos" w:cs="Aptos"/>
        </w:rPr>
        <w:t>π</w:t>
      </w:r>
      <w:r w:rsidRPr="00235A34">
        <w:t xml:space="preserve">, ln 2, the golden angle and powers of the golden ratio </w:t>
      </w:r>
      <w:r w:rsidRPr="00235A34">
        <w:rPr>
          <w:rFonts w:ascii="Aptos" w:hAnsi="Aptos" w:cs="Aptos"/>
        </w:rPr>
        <w:t>φ</w:t>
      </w:r>
      <w:r w:rsidRPr="00235A34">
        <w:t xml:space="preserve">. A representative example is the </w:t>
      </w:r>
      <w:r w:rsidRPr="00235A34">
        <w:rPr>
          <w:rFonts w:ascii="Aptos" w:hAnsi="Aptos" w:cs="Aptos"/>
        </w:rPr>
        <w:t>“</w:t>
      </w:r>
      <w:r w:rsidRPr="00235A34">
        <w:t>absolutely accurate</w:t>
      </w:r>
      <w:r w:rsidRPr="00235A34">
        <w:rPr>
          <w:rFonts w:ascii="Aptos" w:hAnsi="Aptos" w:cs="Aptos"/>
        </w:rPr>
        <w:t>”</w:t>
      </w:r>
      <w:r w:rsidRPr="00235A34">
        <w:t xml:space="preserve"> relation (in his notation)</w:t>
      </w:r>
    </w:p>
    <w:p w14:paraId="53B2F39A" w14:textId="77777777" w:rsidR="00FA0FFD" w:rsidRPr="00235A34" w:rsidRDefault="00FA0FFD" w:rsidP="00FA0FFD">
      <m:oMathPara>
        <m:oMath>
          <m:sSup>
            <m:sSupPr>
              <m:ctrlPr>
                <w:rPr>
                  <w:rFonts w:ascii="Cambria Math" w:hAnsi="Cambria Math"/>
                </w:rPr>
              </m:ctrlPr>
            </m:sSupPr>
            <m:e>
              <m:r>
                <w:rPr>
                  <w:rFonts w:ascii="Cambria Math" w:hAnsi="Cambria Math"/>
                </w:rPr>
                <m:t>α</m:t>
              </m:r>
            </m:e>
            <m:sup>
              <m:r>
                <w:rPr>
                  <w:rFonts w:ascii="Cambria Math" w:hAnsi="Cambria Math"/>
                </w:rPr>
                <m:t>-1</m:t>
              </m:r>
            </m:sup>
          </m:sSup>
          <m:r>
            <w:rPr>
              <w:rFonts w:ascii="Cambria Math" w:hAnsi="Cambria Math"/>
            </w:rPr>
            <m:t>;=;2⋅3⋅11⋅41⋅</m:t>
          </m:r>
          <m:sSup>
            <m:sSupPr>
              <m:ctrlPr>
                <w:rPr>
                  <w:rFonts w:ascii="Cambria Math" w:hAnsi="Cambria Math"/>
                </w:rPr>
              </m:ctrlPr>
            </m:sSupPr>
            <m:e>
              <m:r>
                <w:rPr>
                  <w:rFonts w:ascii="Cambria Math" w:hAnsi="Cambria Math"/>
                </w:rPr>
                <m:t>43</m:t>
              </m:r>
            </m:e>
            <m:sup>
              <m:r>
                <w:rPr>
                  <w:rFonts w:ascii="Cambria Math" w:hAnsi="Cambria Math"/>
                </w:rPr>
                <m:t>-1</m:t>
              </m:r>
            </m:sup>
          </m:sSup>
          <m:r>
            <w:rPr>
              <w:rFonts w:ascii="Cambria Math" w:hAnsi="Cambria Math"/>
            </w:rPr>
            <m:t>,</m:t>
          </m:r>
          <m:r>
            <m:rPr>
              <m:sty m:val="p"/>
            </m:rPr>
            <w:rPr>
              <w:rFonts w:ascii="Cambria Math" w:hAnsi="Cambria Math"/>
            </w:rPr>
            <m:t>ln</m:t>
          </m:r>
          <m:r>
            <w:rPr>
              <w:rFonts w:ascii="Cambria Math" w:hAnsi="Cambria Math"/>
            </w:rPr>
            <m:t>⁡2,π,</m:t>
          </m:r>
          <m:r>
            <m:rPr>
              <m:sty m:val="p"/>
            </m:rPr>
            <w:rPr>
              <w:rFonts w:ascii="Cambria Math" w:hAnsi="Cambria Math"/>
            </w:rPr>
            <w:br/>
          </m:r>
        </m:oMath>
      </m:oMathPara>
    </w:p>
    <w:p w14:paraId="133849FE" w14:textId="77777777" w:rsidR="00FA0FFD" w:rsidRPr="00235A34" w:rsidRDefault="00FA0FFD" w:rsidP="00FA0FFD">
      <w:r w:rsidRPr="00235A34">
        <w:lastRenderedPageBreak/>
        <w:t xml:space="preserve">together with equivalent forms involving the golden angle and </w:t>
      </w:r>
      <w:proofErr w:type="gramStart"/>
      <w:r w:rsidRPr="00235A34">
        <w:t>φ, and</w:t>
      </w:r>
      <w:proofErr w:type="gramEnd"/>
      <w:r w:rsidRPr="00235A34">
        <w:t xml:space="preserve"> continued-fraction representations. These are all </w:t>
      </w:r>
      <w:r w:rsidRPr="00235A34">
        <w:rPr>
          <w:i/>
          <w:iCs/>
        </w:rPr>
        <w:t>closed</w:t>
      </w:r>
      <w:r w:rsidRPr="00235A34">
        <w:t>, dimensionless expressions built only from standard mathematical constants.</w:t>
      </w:r>
    </w:p>
    <w:p w14:paraId="717B5017" w14:textId="77777777" w:rsidR="00FA0FFD" w:rsidRPr="00235A34" w:rsidRDefault="00FA0FFD" w:rsidP="00FA0FFD">
      <w:pPr>
        <w:rPr>
          <w:b/>
          <w:bCs/>
        </w:rPr>
      </w:pPr>
      <w:r w:rsidRPr="00235A34">
        <w:rPr>
          <w:b/>
          <w:bCs/>
        </w:rPr>
        <w:t>2. 2π–e formulas (“natural group” expressions)</w:t>
      </w:r>
    </w:p>
    <w:p w14:paraId="22BC72C0" w14:textId="77777777" w:rsidR="00FA0FFD" w:rsidRPr="00235A34" w:rsidRDefault="00FA0FFD" w:rsidP="00FA0FFD">
      <w:r w:rsidRPr="00235A34">
        <w:t xml:space="preserve">Chen et al. derive a family of “2π–e formulas” that extend Stirling’s formula and then show that </w:t>
      </w:r>
      <w:r w:rsidRPr="00235A34">
        <w:rPr>
          <w:b/>
          <w:bCs/>
        </w:rPr>
        <w:t>two specific values</w:t>
      </w:r>
    </w:p>
    <w:p w14:paraId="328AF4E9" w14:textId="77777777" w:rsidR="00FA0FFD" w:rsidRPr="00235A34" w:rsidRDefault="00FA0FFD" w:rsidP="00FA0FFD">
      <m:oMathPara>
        <m:oMath>
          <m:sSub>
            <m:sSubPr>
              <m:ctrlPr>
                <w:rPr>
                  <w:rFonts w:ascii="Cambria Math" w:hAnsi="Cambria Math"/>
                </w:rPr>
              </m:ctrlPr>
            </m:sSubPr>
            <m:e>
              <m:r>
                <w:rPr>
                  <w:rFonts w:ascii="Cambria Math" w:hAnsi="Cambria Math"/>
                </w:rPr>
                <m:t>α</m:t>
              </m:r>
            </m:e>
            <m:sub>
              <m:r>
                <w:rPr>
                  <w:rFonts w:ascii="Cambria Math" w:hAnsi="Cambria Math"/>
                </w:rPr>
                <m:t>1</m:t>
              </m:r>
            </m:sub>
          </m:sSub>
          <m:r>
            <w:rPr>
              <w:rFonts w:ascii="Cambria Math" w:hAnsi="Cambria Math"/>
            </w:rPr>
            <m:t>≈1</m:t>
          </m:r>
          <m:r>
            <m:rPr>
              <m:sty m:val="p"/>
            </m:rPr>
            <w:rPr>
              <w:rFonts w:ascii="Cambria Math" w:hAnsi="Cambria Math"/>
            </w:rPr>
            <m:t>/</m:t>
          </m:r>
          <m:r>
            <w:rPr>
              <w:rFonts w:ascii="Cambria Math" w:hAnsi="Cambria Math"/>
            </w:rPr>
            <m:t>137.035999037435,</m:t>
          </m:r>
          <m:sSub>
            <m:sSubPr>
              <m:ctrlPr>
                <w:rPr>
                  <w:rFonts w:ascii="Cambria Math" w:hAnsi="Cambria Math"/>
                </w:rPr>
              </m:ctrlPr>
            </m:sSubPr>
            <m:e>
              <m:r>
                <w:rPr>
                  <w:rFonts w:ascii="Cambria Math" w:hAnsi="Cambria Math"/>
                </w:rPr>
                <m:t>α</m:t>
              </m:r>
            </m:e>
            <m:sub>
              <m:r>
                <w:rPr>
                  <w:rFonts w:ascii="Cambria Math" w:hAnsi="Cambria Math"/>
                </w:rPr>
                <m:t>2</m:t>
              </m:r>
            </m:sub>
          </m:sSub>
          <m:r>
            <w:rPr>
              <w:rFonts w:ascii="Cambria Math" w:hAnsi="Cambria Math"/>
            </w:rPr>
            <m:t>≈1</m:t>
          </m:r>
          <m:r>
            <m:rPr>
              <m:sty m:val="p"/>
            </m:rPr>
            <w:rPr>
              <w:rFonts w:ascii="Cambria Math" w:hAnsi="Cambria Math"/>
            </w:rPr>
            <m:t>/</m:t>
          </m:r>
          <m:r>
            <w:rPr>
              <w:rFonts w:ascii="Cambria Math" w:hAnsi="Cambria Math"/>
            </w:rPr>
            <m:t>137.035999111818</m:t>
          </m:r>
          <m:r>
            <m:rPr>
              <m:sty m:val="p"/>
            </m:rPr>
            <w:rPr>
              <w:rFonts w:ascii="Cambria Math" w:hAnsi="Cambria Math"/>
            </w:rPr>
            <w:br/>
          </m:r>
        </m:oMath>
      </m:oMathPara>
    </w:p>
    <w:p w14:paraId="17E25B39" w14:textId="77777777" w:rsidR="00FA0FFD" w:rsidRPr="00235A34" w:rsidRDefault="00FA0FFD" w:rsidP="00FA0FFD">
      <w:r w:rsidRPr="00235A34">
        <w:t xml:space="preserve">follow from those expressions, again using only 2π, </w:t>
      </w:r>
      <w:r w:rsidRPr="00235A34">
        <w:rPr>
          <w:i/>
          <w:iCs/>
        </w:rPr>
        <w:t>e</w:t>
      </w:r>
      <w:r w:rsidRPr="00235A34">
        <w:t xml:space="preserve"> and number-theoretic factors. They treat these as </w:t>
      </w:r>
      <w:r w:rsidRPr="00235A34">
        <w:rPr>
          <w:i/>
          <w:iCs/>
        </w:rPr>
        <w:t>exact analytic forms</w:t>
      </w:r>
      <w:r w:rsidRPr="00235A34">
        <w:t xml:space="preserve"> for α, with the measured value of α interpreted as lying between α₁ and α₂.</w:t>
      </w:r>
    </w:p>
    <w:p w14:paraId="61D2659C" w14:textId="77777777" w:rsidR="00FA0FFD" w:rsidRPr="00235A34" w:rsidRDefault="00FA0FFD" w:rsidP="00FA0FFD">
      <w:pPr>
        <w:rPr>
          <w:b/>
          <w:bCs/>
        </w:rPr>
      </w:pPr>
      <w:r w:rsidRPr="00235A34">
        <w:rPr>
          <w:b/>
          <w:bCs/>
        </w:rPr>
        <w:t>3. Golden-ratio / hydrogen-geometry expressions</w:t>
      </w:r>
    </w:p>
    <w:p w14:paraId="5F90EB96" w14:textId="77777777" w:rsidR="00FA0FFD" w:rsidRPr="00235A34" w:rsidRDefault="00FA0FFD" w:rsidP="00FA0FFD">
      <w:r w:rsidRPr="00235A34">
        <w:t xml:space="preserve">Sherbon shows that α can be obtained from the </w:t>
      </w:r>
      <w:r w:rsidRPr="00235A34">
        <w:rPr>
          <w:b/>
          <w:bCs/>
        </w:rPr>
        <w:t>golden-ratio geometry of the hydrogen atom</w:t>
      </w:r>
      <w:r w:rsidRPr="00235A34">
        <w:t>, Kepler-like triangles and quartic polynomials. In these works, α</w:t>
      </w:r>
      <w:r w:rsidRPr="00235A34">
        <w:rPr>
          <w:rFonts w:ascii="Cambria Math" w:hAnsi="Cambria Math" w:cs="Cambria Math"/>
        </w:rPr>
        <w:t>⁻</w:t>
      </w:r>
      <w:r w:rsidRPr="00235A34">
        <w:rPr>
          <w:rFonts w:ascii="Aptos" w:hAnsi="Aptos" w:cs="Aptos"/>
        </w:rPr>
        <w:t>¹</w:t>
      </w:r>
      <w:r w:rsidRPr="00235A34">
        <w:t xml:space="preserve"> is written explicitly as a closed function of </w:t>
      </w:r>
      <w:r w:rsidRPr="00235A34">
        <w:rPr>
          <w:rFonts w:ascii="Aptos" w:hAnsi="Aptos" w:cs="Aptos"/>
        </w:rPr>
        <w:t>φ</w:t>
      </w:r>
      <w:r w:rsidRPr="00235A34">
        <w:t>, the Laplace limit of Kepler</w:t>
      </w:r>
      <w:r w:rsidRPr="00235A34">
        <w:rPr>
          <w:rFonts w:ascii="Aptos" w:hAnsi="Aptos" w:cs="Aptos"/>
        </w:rPr>
        <w:t>’</w:t>
      </w:r>
      <w:r w:rsidRPr="00235A34">
        <w:t xml:space="preserve">s equation, and related constants, giving a numerical value coincident with the empirical </w:t>
      </w:r>
      <w:r w:rsidRPr="00235A34">
        <w:rPr>
          <w:rFonts w:ascii="Aptos" w:hAnsi="Aptos" w:cs="Aptos"/>
        </w:rPr>
        <w:t>α</w:t>
      </w:r>
      <w:r w:rsidRPr="00235A34">
        <w:t xml:space="preserve"> to high precision.</w:t>
      </w:r>
    </w:p>
    <w:p w14:paraId="55AAB222" w14:textId="77777777" w:rsidR="00FA0FFD" w:rsidRPr="00235A34" w:rsidRDefault="00FA0FFD" w:rsidP="00FA0FFD">
      <w:pPr>
        <w:rPr>
          <w:b/>
          <w:bCs/>
        </w:rPr>
      </w:pPr>
      <w:r w:rsidRPr="00235A34">
        <w:rPr>
          <w:b/>
          <w:bCs/>
        </w:rPr>
        <w:t>4. Relations with Feigenbaum’s constant δ</w:t>
      </w:r>
    </w:p>
    <w:p w14:paraId="108097A0" w14:textId="77777777" w:rsidR="00FA0FFD" w:rsidRPr="00235A34" w:rsidRDefault="00FA0FFD" w:rsidP="00FA0FFD">
      <w:r w:rsidRPr="00235A34">
        <w:t xml:space="preserve">Hieb demonstrates a simple algebraic relationship between the fine-structure constant and </w:t>
      </w:r>
      <w:r w:rsidRPr="00235A34">
        <w:rPr>
          <w:b/>
          <w:bCs/>
        </w:rPr>
        <w:t>Feigenbaum’s scaling constant</w:t>
      </w:r>
      <w:r w:rsidRPr="00235A34">
        <w:t xml:space="preserve"> δ of period-doubling universality. The proposed law expresses α as a straightforward function of δ (again purely numerical, with no units</w:t>
      </w:r>
      <w:proofErr w:type="gramStart"/>
      <w:r w:rsidRPr="00235A34">
        <w:t>), and</w:t>
      </w:r>
      <w:proofErr w:type="gramEnd"/>
      <w:r w:rsidRPr="00235A34">
        <w:t xml:space="preserve"> reproduces α numerically. This is another fully closed representation of α in terms of a well-defined mathematical constant.</w:t>
      </w:r>
    </w:p>
    <w:p w14:paraId="30457D5D" w14:textId="77777777" w:rsidR="00FA0FFD" w:rsidRPr="00235A34" w:rsidRDefault="00FA0FFD" w:rsidP="00FA0FFD">
      <w:pPr>
        <w:rPr>
          <w:b/>
          <w:bCs/>
        </w:rPr>
      </w:pPr>
      <w:r w:rsidRPr="00235A34">
        <w:rPr>
          <w:b/>
          <w:bCs/>
        </w:rPr>
        <w:t>5. Geometric and packing expressions</w:t>
      </w:r>
    </w:p>
    <w:p w14:paraId="74E72103" w14:textId="77777777" w:rsidR="00FA0FFD" w:rsidRPr="00235A34" w:rsidRDefault="00FA0FFD" w:rsidP="00FA0FFD">
      <w:pPr>
        <w:numPr>
          <w:ilvl w:val="0"/>
          <w:numId w:val="19"/>
        </w:numPr>
      </w:pPr>
      <w:r w:rsidRPr="00235A34">
        <w:t xml:space="preserve">Koshy obtains a constant numerically indistinguishable from α from a </w:t>
      </w:r>
      <w:r w:rsidRPr="00235A34">
        <w:rPr>
          <w:b/>
          <w:bCs/>
        </w:rPr>
        <w:t>two-stage spherical packing</w:t>
      </w:r>
      <w:r w:rsidRPr="00235A34">
        <w:t xml:space="preserve"> construction, where the number of packed entities and the effective radius are fixed by optimal symmetry constraints (e.g. 7-entity diameters, 155-entity substructures, 1838-entity composites). The resulting “packing constant” has the same form and value as the fine-structure constant, so α is represented as a precise ratio of integer counts and geometric factors in that model.</w:t>
      </w:r>
    </w:p>
    <w:p w14:paraId="61EA7430" w14:textId="77777777" w:rsidR="00FA0FFD" w:rsidRPr="00235A34" w:rsidRDefault="00FA0FFD" w:rsidP="00FA0FFD">
      <w:pPr>
        <w:numPr>
          <w:ilvl w:val="0"/>
          <w:numId w:val="19"/>
        </w:numPr>
      </w:pPr>
      <w:r w:rsidRPr="00235A34">
        <w:t xml:space="preserve">Yee derives α from </w:t>
      </w:r>
      <w:r w:rsidRPr="00235A34">
        <w:rPr>
          <w:b/>
          <w:bCs/>
        </w:rPr>
        <w:t>surface-area ratios</w:t>
      </w:r>
      <w:r w:rsidRPr="00235A34">
        <w:t xml:space="preserve"> in a body-centred cubic (bcc) lattice of space-filling granules. In that framework the fine-structure constant is literally a ratio of two analytically computed areas (built from π and lattice parameters), hence a closed geometric expression.</w:t>
      </w:r>
    </w:p>
    <w:p w14:paraId="7A783844" w14:textId="77777777" w:rsidR="00FA0FFD" w:rsidRPr="00235A34" w:rsidRDefault="00FA0FFD" w:rsidP="00FA0FFD">
      <w:pPr>
        <w:rPr>
          <w:b/>
          <w:bCs/>
        </w:rPr>
      </w:pPr>
      <w:r w:rsidRPr="00235A34">
        <w:rPr>
          <w:b/>
          <w:bCs/>
        </w:rPr>
        <w:t>6. Topological and field-theoretic formulae</w:t>
      </w:r>
    </w:p>
    <w:p w14:paraId="711378F1" w14:textId="77777777" w:rsidR="00FA0FFD" w:rsidRPr="00235A34" w:rsidRDefault="00FA0FFD" w:rsidP="00FA0FFD">
      <w:r w:rsidRPr="00235A34">
        <w:t>Ellgen expresses α via the relation</w:t>
      </w:r>
    </w:p>
    <w:p w14:paraId="1313B9A7" w14:textId="77777777" w:rsidR="00FA0FFD" w:rsidRPr="00235A34" w:rsidRDefault="00FA0FFD" w:rsidP="00FA0FFD">
      <m:oMathPara>
        <m:oMath>
          <m:sSup>
            <m:sSupPr>
              <m:ctrlPr>
                <w:rPr>
                  <w:rFonts w:ascii="Cambria Math" w:hAnsi="Cambria Math"/>
                </w:rPr>
              </m:ctrlPr>
            </m:sSupPr>
            <m:e>
              <m:r>
                <w:rPr>
                  <w:rFonts w:ascii="Cambria Math" w:hAnsi="Cambria Math"/>
                </w:rPr>
                <m:t>α</m:t>
              </m:r>
            </m:e>
            <m:sup>
              <m:r>
                <w:rPr>
                  <w:rFonts w:ascii="Cambria Math" w:hAnsi="Cambria Math"/>
                </w:rPr>
                <m:t>-1</m:t>
              </m:r>
            </m:sup>
          </m:sSup>
          <m:r>
            <w:rPr>
              <w:rFonts w:ascii="Cambria Math" w:hAnsi="Cambria Math"/>
            </w:rPr>
            <m:t>;=;</m:t>
          </m:r>
          <m:f>
            <m:fPr>
              <m:ctrlPr>
                <w:rPr>
                  <w:rFonts w:ascii="Cambria Math" w:hAnsi="Cambria Math"/>
                </w:rPr>
              </m:ctrlPr>
            </m:fPr>
            <m:num>
              <m:r>
                <w:rPr>
                  <w:rFonts w:ascii="Cambria Math" w:hAnsi="Cambria Math"/>
                </w:rPr>
                <m:t>8π,S(</m:t>
              </m:r>
              <m:sSup>
                <m:sSupPr>
                  <m:ctrlPr>
                    <w:rPr>
                      <w:rFonts w:ascii="Cambria Math" w:hAnsi="Cambria Math"/>
                    </w:rPr>
                  </m:ctrlPr>
                </m:sSupPr>
                <m:e>
                  <m:r>
                    <w:rPr>
                      <w:rFonts w:ascii="Cambria Math" w:hAnsi="Cambria Math"/>
                    </w:rPr>
                    <m:t>q</m:t>
                  </m:r>
                </m:e>
                <m:sup>
                  <m:r>
                    <w:rPr>
                      <w:rFonts w:ascii="Cambria Math" w:hAnsi="Cambria Math"/>
                    </w:rPr>
                    <m:t>2</m:t>
                  </m:r>
                </m:sup>
              </m:sSup>
              <m:r>
                <w:rPr>
                  <w:rFonts w:ascii="Cambria Math" w:hAnsi="Cambria Math"/>
                </w:rPr>
                <m:t>)</m:t>
              </m:r>
            </m:num>
            <m:den>
              <m:sSup>
                <m:sSupPr>
                  <m:ctrlPr>
                    <w:rPr>
                      <w:rFonts w:ascii="Cambria Math" w:hAnsi="Cambria Math"/>
                    </w:rPr>
                  </m:ctrlPr>
                </m:sSupPr>
                <m:e>
                  <m:r>
                    <w:rPr>
                      <w:rFonts w:ascii="Cambria Math" w:hAnsi="Cambria Math"/>
                    </w:rPr>
                    <m:t>q</m:t>
                  </m:r>
                </m:e>
                <m:sup>
                  <m:r>
                    <w:rPr>
                      <w:rFonts w:ascii="Cambria Math" w:hAnsi="Cambria Math"/>
                    </w:rPr>
                    <m:t>2</m:t>
                  </m:r>
                </m:sup>
              </m:sSup>
            </m:den>
          </m:f>
          <m:r>
            <w:rPr>
              <w:rFonts w:ascii="Cambria Math" w:hAnsi="Cambria Math"/>
            </w:rPr>
            <m:t>,</m:t>
          </m:r>
          <m:r>
            <m:rPr>
              <m:sty m:val="p"/>
            </m:rPr>
            <w:rPr>
              <w:rFonts w:ascii="Cambria Math" w:hAnsi="Cambria Math"/>
            </w:rPr>
            <w:br/>
          </m:r>
        </m:oMath>
      </m:oMathPara>
    </w:p>
    <w:p w14:paraId="76C5F822" w14:textId="77777777" w:rsidR="00FA0FFD" w:rsidRPr="00235A34" w:rsidRDefault="00FA0FFD" w:rsidP="00FA0FFD">
      <w:r w:rsidRPr="00235A34">
        <w:lastRenderedPageBreak/>
        <w:t xml:space="preserve">where S(q²) is the spin angular momentum of the electron as a function of its charge squared, computed from the </w:t>
      </w:r>
      <w:r w:rsidRPr="00235A34">
        <w:rPr>
          <w:b/>
          <w:bCs/>
        </w:rPr>
        <w:t>knot geometry</w:t>
      </w:r>
      <w:r w:rsidRPr="00235A34">
        <w:t xml:space="preserve"> of the particle and the relative momentum stored in the electromagnetic and geometric fields. Once the geometry is specified, this gives a closed analytic prediction α</w:t>
      </w:r>
      <w:r w:rsidRPr="00235A34">
        <w:rPr>
          <w:rFonts w:ascii="Cambria Math" w:hAnsi="Cambria Math" w:cs="Cambria Math"/>
        </w:rPr>
        <w:t>⁻</w:t>
      </w:r>
      <w:r w:rsidRPr="00235A34">
        <w:rPr>
          <w:rFonts w:ascii="Aptos" w:hAnsi="Aptos" w:cs="Aptos"/>
        </w:rPr>
        <w:t>¹</w:t>
      </w:r>
      <w:r w:rsidRPr="00235A34">
        <w:t xml:space="preserve"> </w:t>
      </w:r>
      <w:r w:rsidRPr="00235A34">
        <w:rPr>
          <w:rFonts w:ascii="Aptos" w:hAnsi="Aptos" w:cs="Aptos"/>
        </w:rPr>
        <w:t>≈</w:t>
      </w:r>
      <w:r w:rsidRPr="00235A34">
        <w:t xml:space="preserve"> 136.85.</w:t>
      </w:r>
    </w:p>
    <w:p w14:paraId="23CD2099" w14:textId="77777777" w:rsidR="00FA0FFD" w:rsidRPr="00235A34" w:rsidRDefault="00FA0FFD" w:rsidP="00FA0FFD">
      <w:r w:rsidRPr="00235A34">
        <w:t xml:space="preserve">Nakayama, starting from Coulomb’s law and Planck’s relation, shows that demanding the Coulombic binding energy equal the photon energy leads to an identity in which the fine-structure constant is the </w:t>
      </w:r>
      <w:r w:rsidRPr="00235A34">
        <w:rPr>
          <w:b/>
          <w:bCs/>
        </w:rPr>
        <w:t>dimensionless ratio of electron–proton separation to photon wavelength</w:t>
      </w:r>
      <w:r w:rsidRPr="00235A34">
        <w:t xml:space="preserve">, again expressible as a closed combination of μ₀, </w:t>
      </w:r>
      <w:r w:rsidRPr="00235A34">
        <w:rPr>
          <w:i/>
          <w:iCs/>
        </w:rPr>
        <w:t>c</w:t>
      </w:r>
      <w:r w:rsidRPr="00235A34">
        <w:t xml:space="preserve">, </w:t>
      </w:r>
      <w:r w:rsidRPr="00235A34">
        <w:rPr>
          <w:i/>
          <w:iCs/>
        </w:rPr>
        <w:t>e</w:t>
      </w:r>
      <w:r w:rsidRPr="00235A34">
        <w:t xml:space="preserve"> and </w:t>
      </w:r>
      <w:r w:rsidRPr="00235A34">
        <w:rPr>
          <w:rFonts w:ascii="Cambria Math" w:hAnsi="Cambria Math" w:cs="Cambria Math"/>
        </w:rPr>
        <w:t>ℏ</w:t>
      </w:r>
      <w:r w:rsidRPr="00235A34">
        <w:t>.</w:t>
      </w:r>
    </w:p>
    <w:p w14:paraId="0F6844F5" w14:textId="77777777" w:rsidR="00FA0FFD" w:rsidRPr="00235A34" w:rsidRDefault="00FA0FFD" w:rsidP="00FA0FFD">
      <w:pPr>
        <w:rPr>
          <w:b/>
          <w:bCs/>
        </w:rPr>
      </w:pPr>
      <w:r w:rsidRPr="00235A34">
        <w:rPr>
          <w:b/>
          <w:bCs/>
        </w:rPr>
        <w:t>7. Mass–</w:t>
      </w:r>
      <w:proofErr w:type="gramStart"/>
      <w:r w:rsidRPr="00235A34">
        <w:rPr>
          <w:b/>
          <w:bCs/>
        </w:rPr>
        <w:t>energy based</w:t>
      </w:r>
      <w:proofErr w:type="gramEnd"/>
      <w:r w:rsidRPr="00235A34">
        <w:rPr>
          <w:b/>
          <w:bCs/>
        </w:rPr>
        <w:t xml:space="preserve"> formulas</w:t>
      </w:r>
    </w:p>
    <w:p w14:paraId="2E2A2766" w14:textId="77777777" w:rsidR="00FA0FFD" w:rsidRPr="00235A34" w:rsidRDefault="00FA0FFD" w:rsidP="00FA0FFD">
      <w:r w:rsidRPr="00235A34">
        <w:t>Perković derives a quantized mass–energy equivalence relation based on momentum conservation in photon emission, and from it obtains α as a specific dimensionless factor in that relation. The resulting expression is an explicit analytic constant coming from the underlying relativistic–quantum kinematics.</w:t>
      </w:r>
    </w:p>
    <w:p w14:paraId="223636F8" w14:textId="77777777" w:rsidR="00FA0FFD" w:rsidRPr="00235A34" w:rsidRDefault="00FA0FFD" w:rsidP="00FA0FFD">
      <w:pPr>
        <w:rPr>
          <w:b/>
          <w:bCs/>
        </w:rPr>
      </w:pPr>
      <w:r w:rsidRPr="00235A34">
        <w:rPr>
          <w:b/>
          <w:bCs/>
        </w:rPr>
        <w:t>Summary</w:t>
      </w:r>
    </w:p>
    <w:p w14:paraId="14E78371" w14:textId="77777777" w:rsidR="00FA0FFD" w:rsidRPr="00235A34" w:rsidRDefault="00FA0FFD" w:rsidP="00FA0FFD">
      <w:r w:rsidRPr="00235A34">
        <w:t xml:space="preserve">So, </w:t>
      </w:r>
      <w:r w:rsidRPr="00235A34">
        <w:rPr>
          <w:b/>
          <w:bCs/>
        </w:rPr>
        <w:t>yes</w:t>
      </w:r>
      <w:r w:rsidRPr="00235A34">
        <w:t>: within these frameworks, the fine-structure constant is not left as an unexplained empirical parameter. It is represented by:</w:t>
      </w:r>
    </w:p>
    <w:p w14:paraId="10AA3423" w14:textId="77777777" w:rsidR="00FA0FFD" w:rsidRPr="00235A34" w:rsidRDefault="00FA0FFD" w:rsidP="00FA0FFD">
      <w:pPr>
        <w:numPr>
          <w:ilvl w:val="0"/>
          <w:numId w:val="20"/>
        </w:numPr>
      </w:pPr>
      <w:r w:rsidRPr="00235A34">
        <w:t xml:space="preserve">exact or “exact-to-precision” closed expressions in π, </w:t>
      </w:r>
      <w:r w:rsidRPr="00235A34">
        <w:rPr>
          <w:i/>
          <w:iCs/>
        </w:rPr>
        <w:t>e</w:t>
      </w:r>
      <w:r w:rsidRPr="00235A34">
        <w:t>, ln 2, φ, δ, etc.,</w:t>
      </w:r>
    </w:p>
    <w:p w14:paraId="6C9ECB06" w14:textId="77777777" w:rsidR="00FA0FFD" w:rsidRPr="00235A34" w:rsidRDefault="00FA0FFD" w:rsidP="00FA0FFD">
      <w:pPr>
        <w:numPr>
          <w:ilvl w:val="0"/>
          <w:numId w:val="20"/>
        </w:numPr>
      </w:pPr>
      <w:r w:rsidRPr="00235A34">
        <w:t>geometric ratios (packing, lattice and orbital geometry), and</w:t>
      </w:r>
    </w:p>
    <w:p w14:paraId="22DF9ABF" w14:textId="77777777" w:rsidR="00FA0FFD" w:rsidRPr="00235A34" w:rsidRDefault="00FA0FFD" w:rsidP="00FA0FFD">
      <w:pPr>
        <w:numPr>
          <w:ilvl w:val="0"/>
          <w:numId w:val="20"/>
        </w:numPr>
      </w:pPr>
      <w:r w:rsidRPr="00235A34">
        <w:t>topological/field-theoretic and mass–energy identities,</w:t>
      </w:r>
    </w:p>
    <w:p w14:paraId="774044B6" w14:textId="77777777" w:rsidR="00FA0FFD" w:rsidRPr="00235A34" w:rsidRDefault="00FA0FFD" w:rsidP="00FA0FFD">
      <w:r w:rsidRPr="00235A34">
        <w:t>all of which are fully analytic and dimensionless.</w:t>
      </w:r>
    </w:p>
    <w:p w14:paraId="7798E436" w14:textId="77777777" w:rsidR="00FA0FFD" w:rsidRDefault="00FA0FFD" w:rsidP="00FA0FFD">
      <w:r w:rsidRPr="00235A34">
        <w:t xml:space="preserve">The different formulas emphasize different underlying structures, but they agree on the key point: </w:t>
      </w:r>
      <w:r w:rsidRPr="00235A34">
        <w:rPr>
          <w:b/>
          <w:bCs/>
        </w:rPr>
        <w:t>α admits a closed mathematical representation and is not fundamentally arbitrary.</w:t>
      </w:r>
      <w:r>
        <w:rPr>
          <w:b/>
          <w:bCs/>
        </w:rPr>
        <w:t xml:space="preserve"> </w:t>
      </w:r>
    </w:p>
    <w:p w14:paraId="3F77F39D" w14:textId="77777777" w:rsidR="00FA0FFD" w:rsidRPr="009F1C1B" w:rsidRDefault="00FA0FFD" w:rsidP="00FA0FFD">
      <w:pPr>
        <w:pStyle w:val="Style1"/>
      </w:pPr>
      <w:bookmarkStart w:id="9" w:name="_Toc219386904"/>
      <w:r>
        <w:t xml:space="preserve">3.3 </w:t>
      </w:r>
      <w:r w:rsidRPr="009F1C1B">
        <w:t>Question 3: Can the fine structure constant be expressed by the Madelung constant?</w:t>
      </w:r>
      <w:bookmarkEnd w:id="9"/>
      <w:r w:rsidRPr="009F1C1B">
        <w:t xml:space="preserve"> </w:t>
      </w:r>
    </w:p>
    <w:p w14:paraId="77C99B95" w14:textId="77777777" w:rsidR="00FA0FFD" w:rsidRPr="009F1C1B" w:rsidRDefault="00FA0FFD" w:rsidP="00FA0FFD">
      <w:pPr>
        <w:rPr>
          <w:b/>
          <w:bCs/>
        </w:rPr>
      </w:pPr>
      <w:r w:rsidRPr="009F1C1B">
        <w:rPr>
          <w:b/>
          <w:bCs/>
        </w:rPr>
        <w:t xml:space="preserve">Answer: </w:t>
      </w:r>
    </w:p>
    <w:p w14:paraId="0C62A343" w14:textId="77777777" w:rsidR="00FA0FFD" w:rsidRPr="00235A34" w:rsidRDefault="00FA0FFD" w:rsidP="00FA0FFD">
      <w:r w:rsidRPr="00235A34">
        <w:t xml:space="preserve">Yes. Within the literature, the fine-structure constant </w:t>
      </w:r>
      <w:r w:rsidRPr="00235A34">
        <w:rPr>
          <w:b/>
          <w:bCs/>
        </w:rPr>
        <w:t>can indeed be expressed in terms of the Madelung constant</w:t>
      </w:r>
      <w:r w:rsidRPr="00235A34">
        <w:t xml:space="preserve">, and this relationship is presented as an </w:t>
      </w:r>
      <w:r w:rsidRPr="00235A34">
        <w:rPr>
          <w:i/>
          <w:iCs/>
        </w:rPr>
        <w:t>exact analytic expression</w:t>
      </w:r>
      <w:r w:rsidRPr="00235A34">
        <w:t>.</w:t>
      </w:r>
    </w:p>
    <w:p w14:paraId="3F1DE5D5" w14:textId="77777777" w:rsidR="00FA0FFD" w:rsidRPr="00235A34" w:rsidRDefault="00FA0FFD" w:rsidP="00FA0FFD">
      <w:r w:rsidRPr="00235A34">
        <w:t xml:space="preserve">The closed-form relations appear explicitly in the work of </w:t>
      </w:r>
      <w:r w:rsidRPr="00235A34">
        <w:rPr>
          <w:b/>
          <w:bCs/>
        </w:rPr>
        <w:t>Pellis (2021)</w:t>
      </w:r>
      <w:r w:rsidRPr="00235A34">
        <w:t>, who gives a family of equivalent formulas linking α</w:t>
      </w:r>
      <w:r w:rsidRPr="00235A34">
        <w:rPr>
          <w:rFonts w:ascii="Cambria Math" w:hAnsi="Cambria Math" w:cs="Cambria Math"/>
        </w:rPr>
        <w:t>⁻</w:t>
      </w:r>
      <w:r w:rsidRPr="00235A34">
        <w:rPr>
          <w:rFonts w:ascii="Aptos" w:hAnsi="Aptos" w:cs="Aptos"/>
        </w:rPr>
        <w:t>¹</w:t>
      </w:r>
      <w:r w:rsidRPr="00235A34">
        <w:t xml:space="preserve"> to the </w:t>
      </w:r>
      <w:r w:rsidRPr="00235A34">
        <w:rPr>
          <w:b/>
          <w:bCs/>
        </w:rPr>
        <w:t>Madelung constant</w:t>
      </w:r>
      <w:r w:rsidRPr="00235A34">
        <w:t xml:space="preserve"> (b</w:t>
      </w:r>
      <w:proofErr w:type="gramStart"/>
      <w:r w:rsidRPr="00235A34">
        <w:t>₂(</w:t>
      </w:r>
      <w:proofErr w:type="gramEnd"/>
      <w:r w:rsidRPr="00235A34">
        <w:t>2)). The relevant expressions are:</w:t>
      </w:r>
    </w:p>
    <w:p w14:paraId="7906E176" w14:textId="77777777" w:rsidR="00FA0FFD" w:rsidRPr="00235A34" w:rsidRDefault="00FA0FFD" w:rsidP="00FA0FFD">
      <m:oMathPara>
        <m:oMath>
          <m:sSup>
            <m:sSupPr>
              <m:ctrlPr>
                <w:rPr>
                  <w:rFonts w:ascii="Cambria Math" w:hAnsi="Cambria Math"/>
                </w:rPr>
              </m:ctrlPr>
            </m:sSupPr>
            <m:e>
              <m:r>
                <w:rPr>
                  <w:rFonts w:ascii="Cambria Math" w:hAnsi="Cambria Math"/>
                </w:rPr>
                <m:t>α</m:t>
              </m:r>
            </m:e>
            <m:sup>
              <m:r>
                <w:rPr>
                  <w:rFonts w:ascii="Cambria Math" w:hAnsi="Cambria Math"/>
                </w:rPr>
                <m:t>-1</m:t>
              </m:r>
            </m:sup>
          </m:sSup>
          <m:r>
            <w:rPr>
              <w:rFonts w:ascii="Cambria Math" w:hAnsi="Cambria Math"/>
            </w:rPr>
            <m:t>=-</m:t>
          </m:r>
          <m:f>
            <m:fPr>
              <m:ctrlPr>
                <w:rPr>
                  <w:rFonts w:ascii="Cambria Math" w:hAnsi="Cambria Math"/>
                </w:rPr>
              </m:ctrlPr>
            </m:fPr>
            <m:num>
              <m:r>
                <w:rPr>
                  <w:rFonts w:ascii="Cambria Math" w:hAnsi="Cambria Math"/>
                </w:rPr>
                <m:t>2.706</m:t>
              </m:r>
            </m:num>
            <m:den>
              <m:r>
                <w:rPr>
                  <w:rFonts w:ascii="Cambria Math" w:hAnsi="Cambria Math"/>
                </w:rPr>
                <m:t>43</m:t>
              </m:r>
            </m:den>
          </m:f>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2</m:t>
              </m:r>
            </m:sub>
          </m:sSub>
          <m:r>
            <w:rPr>
              <w:rFonts w:ascii="Cambria Math" w:hAnsi="Cambria Math"/>
            </w:rPr>
            <m:t>(2)</m:t>
          </m:r>
          <m:r>
            <m:rPr>
              <m:sty m:val="p"/>
            </m:rPr>
            <w:rPr>
              <w:rFonts w:ascii="Cambria Math" w:hAnsi="Cambria Math"/>
            </w:rPr>
            <w:br/>
          </m:r>
        </m:oMath>
        <m:oMath>
          <m:sSup>
            <m:sSupPr>
              <m:ctrlPr>
                <w:rPr>
                  <w:rFonts w:ascii="Cambria Math" w:hAnsi="Cambria Math"/>
                </w:rPr>
              </m:ctrlPr>
            </m:sSupPr>
            <m:e>
              <m:r>
                <w:rPr>
                  <w:rFonts w:ascii="Cambria Math" w:hAnsi="Cambria Math"/>
                </w:rPr>
                <m:t>α</m:t>
              </m:r>
            </m:e>
            <m:sup>
              <m:r>
                <w:rPr>
                  <w:rFonts w:ascii="Cambria Math" w:hAnsi="Cambria Math"/>
                </w:rPr>
                <m:t>-1</m:t>
              </m:r>
            </m:sup>
          </m:sSup>
          <m:r>
            <w:rPr>
              <w:rFonts w:ascii="Cambria Math" w:hAnsi="Cambria Math"/>
            </w:rPr>
            <m:t>=-2⋅3⋅11⋅41⋅</m:t>
          </m:r>
          <m:sSup>
            <m:sSupPr>
              <m:ctrlPr>
                <w:rPr>
                  <w:rFonts w:ascii="Cambria Math" w:hAnsi="Cambria Math"/>
                </w:rPr>
              </m:ctrlPr>
            </m:sSupPr>
            <m:e>
              <m:r>
                <w:rPr>
                  <w:rFonts w:ascii="Cambria Math" w:hAnsi="Cambria Math"/>
                </w:rPr>
                <m:t>43</m:t>
              </m:r>
            </m:e>
            <m:sup>
              <m:r>
                <w:rPr>
                  <w:rFonts w:ascii="Cambria Math" w:hAnsi="Cambria Math"/>
                </w:rPr>
                <m:t>-1</m:t>
              </m:r>
            </m:sup>
          </m:sSup>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2</m:t>
              </m:r>
            </m:sub>
          </m:sSub>
          <m:r>
            <w:rPr>
              <w:rFonts w:ascii="Cambria Math" w:hAnsi="Cambria Math"/>
            </w:rPr>
            <m:t>(2)</m:t>
          </m:r>
          <m:r>
            <m:rPr>
              <m:sty m:val="p"/>
            </m:rPr>
            <w:rPr>
              <w:rFonts w:ascii="Cambria Math" w:hAnsi="Cambria Math"/>
            </w:rPr>
            <w:br/>
          </m:r>
        </m:oMath>
        <m:oMath>
          <m:sSup>
            <m:sSupPr>
              <m:ctrlPr>
                <w:rPr>
                  <w:rFonts w:ascii="Cambria Math" w:hAnsi="Cambria Math"/>
                </w:rPr>
              </m:ctrlPr>
            </m:sSupPr>
            <m:e>
              <m:r>
                <w:rPr>
                  <w:rFonts w:ascii="Cambria Math" w:hAnsi="Cambria Math"/>
                </w:rPr>
                <m:t>α</m:t>
              </m:r>
            </m:e>
            <m:sup>
              <m:r>
                <w:rPr>
                  <w:rFonts w:ascii="Cambria Math" w:hAnsi="Cambria Math"/>
                </w:rPr>
                <m:t>-1</m:t>
              </m:r>
            </m:sup>
          </m:sSup>
          <m:r>
            <w:rPr>
              <w:rFonts w:ascii="Cambria Math" w:hAnsi="Cambria Math"/>
            </w:rPr>
            <m:t>=-[(143-38)⋅</m:t>
          </m:r>
          <m:sSup>
            <m:sSupPr>
              <m:ctrlPr>
                <w:rPr>
                  <w:rFonts w:ascii="Cambria Math" w:hAnsi="Cambria Math"/>
                </w:rPr>
              </m:ctrlPr>
            </m:sSupPr>
            <m:e>
              <m:r>
                <w:rPr>
                  <w:rFonts w:ascii="Cambria Math" w:hAnsi="Cambria Math"/>
                </w:rPr>
                <m:t>43</m:t>
              </m:r>
            </m:e>
            <m:sup>
              <m:r>
                <w:rPr>
                  <w:rFonts w:ascii="Cambria Math" w:hAnsi="Cambria Math"/>
                </w:rPr>
                <m:t>-1</m:t>
              </m:r>
            </m:sup>
          </m:sSup>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2</m:t>
              </m:r>
            </m:sub>
          </m:sSub>
          <m:r>
            <w:rPr>
              <w:rFonts w:ascii="Cambria Math" w:hAnsi="Cambria Math"/>
            </w:rPr>
            <m:t>(2)</m:t>
          </m:r>
          <m:r>
            <m:rPr>
              <m:sty m:val="p"/>
            </m:rPr>
            <w:rPr>
              <w:rFonts w:ascii="Cambria Math" w:hAnsi="Cambria Math"/>
            </w:rPr>
            <w:br/>
          </m:r>
        </m:oMath>
      </m:oMathPara>
    </w:p>
    <w:p w14:paraId="180457D7" w14:textId="77777777" w:rsidR="00FA0FFD" w:rsidRPr="00235A34" w:rsidRDefault="00FA0FFD" w:rsidP="00FA0FFD">
      <w:r w:rsidRPr="00235A34">
        <w:t xml:space="preserve">Here, the factor multiplying the Madelung constant is treated as a </w:t>
      </w:r>
      <w:r w:rsidRPr="00235A34">
        <w:rPr>
          <w:i/>
          <w:iCs/>
        </w:rPr>
        <w:t>coefficient of fundamental arithmetic structure</w:t>
      </w:r>
      <w:r w:rsidRPr="00235A34">
        <w:t>, built from simple primes that, in this framework, encode symmetry information.</w:t>
      </w:r>
    </w:p>
    <w:p w14:paraId="79AAA333" w14:textId="77777777" w:rsidR="00FA0FFD" w:rsidRPr="00235A34" w:rsidRDefault="00FA0FFD" w:rsidP="00FA0FFD">
      <w:pPr>
        <w:rPr>
          <w:b/>
          <w:bCs/>
        </w:rPr>
      </w:pPr>
      <w:r w:rsidRPr="00235A34">
        <w:rPr>
          <w:b/>
          <w:bCs/>
        </w:rPr>
        <w:t>Interpretation in the literature</w:t>
      </w:r>
    </w:p>
    <w:p w14:paraId="2243E267" w14:textId="77777777" w:rsidR="00FA0FFD" w:rsidRPr="00235A34" w:rsidRDefault="00FA0FFD" w:rsidP="00FA0FFD">
      <w:r w:rsidRPr="00235A34">
        <w:lastRenderedPageBreak/>
        <w:t xml:space="preserve">Pellis interprets these equations as </w:t>
      </w:r>
      <w:r w:rsidRPr="00235A34">
        <w:rPr>
          <w:b/>
          <w:bCs/>
        </w:rPr>
        <w:t>equivalent exact expressions</w:t>
      </w:r>
      <w:r w:rsidRPr="00235A34">
        <w:t xml:space="preserve"> for α, showing that the fine-structure constant can be written purely as:</w:t>
      </w:r>
    </w:p>
    <w:p w14:paraId="21513B19" w14:textId="77777777" w:rsidR="00FA0FFD" w:rsidRPr="00235A34" w:rsidRDefault="00FA0FFD" w:rsidP="00FA0FFD">
      <m:oMathPara>
        <m:oMath>
          <m:sSup>
            <m:sSupPr>
              <m:ctrlPr>
                <w:rPr>
                  <w:rFonts w:ascii="Cambria Math" w:hAnsi="Cambria Math"/>
                </w:rPr>
              </m:ctrlPr>
            </m:sSupPr>
            <m:e>
              <m:r>
                <w:rPr>
                  <w:rFonts w:ascii="Cambria Math" w:hAnsi="Cambria Math"/>
                </w:rPr>
                <m:t>α</m:t>
              </m:r>
            </m:e>
            <m:sup>
              <m:r>
                <w:rPr>
                  <w:rFonts w:ascii="Cambria Math" w:hAnsi="Cambria Math"/>
                </w:rPr>
                <m:t>-1</m:t>
              </m:r>
            </m:sup>
          </m:sSup>
          <m:r>
            <w:rPr>
              <w:rFonts w:ascii="Cambria Math" w:hAnsi="Cambria Math"/>
            </w:rPr>
            <m:t>=-</m:t>
          </m:r>
          <m:sSub>
            <m:sSubPr>
              <m:ctrlPr>
                <w:rPr>
                  <w:rFonts w:ascii="Cambria Math" w:hAnsi="Cambria Math"/>
                </w:rPr>
              </m:ctrlPr>
            </m:sSubPr>
            <m:e>
              <m:r>
                <w:rPr>
                  <w:rFonts w:ascii="Cambria Math" w:hAnsi="Cambria Math"/>
                </w:rPr>
                <m:t>α</m:t>
              </m:r>
            </m:e>
            <m:sub>
              <m:r>
                <w:rPr>
                  <w:rFonts w:ascii="Cambria Math" w:hAnsi="Cambria Math"/>
                </w:rPr>
                <m:t>b</m:t>
              </m:r>
            </m:sub>
          </m:sSub>
          <m: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2</m:t>
              </m:r>
            </m:sub>
          </m:sSub>
          <m:r>
            <w:rPr>
              <w:rFonts w:ascii="Cambria Math" w:hAnsi="Cambria Math"/>
            </w:rPr>
            <m:t>(2),</m:t>
          </m:r>
          <m:r>
            <m:rPr>
              <m:nor/>
            </m:rPr>
            <m:t>where</m:t>
          </m:r>
          <m:sSub>
            <m:sSubPr>
              <m:ctrlPr>
                <w:rPr>
                  <w:rFonts w:ascii="Cambria Math" w:hAnsi="Cambria Math"/>
                </w:rPr>
              </m:ctrlPr>
            </m:sSubPr>
            <m:e>
              <m:r>
                <w:rPr>
                  <w:rFonts w:ascii="Cambria Math" w:hAnsi="Cambria Math"/>
                </w:rPr>
                <m:t>α</m:t>
              </m:r>
            </m:e>
            <m:sub>
              <m:r>
                <w:rPr>
                  <w:rFonts w:ascii="Cambria Math" w:hAnsi="Cambria Math"/>
                </w:rPr>
                <m:t>b</m:t>
              </m:r>
            </m:sub>
          </m:sSub>
          <m:r>
            <w:rPr>
              <w:rFonts w:ascii="Cambria Math" w:hAnsi="Cambria Math"/>
            </w:rPr>
            <m:t>=2⋅3⋅11⋅41⋅</m:t>
          </m:r>
          <m:sSup>
            <m:sSupPr>
              <m:ctrlPr>
                <w:rPr>
                  <w:rFonts w:ascii="Cambria Math" w:hAnsi="Cambria Math"/>
                </w:rPr>
              </m:ctrlPr>
            </m:sSupPr>
            <m:e>
              <m:r>
                <w:rPr>
                  <w:rFonts w:ascii="Cambria Math" w:hAnsi="Cambria Math"/>
                </w:rPr>
                <m:t>43</m:t>
              </m:r>
            </m:e>
            <m:sup>
              <m:r>
                <w:rPr>
                  <w:rFonts w:ascii="Cambria Math" w:hAnsi="Cambria Math"/>
                </w:rPr>
                <m:t>-1</m:t>
              </m:r>
            </m:sup>
          </m:sSup>
          <m:r>
            <m:rPr>
              <m:sty m:val="p"/>
            </m:rPr>
            <w:rPr>
              <w:rFonts w:ascii="Cambria Math" w:hAnsi="Cambria Math"/>
            </w:rPr>
            <m:t>.</m:t>
          </m:r>
          <m:r>
            <m:rPr>
              <m:sty m:val="p"/>
            </m:rPr>
            <w:rPr>
              <w:rFonts w:ascii="Cambria Math" w:hAnsi="Cambria Math"/>
            </w:rPr>
            <w:br/>
          </m:r>
        </m:oMath>
      </m:oMathPara>
    </w:p>
    <w:p w14:paraId="4454F1F8" w14:textId="77777777" w:rsidR="00FA0FFD" w:rsidRPr="00235A34" w:rsidRDefault="00FA0FFD" w:rsidP="00FA0FFD">
      <w:r w:rsidRPr="00235A34">
        <w:t xml:space="preserve">This presentation strongly implies that α is not a free parameter but instead arises from </w:t>
      </w:r>
      <w:r w:rsidRPr="00235A34">
        <w:rPr>
          <w:b/>
          <w:bCs/>
        </w:rPr>
        <w:t>crystal-like electrostatic geometry</w:t>
      </w:r>
      <w:r w:rsidRPr="00235A34">
        <w:t>, since the Madelung constant originates in the electrostatic potential of ionic lattices.</w:t>
      </w:r>
    </w:p>
    <w:p w14:paraId="09D3804D" w14:textId="77777777" w:rsidR="00FA0FFD" w:rsidRPr="00235A34" w:rsidRDefault="00FA0FFD" w:rsidP="00FA0FFD">
      <w:pPr>
        <w:rPr>
          <w:b/>
          <w:bCs/>
        </w:rPr>
      </w:pPr>
      <w:r w:rsidRPr="00235A34">
        <w:rPr>
          <w:b/>
          <w:bCs/>
        </w:rPr>
        <w:t>Conclusion</w:t>
      </w:r>
    </w:p>
    <w:p w14:paraId="11EDCF36" w14:textId="77777777" w:rsidR="00FA0FFD" w:rsidRPr="00235A34" w:rsidRDefault="00FA0FFD" w:rsidP="00FA0FFD">
      <w:r w:rsidRPr="00235A34">
        <w:t xml:space="preserve">According to the literature, </w:t>
      </w:r>
      <w:r w:rsidRPr="00235A34">
        <w:rPr>
          <w:b/>
          <w:bCs/>
        </w:rPr>
        <w:t>yes</w:t>
      </w:r>
      <w:r w:rsidRPr="00235A34">
        <w:t xml:space="preserve">—the fine-structure constant can be represented </w:t>
      </w:r>
      <w:r w:rsidRPr="00235A34">
        <w:rPr>
          <w:i/>
          <w:iCs/>
        </w:rPr>
        <w:t>exactly</w:t>
      </w:r>
      <w:r w:rsidRPr="00235A34">
        <w:t xml:space="preserve"> by a closed mathematical expression involving the </w:t>
      </w:r>
      <w:r w:rsidRPr="00235A34">
        <w:rPr>
          <w:b/>
          <w:bCs/>
        </w:rPr>
        <w:t>Madelung constant</w:t>
      </w:r>
      <w:r w:rsidRPr="00235A34">
        <w:t>. The appearance of the Madelung constant is treated as physically significant, tying α to deep geometric–electrostatic structure.</w:t>
      </w:r>
    </w:p>
    <w:p w14:paraId="6B32F7CC" w14:textId="77777777" w:rsidR="00FA0FFD" w:rsidRPr="00235A34" w:rsidRDefault="00FA0FFD" w:rsidP="00FA0FFD">
      <w:pPr>
        <w:pStyle w:val="Style1"/>
      </w:pPr>
      <w:bookmarkStart w:id="10" w:name="_Toc219386905"/>
      <w:r>
        <w:t xml:space="preserve">3.4 </w:t>
      </w:r>
      <w:r w:rsidRPr="00235A34">
        <w:t>Question 4: Can the fine structure constant be derived from optimal packing algorithms?</w:t>
      </w:r>
      <w:bookmarkEnd w:id="10"/>
    </w:p>
    <w:p w14:paraId="1D593B42" w14:textId="77777777" w:rsidR="00FA0FFD" w:rsidRPr="00235A34" w:rsidRDefault="00FA0FFD" w:rsidP="00FA0FFD">
      <w:r w:rsidRPr="00235A34">
        <w:rPr>
          <w:b/>
          <w:bCs/>
        </w:rPr>
        <w:t xml:space="preserve">Answer: </w:t>
      </w:r>
      <w:r w:rsidRPr="00235A34">
        <w:rPr>
          <w:b/>
          <w:bCs/>
        </w:rPr>
        <w:br/>
      </w:r>
      <w:r w:rsidRPr="00235A34">
        <w:t xml:space="preserve">Yes. In the literature, the fine-structure constant </w:t>
      </w:r>
      <w:r w:rsidRPr="00235A34">
        <w:rPr>
          <w:b/>
          <w:bCs/>
        </w:rPr>
        <w:t>is explicitly derived from optimal (or extremal) packing constructions</w:t>
      </w:r>
      <w:r w:rsidRPr="00235A34">
        <w:t xml:space="preserve"> of discrete entities.</w:t>
      </w:r>
    </w:p>
    <w:p w14:paraId="0343070E" w14:textId="77777777" w:rsidR="00FA0FFD" w:rsidRPr="00235A34" w:rsidRDefault="00FA0FFD" w:rsidP="00FA0FFD">
      <w:r w:rsidRPr="00235A34">
        <w:t>There are two particularly clear lines of work:</w:t>
      </w:r>
    </w:p>
    <w:p w14:paraId="3D7260C7" w14:textId="77777777" w:rsidR="00FA0FFD" w:rsidRPr="00235A34" w:rsidRDefault="00FA0FFD" w:rsidP="00FA0FFD">
      <w:pPr>
        <w:rPr>
          <w:b/>
          <w:bCs/>
        </w:rPr>
      </w:pPr>
      <w:r w:rsidRPr="00235A34">
        <w:rPr>
          <w:b/>
          <w:bCs/>
        </w:rPr>
        <w:t xml:space="preserve">1. Spherical </w:t>
      </w:r>
      <w:proofErr w:type="gramStart"/>
      <w:r w:rsidRPr="00235A34">
        <w:rPr>
          <w:b/>
          <w:bCs/>
        </w:rPr>
        <w:t>close-packing</w:t>
      </w:r>
      <w:proofErr w:type="gramEnd"/>
      <w:r w:rsidRPr="00235A34">
        <w:rPr>
          <w:b/>
          <w:bCs/>
        </w:rPr>
        <w:t xml:space="preserve"> of constituents (Koshy)</w:t>
      </w:r>
    </w:p>
    <w:p w14:paraId="67F79114" w14:textId="77777777" w:rsidR="00FA0FFD" w:rsidRPr="00235A34" w:rsidRDefault="00FA0FFD" w:rsidP="00FA0FFD">
      <w:r w:rsidRPr="00235A34">
        <w:t xml:space="preserve">Koshy constructs α from a </w:t>
      </w:r>
      <w:r w:rsidRPr="00235A34">
        <w:rPr>
          <w:b/>
          <w:bCs/>
        </w:rPr>
        <w:t>two-stage optimal spherical packing</w:t>
      </w:r>
      <w:r w:rsidRPr="00235A34">
        <w:t xml:space="preserve"> of identical “entities”:</w:t>
      </w:r>
    </w:p>
    <w:p w14:paraId="1F85947E" w14:textId="77777777" w:rsidR="00FA0FFD" w:rsidRPr="00235A34" w:rsidRDefault="00FA0FFD" w:rsidP="00FA0FFD">
      <w:pPr>
        <w:numPr>
          <w:ilvl w:val="0"/>
          <w:numId w:val="21"/>
        </w:numPr>
      </w:pPr>
      <w:r w:rsidRPr="00235A34">
        <w:rPr>
          <w:b/>
          <w:bCs/>
        </w:rPr>
        <w:t>First-stage packing</w:t>
      </w:r>
    </w:p>
    <w:p w14:paraId="629E72A6" w14:textId="77777777" w:rsidR="00FA0FFD" w:rsidRPr="00235A34" w:rsidRDefault="00FA0FFD" w:rsidP="00FA0FFD">
      <w:pPr>
        <w:numPr>
          <w:ilvl w:val="1"/>
          <w:numId w:val="21"/>
        </w:numPr>
      </w:pPr>
      <w:r w:rsidRPr="00235A34">
        <w:t xml:space="preserve">Pack unit spheres into a hexagonal close-packed cluster chosen to give the </w:t>
      </w:r>
      <w:r w:rsidRPr="00235A34">
        <w:rPr>
          <w:i/>
          <w:iCs/>
        </w:rPr>
        <w:t>best possible spherical shape with the least number of entities</w:t>
      </w:r>
      <w:r w:rsidRPr="00235A34">
        <w:t>.</w:t>
      </w:r>
    </w:p>
    <w:p w14:paraId="73A13214" w14:textId="77777777" w:rsidR="00FA0FFD" w:rsidRPr="00235A34" w:rsidRDefault="00FA0FFD" w:rsidP="00FA0FFD">
      <w:pPr>
        <w:numPr>
          <w:ilvl w:val="1"/>
          <w:numId w:val="21"/>
        </w:numPr>
      </w:pPr>
      <w:r w:rsidRPr="00235A34">
        <w:t>Geometric constraints (especially the 7-entity diameter linked to 22/7 for π) are used to enforce symmetry and near-perfect sphericity.</w:t>
      </w:r>
    </w:p>
    <w:p w14:paraId="0A0B1910" w14:textId="77777777" w:rsidR="00FA0FFD" w:rsidRPr="00235A34" w:rsidRDefault="00FA0FFD" w:rsidP="00FA0FFD">
      <w:pPr>
        <w:numPr>
          <w:ilvl w:val="1"/>
          <w:numId w:val="21"/>
        </w:numPr>
      </w:pPr>
      <w:r w:rsidRPr="00235A34">
        <w:t>With a cutoff radius of 6 units from the centre, this optimal construction contains 155 entities and forms a 7-layer hexagonal structure with equal breadth and thickness.</w:t>
      </w:r>
    </w:p>
    <w:p w14:paraId="66CD2E96" w14:textId="77777777" w:rsidR="00FA0FFD" w:rsidRPr="00235A34" w:rsidRDefault="00FA0FFD" w:rsidP="00FA0FFD">
      <w:pPr>
        <w:numPr>
          <w:ilvl w:val="0"/>
          <w:numId w:val="21"/>
        </w:numPr>
      </w:pPr>
      <w:r w:rsidRPr="00235A34">
        <w:rPr>
          <w:b/>
          <w:bCs/>
        </w:rPr>
        <w:t>Second-stage packing</w:t>
      </w:r>
    </w:p>
    <w:p w14:paraId="68811E09" w14:textId="77777777" w:rsidR="00FA0FFD" w:rsidRPr="00235A34" w:rsidRDefault="00FA0FFD" w:rsidP="00FA0FFD">
      <w:pPr>
        <w:numPr>
          <w:ilvl w:val="1"/>
          <w:numId w:val="21"/>
        </w:numPr>
      </w:pPr>
      <w:r w:rsidRPr="00235A34">
        <w:t>Treat each 155-sphere cluster as a higher-level “entity” and pack these into a larger, nearly spherical arrangement.</w:t>
      </w:r>
    </w:p>
    <w:p w14:paraId="3C6A2E8A" w14:textId="77777777" w:rsidR="00FA0FFD" w:rsidRPr="00235A34" w:rsidRDefault="00FA0FFD" w:rsidP="00FA0FFD">
      <w:pPr>
        <w:numPr>
          <w:ilvl w:val="1"/>
          <w:numId w:val="21"/>
        </w:numPr>
      </w:pPr>
      <w:r w:rsidRPr="00235A34">
        <w:t>Symmetry requirements (odd number of entities, centre empty, diameter 7.5 pairs = 15 entities) define a unique hexagonal layering scheme.</w:t>
      </w:r>
    </w:p>
    <w:p w14:paraId="508833DB" w14:textId="77777777" w:rsidR="00FA0FFD" w:rsidRPr="00235A34" w:rsidRDefault="00FA0FFD" w:rsidP="00FA0FFD">
      <w:pPr>
        <w:numPr>
          <w:ilvl w:val="1"/>
          <w:numId w:val="21"/>
        </w:numPr>
      </w:pPr>
      <w:r w:rsidRPr="00235A34">
        <w:t>After filling all lattice points inside a precise radial bound and removing the centre, the structure contains 1838 entities, essentially saturating all allowed lattice points.</w:t>
      </w:r>
    </w:p>
    <w:p w14:paraId="143A3C97" w14:textId="77777777" w:rsidR="00FA0FFD" w:rsidRPr="00235A34" w:rsidRDefault="00FA0FFD" w:rsidP="00FA0FFD">
      <w:r w:rsidRPr="00235A34">
        <w:lastRenderedPageBreak/>
        <w:t xml:space="preserve">From these two optimal packings, Koshy defines a </w:t>
      </w:r>
      <w:r w:rsidRPr="00235A34">
        <w:rPr>
          <w:b/>
          <w:bCs/>
        </w:rPr>
        <w:t>dimensionless ratio of “length” to “mass”</w:t>
      </w:r>
      <w:r w:rsidRPr="00235A34">
        <w:t xml:space="preserve">, both counted in numbers of entities in the nested packing. This </w:t>
      </w:r>
      <w:r w:rsidRPr="00235A34">
        <w:rPr>
          <w:i/>
          <w:iCs/>
        </w:rPr>
        <w:t>packing constant</w:t>
      </w:r>
      <w:r w:rsidRPr="00235A34">
        <w:t xml:space="preserve"> has:</w:t>
      </w:r>
    </w:p>
    <w:p w14:paraId="19333324" w14:textId="77777777" w:rsidR="00FA0FFD" w:rsidRPr="00235A34" w:rsidRDefault="00FA0FFD" w:rsidP="00FA0FFD">
      <w:pPr>
        <w:numPr>
          <w:ilvl w:val="0"/>
          <w:numId w:val="22"/>
        </w:numPr>
      </w:pPr>
      <w:r w:rsidRPr="00235A34">
        <w:t xml:space="preserve">the same </w:t>
      </w:r>
      <w:r w:rsidRPr="00235A34">
        <w:rPr>
          <w:i/>
          <w:iCs/>
        </w:rPr>
        <w:t>equation form</w:t>
      </w:r>
      <w:r w:rsidRPr="00235A34">
        <w:t xml:space="preserve"> as the fine-structure constant, and</w:t>
      </w:r>
    </w:p>
    <w:p w14:paraId="5C3DAE17" w14:textId="77777777" w:rsidR="00FA0FFD" w:rsidRPr="00235A34" w:rsidRDefault="00FA0FFD" w:rsidP="00FA0FFD">
      <w:pPr>
        <w:numPr>
          <w:ilvl w:val="0"/>
          <w:numId w:val="22"/>
        </w:numPr>
      </w:pPr>
      <w:r w:rsidRPr="00235A34">
        <w:t>a numerical value coincident with α within experimental accuracy.</w:t>
      </w:r>
    </w:p>
    <w:p w14:paraId="454C832B" w14:textId="77777777" w:rsidR="00FA0FFD" w:rsidRPr="00235A34" w:rsidRDefault="00FA0FFD" w:rsidP="00FA0FFD">
      <w:r w:rsidRPr="00235A34">
        <w:t>In that framework:</w:t>
      </w:r>
    </w:p>
    <w:p w14:paraId="2350E828" w14:textId="77777777" w:rsidR="00FA0FFD" w:rsidRPr="00235A34" w:rsidRDefault="00FA0FFD" w:rsidP="00FA0FFD">
      <w:pPr>
        <w:numPr>
          <w:ilvl w:val="0"/>
          <w:numId w:val="23"/>
        </w:numPr>
      </w:pPr>
      <w:r w:rsidRPr="00235A34">
        <w:t xml:space="preserve">α is interpreted as a </w:t>
      </w:r>
      <w:r w:rsidRPr="00235A34">
        <w:rPr>
          <w:b/>
          <w:bCs/>
        </w:rPr>
        <w:t>spherical-packing constant</w:t>
      </w:r>
      <w:r w:rsidRPr="00235A34">
        <w:t>: the critical length–mass ratio at which discrete constituents assemble into optimally spherical composite particles.</w:t>
      </w:r>
    </w:p>
    <w:p w14:paraId="71E710B5" w14:textId="77777777" w:rsidR="00FA0FFD" w:rsidRPr="00235A34" w:rsidRDefault="00FA0FFD" w:rsidP="00FA0FFD">
      <w:pPr>
        <w:numPr>
          <w:ilvl w:val="0"/>
          <w:numId w:val="23"/>
        </w:numPr>
      </w:pPr>
      <w:r w:rsidRPr="00235A34">
        <w:t xml:space="preserve">Composite particles are argued to contain the </w:t>
      </w:r>
      <w:r w:rsidRPr="00235A34">
        <w:rPr>
          <w:i/>
          <w:iCs/>
        </w:rPr>
        <w:t>minimum number of entities</w:t>
      </w:r>
      <w:r w:rsidRPr="00235A34">
        <w:t xml:space="preserve"> needed to achieve the best possible spherical shape—precisely an optimal packing criterion.</w:t>
      </w:r>
    </w:p>
    <w:p w14:paraId="4878E936" w14:textId="77777777" w:rsidR="00FA0FFD" w:rsidRPr="00235A34" w:rsidRDefault="00FA0FFD" w:rsidP="00FA0FFD">
      <w:proofErr w:type="gramStart"/>
      <w:r w:rsidRPr="00235A34">
        <w:t>So</w:t>
      </w:r>
      <w:proofErr w:type="gramEnd"/>
      <w:r w:rsidRPr="00235A34">
        <w:t xml:space="preserve"> in this approach, </w:t>
      </w:r>
      <w:r w:rsidRPr="00235A34">
        <w:rPr>
          <w:b/>
          <w:bCs/>
        </w:rPr>
        <w:t>α is literally a product of an optimal packing algorithm in discrete 3-D geometry.</w:t>
      </w:r>
    </w:p>
    <w:p w14:paraId="6197A763" w14:textId="77777777" w:rsidR="00FA0FFD" w:rsidRPr="00235A34" w:rsidRDefault="00FA0FFD" w:rsidP="00FA0FFD"/>
    <w:p w14:paraId="11FD7AF4" w14:textId="77777777" w:rsidR="00FA0FFD" w:rsidRPr="00235A34" w:rsidRDefault="00FA0FFD" w:rsidP="00FA0FFD">
      <w:pPr>
        <w:rPr>
          <w:b/>
          <w:bCs/>
        </w:rPr>
      </w:pPr>
      <w:r w:rsidRPr="00235A34">
        <w:rPr>
          <w:b/>
          <w:bCs/>
        </w:rPr>
        <w:t>2. Lattice packing of granules and surface-area ratios (Yee)</w:t>
      </w:r>
    </w:p>
    <w:p w14:paraId="44628B07" w14:textId="77777777" w:rsidR="00FA0FFD" w:rsidRPr="00235A34" w:rsidRDefault="00FA0FFD" w:rsidP="00FA0FFD">
      <w:r w:rsidRPr="00235A34">
        <w:t xml:space="preserve">Yee derives the fine-structure constant from the geometry of a </w:t>
      </w:r>
      <w:r w:rsidRPr="00235A34">
        <w:rPr>
          <w:b/>
          <w:bCs/>
        </w:rPr>
        <w:t>body-centred cubic (bcc) packing</w:t>
      </w:r>
      <w:r w:rsidRPr="00235A34">
        <w:t xml:space="preserve"> of “granules” that fill space:</w:t>
      </w:r>
    </w:p>
    <w:p w14:paraId="137C61B7" w14:textId="77777777" w:rsidR="00FA0FFD" w:rsidRPr="00235A34" w:rsidRDefault="00FA0FFD" w:rsidP="00FA0FFD">
      <w:pPr>
        <w:numPr>
          <w:ilvl w:val="0"/>
          <w:numId w:val="24"/>
        </w:numPr>
      </w:pPr>
      <w:r w:rsidRPr="00235A34">
        <w:t>Space is modeled as a bcc lattice of granules that transmit vibrational energy; this structure is chosen because it naturally yields an inverse-square falloff of intensity with distance (i.e. it is an optimal packing for reproducing the observed 1/r² law).</w:t>
      </w:r>
    </w:p>
    <w:p w14:paraId="25BD589D" w14:textId="77777777" w:rsidR="00FA0FFD" w:rsidRPr="00235A34" w:rsidRDefault="00FA0FFD" w:rsidP="00FA0FFD">
      <w:pPr>
        <w:numPr>
          <w:ilvl w:val="0"/>
          <w:numId w:val="24"/>
        </w:numPr>
      </w:pPr>
      <w:r w:rsidRPr="00235A34">
        <w:t xml:space="preserve">Wave amplitude propagating through this packed lattice defines spherical and 1-D geometries whose </w:t>
      </w:r>
      <w:r w:rsidRPr="00235A34">
        <w:rPr>
          <w:b/>
          <w:bCs/>
        </w:rPr>
        <w:t>surface areas</w:t>
      </w:r>
      <w:r w:rsidRPr="00235A34">
        <w:t xml:space="preserve"> can be computed exactly in terms of π.</w:t>
      </w:r>
    </w:p>
    <w:p w14:paraId="6BFD3C2D" w14:textId="77777777" w:rsidR="00FA0FFD" w:rsidRPr="00235A34" w:rsidRDefault="00FA0FFD" w:rsidP="00FA0FFD">
      <w:pPr>
        <w:numPr>
          <w:ilvl w:val="0"/>
          <w:numId w:val="24"/>
        </w:numPr>
      </w:pPr>
      <w:r w:rsidRPr="00235A34">
        <w:t xml:space="preserve">The fine-structure constant emerges as a </w:t>
      </w:r>
      <w:r w:rsidRPr="00235A34">
        <w:rPr>
          <w:b/>
          <w:bCs/>
        </w:rPr>
        <w:t>pure ratio of geometric surface areas</w:t>
      </w:r>
      <w:r w:rsidRPr="00235A34">
        <w:t xml:space="preserve"> connecting these two optimally packed geometries.</w:t>
      </w:r>
    </w:p>
    <w:p w14:paraId="6CFA6C94" w14:textId="77777777" w:rsidR="00FA0FFD" w:rsidRPr="00235A34" w:rsidRDefault="00FA0FFD" w:rsidP="00FA0FFD">
      <w:r w:rsidRPr="00235A34">
        <w:t>In that model:</w:t>
      </w:r>
    </w:p>
    <w:p w14:paraId="5E2448B3" w14:textId="77777777" w:rsidR="00FA0FFD" w:rsidRPr="00235A34" w:rsidRDefault="00FA0FFD" w:rsidP="00FA0FFD">
      <w:pPr>
        <w:numPr>
          <w:ilvl w:val="0"/>
          <w:numId w:val="25"/>
        </w:numPr>
      </w:pPr>
      <w:r w:rsidRPr="00235A34">
        <w:t>charge is proportional to wave amplitude,</w:t>
      </w:r>
    </w:p>
    <w:p w14:paraId="3105DA43" w14:textId="77777777" w:rsidR="00FA0FFD" w:rsidRPr="00235A34" w:rsidRDefault="00FA0FFD" w:rsidP="00FA0FFD">
      <w:pPr>
        <w:numPr>
          <w:ilvl w:val="0"/>
          <w:numId w:val="25"/>
        </w:numPr>
      </w:pPr>
      <w:r w:rsidRPr="00235A34">
        <w:t>the Planck charge and elementary charge correspond to amplitudes in different geometries, and</w:t>
      </w:r>
    </w:p>
    <w:p w14:paraId="48931102" w14:textId="77777777" w:rsidR="00FA0FFD" w:rsidRPr="00235A34" w:rsidRDefault="00FA0FFD" w:rsidP="00FA0FFD">
      <w:pPr>
        <w:numPr>
          <w:ilvl w:val="0"/>
          <w:numId w:val="25"/>
        </w:numPr>
      </w:pPr>
      <w:r w:rsidRPr="00235A34">
        <w:t xml:space="preserve">α is the exact proportionality constant between the </w:t>
      </w:r>
      <w:r w:rsidRPr="00235A34">
        <w:rPr>
          <w:i/>
          <w:iCs/>
        </w:rPr>
        <w:t>squares</w:t>
      </w:r>
      <w:r w:rsidRPr="00235A34">
        <w:t xml:space="preserve"> of those amplitudes, fixed by the lattice geometry.</w:t>
      </w:r>
    </w:p>
    <w:p w14:paraId="4D005D4E" w14:textId="77777777" w:rsidR="00FA0FFD" w:rsidRPr="00235A34" w:rsidRDefault="00FA0FFD" w:rsidP="00FA0FFD">
      <w:r w:rsidRPr="00235A34">
        <w:t xml:space="preserve">Again, this is an </w:t>
      </w:r>
      <w:r w:rsidRPr="00235A34">
        <w:rPr>
          <w:b/>
          <w:bCs/>
        </w:rPr>
        <w:t>optimal packing story</w:t>
      </w:r>
      <w:r w:rsidRPr="00235A34">
        <w:t>: the bcc arrangement is selected as the structure that both fills space and generates the correct geometric scaling, and α is the resulting dimensionless geometric ratio.</w:t>
      </w:r>
    </w:p>
    <w:p w14:paraId="2208628A" w14:textId="77777777" w:rsidR="00FA0FFD" w:rsidRPr="00235A34" w:rsidRDefault="00FA0FFD" w:rsidP="00FA0FFD">
      <w:pPr>
        <w:rPr>
          <w:b/>
          <w:bCs/>
        </w:rPr>
      </w:pPr>
      <w:r w:rsidRPr="00235A34">
        <w:rPr>
          <w:b/>
          <w:bCs/>
        </w:rPr>
        <w:t>3. Related lattice/packing connections</w:t>
      </w:r>
    </w:p>
    <w:p w14:paraId="36B8FC82" w14:textId="77777777" w:rsidR="00FA0FFD" w:rsidRPr="00235A34" w:rsidRDefault="00FA0FFD" w:rsidP="00FA0FFD">
      <w:r w:rsidRPr="00235A34">
        <w:t xml:space="preserve">Other work ties α to </w:t>
      </w:r>
      <w:r w:rsidRPr="00235A34">
        <w:rPr>
          <w:b/>
          <w:bCs/>
        </w:rPr>
        <w:t>lattice or crystalline structures</w:t>
      </w:r>
      <w:r w:rsidRPr="00235A34">
        <w:t xml:space="preserve"> in closely related ways:</w:t>
      </w:r>
    </w:p>
    <w:p w14:paraId="71BBDFCA" w14:textId="77777777" w:rsidR="00FA0FFD" w:rsidRPr="00235A34" w:rsidRDefault="00FA0FFD" w:rsidP="00FA0FFD">
      <w:pPr>
        <w:numPr>
          <w:ilvl w:val="0"/>
          <w:numId w:val="26"/>
        </w:numPr>
      </w:pPr>
      <w:r w:rsidRPr="00235A34">
        <w:t xml:space="preserve">Pellis expresses α in terms of the </w:t>
      </w:r>
      <w:r w:rsidRPr="00235A34">
        <w:rPr>
          <w:b/>
          <w:bCs/>
        </w:rPr>
        <w:t>Madelung constant</w:t>
      </w:r>
      <w:r w:rsidRPr="00235A34">
        <w:t xml:space="preserve"> (b</w:t>
      </w:r>
      <w:proofErr w:type="gramStart"/>
      <w:r w:rsidRPr="00235A34">
        <w:t>₂(</w:t>
      </w:r>
      <w:proofErr w:type="gramEnd"/>
      <w:r w:rsidRPr="00235A34">
        <w:t>2)), which itself arises from the electrostatic potential of an ionic crystal lattice—effectively another optimal packing of charges in a periodic structure.</w:t>
      </w:r>
    </w:p>
    <w:p w14:paraId="4F853D0C" w14:textId="77777777" w:rsidR="00FA0FFD" w:rsidRPr="00235A34" w:rsidRDefault="00FA0FFD" w:rsidP="00FA0FFD">
      <w:r w:rsidRPr="00235A34">
        <w:lastRenderedPageBreak/>
        <w:t xml:space="preserve">This reinforces the general picture that α is tightly linked to </w:t>
      </w:r>
      <w:r w:rsidRPr="00235A34">
        <w:rPr>
          <w:b/>
          <w:bCs/>
        </w:rPr>
        <w:t>extremal or optimally ordered packings</w:t>
      </w:r>
      <w:r w:rsidRPr="00235A34">
        <w:t xml:space="preserve"> of discrete constituents, whether viewed as:</w:t>
      </w:r>
    </w:p>
    <w:p w14:paraId="4583C828" w14:textId="77777777" w:rsidR="00FA0FFD" w:rsidRPr="00235A34" w:rsidRDefault="00FA0FFD" w:rsidP="00FA0FFD">
      <w:pPr>
        <w:numPr>
          <w:ilvl w:val="0"/>
          <w:numId w:val="27"/>
        </w:numPr>
      </w:pPr>
      <w:r w:rsidRPr="00235A34">
        <w:t>close-packed spheres in finite clusters,</w:t>
      </w:r>
    </w:p>
    <w:p w14:paraId="6BA2755A" w14:textId="77777777" w:rsidR="00FA0FFD" w:rsidRPr="00235A34" w:rsidRDefault="00FA0FFD" w:rsidP="00FA0FFD">
      <w:pPr>
        <w:numPr>
          <w:ilvl w:val="0"/>
          <w:numId w:val="27"/>
        </w:numPr>
      </w:pPr>
      <w:r w:rsidRPr="00235A34">
        <w:t>granules in space-filling bcc lattices, or</w:t>
      </w:r>
    </w:p>
    <w:p w14:paraId="527D0132" w14:textId="77777777" w:rsidR="00FA0FFD" w:rsidRPr="00235A34" w:rsidRDefault="00FA0FFD" w:rsidP="00FA0FFD">
      <w:pPr>
        <w:numPr>
          <w:ilvl w:val="0"/>
          <w:numId w:val="27"/>
        </w:numPr>
      </w:pPr>
      <w:r w:rsidRPr="00235A34">
        <w:t>ions in infinite crystal lattices.</w:t>
      </w:r>
    </w:p>
    <w:p w14:paraId="20A3AC9D" w14:textId="77777777" w:rsidR="00FA0FFD" w:rsidRPr="00235A34" w:rsidRDefault="00FA0FFD" w:rsidP="00FA0FFD">
      <w:pPr>
        <w:rPr>
          <w:b/>
          <w:bCs/>
        </w:rPr>
      </w:pPr>
      <w:r w:rsidRPr="00235A34">
        <w:rPr>
          <w:b/>
          <w:bCs/>
        </w:rPr>
        <w:t>Bottom line</w:t>
      </w:r>
    </w:p>
    <w:p w14:paraId="4221C785" w14:textId="77777777" w:rsidR="00FA0FFD" w:rsidRPr="00235A34" w:rsidRDefault="00FA0FFD" w:rsidP="00FA0FFD">
      <w:r w:rsidRPr="00235A34">
        <w:t xml:space="preserve">Within these theoretical frameworks, </w:t>
      </w:r>
      <w:r w:rsidRPr="00235A34">
        <w:rPr>
          <w:b/>
          <w:bCs/>
        </w:rPr>
        <w:t>yes</w:t>
      </w:r>
      <w:r w:rsidRPr="00235A34">
        <w:t xml:space="preserve">: the fine-structure constant is </w:t>
      </w:r>
      <w:r w:rsidRPr="00235A34">
        <w:rPr>
          <w:i/>
          <w:iCs/>
        </w:rPr>
        <w:t>derived</w:t>
      </w:r>
      <w:r w:rsidRPr="00235A34">
        <w:t xml:space="preserve"> from optimal packing constructions.</w:t>
      </w:r>
    </w:p>
    <w:p w14:paraId="24F013E8" w14:textId="77777777" w:rsidR="00FA0FFD" w:rsidRPr="00235A34" w:rsidRDefault="00FA0FFD" w:rsidP="00FA0FFD">
      <w:pPr>
        <w:numPr>
          <w:ilvl w:val="0"/>
          <w:numId w:val="28"/>
        </w:numPr>
      </w:pPr>
      <w:r w:rsidRPr="00235A34">
        <w:t xml:space="preserve">In spherical cluster models, α is a </w:t>
      </w:r>
      <w:r w:rsidRPr="00235A34">
        <w:rPr>
          <w:b/>
          <w:bCs/>
        </w:rPr>
        <w:t>spherical-packing constant</w:t>
      </w:r>
      <w:r w:rsidRPr="00235A34">
        <w:t xml:space="preserve"> that fixes the minimal, optimally symmetric composite structure.</w:t>
      </w:r>
    </w:p>
    <w:p w14:paraId="293875E9" w14:textId="77777777" w:rsidR="00FA0FFD" w:rsidRPr="00235A34" w:rsidRDefault="00FA0FFD" w:rsidP="00FA0FFD">
      <w:pPr>
        <w:numPr>
          <w:ilvl w:val="0"/>
          <w:numId w:val="28"/>
        </w:numPr>
      </w:pPr>
      <w:r w:rsidRPr="00235A34">
        <w:t xml:space="preserve">In lattice models, α emerges from </w:t>
      </w:r>
      <w:r w:rsidRPr="00235A34">
        <w:rPr>
          <w:b/>
          <w:bCs/>
        </w:rPr>
        <w:t>optimal bcc packing</w:t>
      </w:r>
      <w:r w:rsidRPr="00235A34">
        <w:t xml:space="preserve"> of granules as a pure surface-area ratio and from crystalline lattice constants such as the Madelung constant.</w:t>
      </w:r>
    </w:p>
    <w:p w14:paraId="7610422F" w14:textId="77777777" w:rsidR="00FA0FFD" w:rsidRDefault="00FA0FFD" w:rsidP="00FA0FFD">
      <w:r w:rsidRPr="00235A34">
        <w:t>So α is not treated as an arbitrary parameter, but as the unique dimensionless number determined by optimal packing rules in discrete geometry.</w:t>
      </w:r>
    </w:p>
    <w:p w14:paraId="68C7FD68" w14:textId="77777777" w:rsidR="00FA0FFD" w:rsidRDefault="00FA0FFD" w:rsidP="00FA0FFD">
      <w:pPr>
        <w:pStyle w:val="Style1"/>
      </w:pPr>
      <w:bookmarkStart w:id="11" w:name="_Toc219386906"/>
      <w:r>
        <w:t xml:space="preserve">3.5 </w:t>
      </w:r>
      <w:r w:rsidRPr="00235A34">
        <w:t>Question 5: Is there a relationship between the fine structure constant and the golden ratio?</w:t>
      </w:r>
      <w:r>
        <w:br/>
        <w:t>Answer:</w:t>
      </w:r>
      <w:bookmarkEnd w:id="11"/>
      <w:r>
        <w:t xml:space="preserve"> </w:t>
      </w:r>
    </w:p>
    <w:p w14:paraId="5B517431" w14:textId="77777777" w:rsidR="00FA0FFD" w:rsidRPr="00235A34" w:rsidRDefault="00FA0FFD" w:rsidP="00FA0FFD">
      <w:r w:rsidRPr="00235A34">
        <w:t xml:space="preserve">Yes. Across the literature, the fine-structure constant </w:t>
      </w:r>
      <w:r w:rsidRPr="00235A34">
        <w:rPr>
          <w:b/>
          <w:bCs/>
        </w:rPr>
        <w:t>α</w:t>
      </w:r>
      <w:r w:rsidRPr="00235A34">
        <w:t xml:space="preserve"> is consistently linked to the </w:t>
      </w:r>
      <w:r w:rsidRPr="00235A34">
        <w:rPr>
          <w:b/>
          <w:bCs/>
        </w:rPr>
        <w:t>golden ratio</w:t>
      </w:r>
      <w:r w:rsidRPr="00235A34">
        <w:t xml:space="preserve"> (φ), and this relationship is presented as mathematically precise and physically meaningful. Multiple authors derive </w:t>
      </w:r>
      <w:r w:rsidRPr="00235A34">
        <w:rPr>
          <w:b/>
          <w:bCs/>
        </w:rPr>
        <w:t>closed-form expressions for α</w:t>
      </w:r>
      <w:r w:rsidRPr="00235A34">
        <w:rPr>
          <w:rFonts w:ascii="Cambria Math" w:hAnsi="Cambria Math" w:cs="Cambria Math"/>
          <w:b/>
          <w:bCs/>
        </w:rPr>
        <w:t>⁻</w:t>
      </w:r>
      <w:r w:rsidRPr="00235A34">
        <w:rPr>
          <w:rFonts w:ascii="Aptos" w:hAnsi="Aptos" w:cs="Aptos"/>
          <w:b/>
          <w:bCs/>
        </w:rPr>
        <w:t>¹</w:t>
      </w:r>
      <w:r w:rsidRPr="00235A34">
        <w:rPr>
          <w:b/>
          <w:bCs/>
        </w:rPr>
        <w:t xml:space="preserve"> directly in terms of </w:t>
      </w:r>
      <w:r w:rsidRPr="00235A34">
        <w:rPr>
          <w:rFonts w:ascii="Aptos" w:hAnsi="Aptos" w:cs="Aptos"/>
          <w:b/>
          <w:bCs/>
        </w:rPr>
        <w:t>φ</w:t>
      </w:r>
      <w:r w:rsidRPr="00235A34">
        <w:t>, showing that the golden ratio plays a structural role in electromagnetic coupling.</w:t>
      </w:r>
    </w:p>
    <w:p w14:paraId="5EE36DD7" w14:textId="77777777" w:rsidR="00FA0FFD" w:rsidRPr="00235A34" w:rsidRDefault="00FA0FFD" w:rsidP="00FA0FFD">
      <w:r w:rsidRPr="00235A34">
        <w:t>Below is a synthesis of the key results.</w:t>
      </w:r>
    </w:p>
    <w:p w14:paraId="55F9BC7A" w14:textId="77777777" w:rsidR="00FA0FFD" w:rsidRPr="00235A34" w:rsidRDefault="00FA0FFD" w:rsidP="00FA0FFD">
      <w:pPr>
        <w:rPr>
          <w:b/>
          <w:bCs/>
        </w:rPr>
      </w:pPr>
      <w:r w:rsidRPr="00235A34">
        <w:rPr>
          <w:b/>
          <w:bCs/>
        </w:rPr>
        <w:t>1. Direct closed-form expressions using the golden ratio (Sherbon, Pellis)</w:t>
      </w:r>
    </w:p>
    <w:p w14:paraId="68C07952" w14:textId="77777777" w:rsidR="00FA0FFD" w:rsidRPr="00235A34" w:rsidRDefault="00FA0FFD" w:rsidP="00FA0FFD">
      <w:r w:rsidRPr="00235A34">
        <w:t xml:space="preserve">Sherbon derives α from the </w:t>
      </w:r>
      <w:r w:rsidRPr="00235A34">
        <w:rPr>
          <w:b/>
          <w:bCs/>
        </w:rPr>
        <w:t>golden-ratio geometry of the hydrogen atom</w:t>
      </w:r>
      <w:r w:rsidRPr="00235A34">
        <w:t>, showing that the Bohr radius naturally divides into two golden sections corresponding to electron and proton contributions, a result also highlighted by Heyrovska.</w:t>
      </w:r>
    </w:p>
    <w:p w14:paraId="3AFB394C" w14:textId="77777777" w:rsidR="00FA0FFD" w:rsidRPr="00235A34" w:rsidRDefault="00FA0FFD" w:rsidP="00FA0FFD">
      <w:r w:rsidRPr="00235A34">
        <w:t xml:space="preserve">Pellis provides several </w:t>
      </w:r>
      <w:r w:rsidRPr="00235A34">
        <w:rPr>
          <w:i/>
          <w:iCs/>
        </w:rPr>
        <w:t>exact</w:t>
      </w:r>
      <w:r w:rsidRPr="00235A34">
        <w:t xml:space="preserve"> analytic expressions for α</w:t>
      </w:r>
      <w:r w:rsidRPr="00235A34">
        <w:rPr>
          <w:rFonts w:ascii="Cambria Math" w:hAnsi="Cambria Math" w:cs="Cambria Math"/>
        </w:rPr>
        <w:t>⁻</w:t>
      </w:r>
      <w:r w:rsidRPr="00235A34">
        <w:rPr>
          <w:rFonts w:ascii="Aptos" w:hAnsi="Aptos" w:cs="Aptos"/>
        </w:rPr>
        <w:t>¹</w:t>
      </w:r>
      <w:r w:rsidRPr="00235A34">
        <w:t xml:space="preserve"> in terms of </w:t>
      </w:r>
      <w:r w:rsidRPr="00235A34">
        <w:rPr>
          <w:rFonts w:ascii="Aptos" w:hAnsi="Aptos" w:cs="Aptos"/>
        </w:rPr>
        <w:t>φ</w:t>
      </w:r>
      <w:r w:rsidRPr="00235A34">
        <w:t>. One of the central results is:</w:t>
      </w:r>
    </w:p>
    <w:p w14:paraId="52D1F1C6" w14:textId="77777777" w:rsidR="00FA0FFD" w:rsidRPr="00235A34" w:rsidRDefault="00FA0FFD" w:rsidP="00FA0FFD">
      <m:oMathPara>
        <m:oMath>
          <m:sSup>
            <m:sSupPr>
              <m:ctrlPr>
                <w:rPr>
                  <w:rFonts w:ascii="Cambria Math" w:hAnsi="Cambria Math"/>
                </w:rPr>
              </m:ctrlPr>
            </m:sSupPr>
            <m:e>
              <m:r>
                <w:rPr>
                  <w:rFonts w:ascii="Cambria Math" w:hAnsi="Cambria Math"/>
                </w:rPr>
                <m:t>α</m:t>
              </m:r>
            </m:e>
            <m:sup>
              <m:r>
                <w:rPr>
                  <w:rFonts w:ascii="Cambria Math" w:hAnsi="Cambria Math"/>
                </w:rPr>
                <m:t>-1</m:t>
              </m:r>
            </m:sup>
          </m:sSup>
          <m:r>
            <w:rPr>
              <w:rFonts w:ascii="Cambria Math" w:hAnsi="Cambria Math"/>
            </w:rPr>
            <m:t>=360,</m:t>
          </m:r>
          <m:sSup>
            <m:sSupPr>
              <m:ctrlPr>
                <w:rPr>
                  <w:rFonts w:ascii="Cambria Math" w:hAnsi="Cambria Math"/>
                </w:rPr>
              </m:ctrlPr>
            </m:sSupPr>
            <m:e>
              <m:r>
                <w:rPr>
                  <w:rFonts w:ascii="Cambria Math" w:hAnsi="Cambria Math"/>
                </w:rPr>
                <m:t>φ</m:t>
              </m:r>
            </m:e>
            <m:sup>
              <m:r>
                <w:rPr>
                  <w:rFonts w:ascii="Cambria Math" w:hAnsi="Cambria Math"/>
                </w:rPr>
                <m:t>-2</m:t>
              </m:r>
            </m:sup>
          </m:sSup>
          <m:r>
            <w:rPr>
              <w:rFonts w:ascii="Cambria Math" w:hAnsi="Cambria Math"/>
            </w:rPr>
            <m:t>;-;2,</m:t>
          </m:r>
          <m:sSup>
            <m:sSupPr>
              <m:ctrlPr>
                <w:rPr>
                  <w:rFonts w:ascii="Cambria Math" w:hAnsi="Cambria Math"/>
                </w:rPr>
              </m:ctrlPr>
            </m:sSupPr>
            <m:e>
              <m:r>
                <w:rPr>
                  <w:rFonts w:ascii="Cambria Math" w:hAnsi="Cambria Math"/>
                </w:rPr>
                <m:t>φ</m:t>
              </m:r>
            </m:e>
            <m:sup>
              <m:r>
                <w:rPr>
                  <w:rFonts w:ascii="Cambria Math" w:hAnsi="Cambria Math"/>
                </w:rPr>
                <m:t>-3</m:t>
              </m:r>
            </m:sup>
          </m:sSup>
          <m:r>
            <m:rPr>
              <m:sty m:val="p"/>
            </m:rPr>
            <w:rPr>
              <w:rFonts w:ascii="Cambria Math" w:hAnsi="Cambria Math"/>
            </w:rPr>
            <w:br/>
          </m:r>
        </m:oMath>
      </m:oMathPara>
    </w:p>
    <w:p w14:paraId="5B35189D" w14:textId="77777777" w:rsidR="00FA0FFD" w:rsidRPr="00235A34" w:rsidRDefault="00FA0FFD" w:rsidP="00FA0FFD">
      <w:r w:rsidRPr="00235A34">
        <w:t>with numerical value:</w:t>
      </w:r>
    </w:p>
    <w:p w14:paraId="1EFE1727" w14:textId="77777777" w:rsidR="00FA0FFD" w:rsidRPr="00235A34" w:rsidRDefault="00FA0FFD" w:rsidP="00FA0FFD">
      <m:oMathPara>
        <m:oMath>
          <m:sSup>
            <m:sSupPr>
              <m:ctrlPr>
                <w:rPr>
                  <w:rFonts w:ascii="Cambria Math" w:hAnsi="Cambria Math"/>
                </w:rPr>
              </m:ctrlPr>
            </m:sSupPr>
            <m:e>
              <m:r>
                <w:rPr>
                  <w:rFonts w:ascii="Cambria Math" w:hAnsi="Cambria Math"/>
                </w:rPr>
                <m:t>α</m:t>
              </m:r>
            </m:e>
            <m:sup>
              <m:r>
                <w:rPr>
                  <w:rFonts w:ascii="Cambria Math" w:hAnsi="Cambria Math"/>
                </w:rPr>
                <m:t>-1</m:t>
              </m:r>
            </m:sup>
          </m:sSup>
          <m:r>
            <w:rPr>
              <w:rFonts w:ascii="Cambria Math" w:hAnsi="Cambria Math"/>
            </w:rPr>
            <m:t>=137.03562809…</m:t>
          </m:r>
          <m:r>
            <m:rPr>
              <m:sty m:val="p"/>
            </m:rPr>
            <w:rPr>
              <w:rFonts w:ascii="Cambria Math" w:hAnsi="Cambria Math"/>
            </w:rPr>
            <w:br/>
          </m:r>
        </m:oMath>
      </m:oMathPara>
    </w:p>
    <w:p w14:paraId="14CAFE06" w14:textId="77777777" w:rsidR="00FA0FFD" w:rsidRPr="00235A34" w:rsidRDefault="00FA0FFD" w:rsidP="00FA0FFD">
      <w:r w:rsidRPr="00235A34">
        <w:t>He then derives an even more precise expression involving higher-order φ-terms:</w:t>
      </w:r>
    </w:p>
    <w:p w14:paraId="4A7FF143" w14:textId="77777777" w:rsidR="00FA0FFD" w:rsidRPr="00235A34" w:rsidRDefault="00FA0FFD" w:rsidP="00FA0FFD">
      <m:oMathPara>
        <m:oMath>
          <m:sSup>
            <m:sSupPr>
              <m:ctrlPr>
                <w:rPr>
                  <w:rFonts w:ascii="Cambria Math" w:hAnsi="Cambria Math"/>
                </w:rPr>
              </m:ctrlPr>
            </m:sSupPr>
            <m:e>
              <m:r>
                <w:rPr>
                  <w:rFonts w:ascii="Cambria Math" w:hAnsi="Cambria Math"/>
                </w:rPr>
                <m:t>α</m:t>
              </m:r>
            </m:e>
            <m:sup>
              <m:r>
                <w:rPr>
                  <w:rFonts w:ascii="Cambria Math" w:hAnsi="Cambria Math"/>
                </w:rPr>
                <m:t>-1</m:t>
              </m:r>
            </m:sup>
          </m:sSup>
          <m:r>
            <w:rPr>
              <w:rFonts w:ascii="Cambria Math" w:hAnsi="Cambria Math"/>
            </w:rPr>
            <m:t>=360,</m:t>
          </m:r>
          <m:sSup>
            <m:sSupPr>
              <m:ctrlPr>
                <w:rPr>
                  <w:rFonts w:ascii="Cambria Math" w:hAnsi="Cambria Math"/>
                </w:rPr>
              </m:ctrlPr>
            </m:sSupPr>
            <m:e>
              <m:r>
                <w:rPr>
                  <w:rFonts w:ascii="Cambria Math" w:hAnsi="Cambria Math"/>
                </w:rPr>
                <m:t>φ</m:t>
              </m:r>
            </m:e>
            <m:sup>
              <m:r>
                <w:rPr>
                  <w:rFonts w:ascii="Cambria Math" w:hAnsi="Cambria Math"/>
                </w:rPr>
                <m:t>-2</m:t>
              </m:r>
            </m:sup>
          </m:sSup>
          <m:r>
            <w:rPr>
              <w:rFonts w:ascii="Cambria Math" w:hAnsi="Cambria Math"/>
            </w:rPr>
            <m:t>;-;2,</m:t>
          </m:r>
          <m:sSup>
            <m:sSupPr>
              <m:ctrlPr>
                <w:rPr>
                  <w:rFonts w:ascii="Cambria Math" w:hAnsi="Cambria Math"/>
                </w:rPr>
              </m:ctrlPr>
            </m:sSupPr>
            <m:e>
              <m:r>
                <w:rPr>
                  <w:rFonts w:ascii="Cambria Math" w:hAnsi="Cambria Math"/>
                </w:rPr>
                <m:t>φ</m:t>
              </m:r>
            </m:e>
            <m:sup>
              <m:r>
                <w:rPr>
                  <w:rFonts w:ascii="Cambria Math" w:hAnsi="Cambria Math"/>
                </w:rPr>
                <m:t>-3</m:t>
              </m:r>
            </m:sup>
          </m:sSup>
          <m:r>
            <w:rPr>
              <w:rFonts w:ascii="Cambria Math" w:hAnsi="Cambria Math"/>
            </w:rPr>
            <m:t>;+;(3φ</m:t>
          </m:r>
          <m:sSup>
            <m:sSupPr>
              <m:ctrlPr>
                <w:rPr>
                  <w:rFonts w:ascii="Cambria Math" w:hAnsi="Cambria Math"/>
                </w:rPr>
              </m:ctrlPr>
            </m:sSupPr>
            <m:e>
              <m:r>
                <w:rPr>
                  <w:rFonts w:ascii="Cambria Math" w:hAnsi="Cambria Math"/>
                </w:rPr>
                <m:t>)</m:t>
              </m:r>
            </m:e>
            <m:sup>
              <m:r>
                <w:rPr>
                  <w:rFonts w:ascii="Cambria Math" w:hAnsi="Cambria Math"/>
                </w:rPr>
                <m:t>-5</m:t>
              </m:r>
            </m:sup>
          </m:sSup>
          <m:r>
            <m:rPr>
              <m:sty m:val="p"/>
            </m:rPr>
            <w:rPr>
              <w:rFonts w:ascii="Cambria Math" w:hAnsi="Cambria Math"/>
            </w:rPr>
            <w:br/>
          </m:r>
        </m:oMath>
      </m:oMathPara>
    </w:p>
    <w:p w14:paraId="29578350" w14:textId="77777777" w:rsidR="00FA0FFD" w:rsidRPr="00235A34" w:rsidRDefault="00FA0FFD" w:rsidP="00FA0FFD">
      <w:r w:rsidRPr="00235A34">
        <w:lastRenderedPageBreak/>
        <w:t>which yields:</w:t>
      </w:r>
    </w:p>
    <w:p w14:paraId="1D556417" w14:textId="77777777" w:rsidR="00FA0FFD" w:rsidRPr="00235A34" w:rsidRDefault="00FA0FFD" w:rsidP="00FA0FFD">
      <m:oMathPara>
        <m:oMath>
          <m:sSup>
            <m:sSupPr>
              <m:ctrlPr>
                <w:rPr>
                  <w:rFonts w:ascii="Cambria Math" w:hAnsi="Cambria Math"/>
                </w:rPr>
              </m:ctrlPr>
            </m:sSupPr>
            <m:e>
              <m:r>
                <w:rPr>
                  <w:rFonts w:ascii="Cambria Math" w:hAnsi="Cambria Math"/>
                </w:rPr>
                <m:t>α</m:t>
              </m:r>
            </m:e>
            <m:sup>
              <m:r>
                <w:rPr>
                  <w:rFonts w:ascii="Cambria Math" w:hAnsi="Cambria Math"/>
                </w:rPr>
                <m:t>-1</m:t>
              </m:r>
            </m:sup>
          </m:sSup>
          <m:r>
            <w:rPr>
              <w:rFonts w:ascii="Cambria Math" w:hAnsi="Cambria Math"/>
            </w:rPr>
            <m:t>=137.03599916476…</m:t>
          </m:r>
          <m:r>
            <m:rPr>
              <m:sty m:val="p"/>
            </m:rPr>
            <w:rPr>
              <w:rFonts w:ascii="Cambria Math" w:hAnsi="Cambria Math"/>
            </w:rPr>
            <w:br/>
          </m:r>
        </m:oMath>
      </m:oMathPara>
    </w:p>
    <w:p w14:paraId="6FED7987" w14:textId="77777777" w:rsidR="00FA0FFD" w:rsidRPr="00235A34" w:rsidRDefault="00FA0FFD" w:rsidP="00FA0FFD">
      <w:r w:rsidRPr="00235A34">
        <w:t>matching the measured value to high precision.</w:t>
      </w:r>
    </w:p>
    <w:p w14:paraId="045C3292" w14:textId="77777777" w:rsidR="00FA0FFD" w:rsidRPr="00235A34" w:rsidRDefault="00FA0FFD" w:rsidP="00FA0FFD">
      <w:r w:rsidRPr="00235A34">
        <w:t xml:space="preserve">This is treated in the literature as an </w:t>
      </w:r>
      <w:r w:rsidRPr="00235A34">
        <w:rPr>
          <w:i/>
          <w:iCs/>
        </w:rPr>
        <w:t>exact formula</w:t>
      </w:r>
      <w:r w:rsidRPr="00235A34">
        <w:t xml:space="preserve"> expressing α through the intrinsic structure of φ.</w:t>
      </w:r>
    </w:p>
    <w:p w14:paraId="600CCEB3" w14:textId="77777777" w:rsidR="00FA0FFD" w:rsidRPr="00235A34" w:rsidRDefault="00FA0FFD" w:rsidP="00FA0FFD">
      <w:pPr>
        <w:rPr>
          <w:b/>
          <w:bCs/>
        </w:rPr>
      </w:pPr>
      <w:r w:rsidRPr="00235A34">
        <w:rPr>
          <w:b/>
          <w:bCs/>
        </w:rPr>
        <w:t>2. Golden angle formulations</w:t>
      </w:r>
    </w:p>
    <w:p w14:paraId="666283B0" w14:textId="77777777" w:rsidR="00FA0FFD" w:rsidRPr="00235A34" w:rsidRDefault="00FA0FFD" w:rsidP="00FA0FFD">
      <w:r w:rsidRPr="00235A34">
        <w:t>The golden angle, defined by:</w:t>
      </w:r>
    </w:p>
    <w:p w14:paraId="6C62EEE5" w14:textId="77777777" w:rsidR="00FA0FFD" w:rsidRPr="00235A34" w:rsidRDefault="00FA0FFD" w:rsidP="00FA0FFD">
      <m:oMathPara>
        <m:oMath>
          <m:sSub>
            <m:sSubPr>
              <m:ctrlPr>
                <w:rPr>
                  <w:rFonts w:ascii="Cambria Math" w:hAnsi="Cambria Math"/>
                </w:rPr>
              </m:ctrlPr>
            </m:sSubPr>
            <m:e>
              <m:r>
                <w:rPr>
                  <w:rFonts w:ascii="Cambria Math" w:hAnsi="Cambria Math"/>
                </w:rPr>
                <m:t>θ</m:t>
              </m:r>
            </m:e>
            <m:sub>
              <m:r>
                <w:rPr>
                  <w:rFonts w:ascii="Cambria Math" w:hAnsi="Cambria Math"/>
                </w:rPr>
                <m:t>g</m:t>
              </m:r>
            </m:sub>
          </m:sSub>
          <m:r>
            <w:rPr>
              <w:rFonts w:ascii="Cambria Math" w:hAnsi="Cambria Math"/>
            </w:rPr>
            <m:t>=</m:t>
          </m:r>
          <m:f>
            <m:fPr>
              <m:ctrlPr>
                <w:rPr>
                  <w:rFonts w:ascii="Cambria Math" w:hAnsi="Cambria Math"/>
                </w:rPr>
              </m:ctrlPr>
            </m:fPr>
            <m:num>
              <m:sSup>
                <m:sSupPr>
                  <m:ctrlPr>
                    <w:rPr>
                      <w:rFonts w:ascii="Cambria Math" w:hAnsi="Cambria Math"/>
                    </w:rPr>
                  </m:ctrlPr>
                </m:sSupPr>
                <m:e>
                  <m:r>
                    <w:rPr>
                      <w:rFonts w:ascii="Cambria Math" w:hAnsi="Cambria Math"/>
                    </w:rPr>
                    <m:t>360</m:t>
                  </m:r>
                </m:e>
                <m:sup>
                  <m:r>
                    <w:rPr>
                      <w:rFonts w:ascii="Cambria Math" w:hAnsi="Cambria Math"/>
                    </w:rPr>
                    <m:t>∘</m:t>
                  </m:r>
                </m:sup>
              </m:sSup>
            </m:num>
            <m:den>
              <m:sSup>
                <m:sSupPr>
                  <m:ctrlPr>
                    <w:rPr>
                      <w:rFonts w:ascii="Cambria Math" w:hAnsi="Cambria Math"/>
                    </w:rPr>
                  </m:ctrlPr>
                </m:sSupPr>
                <m:e>
                  <m:r>
                    <w:rPr>
                      <w:rFonts w:ascii="Cambria Math" w:hAnsi="Cambria Math"/>
                    </w:rPr>
                    <m:t>φ</m:t>
                  </m:r>
                </m:e>
                <m:sup>
                  <m:r>
                    <w:rPr>
                      <w:rFonts w:ascii="Cambria Math" w:hAnsi="Cambria Math"/>
                    </w:rPr>
                    <m:t>2</m:t>
                  </m:r>
                </m:sup>
              </m:sSup>
            </m:den>
          </m:f>
          <m:r>
            <w:rPr>
              <w:rFonts w:ascii="Cambria Math" w:hAnsi="Cambria Math"/>
            </w:rPr>
            <m:t>≈</m:t>
          </m:r>
          <m:sSup>
            <m:sSupPr>
              <m:ctrlPr>
                <w:rPr>
                  <w:rFonts w:ascii="Cambria Math" w:hAnsi="Cambria Math"/>
                </w:rPr>
              </m:ctrlPr>
            </m:sSupPr>
            <m:e>
              <m:r>
                <w:rPr>
                  <w:rFonts w:ascii="Cambria Math" w:hAnsi="Cambria Math"/>
                </w:rPr>
                <m:t>137.507764</m:t>
              </m:r>
            </m:e>
            <m:sup>
              <m:r>
                <w:rPr>
                  <w:rFonts w:ascii="Cambria Math" w:hAnsi="Cambria Math"/>
                </w:rPr>
                <m:t>∘</m:t>
              </m:r>
            </m:sup>
          </m:sSup>
          <m:r>
            <w:rPr>
              <w:rFonts w:ascii="Cambria Math" w:hAnsi="Cambria Math"/>
            </w:rPr>
            <m:t>,</m:t>
          </m:r>
          <m:r>
            <m:rPr>
              <m:sty m:val="p"/>
            </m:rPr>
            <w:rPr>
              <w:rFonts w:ascii="Cambria Math" w:hAnsi="Cambria Math"/>
            </w:rPr>
            <w:br/>
          </m:r>
        </m:oMath>
      </m:oMathPara>
    </w:p>
    <w:p w14:paraId="2A73BFFA" w14:textId="77777777" w:rsidR="00FA0FFD" w:rsidRPr="00235A34" w:rsidRDefault="00FA0FFD" w:rsidP="00FA0FFD">
      <w:r w:rsidRPr="00235A34">
        <w:t>naturally appears in atomic geometry. Pellis shows the fine-structure constant is closely reproduced by adjustments of the golden angle, motivating the expression:</w:t>
      </w:r>
    </w:p>
    <w:p w14:paraId="3598AC2B" w14:textId="77777777" w:rsidR="00FA0FFD" w:rsidRPr="00235A34" w:rsidRDefault="00FA0FFD" w:rsidP="00FA0FFD">
      <m:oMathPara>
        <m:oMath>
          <m:sSup>
            <m:sSupPr>
              <m:ctrlPr>
                <w:rPr>
                  <w:rFonts w:ascii="Cambria Math" w:hAnsi="Cambria Math"/>
                </w:rPr>
              </m:ctrlPr>
            </m:sSupPr>
            <m:e>
              <m:r>
                <w:rPr>
                  <w:rFonts w:ascii="Cambria Math" w:hAnsi="Cambria Math"/>
                </w:rPr>
                <m:t>α</m:t>
              </m:r>
            </m:e>
            <m:sup>
              <m:r>
                <w:rPr>
                  <w:rFonts w:ascii="Cambria Math" w:hAnsi="Cambria Math"/>
                </w:rPr>
                <m:t>-1</m:t>
              </m:r>
            </m:sup>
          </m:sSup>
          <m:r>
            <w:rPr>
              <w:rFonts w:ascii="Cambria Math" w:hAnsi="Cambria Math"/>
            </w:rPr>
            <m:t>=360,</m:t>
          </m:r>
          <m:sSup>
            <m:sSupPr>
              <m:ctrlPr>
                <w:rPr>
                  <w:rFonts w:ascii="Cambria Math" w:hAnsi="Cambria Math"/>
                </w:rPr>
              </m:ctrlPr>
            </m:sSupPr>
            <m:e>
              <m:r>
                <w:rPr>
                  <w:rFonts w:ascii="Cambria Math" w:hAnsi="Cambria Math"/>
                </w:rPr>
                <m:t>φ</m:t>
              </m:r>
            </m:e>
            <m:sup>
              <m:r>
                <w:rPr>
                  <w:rFonts w:ascii="Cambria Math" w:hAnsi="Cambria Math"/>
                </w:rPr>
                <m:t>-2</m:t>
              </m:r>
            </m:sup>
          </m:sSup>
          <m:r>
            <w:rPr>
              <w:rFonts w:ascii="Cambria Math" w:hAnsi="Cambria Math"/>
            </w:rPr>
            <m:t>-2,</m:t>
          </m:r>
          <m:sSup>
            <m:sSupPr>
              <m:ctrlPr>
                <w:rPr>
                  <w:rFonts w:ascii="Cambria Math" w:hAnsi="Cambria Math"/>
                </w:rPr>
              </m:ctrlPr>
            </m:sSupPr>
            <m:e>
              <m:r>
                <w:rPr>
                  <w:rFonts w:ascii="Cambria Math" w:hAnsi="Cambria Math"/>
                </w:rPr>
                <m:t>φ</m:t>
              </m:r>
            </m:e>
            <m:sup>
              <m:r>
                <w:rPr>
                  <w:rFonts w:ascii="Cambria Math" w:hAnsi="Cambria Math"/>
                </w:rPr>
                <m:t>-3</m:t>
              </m:r>
            </m:sup>
          </m:sSup>
          <m:r>
            <m:rPr>
              <m:sty m:val="p"/>
            </m:rPr>
            <w:rPr>
              <w:rFonts w:ascii="Cambria Math" w:hAnsi="Cambria Math"/>
            </w:rPr>
            <m:t>.</m:t>
          </m:r>
          <m:r>
            <m:rPr>
              <m:sty m:val="p"/>
            </m:rPr>
            <w:rPr>
              <w:rFonts w:ascii="Cambria Math" w:hAnsi="Cambria Math"/>
            </w:rPr>
            <w:br/>
          </m:r>
        </m:oMath>
      </m:oMathPara>
    </w:p>
    <w:p w14:paraId="3D11B900" w14:textId="77777777" w:rsidR="00FA0FFD" w:rsidRPr="00235A34" w:rsidRDefault="00FA0FFD" w:rsidP="00FA0FFD">
      <w:r w:rsidRPr="00235A34">
        <w:t xml:space="preserve">This situates the observed value of α within the geometry of </w:t>
      </w:r>
      <w:proofErr w:type="gramStart"/>
      <w:r w:rsidRPr="00235A34">
        <w:t>golden-ratio</w:t>
      </w:r>
      <w:proofErr w:type="gramEnd"/>
      <w:r w:rsidRPr="00235A34">
        <w:t xml:space="preserve"> phyllotaxis patterns that reappear in atomic structure.</w:t>
      </w:r>
    </w:p>
    <w:p w14:paraId="6BF3047F" w14:textId="77777777" w:rsidR="00FA0FFD" w:rsidRPr="00235A34" w:rsidRDefault="00FA0FFD" w:rsidP="00FA0FFD">
      <w:pPr>
        <w:rPr>
          <w:b/>
          <w:bCs/>
        </w:rPr>
      </w:pPr>
      <w:r w:rsidRPr="00235A34">
        <w:rPr>
          <w:b/>
          <w:bCs/>
        </w:rPr>
        <w:t>3. Golden-ratio geometry of the hydrogen atom (Heyrovska)</w:t>
      </w:r>
    </w:p>
    <w:p w14:paraId="6500719F" w14:textId="77777777" w:rsidR="00FA0FFD" w:rsidRPr="00235A34" w:rsidRDefault="00FA0FFD" w:rsidP="00FA0FFD">
      <w:r w:rsidRPr="00235A34">
        <w:t xml:space="preserve">Heyrovska demonstrated that the Bohr radius can be divided into </w:t>
      </w:r>
      <w:r w:rsidRPr="00235A34">
        <w:rPr>
          <w:b/>
          <w:bCs/>
        </w:rPr>
        <w:t>golden sections</w:t>
      </w:r>
      <w:r w:rsidRPr="00235A34">
        <w:t>, giving a structural basis for the appearance of φ in electromagnetic coupling:</w:t>
      </w:r>
    </w:p>
    <w:p w14:paraId="5D13D9C5" w14:textId="77777777" w:rsidR="00FA0FFD" w:rsidRPr="00235A34" w:rsidRDefault="00FA0FFD" w:rsidP="00FA0FFD">
      <w:pPr>
        <w:numPr>
          <w:ilvl w:val="0"/>
          <w:numId w:val="29"/>
        </w:numPr>
      </w:pPr>
      <w:r w:rsidRPr="00235A34">
        <w:t>The electron–proton separation divides into two segments in the exact golden ratio.</w:t>
      </w:r>
    </w:p>
    <w:p w14:paraId="5D9641D1" w14:textId="77777777" w:rsidR="00FA0FFD" w:rsidRPr="00235A34" w:rsidRDefault="00FA0FFD" w:rsidP="00FA0FFD">
      <w:pPr>
        <w:numPr>
          <w:ilvl w:val="0"/>
          <w:numId w:val="29"/>
        </w:numPr>
      </w:pPr>
      <w:r w:rsidRPr="00235A34">
        <w:t>This geometric decomposition links atomic stability and electromagnetic interaction directly to φ.</w:t>
      </w:r>
    </w:p>
    <w:p w14:paraId="6867D44D" w14:textId="77777777" w:rsidR="00FA0FFD" w:rsidRPr="00235A34" w:rsidRDefault="00FA0FFD" w:rsidP="00FA0FFD">
      <w:r w:rsidRPr="00235A34">
        <w:t xml:space="preserve">Sherbon cites this result as evidence that the golden ratio lies at the </w:t>
      </w:r>
      <w:r w:rsidRPr="00235A34">
        <w:rPr>
          <w:b/>
          <w:bCs/>
        </w:rPr>
        <w:t>core of atomic structure</w:t>
      </w:r>
      <w:r w:rsidRPr="00235A34">
        <w:t>, providing a natural geometric foundation for α.</w:t>
      </w:r>
    </w:p>
    <w:p w14:paraId="724884F5" w14:textId="77777777" w:rsidR="00FA0FFD" w:rsidRPr="00235A34" w:rsidRDefault="00FA0FFD" w:rsidP="00FA0FFD">
      <w:pPr>
        <w:rPr>
          <w:b/>
          <w:bCs/>
        </w:rPr>
      </w:pPr>
      <w:r w:rsidRPr="00235A34">
        <w:rPr>
          <w:b/>
          <w:bCs/>
        </w:rPr>
        <w:t>4. Pythagorean and Keplerian geometry</w:t>
      </w:r>
    </w:p>
    <w:p w14:paraId="632195ED" w14:textId="77777777" w:rsidR="00FA0FFD" w:rsidRPr="00235A34" w:rsidRDefault="00FA0FFD" w:rsidP="00FA0FFD">
      <w:r w:rsidRPr="00235A34">
        <w:t>Sherbon further shows that α emerges from combining:</w:t>
      </w:r>
    </w:p>
    <w:p w14:paraId="1A8186BB" w14:textId="77777777" w:rsidR="00FA0FFD" w:rsidRPr="00235A34" w:rsidRDefault="00FA0FFD" w:rsidP="00FA0FFD">
      <w:pPr>
        <w:numPr>
          <w:ilvl w:val="0"/>
          <w:numId w:val="30"/>
        </w:numPr>
      </w:pPr>
      <w:r w:rsidRPr="00235A34">
        <w:t>Pythagorean harmonic proportions,</w:t>
      </w:r>
    </w:p>
    <w:p w14:paraId="761A8168" w14:textId="77777777" w:rsidR="00FA0FFD" w:rsidRPr="00235A34" w:rsidRDefault="00FA0FFD" w:rsidP="00FA0FFD">
      <w:pPr>
        <w:numPr>
          <w:ilvl w:val="0"/>
          <w:numId w:val="30"/>
        </w:numPr>
      </w:pPr>
      <w:r w:rsidRPr="00235A34">
        <w:t xml:space="preserve">the Kepler triangle (whose sides are in the ratios </w:t>
      </w:r>
      <w:proofErr w:type="gramStart"/>
      <w:r w:rsidRPr="00235A34">
        <w:t>1 :</w:t>
      </w:r>
      <w:proofErr w:type="gramEnd"/>
      <w:r w:rsidRPr="00235A34">
        <w:t xml:space="preserve"> √</w:t>
      </w:r>
      <w:proofErr w:type="gramStart"/>
      <w:r w:rsidRPr="00235A34">
        <w:t>φ :</w:t>
      </w:r>
      <w:proofErr w:type="gramEnd"/>
      <w:r w:rsidRPr="00235A34">
        <w:t xml:space="preserve"> φ),</w:t>
      </w:r>
    </w:p>
    <w:p w14:paraId="71E36BF0" w14:textId="77777777" w:rsidR="00FA0FFD" w:rsidRPr="00235A34" w:rsidRDefault="00FA0FFD" w:rsidP="00FA0FFD">
      <w:r w:rsidRPr="00235A34">
        <w:t>and argues that φ is the “hiding place” of α within classical geometric harmonics.</w:t>
      </w:r>
    </w:p>
    <w:p w14:paraId="3CB0CB73" w14:textId="77777777" w:rsidR="00FA0FFD" w:rsidRPr="00235A34" w:rsidRDefault="00FA0FFD" w:rsidP="00FA0FFD">
      <w:r w:rsidRPr="00235A34">
        <w:t xml:space="preserve">The quartic equations connected to </w:t>
      </w:r>
      <w:proofErr w:type="gramStart"/>
      <w:r w:rsidRPr="00235A34">
        <w:t>φ</w:t>
      </w:r>
      <w:proofErr w:type="gramEnd"/>
      <w:r w:rsidRPr="00235A34">
        <w:t xml:space="preserve"> and the Kepler triangle reproduce the same approximate α that golden-ratio hydrogen geometry predicts.</w:t>
      </w:r>
    </w:p>
    <w:p w14:paraId="6579DEF4" w14:textId="77777777" w:rsidR="00FA0FFD" w:rsidRPr="00235A34" w:rsidRDefault="00FA0FFD" w:rsidP="00FA0FFD">
      <w:pPr>
        <w:rPr>
          <w:b/>
          <w:bCs/>
        </w:rPr>
      </w:pPr>
      <w:r w:rsidRPr="00235A34">
        <w:rPr>
          <w:b/>
          <w:bCs/>
        </w:rPr>
        <w:t>5. Interpretative overview</w:t>
      </w:r>
    </w:p>
    <w:p w14:paraId="0F6B313A" w14:textId="77777777" w:rsidR="00FA0FFD" w:rsidRPr="00235A34" w:rsidRDefault="00FA0FFD" w:rsidP="00FA0FFD">
      <w:r w:rsidRPr="00235A34">
        <w:t>Across the literature, the relationship between α and φ takes several robust forms:</w:t>
      </w:r>
    </w:p>
    <w:p w14:paraId="1E4C37D8" w14:textId="77777777" w:rsidR="00FA0FFD" w:rsidRPr="00235A34" w:rsidRDefault="00FA0FFD" w:rsidP="00FA0FFD">
      <w:pPr>
        <w:rPr>
          <w:b/>
          <w:bCs/>
        </w:rPr>
      </w:pPr>
      <w:r w:rsidRPr="00235A34">
        <w:rPr>
          <w:b/>
          <w:bCs/>
        </w:rPr>
        <w:t>(a) Exact analytic identities</w:t>
      </w:r>
    </w:p>
    <w:p w14:paraId="6D070EAA" w14:textId="77777777" w:rsidR="00FA0FFD" w:rsidRPr="00235A34" w:rsidRDefault="00FA0FFD" w:rsidP="00FA0FFD">
      <w:r w:rsidRPr="00235A34">
        <w:lastRenderedPageBreak/>
        <w:t>Closed-form φ-based formulas reproduce α numerically to experimental precision.</w:t>
      </w:r>
    </w:p>
    <w:p w14:paraId="42CA8E9D" w14:textId="77777777" w:rsidR="00FA0FFD" w:rsidRPr="00235A34" w:rsidRDefault="00FA0FFD" w:rsidP="00FA0FFD">
      <w:pPr>
        <w:rPr>
          <w:b/>
          <w:bCs/>
        </w:rPr>
      </w:pPr>
      <w:r w:rsidRPr="00235A34">
        <w:rPr>
          <w:b/>
          <w:bCs/>
        </w:rPr>
        <w:t>(b) Geometric interpretations</w:t>
      </w:r>
    </w:p>
    <w:p w14:paraId="6FCDE470" w14:textId="77777777" w:rsidR="00FA0FFD" w:rsidRPr="00235A34" w:rsidRDefault="00FA0FFD" w:rsidP="00FA0FFD">
      <w:r w:rsidRPr="00235A34">
        <w:t>The golden ratio governs atomic geometry, specifically the internal decomposition of the Bohr radius and the harmonic structure of hydrogen-like systems.</w:t>
      </w:r>
    </w:p>
    <w:p w14:paraId="48C1A0DC" w14:textId="77777777" w:rsidR="00FA0FFD" w:rsidRPr="00235A34" w:rsidRDefault="00FA0FFD" w:rsidP="00FA0FFD">
      <w:pPr>
        <w:rPr>
          <w:b/>
          <w:bCs/>
        </w:rPr>
      </w:pPr>
      <w:r w:rsidRPr="00235A34">
        <w:rPr>
          <w:b/>
          <w:bCs/>
        </w:rPr>
        <w:t>(c) Structural and physical meaning</w:t>
      </w:r>
    </w:p>
    <w:p w14:paraId="474501A5" w14:textId="77777777" w:rsidR="00FA0FFD" w:rsidRPr="00235A34" w:rsidRDefault="00FA0FFD" w:rsidP="00FA0FFD">
      <w:r w:rsidRPr="00235A34">
        <w:t>The golden ratio reflects:</w:t>
      </w:r>
    </w:p>
    <w:p w14:paraId="3D5CFC18" w14:textId="77777777" w:rsidR="00FA0FFD" w:rsidRPr="00235A34" w:rsidRDefault="00FA0FFD" w:rsidP="00FA0FFD">
      <w:pPr>
        <w:numPr>
          <w:ilvl w:val="0"/>
          <w:numId w:val="31"/>
        </w:numPr>
      </w:pPr>
      <w:r w:rsidRPr="00235A34">
        <w:t>self-organization in matter,</w:t>
      </w:r>
    </w:p>
    <w:p w14:paraId="334006CD" w14:textId="77777777" w:rsidR="00FA0FFD" w:rsidRPr="00235A34" w:rsidRDefault="00FA0FFD" w:rsidP="00FA0FFD">
      <w:pPr>
        <w:numPr>
          <w:ilvl w:val="0"/>
          <w:numId w:val="31"/>
        </w:numPr>
      </w:pPr>
      <w:r w:rsidRPr="00235A34">
        <w:t>minimum-energy configurations,</w:t>
      </w:r>
    </w:p>
    <w:p w14:paraId="3A51B765" w14:textId="77777777" w:rsidR="00FA0FFD" w:rsidRPr="00235A34" w:rsidRDefault="00FA0FFD" w:rsidP="00FA0FFD">
      <w:pPr>
        <w:numPr>
          <w:ilvl w:val="0"/>
          <w:numId w:val="31"/>
        </w:numPr>
      </w:pPr>
      <w:r w:rsidRPr="00235A34">
        <w:t>universal scaling laws,</w:t>
      </w:r>
    </w:p>
    <w:p w14:paraId="6BF57E1F" w14:textId="77777777" w:rsidR="00FA0FFD" w:rsidRPr="00235A34" w:rsidRDefault="00FA0FFD" w:rsidP="00FA0FFD">
      <w:r w:rsidRPr="00235A34">
        <w:t>and α is interpreted as arising from precisely such structural optimization in atomic physics.</w:t>
      </w:r>
    </w:p>
    <w:p w14:paraId="43F462B3" w14:textId="77777777" w:rsidR="00FA0FFD" w:rsidRPr="00235A34" w:rsidRDefault="00FA0FFD" w:rsidP="00FA0FFD">
      <w:pPr>
        <w:rPr>
          <w:b/>
          <w:bCs/>
        </w:rPr>
      </w:pPr>
      <w:r w:rsidRPr="00235A34">
        <w:rPr>
          <w:b/>
          <w:bCs/>
        </w:rPr>
        <w:t>Conclusion</w:t>
      </w:r>
    </w:p>
    <w:p w14:paraId="117B3530" w14:textId="77777777" w:rsidR="00FA0FFD" w:rsidRPr="00235A34" w:rsidRDefault="00FA0FFD" w:rsidP="00FA0FFD">
      <w:r w:rsidRPr="00235A34">
        <w:t xml:space="preserve">Yes—there is a </w:t>
      </w:r>
      <w:r w:rsidRPr="00235A34">
        <w:rPr>
          <w:b/>
          <w:bCs/>
        </w:rPr>
        <w:t>deep, explicit, and mathematically exact relationship</w:t>
      </w:r>
      <w:r w:rsidRPr="00235A34">
        <w:t xml:space="preserve"> between the fine-structure constant and the golden ratio.</w:t>
      </w:r>
    </w:p>
    <w:p w14:paraId="3EB422D7" w14:textId="77777777" w:rsidR="00FA0FFD" w:rsidRDefault="00FA0FFD" w:rsidP="00FA0FFD">
      <w:r w:rsidRPr="00235A34">
        <w:t xml:space="preserve">In multiple independent derivations, </w:t>
      </w:r>
      <w:r w:rsidRPr="00235A34">
        <w:rPr>
          <w:b/>
          <w:bCs/>
        </w:rPr>
        <w:t>α</w:t>
      </w:r>
      <w:r w:rsidRPr="00235A34">
        <w:rPr>
          <w:rFonts w:ascii="Cambria Math" w:hAnsi="Cambria Math" w:cs="Cambria Math"/>
          <w:b/>
          <w:bCs/>
        </w:rPr>
        <w:t>⁻</w:t>
      </w:r>
      <w:r w:rsidRPr="00235A34">
        <w:rPr>
          <w:rFonts w:ascii="Aptos" w:hAnsi="Aptos" w:cs="Aptos"/>
          <w:b/>
          <w:bCs/>
        </w:rPr>
        <w:t>¹</w:t>
      </w:r>
      <w:r w:rsidRPr="00235A34">
        <w:rPr>
          <w:b/>
          <w:bCs/>
        </w:rPr>
        <w:t xml:space="preserve"> is written directly in terms of </w:t>
      </w:r>
      <w:r w:rsidRPr="00235A34">
        <w:rPr>
          <w:rFonts w:ascii="Aptos" w:hAnsi="Aptos" w:cs="Aptos"/>
          <w:b/>
          <w:bCs/>
        </w:rPr>
        <w:t>φ</w:t>
      </w:r>
      <w:r w:rsidRPr="00235A34">
        <w:t>, and the golden ratio appears as a fundamental geometric parameter governing the structure of atoms, the Bohr radius decomposition, and the harmonic relations underlying electromagnetic coupling.</w:t>
      </w:r>
    </w:p>
    <w:p w14:paraId="1FA978FC" w14:textId="77777777" w:rsidR="00FA0FFD" w:rsidRPr="002E7BBD" w:rsidRDefault="00FA0FFD" w:rsidP="00FA0FFD">
      <w:pPr>
        <w:pStyle w:val="Style1"/>
      </w:pPr>
      <w:bookmarkStart w:id="12" w:name="_Toc219386907"/>
      <w:r>
        <w:t>4</w:t>
      </w:r>
      <w:r w:rsidRPr="002E7BBD">
        <w:t>.0 Fine Structure Literature Corpus</w:t>
      </w:r>
      <w:bookmarkEnd w:id="12"/>
    </w:p>
    <w:p w14:paraId="43931E15" w14:textId="77777777" w:rsidR="00FA0FFD" w:rsidRPr="00AE0EAE" w:rsidRDefault="00FA0FFD" w:rsidP="00FA0FFD">
      <w:pPr>
        <w:pStyle w:val="Style1"/>
      </w:pPr>
      <w:bookmarkStart w:id="13" w:name="_Toc219386908"/>
      <w:r>
        <w:t xml:space="preserve">4.1 </w:t>
      </w:r>
      <w:r w:rsidRPr="00AE0EAE">
        <w:t>Introduction</w:t>
      </w:r>
      <w:bookmarkEnd w:id="13"/>
    </w:p>
    <w:p w14:paraId="7DF5F0DB" w14:textId="77777777" w:rsidR="00FA0FFD" w:rsidRPr="00AE0EAE" w:rsidRDefault="00FA0FFD" w:rsidP="00FA0FFD">
      <w:pPr>
        <w:rPr>
          <w:b/>
          <w:bCs/>
        </w:rPr>
      </w:pPr>
      <w:r w:rsidRPr="00AE0EAE">
        <w:rPr>
          <w:b/>
          <w:bCs/>
        </w:rPr>
        <w:t>Data Availability Statement</w:t>
      </w:r>
    </w:p>
    <w:p w14:paraId="5F25EA9B" w14:textId="77777777" w:rsidR="00FA0FFD" w:rsidRDefault="00FA0FFD" w:rsidP="00FA0FFD">
      <w:r>
        <w:t xml:space="preserve">All items listed here are publicly available. DOIs are provided where available. </w:t>
      </w:r>
    </w:p>
    <w:p w14:paraId="4CA62F9F" w14:textId="77777777" w:rsidR="00FA0FFD" w:rsidRPr="004078E1" w:rsidRDefault="00FA0FFD" w:rsidP="00FA0FFD">
      <w:pPr>
        <w:pStyle w:val="Style1"/>
      </w:pPr>
      <w:bookmarkStart w:id="14" w:name="_Toc219386909"/>
      <w:r>
        <w:t xml:space="preserve">4.2 </w:t>
      </w:r>
      <w:r w:rsidRPr="004078E1">
        <w:t>Fine Structure Constant Corpus</w:t>
      </w:r>
      <w:bookmarkEnd w:id="14"/>
    </w:p>
    <w:p w14:paraId="1E7DD582" w14:textId="77777777" w:rsidR="00FA0FFD" w:rsidRDefault="00FA0FFD" w:rsidP="00FA0FFD">
      <w:pPr>
        <w:pStyle w:val="ListParagraph"/>
        <w:numPr>
          <w:ilvl w:val="0"/>
          <w:numId w:val="42"/>
        </w:numPr>
      </w:pPr>
      <w:r>
        <w:t xml:space="preserve">Koshy 2017, </w:t>
      </w:r>
      <w:hyperlink r:id="rId5" w:history="1">
        <w:r w:rsidRPr="004078E1">
          <w:rPr>
            <w:rStyle w:val="Hyperlink"/>
          </w:rPr>
          <w:t>Fine Structure Constant a Mystery Resolved, viXra.org e-Print archive, viXra:1701.0310</w:t>
        </w:r>
      </w:hyperlink>
    </w:p>
    <w:p w14:paraId="5C74A189" w14:textId="77777777" w:rsidR="00FA0FFD" w:rsidRDefault="00FA0FFD" w:rsidP="00FA0FFD">
      <w:pPr>
        <w:pStyle w:val="ListParagraph"/>
        <w:numPr>
          <w:ilvl w:val="0"/>
          <w:numId w:val="42"/>
        </w:numPr>
      </w:pPr>
      <w:r>
        <w:t xml:space="preserve">Perkovic, 2017, </w:t>
      </w:r>
      <w:hyperlink r:id="rId6" w:history="1">
        <w:r w:rsidRPr="004078E1">
          <w:rPr>
            <w:rStyle w:val="Hyperlink"/>
          </w:rPr>
          <w:t xml:space="preserve">Solving </w:t>
        </w:r>
        <w:proofErr w:type="gramStart"/>
        <w:r w:rsidRPr="004078E1">
          <w:rPr>
            <w:rStyle w:val="Hyperlink"/>
          </w:rPr>
          <w:t>The</w:t>
        </w:r>
        <w:proofErr w:type="gramEnd"/>
        <w:r w:rsidRPr="004078E1">
          <w:rPr>
            <w:rStyle w:val="Hyperlink"/>
          </w:rPr>
          <w:t xml:space="preserve"> Mystery of the Fine Structure Constant, viXra.org e-Print archive, viXra:1701.0473</w:t>
        </w:r>
      </w:hyperlink>
    </w:p>
    <w:p w14:paraId="0165DF49" w14:textId="77777777" w:rsidR="00FA0FFD" w:rsidRDefault="00FA0FFD" w:rsidP="00FA0FFD">
      <w:pPr>
        <w:pStyle w:val="ListParagraph"/>
        <w:numPr>
          <w:ilvl w:val="0"/>
          <w:numId w:val="42"/>
        </w:numPr>
      </w:pPr>
      <w:r>
        <w:t xml:space="preserve">Sherbon, 2019, </w:t>
      </w:r>
      <w:hyperlink r:id="rId7" w:history="1">
        <w:r w:rsidRPr="004078E1">
          <w:rPr>
            <w:rStyle w:val="Hyperlink"/>
          </w:rPr>
          <w:t>Physical Mathematics and the Fine-Structure Constant, viXra.org e-Print archive, viXra:1902.0497</w:t>
        </w:r>
      </w:hyperlink>
    </w:p>
    <w:p w14:paraId="3C33B72E" w14:textId="77777777" w:rsidR="00FA0FFD" w:rsidRDefault="00FA0FFD" w:rsidP="00FA0FFD">
      <w:pPr>
        <w:pStyle w:val="ListParagraph"/>
        <w:numPr>
          <w:ilvl w:val="0"/>
          <w:numId w:val="42"/>
        </w:numPr>
      </w:pPr>
      <w:r>
        <w:t xml:space="preserve">Hieb, 2017, </w:t>
      </w:r>
      <w:hyperlink r:id="rId8" w:history="1">
        <w:r w:rsidRPr="004078E1">
          <w:rPr>
            <w:rStyle w:val="Hyperlink"/>
          </w:rPr>
          <w:t>Feigenbaum’s Constant and the Sommerfeld Fine-Structure Constant, viXra.org e-Print archive, viXra:1704.0365</w:t>
        </w:r>
      </w:hyperlink>
    </w:p>
    <w:p w14:paraId="27073A61" w14:textId="77777777" w:rsidR="00FA0FFD" w:rsidRDefault="00FA0FFD" w:rsidP="00FA0FFD">
      <w:pPr>
        <w:pStyle w:val="ListParagraph"/>
        <w:numPr>
          <w:ilvl w:val="0"/>
          <w:numId w:val="42"/>
        </w:numPr>
      </w:pPr>
      <w:r>
        <w:t xml:space="preserve">Ellgen, 2014, </w:t>
      </w:r>
      <w:hyperlink r:id="rId9" w:history="1">
        <w:r w:rsidRPr="004078E1">
          <w:rPr>
            <w:rStyle w:val="Hyperlink"/>
          </w:rPr>
          <w:t>Knot Physics: Deriving the Fine Structure Constant, viXra.org e-Print archive, viXra:1405.0235</w:t>
        </w:r>
      </w:hyperlink>
    </w:p>
    <w:p w14:paraId="5B5751EF" w14:textId="77777777" w:rsidR="00FA0FFD" w:rsidRDefault="00FA0FFD" w:rsidP="00FA0FFD">
      <w:pPr>
        <w:pStyle w:val="ListParagraph"/>
        <w:numPr>
          <w:ilvl w:val="0"/>
          <w:numId w:val="42"/>
        </w:numPr>
      </w:pPr>
      <w:r>
        <w:t xml:space="preserve">Sherbon, 2019, </w:t>
      </w:r>
      <w:hyperlink r:id="rId10" w:history="1">
        <w:r w:rsidRPr="004078E1">
          <w:rPr>
            <w:rStyle w:val="Hyperlink"/>
          </w:rPr>
          <w:t>Fine-Structure Constant from Sommerfeld to Feynman, viXra.org e-Print archive, viXra:1909.0261</w:t>
        </w:r>
      </w:hyperlink>
    </w:p>
    <w:p w14:paraId="3FEF2E97" w14:textId="77777777" w:rsidR="00FA0FFD" w:rsidRDefault="00FA0FFD" w:rsidP="00FA0FFD">
      <w:pPr>
        <w:pStyle w:val="ListParagraph"/>
        <w:numPr>
          <w:ilvl w:val="0"/>
          <w:numId w:val="42"/>
        </w:numPr>
      </w:pPr>
      <w:r>
        <w:t xml:space="preserve">Pellis 2021, </w:t>
      </w:r>
      <w:hyperlink r:id="rId11" w:history="1">
        <w:r w:rsidRPr="004078E1">
          <w:rPr>
            <w:rStyle w:val="Hyperlink"/>
          </w:rPr>
          <w:t>Exact Expressions of the Fine-Structure Constant, viXra.org e-Print archive, viXra:2110.0117</w:t>
        </w:r>
      </w:hyperlink>
    </w:p>
    <w:p w14:paraId="55DB3EDB" w14:textId="77777777" w:rsidR="00FA0FFD" w:rsidRDefault="00FA0FFD" w:rsidP="00FA0FFD">
      <w:pPr>
        <w:pStyle w:val="ListParagraph"/>
        <w:numPr>
          <w:ilvl w:val="0"/>
          <w:numId w:val="42"/>
        </w:numPr>
      </w:pPr>
      <w:r>
        <w:t xml:space="preserve">Yee, 2019, </w:t>
      </w:r>
      <w:hyperlink r:id="rId12" w:history="1">
        <w:r w:rsidRPr="004078E1">
          <w:rPr>
            <w:rStyle w:val="Hyperlink"/>
          </w:rPr>
          <w:t>The Relationship of the Fine Structure Constant and Pi, viXra.org e-Print archive, viXra:1905.0396</w:t>
        </w:r>
      </w:hyperlink>
    </w:p>
    <w:p w14:paraId="570735E4" w14:textId="77777777" w:rsidR="00FA0FFD" w:rsidRDefault="00FA0FFD" w:rsidP="00FA0FFD">
      <w:pPr>
        <w:pStyle w:val="ListParagraph"/>
        <w:numPr>
          <w:ilvl w:val="0"/>
          <w:numId w:val="42"/>
        </w:numPr>
      </w:pPr>
      <w:r>
        <w:lastRenderedPageBreak/>
        <w:t xml:space="preserve">Chen. G, Chen. T, Chen. T, 2020, </w:t>
      </w:r>
      <w:hyperlink r:id="rId13" w:history="1">
        <w:r w:rsidRPr="004078E1">
          <w:rPr>
            <w:rStyle w:val="Hyperlink"/>
          </w:rPr>
          <w:t>Chen’s Formulas of the Fine-Structure Constant, viXra.org e-Print archive, viXra:2002.0203</w:t>
        </w:r>
      </w:hyperlink>
    </w:p>
    <w:p w14:paraId="4AAB5FF7" w14:textId="77777777" w:rsidR="00FA0FFD" w:rsidRDefault="00FA0FFD" w:rsidP="00FA0FFD">
      <w:pPr>
        <w:pStyle w:val="ListParagraph"/>
        <w:numPr>
          <w:ilvl w:val="0"/>
          <w:numId w:val="42"/>
        </w:numPr>
      </w:pPr>
      <w:r>
        <w:t xml:space="preserve">Nakayama, 2024, </w:t>
      </w:r>
      <w:hyperlink r:id="rId14" w:history="1">
        <w:r w:rsidRPr="004078E1">
          <w:rPr>
            <w:rStyle w:val="Hyperlink"/>
          </w:rPr>
          <w:t>Clarifying the Origin of the Fine-Structure Constant, viXra.org e-Print archive, viXra:2407.0099</w:t>
        </w:r>
      </w:hyperlink>
    </w:p>
    <w:p w14:paraId="2B8D7567" w14:textId="77777777" w:rsidR="00FA0FFD" w:rsidRPr="00C764B7" w:rsidRDefault="00FA0FFD" w:rsidP="00FA0FFD">
      <w:pPr>
        <w:pStyle w:val="Style1"/>
      </w:pPr>
      <w:bookmarkStart w:id="15" w:name="_Toc219386910"/>
      <w:r>
        <w:t xml:space="preserve">5.0 </w:t>
      </w:r>
      <w:r w:rsidRPr="00C764B7">
        <w:t xml:space="preserve">Supplementary Data </w:t>
      </w:r>
      <w:r>
        <w:t>2</w:t>
      </w:r>
      <w:r w:rsidRPr="00C764B7">
        <w:t xml:space="preserve">: </w:t>
      </w:r>
      <w:r>
        <w:t>Gravitational Waves</w:t>
      </w:r>
      <w:r w:rsidRPr="00C764B7">
        <w:t xml:space="preserve"> GPT full responses</w:t>
      </w:r>
      <w:bookmarkEnd w:id="15"/>
    </w:p>
    <w:p w14:paraId="6CDDAEC2" w14:textId="77777777" w:rsidR="00FA0FFD" w:rsidRDefault="00FA0FFD" w:rsidP="00FA0FFD">
      <w:pPr>
        <w:pStyle w:val="Style1"/>
        <w:rPr>
          <w:bCs/>
        </w:rPr>
      </w:pPr>
      <w:bookmarkStart w:id="16" w:name="_Toc219386911"/>
      <w:r>
        <w:rPr>
          <w:bCs/>
        </w:rPr>
        <w:t>5.1 Introduction</w:t>
      </w:r>
      <w:bookmarkEnd w:id="16"/>
    </w:p>
    <w:p w14:paraId="0F86271D" w14:textId="77777777" w:rsidR="00FA0FFD" w:rsidRPr="00BD437A" w:rsidRDefault="00FA0FFD" w:rsidP="00FA0FFD">
      <w:r>
        <w:rPr>
          <w:b/>
          <w:bCs/>
        </w:rPr>
        <w:br/>
      </w:r>
      <w:r w:rsidRPr="00BD437A">
        <w:t xml:space="preserve">This </w:t>
      </w:r>
      <w:r>
        <w:t>section</w:t>
      </w:r>
      <w:r w:rsidRPr="00BD437A">
        <w:t xml:space="preserve"> provides full GPT-generated responses provided by the Gravitational Waves (GW) GPT used in the analysis presented in the main manuscript “The Potential for Large Language Models to Undermine the Understanding of Science: An Experimental Approach”. This </w:t>
      </w:r>
      <w:r>
        <w:t xml:space="preserve">section </w:t>
      </w:r>
      <w:r w:rsidRPr="00BD437A">
        <w:t xml:space="preserve">contains supplementary AI generation details, a statement on the use of generative AI in research, a data availability statement and then the full verbatim responses gathered from the GW GPT presented sequentially, the question asked is presented and then the full verbatim response is given. The page ranges for each question are as follows: Question 1 (Pages </w:t>
      </w:r>
      <w:r>
        <w:t>14-15</w:t>
      </w:r>
      <w:r w:rsidRPr="00BD437A">
        <w:t xml:space="preserve">); Question 2 (Pages </w:t>
      </w:r>
      <w:r>
        <w:t>15</w:t>
      </w:r>
      <w:r w:rsidRPr="00BD437A">
        <w:t>–</w:t>
      </w:r>
      <w:r>
        <w:t>17</w:t>
      </w:r>
      <w:r w:rsidRPr="00BD437A">
        <w:t xml:space="preserve">); Question 3 (Pages </w:t>
      </w:r>
      <w:r>
        <w:t>17</w:t>
      </w:r>
      <w:r w:rsidRPr="00BD437A">
        <w:t>-</w:t>
      </w:r>
      <w:r>
        <w:t>20</w:t>
      </w:r>
      <w:r w:rsidRPr="00BD437A">
        <w:t xml:space="preserve">); Question 4 (Pages </w:t>
      </w:r>
      <w:r>
        <w:t>19</w:t>
      </w:r>
      <w:r w:rsidRPr="00BD437A">
        <w:t>–</w:t>
      </w:r>
      <w:r>
        <w:t>20</w:t>
      </w:r>
      <w:r w:rsidRPr="00BD437A">
        <w:t xml:space="preserve">); Question 5 (Pages </w:t>
      </w:r>
      <w:r>
        <w:t>20</w:t>
      </w:r>
      <w:r w:rsidRPr="00BD437A">
        <w:t>–</w:t>
      </w:r>
      <w:r>
        <w:t>22</w:t>
      </w:r>
      <w:r w:rsidRPr="00BD437A">
        <w:t xml:space="preserve">) and Question 6 (Pages </w:t>
      </w:r>
      <w:r>
        <w:t>22</w:t>
      </w:r>
      <w:r w:rsidRPr="00BD437A">
        <w:t>-</w:t>
      </w:r>
      <w:r>
        <w:t>24</w:t>
      </w:r>
      <w:r w:rsidRPr="00BD437A">
        <w:t xml:space="preserve">). </w:t>
      </w:r>
    </w:p>
    <w:p w14:paraId="289746E6" w14:textId="77777777" w:rsidR="00FA0FFD" w:rsidRPr="001A79B4" w:rsidRDefault="00FA0FFD" w:rsidP="00FA0FFD">
      <w:pPr>
        <w:pStyle w:val="Style1"/>
      </w:pPr>
      <w:bookmarkStart w:id="17" w:name="_Toc219386912"/>
      <w:r>
        <w:t xml:space="preserve">5.2 </w:t>
      </w:r>
      <w:r w:rsidRPr="001A79B4">
        <w:t>Supplementary AI Generation Details</w:t>
      </w:r>
      <w:bookmarkEnd w:id="17"/>
      <w:r w:rsidRPr="001A79B4">
        <w:t xml:space="preserve"> </w:t>
      </w:r>
    </w:p>
    <w:p w14:paraId="4E87A458" w14:textId="77777777" w:rsidR="00FA0FFD" w:rsidRPr="001A79B4" w:rsidRDefault="00FA0FFD" w:rsidP="00FA0FFD">
      <w:r w:rsidRPr="001A79B4">
        <w:t>All model outputs contained in this Supplementary Data were generated using OpenAI ChatGPT 5.1 (Custom GPT configuration).</w:t>
      </w:r>
      <w:r w:rsidRPr="001A79B4">
        <w:br/>
        <w:t>The following conditions applied:</w:t>
      </w:r>
    </w:p>
    <w:p w14:paraId="44B8A60D" w14:textId="77777777" w:rsidR="00FA0FFD" w:rsidRPr="001A79B4" w:rsidRDefault="00FA0FFD" w:rsidP="00FA0FFD">
      <w:pPr>
        <w:numPr>
          <w:ilvl w:val="0"/>
          <w:numId w:val="32"/>
        </w:numPr>
      </w:pPr>
      <w:r w:rsidRPr="001A79B4">
        <w:t>Model version: ChatGPT 5.1</w:t>
      </w:r>
    </w:p>
    <w:p w14:paraId="7AC711A4" w14:textId="77777777" w:rsidR="00FA0FFD" w:rsidRPr="001A79B4" w:rsidRDefault="00FA0FFD" w:rsidP="00FA0FFD">
      <w:pPr>
        <w:numPr>
          <w:ilvl w:val="0"/>
          <w:numId w:val="32"/>
        </w:numPr>
      </w:pPr>
      <w:r w:rsidRPr="001A79B4">
        <w:t>Model type: Custom GPT with domain-specific corpus uploads</w:t>
      </w:r>
    </w:p>
    <w:p w14:paraId="41FCC760" w14:textId="77777777" w:rsidR="00FA0FFD" w:rsidRPr="001A79B4" w:rsidRDefault="00FA0FFD" w:rsidP="00FA0FFD">
      <w:pPr>
        <w:numPr>
          <w:ilvl w:val="0"/>
          <w:numId w:val="32"/>
        </w:numPr>
      </w:pPr>
      <w:r w:rsidRPr="001A79B4">
        <w:t>Sampling parameters: Default platform settings (no manual adjustment of temperature, top-p, or other decoding parameters)</w:t>
      </w:r>
    </w:p>
    <w:p w14:paraId="19797F06" w14:textId="77777777" w:rsidR="00FA0FFD" w:rsidRPr="001A79B4" w:rsidRDefault="00FA0FFD" w:rsidP="00FA0FFD">
      <w:pPr>
        <w:numPr>
          <w:ilvl w:val="0"/>
          <w:numId w:val="32"/>
        </w:numPr>
      </w:pPr>
      <w:r w:rsidRPr="001A79B4">
        <w:t>Internet access: Disabled (model restricted to the uploaded corpus and internal model knowledge only)</w:t>
      </w:r>
    </w:p>
    <w:p w14:paraId="650AD827" w14:textId="77777777" w:rsidR="00FA0FFD" w:rsidRPr="001A79B4" w:rsidRDefault="00FA0FFD" w:rsidP="00FA0FFD">
      <w:pPr>
        <w:numPr>
          <w:ilvl w:val="0"/>
          <w:numId w:val="32"/>
        </w:numPr>
      </w:pPr>
      <w:r w:rsidRPr="001A79B4">
        <w:t>Instruction set: High-level behavioural guidelines supplied through the Custom GPT interface (general academic style, corpus-bounded reasoning; no weight modification)</w:t>
      </w:r>
      <w:r>
        <w:t xml:space="preserve">, see “Supplementary Materials Overview” for more detail on the instruction set. </w:t>
      </w:r>
    </w:p>
    <w:p w14:paraId="6C133B3D" w14:textId="77777777" w:rsidR="00FA0FFD" w:rsidRPr="001A79B4" w:rsidRDefault="00FA0FFD" w:rsidP="00FA0FFD">
      <w:pPr>
        <w:numPr>
          <w:ilvl w:val="0"/>
          <w:numId w:val="32"/>
        </w:numPr>
      </w:pPr>
      <w:r w:rsidRPr="001A79B4">
        <w:t xml:space="preserve">Generation dates: </w:t>
      </w:r>
      <w:r>
        <w:t>November 2025</w:t>
      </w:r>
    </w:p>
    <w:p w14:paraId="38D482A7" w14:textId="77777777" w:rsidR="00FA0FFD" w:rsidRDefault="00FA0FFD" w:rsidP="00FA0FFD">
      <w:pPr>
        <w:numPr>
          <w:ilvl w:val="0"/>
          <w:numId w:val="32"/>
        </w:numPr>
      </w:pPr>
      <w:r w:rsidRPr="001A79B4">
        <w:t>Verbatim outputs: All responses reproduced in this Supplementary Data are exact verbatim outputs returned by the model. No text has been altered other than formatting for readability.</w:t>
      </w:r>
    </w:p>
    <w:p w14:paraId="4BA5254C" w14:textId="77777777" w:rsidR="00FA0FFD" w:rsidRDefault="00FA0FFD" w:rsidP="00FA0FFD">
      <w:pPr>
        <w:pStyle w:val="Style1"/>
      </w:pPr>
      <w:bookmarkStart w:id="18" w:name="_Toc219386913"/>
      <w:r>
        <w:t xml:space="preserve">5.3 </w:t>
      </w:r>
      <w:r w:rsidRPr="00195D7A">
        <w:t>Statement on “Use of Generative AI in Research”</w:t>
      </w:r>
      <w:bookmarkEnd w:id="18"/>
      <w:r w:rsidRPr="00195D7A">
        <w:t xml:space="preserve"> </w:t>
      </w:r>
    </w:p>
    <w:p w14:paraId="1994AC47" w14:textId="77777777" w:rsidR="00FA0FFD" w:rsidRDefault="00FA0FFD" w:rsidP="00FA0FFD">
      <w:r w:rsidRPr="00195D7A">
        <w:t>Generative AI was used to produce the model outputs analysed in this study. All outputs were independently evaluated and validated by the authors. The AI system did not generate novel scientific claims beyond those found in the curated corpus. The authors take full responsibility for the accuracy of all presented data</w:t>
      </w:r>
    </w:p>
    <w:p w14:paraId="77A1E732" w14:textId="77777777" w:rsidR="00FA0FFD" w:rsidRPr="00220885" w:rsidRDefault="00FA0FFD" w:rsidP="00FA0FFD">
      <w:pPr>
        <w:pStyle w:val="Style1"/>
      </w:pPr>
      <w:bookmarkStart w:id="19" w:name="_Toc219386914"/>
      <w:r>
        <w:lastRenderedPageBreak/>
        <w:t xml:space="preserve">5.4 </w:t>
      </w:r>
      <w:r w:rsidRPr="00220885">
        <w:t>Statement on Data availability</w:t>
      </w:r>
      <w:bookmarkEnd w:id="19"/>
      <w:r w:rsidRPr="00220885">
        <w:t xml:space="preserve"> </w:t>
      </w:r>
    </w:p>
    <w:p w14:paraId="192F6D57" w14:textId="77777777" w:rsidR="00FA0FFD" w:rsidRPr="00195D7A" w:rsidRDefault="00FA0FFD" w:rsidP="00FA0FFD">
      <w:r w:rsidRPr="00220885">
        <w:t xml:space="preserve">All corpus documents used to construct the Custom GPTs are publicly available on viXra.org. Permalinks are included in </w:t>
      </w:r>
      <w:r>
        <w:t xml:space="preserve">section 6.  </w:t>
      </w:r>
    </w:p>
    <w:p w14:paraId="4B8265F7" w14:textId="77777777" w:rsidR="00FA0FFD" w:rsidRDefault="00FA0FFD" w:rsidP="00FA0FFD">
      <w:pPr>
        <w:pStyle w:val="Style1"/>
      </w:pPr>
      <w:bookmarkStart w:id="20" w:name="_Toc219386915"/>
      <w:r>
        <w:t>6.0 Full Responses on Gravitational Waves</w:t>
      </w:r>
      <w:bookmarkEnd w:id="20"/>
    </w:p>
    <w:p w14:paraId="648E99E2" w14:textId="77777777" w:rsidR="00FA0FFD" w:rsidRPr="00BD437A" w:rsidRDefault="00FA0FFD" w:rsidP="00FA0FFD">
      <w:pPr>
        <w:pStyle w:val="Style1"/>
      </w:pPr>
      <w:bookmarkStart w:id="21" w:name="_Toc219386916"/>
      <w:r>
        <w:t xml:space="preserve">6.1 </w:t>
      </w:r>
      <w:r w:rsidRPr="00BD437A">
        <w:t>Question 1 Do gravitational waves exist?</w:t>
      </w:r>
      <w:bookmarkEnd w:id="21"/>
    </w:p>
    <w:p w14:paraId="4DB2552F" w14:textId="77777777" w:rsidR="00FA0FFD" w:rsidRPr="00BD437A" w:rsidRDefault="00FA0FFD" w:rsidP="00FA0FFD">
      <w:r w:rsidRPr="00BD437A">
        <w:t>Yes—gravitational waves do exist, but the literature shows that their nature is profoundly different from what is assumed in standard General Relativity. Across the research record, gravitational waves emerge as unmistakably real physical phenomena, yet their origin, propagation, and interpretation diverge sharply from conventional models.</w:t>
      </w:r>
    </w:p>
    <w:p w14:paraId="4D7ABCFF" w14:textId="77777777" w:rsidR="00FA0FFD" w:rsidRPr="00F44EF0" w:rsidRDefault="00FA0FFD" w:rsidP="00FA0FFD">
      <w:pPr>
        <w:rPr>
          <w:b/>
          <w:bCs/>
        </w:rPr>
      </w:pPr>
      <w:r w:rsidRPr="00F44EF0">
        <w:rPr>
          <w:b/>
          <w:bCs/>
        </w:rPr>
        <w:t>1. Gravitational waves as modulations of the gravitational field</w:t>
      </w:r>
    </w:p>
    <w:p w14:paraId="78B16311" w14:textId="77777777" w:rsidR="00FA0FFD" w:rsidRPr="00F44EF0" w:rsidRDefault="00FA0FFD" w:rsidP="00FA0FFD">
      <w:r w:rsidRPr="00F44EF0">
        <w:t>A central result in the literature is that what are commonly called “gravitational waves” are not spacetime ripples but physical oscillations of the gravitational field arising from the motion of massive bodies. Szostek, Góralski and Szostek (2019) show that cyclic variations of gravitational-field intensity naturally arise in Newtonian gravity when sources move relative to an observer, and that these waves match the oscillatory phenomena detected by LIGO far more closely than tensorial spacetime distortions.</w:t>
      </w:r>
    </w:p>
    <w:p w14:paraId="48327A9C" w14:textId="77777777" w:rsidR="00FA0FFD" w:rsidRPr="00F44EF0" w:rsidRDefault="00FA0FFD" w:rsidP="00FA0FFD">
      <w:r w:rsidRPr="00F44EF0">
        <w:t>Thus, gravitational waves exist—but as field-intensity modulations, not geometric disturbances.</w:t>
      </w:r>
    </w:p>
    <w:p w14:paraId="5396A131" w14:textId="77777777" w:rsidR="00FA0FFD" w:rsidRPr="00F44EF0" w:rsidRDefault="00FA0FFD" w:rsidP="00FA0FFD">
      <w:pPr>
        <w:rPr>
          <w:b/>
          <w:bCs/>
        </w:rPr>
      </w:pPr>
      <w:r w:rsidRPr="00F44EF0">
        <w:rPr>
          <w:b/>
          <w:bCs/>
        </w:rPr>
        <w:t>2. Waves of quantum vacuum and the rejection of spacetime curvature</w:t>
      </w:r>
    </w:p>
    <w:p w14:paraId="54B2AB91" w14:textId="77777777" w:rsidR="00FA0FFD" w:rsidRPr="00F44EF0" w:rsidRDefault="00FA0FFD" w:rsidP="00FA0FFD">
      <w:r w:rsidRPr="00F44EF0">
        <w:t xml:space="preserve">Guillén Gómez (2016) demonstrates that Einstein himself abandoned the concept of spacetime-propagating gravitational waves in </w:t>
      </w:r>
      <w:proofErr w:type="gramStart"/>
      <w:r w:rsidRPr="00F44EF0">
        <w:t>1938, and</w:t>
      </w:r>
      <w:proofErr w:type="gramEnd"/>
      <w:r w:rsidRPr="00F44EF0">
        <w:t xml:space="preserve"> argues that the LIGO signals must instead arise from fluctuations within the quantum vacuum driven by energy quadrupoles.</w:t>
      </w:r>
    </w:p>
    <w:p w14:paraId="656CC08D" w14:textId="77777777" w:rsidR="00FA0FFD" w:rsidRPr="00F44EF0" w:rsidRDefault="00FA0FFD" w:rsidP="00FA0FFD">
      <w:r w:rsidRPr="00F44EF0">
        <w:t xml:space="preserve">In this framework, gravity is a coordinate effect and not a curvature phenomenon, so the entire idea of spacetime “ripples” is physically vacuous. Nevertheless, wave phenomena associated with gravitational interactions </w:t>
      </w:r>
      <w:r w:rsidRPr="00F44EF0">
        <w:rPr>
          <w:i/>
          <w:iCs/>
        </w:rPr>
        <w:t>do</w:t>
      </w:r>
      <w:r w:rsidRPr="00F44EF0">
        <w:t xml:space="preserve"> propagate—through vacuum dynamics rather than geometry.</w:t>
      </w:r>
    </w:p>
    <w:p w14:paraId="1823CA20" w14:textId="77777777" w:rsidR="00FA0FFD" w:rsidRPr="00F44EF0" w:rsidRDefault="00FA0FFD" w:rsidP="00FA0FFD">
      <w:pPr>
        <w:rPr>
          <w:b/>
          <w:bCs/>
        </w:rPr>
      </w:pPr>
      <w:r w:rsidRPr="00F44EF0">
        <w:rPr>
          <w:b/>
          <w:bCs/>
        </w:rPr>
        <w:t>3. Continuous gravitational waves from modified potentials</w:t>
      </w:r>
    </w:p>
    <w:p w14:paraId="300DEC7E" w14:textId="77777777" w:rsidR="00FA0FFD" w:rsidRPr="00F44EF0" w:rsidRDefault="00FA0FFD" w:rsidP="00FA0FFD">
      <w:r w:rsidRPr="00F44EF0">
        <w:t>Harney (2020) develops a detailed wave model based on a non-singular complex Yukawa potential, predicting both incoming and outgoing gravitational waves and calculating specific natural frequencies associated with Earth and Moon masses, which he then detects experimentally with accelerometry.</w:t>
      </w:r>
    </w:p>
    <w:p w14:paraId="21366076" w14:textId="77777777" w:rsidR="00FA0FFD" w:rsidRPr="00F44EF0" w:rsidRDefault="00FA0FFD" w:rsidP="00FA0FFD">
      <w:r w:rsidRPr="00F44EF0">
        <w:t>These measurements confirm the presence of continuous gravitational waves permeating the environment—demonstrating their existence independently of interferometric observatories.</w:t>
      </w:r>
    </w:p>
    <w:p w14:paraId="3E1F5BAB" w14:textId="77777777" w:rsidR="00FA0FFD" w:rsidRPr="00F44EF0" w:rsidRDefault="00FA0FFD" w:rsidP="00FA0FFD">
      <w:pPr>
        <w:rPr>
          <w:b/>
          <w:bCs/>
        </w:rPr>
      </w:pPr>
      <w:r w:rsidRPr="00F44EF0">
        <w:rPr>
          <w:b/>
          <w:bCs/>
        </w:rPr>
        <w:t>4. Electromagnetic or mixed-character radiation mistaken for GR waves</w:t>
      </w:r>
    </w:p>
    <w:p w14:paraId="540C8FED" w14:textId="77777777" w:rsidR="00FA0FFD" w:rsidRPr="00F44EF0" w:rsidRDefault="00FA0FFD" w:rsidP="00FA0FFD">
      <w:r w:rsidRPr="00F44EF0">
        <w:t>Froedge (2018) shows that the radiation detected by LIGO could be electromagnetic in origin, not gravitational in the GR sense, and that only multi-detector triangulation through Earth can distinguish the two categories unambiguously. He emphasizes that electromagnetic models can reproduce the observed signals with the correct energy balance and attenuation characteristics.</w:t>
      </w:r>
    </w:p>
    <w:p w14:paraId="00FA6B04" w14:textId="77777777" w:rsidR="00FA0FFD" w:rsidRPr="00F44EF0" w:rsidRDefault="00FA0FFD" w:rsidP="00FA0FFD">
      <w:r w:rsidRPr="00F44EF0">
        <w:lastRenderedPageBreak/>
        <w:t>Thus, waves exist, the detections are real, but their physical identity is misinterpreted when attributed solely to spacetime curvature.</w:t>
      </w:r>
    </w:p>
    <w:p w14:paraId="21E82BDB" w14:textId="77777777" w:rsidR="00FA0FFD" w:rsidRPr="00F44EF0" w:rsidRDefault="00FA0FFD" w:rsidP="00FA0FFD">
      <w:pPr>
        <w:rPr>
          <w:b/>
          <w:bCs/>
        </w:rPr>
      </w:pPr>
      <w:r w:rsidRPr="00F44EF0">
        <w:rPr>
          <w:b/>
          <w:bCs/>
        </w:rPr>
        <w:t>5. Structural limitations of GR gravitational waves</w:t>
      </w:r>
    </w:p>
    <w:p w14:paraId="62E73B43" w14:textId="77777777" w:rsidR="00FA0FFD" w:rsidRPr="00F44EF0" w:rsidRDefault="00FA0FFD" w:rsidP="00FA0FFD">
      <w:r w:rsidRPr="00F44EF0">
        <w:t>Chakalov (2016) argues that GR’s linearized gravitational waves cannot represent energy-carrying physical objects and that the “gravitational wave astronomy” program rests on a conceptual vacuum. Yet he accepts that genuine gravitational radiation phenomena occur—just not in the GR sense, and not as spin-2 tensor waves in a bare spacetime.</w:t>
      </w:r>
    </w:p>
    <w:p w14:paraId="5BD9625A" w14:textId="77777777" w:rsidR="00FA0FFD" w:rsidRPr="00F44EF0" w:rsidRDefault="00FA0FFD" w:rsidP="00FA0FFD">
      <w:r w:rsidRPr="00F44EF0">
        <w:t>The astrophysical signals exist; the geometric interpretation does not.</w:t>
      </w:r>
    </w:p>
    <w:p w14:paraId="3D9EF328" w14:textId="77777777" w:rsidR="00FA0FFD" w:rsidRPr="00F44EF0" w:rsidRDefault="00FA0FFD" w:rsidP="00FA0FFD">
      <w:pPr>
        <w:rPr>
          <w:b/>
          <w:bCs/>
        </w:rPr>
      </w:pPr>
      <w:r w:rsidRPr="00F44EF0">
        <w:rPr>
          <w:b/>
          <w:bCs/>
        </w:rPr>
        <w:t>6. Gravitational waves in alternative dynamical frameworks</w:t>
      </w:r>
    </w:p>
    <w:p w14:paraId="15E324EB" w14:textId="77777777" w:rsidR="00FA0FFD" w:rsidRPr="00F44EF0" w:rsidRDefault="00FA0FFD" w:rsidP="00FA0FFD">
      <w:r w:rsidRPr="00F44EF0">
        <w:t>Pavlović’s gravitoelectromagnetic formulation (2016) derives gravitational waves directly from Maxwell-type equations applied to the gravitational field. This approach confirms the propagation of time-varying gravitational fields as genuine waves, without requiring curved spacetime, and predicts a rich structure of radiation analogous to electromagnetism.</w:t>
      </w:r>
    </w:p>
    <w:p w14:paraId="460C079D" w14:textId="77777777" w:rsidR="00FA0FFD" w:rsidRPr="00F44EF0" w:rsidRDefault="00FA0FFD" w:rsidP="00FA0FFD">
      <w:pPr>
        <w:rPr>
          <w:b/>
          <w:bCs/>
        </w:rPr>
      </w:pPr>
      <w:r w:rsidRPr="00F44EF0">
        <w:rPr>
          <w:b/>
          <w:bCs/>
        </w:rPr>
        <w:t>7. Waves in exotic gravitational frameworks</w:t>
      </w:r>
    </w:p>
    <w:p w14:paraId="568CED5F" w14:textId="77777777" w:rsidR="00FA0FFD" w:rsidRPr="00F44EF0" w:rsidRDefault="00FA0FFD" w:rsidP="00FA0FFD">
      <w:r w:rsidRPr="00F44EF0">
        <w:t>Even in models allowing different speeds for gravity and light—such as Sharipov’s 3-brane formulation—wave-like propagation of the gravitational field is maintained as a fundamental feature of the dynamics. These waves can propagate at a speed distinct from that of electromagnetism, further confirming their independent physical reality.</w:t>
      </w:r>
    </w:p>
    <w:p w14:paraId="777B3F75" w14:textId="77777777" w:rsidR="00FA0FFD" w:rsidRPr="00F44EF0" w:rsidRDefault="00FA0FFD" w:rsidP="00FA0FFD">
      <w:pPr>
        <w:rPr>
          <w:b/>
          <w:bCs/>
        </w:rPr>
      </w:pPr>
      <w:r w:rsidRPr="00F44EF0">
        <w:rPr>
          <w:b/>
          <w:bCs/>
        </w:rPr>
        <w:t>Conclusion</w:t>
      </w:r>
    </w:p>
    <w:p w14:paraId="4E3E6590" w14:textId="77777777" w:rsidR="00FA0FFD" w:rsidRPr="00F44EF0" w:rsidRDefault="00FA0FFD" w:rsidP="00FA0FFD">
      <w:r w:rsidRPr="00F44EF0">
        <w:t>Across the literature, gravitational waves are consistently real—but their nature is not that of spacetime distortions predicted by standard GR. Instead, they appear as:</w:t>
      </w:r>
    </w:p>
    <w:p w14:paraId="4ACB1B1B" w14:textId="77777777" w:rsidR="00FA0FFD" w:rsidRPr="00F44EF0" w:rsidRDefault="00FA0FFD" w:rsidP="00FA0FFD">
      <w:pPr>
        <w:numPr>
          <w:ilvl w:val="0"/>
          <w:numId w:val="33"/>
        </w:numPr>
      </w:pPr>
      <w:r w:rsidRPr="00F44EF0">
        <w:t>oscillations of gravitational-field intensity (Szostek et al. 2019),</w:t>
      </w:r>
    </w:p>
    <w:p w14:paraId="6CDBB3D2" w14:textId="77777777" w:rsidR="00FA0FFD" w:rsidRPr="00F44EF0" w:rsidRDefault="00FA0FFD" w:rsidP="00FA0FFD">
      <w:pPr>
        <w:numPr>
          <w:ilvl w:val="0"/>
          <w:numId w:val="33"/>
        </w:numPr>
      </w:pPr>
      <w:r w:rsidRPr="00F44EF0">
        <w:t>quantum-vacuum waves (Guillén Gómez 2016),</w:t>
      </w:r>
    </w:p>
    <w:p w14:paraId="438E7766" w14:textId="77777777" w:rsidR="00FA0FFD" w:rsidRPr="00F44EF0" w:rsidRDefault="00FA0FFD" w:rsidP="00FA0FFD">
      <w:pPr>
        <w:numPr>
          <w:ilvl w:val="0"/>
          <w:numId w:val="33"/>
        </w:numPr>
      </w:pPr>
      <w:r w:rsidRPr="00F44EF0">
        <w:t>modulated Yukawa-potential waves directly measured on Earth (Harney 2020),</w:t>
      </w:r>
    </w:p>
    <w:p w14:paraId="4B87647D" w14:textId="77777777" w:rsidR="00FA0FFD" w:rsidRPr="00F44EF0" w:rsidRDefault="00FA0FFD" w:rsidP="00FA0FFD">
      <w:pPr>
        <w:numPr>
          <w:ilvl w:val="0"/>
          <w:numId w:val="33"/>
        </w:numPr>
      </w:pPr>
      <w:r w:rsidRPr="00F44EF0">
        <w:t>electromagnetic-like radiation (Froedge 2018),</w:t>
      </w:r>
    </w:p>
    <w:p w14:paraId="2426E07C" w14:textId="77777777" w:rsidR="00FA0FFD" w:rsidRPr="00F44EF0" w:rsidRDefault="00FA0FFD" w:rsidP="00FA0FFD">
      <w:pPr>
        <w:numPr>
          <w:ilvl w:val="0"/>
          <w:numId w:val="33"/>
        </w:numPr>
      </w:pPr>
      <w:r w:rsidRPr="00F44EF0">
        <w:t>or field waves in alternative gravitational dynamics (Pavlović 2016; Sharipov 2020).</w:t>
      </w:r>
    </w:p>
    <w:p w14:paraId="027EBD0F" w14:textId="77777777" w:rsidR="00FA0FFD" w:rsidRPr="00F44EF0" w:rsidRDefault="00FA0FFD" w:rsidP="00FA0FFD">
      <w:r w:rsidRPr="00F44EF0">
        <w:t>Thus:</w:t>
      </w:r>
    </w:p>
    <w:p w14:paraId="53278AEA" w14:textId="77777777" w:rsidR="00FA0FFD" w:rsidRDefault="00FA0FFD" w:rsidP="00FA0FFD">
      <w:r w:rsidRPr="00F44EF0">
        <w:rPr>
          <w:b/>
          <w:bCs/>
        </w:rPr>
        <w:t>Gravitational waves exist, but they are not geometric ripples of spacetime—they are physical wave phenomena arising from the dynamical structure of gravity itself.</w:t>
      </w:r>
      <w:r>
        <w:rPr>
          <w:b/>
          <w:bCs/>
        </w:rPr>
        <w:t xml:space="preserve"> </w:t>
      </w:r>
    </w:p>
    <w:p w14:paraId="2F092221" w14:textId="77777777" w:rsidR="00FA0FFD" w:rsidRPr="00F44EF0" w:rsidRDefault="00FA0FFD" w:rsidP="00FA0FFD">
      <w:pPr>
        <w:pStyle w:val="Style1"/>
      </w:pPr>
      <w:bookmarkStart w:id="22" w:name="_Toc219386917"/>
      <w:r>
        <w:t xml:space="preserve">6.2 </w:t>
      </w:r>
      <w:r w:rsidRPr="00F44EF0">
        <w:t>Question 2 What are gravitational waves?</w:t>
      </w:r>
      <w:bookmarkEnd w:id="22"/>
    </w:p>
    <w:p w14:paraId="0C6F24C8" w14:textId="77777777" w:rsidR="00FA0FFD" w:rsidRPr="00F44EF0" w:rsidRDefault="00FA0FFD" w:rsidP="00FA0FFD">
      <w:r w:rsidRPr="00F44EF0">
        <w:t xml:space="preserve">Gravitational waves are </w:t>
      </w:r>
      <w:r w:rsidRPr="00F44EF0">
        <w:rPr>
          <w:b/>
          <w:bCs/>
        </w:rPr>
        <w:t>propagating oscillations of the gravitational field</w:t>
      </w:r>
      <w:r w:rsidRPr="00F44EF0">
        <w:t xml:space="preserve"> that arise whenever masses accelerate—particularly in dynamical systems such as binaries, rotating bodies, or configurations with asymmetric mass motion. Although conventional relativity interprets them as “ripples of spacetime,” the literature shows that their true physical character is very different: they are </w:t>
      </w:r>
      <w:r w:rsidRPr="00F44EF0">
        <w:rPr>
          <w:b/>
          <w:bCs/>
        </w:rPr>
        <w:t>waves in the gravitational interaction itself</w:t>
      </w:r>
      <w:r w:rsidRPr="00F44EF0">
        <w:t>, not geometric distortions.</w:t>
      </w:r>
    </w:p>
    <w:p w14:paraId="1EE2C980" w14:textId="77777777" w:rsidR="00FA0FFD" w:rsidRPr="00F44EF0" w:rsidRDefault="00FA0FFD" w:rsidP="00FA0FFD">
      <w:r w:rsidRPr="00F44EF0">
        <w:t xml:space="preserve">Below is a concise synthesis of how the literature </w:t>
      </w:r>
      <w:proofErr w:type="gramStart"/>
      <w:r w:rsidRPr="00F44EF0">
        <w:t>characterizes</w:t>
      </w:r>
      <w:proofErr w:type="gramEnd"/>
      <w:r w:rsidRPr="00F44EF0">
        <w:t xml:space="preserve"> them.</w:t>
      </w:r>
    </w:p>
    <w:p w14:paraId="7D58F9DB" w14:textId="77777777" w:rsidR="00FA0FFD" w:rsidRPr="00F44EF0" w:rsidRDefault="00FA0FFD" w:rsidP="00FA0FFD">
      <w:pPr>
        <w:rPr>
          <w:b/>
          <w:bCs/>
        </w:rPr>
      </w:pPr>
      <w:r w:rsidRPr="00F44EF0">
        <w:rPr>
          <w:b/>
          <w:bCs/>
        </w:rPr>
        <w:lastRenderedPageBreak/>
        <w:t>1. Gravitational waves as dynamical variations of gravitational field intensity</w:t>
      </w:r>
    </w:p>
    <w:p w14:paraId="597635E7" w14:textId="77777777" w:rsidR="00FA0FFD" w:rsidRPr="00F44EF0" w:rsidRDefault="00FA0FFD" w:rsidP="00FA0FFD">
      <w:r w:rsidRPr="00F44EF0">
        <w:t xml:space="preserve">Szostek, Góralski, and Szostek (2019) demonstrate that cyclic changes in the gravitational field naturally arise when bodies move relative to an observer. These variations propagate outward as </w:t>
      </w:r>
      <w:r w:rsidRPr="00F44EF0">
        <w:rPr>
          <w:b/>
          <w:bCs/>
        </w:rPr>
        <w:t>gravitational waves</w:t>
      </w:r>
      <w:r w:rsidRPr="00F44EF0">
        <w:t>, understood as time-varying gravitational intensities rather than spacetime curvature. Their work shows that such waves emerge in both Newtonian and relativistic contexts as the field responds dynamically to motion.</w:t>
      </w:r>
    </w:p>
    <w:p w14:paraId="26FEB5C3" w14:textId="77777777" w:rsidR="00FA0FFD" w:rsidRPr="00F44EF0" w:rsidRDefault="00FA0FFD" w:rsidP="00FA0FFD">
      <w:r w:rsidRPr="00F44EF0">
        <w:rPr>
          <w:b/>
          <w:bCs/>
        </w:rPr>
        <w:t>Key point:</w:t>
      </w:r>
      <w:r w:rsidRPr="00F44EF0">
        <w:br/>
        <w:t>Gravitational waves are oscillations of gravitational acceleration, not tensorial distortions.</w:t>
      </w:r>
    </w:p>
    <w:p w14:paraId="148FC153" w14:textId="77777777" w:rsidR="00FA0FFD" w:rsidRPr="00F44EF0" w:rsidRDefault="00FA0FFD" w:rsidP="00FA0FFD">
      <w:pPr>
        <w:rPr>
          <w:b/>
          <w:bCs/>
        </w:rPr>
      </w:pPr>
      <w:r w:rsidRPr="00F44EF0">
        <w:rPr>
          <w:b/>
          <w:bCs/>
        </w:rPr>
        <w:t>2. Gravitational waves as quantum-vacuum oscillations</w:t>
      </w:r>
    </w:p>
    <w:p w14:paraId="69F84B91" w14:textId="77777777" w:rsidR="00FA0FFD" w:rsidRPr="00F44EF0" w:rsidRDefault="00FA0FFD" w:rsidP="00FA0FFD">
      <w:r w:rsidRPr="00F44EF0">
        <w:t xml:space="preserve">Guillén Gómez (2016) argues that the energy-quadrupole mechanism does indeed generate waves, but that these are </w:t>
      </w:r>
      <w:r w:rsidRPr="00F44EF0">
        <w:rPr>
          <w:b/>
          <w:bCs/>
        </w:rPr>
        <w:t>waves of the quantum vacuum</w:t>
      </w:r>
      <w:r w:rsidRPr="00F44EF0">
        <w:t>, not spacetime ripples. In his analysis, Einstein’s 1938 abandonment of gravitational-wave propagation is central: gravity is a coordinate effect, so the waves detected by LIGO must be oscillatory vacuum phenomena driven by mass dynamics, not geometric perturbations of the metric.</w:t>
      </w:r>
    </w:p>
    <w:p w14:paraId="7577DF47" w14:textId="77777777" w:rsidR="00FA0FFD" w:rsidRPr="00F44EF0" w:rsidRDefault="00FA0FFD" w:rsidP="00FA0FFD">
      <w:r w:rsidRPr="00F44EF0">
        <w:rPr>
          <w:b/>
          <w:bCs/>
        </w:rPr>
        <w:t>Key point:</w:t>
      </w:r>
      <w:r w:rsidRPr="00F44EF0">
        <w:br/>
        <w:t>They are physical waves propagating through the vacuum medium underlying gravitational interactions.</w:t>
      </w:r>
    </w:p>
    <w:p w14:paraId="12BD8C53" w14:textId="77777777" w:rsidR="00FA0FFD" w:rsidRPr="00F44EF0" w:rsidRDefault="00FA0FFD" w:rsidP="00FA0FFD">
      <w:pPr>
        <w:rPr>
          <w:b/>
          <w:bCs/>
        </w:rPr>
      </w:pPr>
      <w:r w:rsidRPr="00F44EF0">
        <w:rPr>
          <w:b/>
          <w:bCs/>
        </w:rPr>
        <w:t>3. Continuous gravitational waves from non-singular potentials</w:t>
      </w:r>
    </w:p>
    <w:p w14:paraId="0CBD046D" w14:textId="77777777" w:rsidR="00FA0FFD" w:rsidRPr="00F44EF0" w:rsidRDefault="00FA0FFD" w:rsidP="00FA0FFD">
      <w:r w:rsidRPr="00F44EF0">
        <w:t xml:space="preserve">Harney (2020) presents a model in which a complex Yukawa potential produces </w:t>
      </w:r>
      <w:r w:rsidRPr="00F44EF0">
        <w:rPr>
          <w:b/>
          <w:bCs/>
        </w:rPr>
        <w:t>continuous incoming and outgoing gravitational waves</w:t>
      </w:r>
      <w:r w:rsidRPr="00F44EF0">
        <w:t>. These waves have characteristic frequencies tied to the masses of bodies such as Earth, the Moon, and even the Universe. Harney experimentally measures the predicted frequencies using high-resolution accelerometers, confirming that these gravitational waves are real, persistent oscillations permeating the environment.</w:t>
      </w:r>
    </w:p>
    <w:p w14:paraId="4A5F8CE2" w14:textId="77777777" w:rsidR="00FA0FFD" w:rsidRPr="00F44EF0" w:rsidRDefault="00FA0FFD" w:rsidP="00FA0FFD">
      <w:r w:rsidRPr="00F44EF0">
        <w:rPr>
          <w:b/>
          <w:bCs/>
        </w:rPr>
        <w:t>Key point:</w:t>
      </w:r>
      <w:r w:rsidRPr="00F44EF0">
        <w:br/>
        <w:t>Gravitational waves form a dual-wave structure with measurable incoming and outgoing components.</w:t>
      </w:r>
    </w:p>
    <w:p w14:paraId="4EAC9849" w14:textId="77777777" w:rsidR="00FA0FFD" w:rsidRPr="00F44EF0" w:rsidRDefault="00FA0FFD" w:rsidP="00FA0FFD">
      <w:pPr>
        <w:rPr>
          <w:b/>
          <w:bCs/>
        </w:rPr>
      </w:pPr>
      <w:r w:rsidRPr="00F44EF0">
        <w:rPr>
          <w:b/>
          <w:bCs/>
        </w:rPr>
        <w:t>4. Gravitational radiation with possible electromagnetic character</w:t>
      </w:r>
    </w:p>
    <w:p w14:paraId="4E5B0EB9" w14:textId="77777777" w:rsidR="00FA0FFD" w:rsidRPr="00F44EF0" w:rsidRDefault="00FA0FFD" w:rsidP="00FA0FFD">
      <w:r w:rsidRPr="00F44EF0">
        <w:t xml:space="preserve">Froedge (2018) emphasizes that signals detected by interferometers may arise from </w:t>
      </w:r>
      <w:r w:rsidRPr="00F44EF0">
        <w:rPr>
          <w:b/>
          <w:bCs/>
        </w:rPr>
        <w:t xml:space="preserve">electromagnetic or </w:t>
      </w:r>
      <w:proofErr w:type="gramStart"/>
      <w:r w:rsidRPr="00F44EF0">
        <w:rPr>
          <w:b/>
          <w:bCs/>
        </w:rPr>
        <w:t>mixed-character</w:t>
      </w:r>
      <w:proofErr w:type="gramEnd"/>
      <w:r w:rsidRPr="00F44EF0">
        <w:rPr>
          <w:b/>
          <w:bCs/>
        </w:rPr>
        <w:t xml:space="preserve"> </w:t>
      </w:r>
      <w:proofErr w:type="gramStart"/>
      <w:r w:rsidRPr="00F44EF0">
        <w:rPr>
          <w:b/>
          <w:bCs/>
        </w:rPr>
        <w:t>radiation</w:t>
      </w:r>
      <w:r w:rsidRPr="00F44EF0">
        <w:t>, yet</w:t>
      </w:r>
      <w:proofErr w:type="gramEnd"/>
      <w:r w:rsidRPr="00F44EF0">
        <w:t xml:space="preserve"> still represent genuine propagating waves generated by strong gravitational systems. His analysis shows that binary systems do lose energy radiatively, but the carrier need not be a spacetime-rippling tensor; instead, the waves can be fundamentally electromagnetic while still encoding gravitational dynamics.</w:t>
      </w:r>
    </w:p>
    <w:p w14:paraId="16509FC2" w14:textId="77777777" w:rsidR="00FA0FFD" w:rsidRPr="00F44EF0" w:rsidRDefault="00FA0FFD" w:rsidP="00FA0FFD">
      <w:r w:rsidRPr="00F44EF0">
        <w:rPr>
          <w:b/>
          <w:bCs/>
        </w:rPr>
        <w:t>Key point:</w:t>
      </w:r>
      <w:r w:rsidRPr="00F44EF0">
        <w:br/>
        <w:t>Waves associated with gravitational systems can be electromagnetic-like while still carrying gravitational information.</w:t>
      </w:r>
    </w:p>
    <w:p w14:paraId="2E0D9312" w14:textId="77777777" w:rsidR="00FA0FFD" w:rsidRPr="00F44EF0" w:rsidRDefault="00FA0FFD" w:rsidP="00FA0FFD">
      <w:pPr>
        <w:rPr>
          <w:b/>
          <w:bCs/>
        </w:rPr>
      </w:pPr>
      <w:r w:rsidRPr="00F44EF0">
        <w:rPr>
          <w:b/>
          <w:bCs/>
        </w:rPr>
        <w:t>5. Gravitational waves in gravitoelectromagnetic theory</w:t>
      </w:r>
    </w:p>
    <w:p w14:paraId="59CFD8DA" w14:textId="77777777" w:rsidR="00FA0FFD" w:rsidRPr="00F44EF0" w:rsidRDefault="00FA0FFD" w:rsidP="00FA0FFD">
      <w:r w:rsidRPr="00F44EF0">
        <w:t xml:space="preserve">Pavlović (2016) develops a gravitoelectromagnetic formulation in which gravity obeys Maxwell-like equations. In this framework, accelerating masses produce </w:t>
      </w:r>
      <w:r w:rsidRPr="00F44EF0">
        <w:rPr>
          <w:b/>
          <w:bCs/>
        </w:rPr>
        <w:t>gravitational waves formally analogous to electromagnetic waves</w:t>
      </w:r>
      <w:r w:rsidRPr="00F44EF0">
        <w:t>, propagating disturbances in gravitational field strengths rather than curvature.</w:t>
      </w:r>
    </w:p>
    <w:p w14:paraId="15BF0FB2" w14:textId="77777777" w:rsidR="00FA0FFD" w:rsidRPr="00F44EF0" w:rsidRDefault="00FA0FFD" w:rsidP="00FA0FFD">
      <w:r w:rsidRPr="00F44EF0">
        <w:rPr>
          <w:b/>
          <w:bCs/>
        </w:rPr>
        <w:lastRenderedPageBreak/>
        <w:t>Key point:</w:t>
      </w:r>
      <w:r w:rsidRPr="00F44EF0">
        <w:br/>
        <w:t>They are the gravitational analogue of electromagnetic radiation—field-based, not geometric.</w:t>
      </w:r>
    </w:p>
    <w:p w14:paraId="5DC9D3BD" w14:textId="77777777" w:rsidR="00FA0FFD" w:rsidRPr="00F44EF0" w:rsidRDefault="00FA0FFD" w:rsidP="00FA0FFD">
      <w:pPr>
        <w:rPr>
          <w:b/>
          <w:bCs/>
        </w:rPr>
      </w:pPr>
      <w:r w:rsidRPr="00F44EF0">
        <w:rPr>
          <w:b/>
          <w:bCs/>
        </w:rPr>
        <w:t>6. Waves with speed distinct from light</w:t>
      </w:r>
    </w:p>
    <w:p w14:paraId="22CCDCB8" w14:textId="77777777" w:rsidR="00FA0FFD" w:rsidRPr="00F44EF0" w:rsidRDefault="00FA0FFD" w:rsidP="00FA0FFD">
      <w:r w:rsidRPr="00F44EF0">
        <w:t xml:space="preserve">Sharipov (2020) shows that gravitational waves can propagate at a speed </w:t>
      </w:r>
      <w:r w:rsidRPr="00F44EF0">
        <w:rPr>
          <w:b/>
          <w:bCs/>
        </w:rPr>
        <w:t>different from the speed of light</w:t>
      </w:r>
      <w:r w:rsidRPr="00F44EF0">
        <w:t xml:space="preserve"> within a 3-brane gravitational </w:t>
      </w:r>
      <w:proofErr w:type="gramStart"/>
      <w:r w:rsidRPr="00F44EF0">
        <w:t>model, yet</w:t>
      </w:r>
      <w:proofErr w:type="gramEnd"/>
      <w:r w:rsidRPr="00F44EF0">
        <w:t xml:space="preserve"> still represent genuine wave solutions of the dynamical metric. This confirms that gravitational waves are physical field waves whose properties depend on the underlying theory, not fixed geometric constants.</w:t>
      </w:r>
    </w:p>
    <w:p w14:paraId="283C3744" w14:textId="77777777" w:rsidR="00FA0FFD" w:rsidRPr="00F44EF0" w:rsidRDefault="00FA0FFD" w:rsidP="00FA0FFD">
      <w:r w:rsidRPr="00F44EF0">
        <w:rPr>
          <w:b/>
          <w:bCs/>
        </w:rPr>
        <w:t>Key point:</w:t>
      </w:r>
      <w:r w:rsidRPr="00F44EF0">
        <w:br/>
        <w:t>Their existence does not imply spacetime curvature; rather, they propagate as field excitations.</w:t>
      </w:r>
    </w:p>
    <w:p w14:paraId="2920FCED" w14:textId="77777777" w:rsidR="00FA0FFD" w:rsidRPr="00F44EF0" w:rsidRDefault="00FA0FFD" w:rsidP="00FA0FFD">
      <w:pPr>
        <w:rPr>
          <w:b/>
          <w:bCs/>
        </w:rPr>
      </w:pPr>
      <w:r w:rsidRPr="00F44EF0">
        <w:rPr>
          <w:b/>
          <w:bCs/>
        </w:rPr>
        <w:t>Synthesis: What gravitational waves are</w:t>
      </w:r>
    </w:p>
    <w:p w14:paraId="7193E60A" w14:textId="77777777" w:rsidR="00FA0FFD" w:rsidRPr="00F44EF0" w:rsidRDefault="00FA0FFD" w:rsidP="00FA0FFD">
      <w:r w:rsidRPr="00F44EF0">
        <w:t>Across the literature:</w:t>
      </w:r>
    </w:p>
    <w:p w14:paraId="51ECF495" w14:textId="77777777" w:rsidR="00FA0FFD" w:rsidRPr="00F44EF0" w:rsidRDefault="00FA0FFD" w:rsidP="00FA0FFD">
      <w:pPr>
        <w:rPr>
          <w:b/>
          <w:bCs/>
        </w:rPr>
      </w:pPr>
      <w:r w:rsidRPr="00F44EF0">
        <w:rPr>
          <w:rFonts w:ascii="Segoe UI Symbol" w:hAnsi="Segoe UI Symbol" w:cs="Segoe UI Symbol"/>
          <w:b/>
          <w:bCs/>
        </w:rPr>
        <w:t>✔</w:t>
      </w:r>
      <w:r w:rsidRPr="00F44EF0">
        <w:rPr>
          <w:b/>
          <w:bCs/>
        </w:rPr>
        <w:t xml:space="preserve"> They are oscillations in the gravitational field induced by moving masses.</w:t>
      </w:r>
    </w:p>
    <w:p w14:paraId="0A6FE826" w14:textId="77777777" w:rsidR="00FA0FFD" w:rsidRPr="00F44EF0" w:rsidRDefault="00FA0FFD" w:rsidP="00FA0FFD">
      <w:pPr>
        <w:rPr>
          <w:b/>
          <w:bCs/>
        </w:rPr>
      </w:pPr>
      <w:r w:rsidRPr="00F44EF0">
        <w:rPr>
          <w:rFonts w:ascii="Segoe UI Symbol" w:hAnsi="Segoe UI Symbol" w:cs="Segoe UI Symbol"/>
          <w:b/>
          <w:bCs/>
        </w:rPr>
        <w:t>✔</w:t>
      </w:r>
      <w:r w:rsidRPr="00F44EF0">
        <w:rPr>
          <w:b/>
          <w:bCs/>
        </w:rPr>
        <w:t xml:space="preserve"> They propagate through the vacuum as real physical waves.</w:t>
      </w:r>
    </w:p>
    <w:p w14:paraId="0229C27D" w14:textId="77777777" w:rsidR="00FA0FFD" w:rsidRPr="00F44EF0" w:rsidRDefault="00FA0FFD" w:rsidP="00FA0FFD">
      <w:pPr>
        <w:rPr>
          <w:b/>
          <w:bCs/>
        </w:rPr>
      </w:pPr>
      <w:r w:rsidRPr="00F44EF0">
        <w:rPr>
          <w:rFonts w:ascii="Segoe UI Symbol" w:hAnsi="Segoe UI Symbol" w:cs="Segoe UI Symbol"/>
          <w:b/>
          <w:bCs/>
        </w:rPr>
        <w:t>✔</w:t>
      </w:r>
      <w:r w:rsidRPr="00F44EF0">
        <w:rPr>
          <w:b/>
          <w:bCs/>
        </w:rPr>
        <w:t xml:space="preserve"> They do not—and in this literature explicitly do not—depend on spacetime curvature.</w:t>
      </w:r>
    </w:p>
    <w:p w14:paraId="1716F03B" w14:textId="77777777" w:rsidR="00FA0FFD" w:rsidRPr="00F44EF0" w:rsidRDefault="00FA0FFD" w:rsidP="00FA0FFD">
      <w:pPr>
        <w:rPr>
          <w:b/>
          <w:bCs/>
        </w:rPr>
      </w:pPr>
      <w:r w:rsidRPr="00F44EF0">
        <w:rPr>
          <w:rFonts w:ascii="Segoe UI Symbol" w:hAnsi="Segoe UI Symbol" w:cs="Segoe UI Symbol"/>
          <w:b/>
          <w:bCs/>
        </w:rPr>
        <w:t>✔</w:t>
      </w:r>
      <w:r w:rsidRPr="00F44EF0">
        <w:rPr>
          <w:b/>
          <w:bCs/>
        </w:rPr>
        <w:t xml:space="preserve"> Their frequencies and amplitudes reflect the dynamics of their sources.</w:t>
      </w:r>
    </w:p>
    <w:p w14:paraId="660AD177" w14:textId="77777777" w:rsidR="00FA0FFD" w:rsidRPr="00F44EF0" w:rsidRDefault="00FA0FFD" w:rsidP="00FA0FFD">
      <w:pPr>
        <w:rPr>
          <w:b/>
          <w:bCs/>
        </w:rPr>
      </w:pPr>
      <w:r w:rsidRPr="00F44EF0">
        <w:rPr>
          <w:rFonts w:ascii="Segoe UI Symbol" w:hAnsi="Segoe UI Symbol" w:cs="Segoe UI Symbol"/>
          <w:b/>
          <w:bCs/>
        </w:rPr>
        <w:t>✔</w:t>
      </w:r>
      <w:r w:rsidRPr="00F44EF0">
        <w:rPr>
          <w:b/>
          <w:bCs/>
        </w:rPr>
        <w:t xml:space="preserve"> They may be continuous, </w:t>
      </w:r>
      <w:proofErr w:type="gramStart"/>
      <w:r w:rsidRPr="00F44EF0">
        <w:rPr>
          <w:b/>
          <w:bCs/>
        </w:rPr>
        <w:t>dual-wave</w:t>
      </w:r>
      <w:proofErr w:type="gramEnd"/>
      <w:r w:rsidRPr="00F44EF0">
        <w:rPr>
          <w:b/>
          <w:bCs/>
        </w:rPr>
        <w:t xml:space="preserve"> in structure, or mixed with electromagnetic behaviour.</w:t>
      </w:r>
    </w:p>
    <w:p w14:paraId="48129E64" w14:textId="77777777" w:rsidR="00FA0FFD" w:rsidRPr="00F44EF0" w:rsidRDefault="00FA0FFD" w:rsidP="00FA0FFD">
      <w:r w:rsidRPr="00F44EF0">
        <w:t>In short:</w:t>
      </w:r>
    </w:p>
    <w:p w14:paraId="0D534C35" w14:textId="77777777" w:rsidR="00FA0FFD" w:rsidRDefault="00FA0FFD" w:rsidP="00FA0FFD">
      <w:pPr>
        <w:rPr>
          <w:b/>
          <w:bCs/>
        </w:rPr>
      </w:pPr>
      <w:r w:rsidRPr="00F44EF0">
        <w:rPr>
          <w:b/>
          <w:bCs/>
        </w:rPr>
        <w:t>Gravitational waves are propagating disturbances of the gravitational interaction itself—field-based waves arising from accelerated masses and detectable through their influence on physical systems.</w:t>
      </w:r>
    </w:p>
    <w:p w14:paraId="4F9F339E" w14:textId="77777777" w:rsidR="00FA0FFD" w:rsidRDefault="00FA0FFD" w:rsidP="00FA0FFD">
      <w:pPr>
        <w:pStyle w:val="Style1"/>
      </w:pPr>
      <w:bookmarkStart w:id="23" w:name="_Toc219386918"/>
      <w:r>
        <w:t>6.3 Question 3 Can gravitational waves be detected?</w:t>
      </w:r>
      <w:bookmarkEnd w:id="23"/>
      <w:r>
        <w:t xml:space="preserve"> </w:t>
      </w:r>
    </w:p>
    <w:p w14:paraId="298C0E3D" w14:textId="77777777" w:rsidR="00FA0FFD" w:rsidRPr="00156B11" w:rsidRDefault="00FA0FFD" w:rsidP="00FA0FFD">
      <w:r w:rsidRPr="00156B11">
        <w:t>Yes—</w:t>
      </w:r>
      <w:r w:rsidRPr="00156B11">
        <w:rPr>
          <w:b/>
          <w:bCs/>
        </w:rPr>
        <w:t>gravitational waves can be detected</w:t>
      </w:r>
      <w:r w:rsidRPr="00156B11">
        <w:t xml:space="preserve">, and the literature provides clear theoretical justification and experimental confirmation of their detectability. Importantly, while the </w:t>
      </w:r>
      <w:r w:rsidRPr="00156B11">
        <w:rPr>
          <w:i/>
          <w:iCs/>
        </w:rPr>
        <w:t>interpretation</w:t>
      </w:r>
      <w:r w:rsidRPr="00156B11">
        <w:t xml:space="preserve"> differs from the geometric “ripples of spacetime” picture, the </w:t>
      </w:r>
      <w:r w:rsidRPr="00156B11">
        <w:rPr>
          <w:i/>
          <w:iCs/>
        </w:rPr>
        <w:t>waves themselves</w:t>
      </w:r>
      <w:r w:rsidRPr="00156B11">
        <w:t xml:space="preserve"> are real physical phenomena whose effects can be measured.</w:t>
      </w:r>
    </w:p>
    <w:p w14:paraId="7D0B0BD4" w14:textId="77777777" w:rsidR="00FA0FFD" w:rsidRPr="00156B11" w:rsidRDefault="00FA0FFD" w:rsidP="00FA0FFD">
      <w:r w:rsidRPr="00156B11">
        <w:t xml:space="preserve">Below is a concise, academically structured summary of how the literature </w:t>
      </w:r>
      <w:proofErr w:type="gramStart"/>
      <w:r w:rsidRPr="00156B11">
        <w:t>establishes</w:t>
      </w:r>
      <w:proofErr w:type="gramEnd"/>
      <w:r w:rsidRPr="00156B11">
        <w:t xml:space="preserve"> their detectability.</w:t>
      </w:r>
    </w:p>
    <w:p w14:paraId="2BD1C3C5" w14:textId="77777777" w:rsidR="00FA0FFD" w:rsidRPr="00156B11" w:rsidRDefault="00FA0FFD" w:rsidP="00FA0FFD">
      <w:pPr>
        <w:rPr>
          <w:b/>
          <w:bCs/>
        </w:rPr>
      </w:pPr>
      <w:r w:rsidRPr="00156B11">
        <w:rPr>
          <w:b/>
          <w:bCs/>
        </w:rPr>
        <w:t>1. Detection through direct measurement of gravitational-field oscillations</w:t>
      </w:r>
    </w:p>
    <w:p w14:paraId="29502ADE" w14:textId="77777777" w:rsidR="00FA0FFD" w:rsidRPr="00156B11" w:rsidRDefault="00FA0FFD" w:rsidP="00FA0FFD">
      <w:r w:rsidRPr="00156B11">
        <w:t xml:space="preserve">Harney (2020) provides one of the strongest demonstrations that gravitational waves are experimentally observable. Using a high-resolution accelerometer, he identifies </w:t>
      </w:r>
      <w:r w:rsidRPr="00156B11">
        <w:rPr>
          <w:b/>
          <w:bCs/>
        </w:rPr>
        <w:t>distinct spectral peaks</w:t>
      </w:r>
      <w:r w:rsidRPr="00156B11">
        <w:t xml:space="preserve"> corresponding to the predicted gravitational-wave frequencies of the Earth and Moon. These observations match the frequencies obtained from his non-singular complex Yukawa gravitational model, confirming that gravitational waves generate measurable accelerations in terrestrial instruments.</w:t>
      </w:r>
    </w:p>
    <w:p w14:paraId="03895960" w14:textId="77777777" w:rsidR="00FA0FFD" w:rsidRPr="00156B11" w:rsidRDefault="00FA0FFD" w:rsidP="00FA0FFD">
      <w:r w:rsidRPr="00156B11">
        <w:rPr>
          <w:b/>
          <w:bCs/>
        </w:rPr>
        <w:t>Conclusion:</w:t>
      </w:r>
      <w:r w:rsidRPr="00156B11">
        <w:br/>
        <w:t>Gravitational waves produce detectable oscillatory accelerations in precision sensors.</w:t>
      </w:r>
    </w:p>
    <w:p w14:paraId="4736595E" w14:textId="77777777" w:rsidR="00FA0FFD" w:rsidRPr="00156B11" w:rsidRDefault="00FA0FFD" w:rsidP="00FA0FFD">
      <w:pPr>
        <w:rPr>
          <w:b/>
          <w:bCs/>
        </w:rPr>
      </w:pPr>
      <w:r w:rsidRPr="00156B11">
        <w:rPr>
          <w:b/>
          <w:bCs/>
        </w:rPr>
        <w:lastRenderedPageBreak/>
        <w:t>2. Interferometric detection of wave-like signals from astrophysical events</w:t>
      </w:r>
    </w:p>
    <w:p w14:paraId="0B0F4C69" w14:textId="77777777" w:rsidR="00FA0FFD" w:rsidRPr="00156B11" w:rsidRDefault="00FA0FFD" w:rsidP="00FA0FFD">
      <w:r w:rsidRPr="00156B11">
        <w:t xml:space="preserve">Although the interpretation of LIGO detections as spacetime ripples is challenged in the literature, multiple authors affirm that these detectors record genuine </w:t>
      </w:r>
      <w:r w:rsidRPr="00156B11">
        <w:rPr>
          <w:b/>
          <w:bCs/>
        </w:rPr>
        <w:t>wave-type signals</w:t>
      </w:r>
      <w:r w:rsidRPr="00156B11">
        <w:t xml:space="preserve"> produced by gravitational dynamics:</w:t>
      </w:r>
    </w:p>
    <w:p w14:paraId="64F302C7" w14:textId="77777777" w:rsidR="00FA0FFD" w:rsidRPr="00156B11" w:rsidRDefault="00FA0FFD" w:rsidP="00FA0FFD">
      <w:pPr>
        <w:numPr>
          <w:ilvl w:val="0"/>
          <w:numId w:val="34"/>
        </w:numPr>
      </w:pPr>
      <w:r w:rsidRPr="00156B11">
        <w:t xml:space="preserve">Guillén Gómez (2016) argues that these signals represent </w:t>
      </w:r>
      <w:r w:rsidRPr="00156B11">
        <w:rPr>
          <w:b/>
          <w:bCs/>
        </w:rPr>
        <w:t>quantum-vacuum waves</w:t>
      </w:r>
      <w:r w:rsidRPr="00156B11">
        <w:t>, not geometric distortions, but explicitly accepts their experimental reality.</w:t>
      </w:r>
    </w:p>
    <w:p w14:paraId="59BE73B1" w14:textId="77777777" w:rsidR="00FA0FFD" w:rsidRPr="00156B11" w:rsidRDefault="00FA0FFD" w:rsidP="00FA0FFD">
      <w:pPr>
        <w:numPr>
          <w:ilvl w:val="0"/>
          <w:numId w:val="34"/>
        </w:numPr>
      </w:pPr>
      <w:r w:rsidRPr="00156B11">
        <w:t xml:space="preserve">Froedge (2018) examines how LIGO may detect </w:t>
      </w:r>
      <w:r w:rsidRPr="00156B11">
        <w:rPr>
          <w:b/>
          <w:bCs/>
        </w:rPr>
        <w:t>electromagnetic or mixed-type radiation</w:t>
      </w:r>
      <w:r w:rsidRPr="00156B11">
        <w:t xml:space="preserve"> associated with strong gravitational </w:t>
      </w:r>
      <w:proofErr w:type="gramStart"/>
      <w:r w:rsidRPr="00156B11">
        <w:t>systems, yet</w:t>
      </w:r>
      <w:proofErr w:type="gramEnd"/>
      <w:r w:rsidRPr="00156B11">
        <w:t xml:space="preserve"> emphasizes that the observed waveforms are genuine propagating disturbances measured by interferometers.</w:t>
      </w:r>
    </w:p>
    <w:p w14:paraId="7A69409D" w14:textId="77777777" w:rsidR="00FA0FFD" w:rsidRPr="00156B11" w:rsidRDefault="00FA0FFD" w:rsidP="00FA0FFD">
      <w:r w:rsidRPr="00156B11">
        <w:rPr>
          <w:b/>
          <w:bCs/>
        </w:rPr>
        <w:t>Conclusion:</w:t>
      </w:r>
      <w:r w:rsidRPr="00156B11">
        <w:br/>
        <w:t xml:space="preserve">Interferometric detectors </w:t>
      </w:r>
      <w:r w:rsidRPr="00156B11">
        <w:rPr>
          <w:i/>
          <w:iCs/>
        </w:rPr>
        <w:t>do</w:t>
      </w:r>
      <w:r w:rsidRPr="00156B11">
        <w:t xml:space="preserve"> measure gravitational-origin wave signals, even if their physical nature diverges from GR’s tensorial interpretation.</w:t>
      </w:r>
    </w:p>
    <w:p w14:paraId="32E0B5C8" w14:textId="77777777" w:rsidR="00FA0FFD" w:rsidRPr="00156B11" w:rsidRDefault="00FA0FFD" w:rsidP="00FA0FFD">
      <w:pPr>
        <w:rPr>
          <w:b/>
          <w:bCs/>
        </w:rPr>
      </w:pPr>
      <w:r w:rsidRPr="00156B11">
        <w:rPr>
          <w:b/>
          <w:bCs/>
        </w:rPr>
        <w:t>3. Field-intensity waves predicted to be observable</w:t>
      </w:r>
    </w:p>
    <w:p w14:paraId="71AA7F1D" w14:textId="77777777" w:rsidR="00FA0FFD" w:rsidRPr="00156B11" w:rsidRDefault="00FA0FFD" w:rsidP="00FA0FFD">
      <w:r w:rsidRPr="00156B11">
        <w:t xml:space="preserve">Szostek, Góralski, and Szostek (2019) show that gravitational waves—understood as </w:t>
      </w:r>
      <w:r w:rsidRPr="00156B11">
        <w:rPr>
          <w:b/>
          <w:bCs/>
        </w:rPr>
        <w:t>cyclic variations of gravitational-field intensity</w:t>
      </w:r>
      <w:r w:rsidRPr="00156B11">
        <w:t>—necessarily produce measurable effects in instruments sensitive to small length or phase changes. They argue that LIGO’s observations correspond precisely to such intensity modulations, confirming that these waves are detectable in practice.</w:t>
      </w:r>
    </w:p>
    <w:p w14:paraId="34DB63FC" w14:textId="77777777" w:rsidR="00FA0FFD" w:rsidRPr="00156B11" w:rsidRDefault="00FA0FFD" w:rsidP="00FA0FFD">
      <w:r w:rsidRPr="00156B11">
        <w:rPr>
          <w:b/>
          <w:bCs/>
        </w:rPr>
        <w:t>Conclusion:</w:t>
      </w:r>
      <w:r w:rsidRPr="00156B11">
        <w:br/>
        <w:t>Changes in gravitational-field intensity propagate as measurable waves.</w:t>
      </w:r>
    </w:p>
    <w:p w14:paraId="5F979C7A" w14:textId="77777777" w:rsidR="00FA0FFD" w:rsidRPr="00156B11" w:rsidRDefault="00FA0FFD" w:rsidP="00FA0FFD">
      <w:pPr>
        <w:rPr>
          <w:b/>
          <w:bCs/>
        </w:rPr>
      </w:pPr>
      <w:r w:rsidRPr="00156B11">
        <w:rPr>
          <w:b/>
          <w:bCs/>
        </w:rPr>
        <w:t>4. Gravitoelectromagnetic theories predict measurable radiation</w:t>
      </w:r>
    </w:p>
    <w:p w14:paraId="565ADDAB" w14:textId="77777777" w:rsidR="00FA0FFD" w:rsidRPr="00156B11" w:rsidRDefault="00FA0FFD" w:rsidP="00FA0FFD">
      <w:r w:rsidRPr="00156B11">
        <w:t>In Pavlović’s gravitoelectromagnetic formulation (2016), gravitational waves follow Maxwell-like equations and therefore behave as ordinary propagating fields. These waves necessarily yield observable signatures—either in phase-based interferometers or in field-sensitive accelerometers—just as electromagnetic waves do in their corresponding instruments.</w:t>
      </w:r>
    </w:p>
    <w:p w14:paraId="76F6D1CB" w14:textId="77777777" w:rsidR="00FA0FFD" w:rsidRPr="00156B11" w:rsidRDefault="00FA0FFD" w:rsidP="00FA0FFD">
      <w:r w:rsidRPr="00156B11">
        <w:rPr>
          <w:b/>
          <w:bCs/>
        </w:rPr>
        <w:t>Conclusion:</w:t>
      </w:r>
      <w:r w:rsidRPr="00156B11">
        <w:br/>
        <w:t>Gravitational waves are intrinsically detectable in any theory where gravitational fields propagate dynamically.</w:t>
      </w:r>
    </w:p>
    <w:p w14:paraId="75DB4F6E" w14:textId="77777777" w:rsidR="00FA0FFD" w:rsidRPr="00156B11" w:rsidRDefault="00FA0FFD" w:rsidP="00FA0FFD">
      <w:pPr>
        <w:rPr>
          <w:b/>
          <w:bCs/>
        </w:rPr>
      </w:pPr>
      <w:r w:rsidRPr="00156B11">
        <w:rPr>
          <w:b/>
          <w:bCs/>
        </w:rPr>
        <w:t>5. Detectability across alternative theoretical frameworks</w:t>
      </w:r>
    </w:p>
    <w:p w14:paraId="7983245F" w14:textId="77777777" w:rsidR="00FA0FFD" w:rsidRPr="00156B11" w:rsidRDefault="00FA0FFD" w:rsidP="00FA0FFD">
      <w:r w:rsidRPr="00156B11">
        <w:t xml:space="preserve">Even non-standard gravitational models—such as Sharipov’s 3-brane theory—predict gravitational waves with speeds that may differ from the speed of light. Despite these differences, they remain </w:t>
      </w:r>
      <w:r w:rsidRPr="00156B11">
        <w:rPr>
          <w:b/>
          <w:bCs/>
        </w:rPr>
        <w:t>experimentally observable</w:t>
      </w:r>
      <w:r w:rsidRPr="00156B11">
        <w:t xml:space="preserve"> as propagating disturbances in the gravitational interaction.</w:t>
      </w:r>
    </w:p>
    <w:p w14:paraId="371742A1" w14:textId="77777777" w:rsidR="00FA0FFD" w:rsidRPr="00156B11" w:rsidRDefault="00FA0FFD" w:rsidP="00FA0FFD"/>
    <w:p w14:paraId="1263E68B" w14:textId="77777777" w:rsidR="00FA0FFD" w:rsidRPr="00156B11" w:rsidRDefault="00FA0FFD" w:rsidP="00FA0FFD">
      <w:pPr>
        <w:rPr>
          <w:b/>
          <w:bCs/>
        </w:rPr>
      </w:pPr>
      <w:r w:rsidRPr="00156B11">
        <w:rPr>
          <w:b/>
          <w:bCs/>
        </w:rPr>
        <w:t>Overall Conclusion</w:t>
      </w:r>
    </w:p>
    <w:p w14:paraId="1D9023FC" w14:textId="77777777" w:rsidR="00FA0FFD" w:rsidRPr="00156B11" w:rsidRDefault="00FA0FFD" w:rsidP="00FA0FFD">
      <w:pPr>
        <w:rPr>
          <w:b/>
          <w:bCs/>
        </w:rPr>
      </w:pPr>
      <w:r w:rsidRPr="00156B11">
        <w:rPr>
          <w:b/>
          <w:bCs/>
        </w:rPr>
        <w:t>Yes—gravitational waves are experimentally detectable.</w:t>
      </w:r>
    </w:p>
    <w:p w14:paraId="3DC14AF2" w14:textId="77777777" w:rsidR="00FA0FFD" w:rsidRPr="00156B11" w:rsidRDefault="00FA0FFD" w:rsidP="00FA0FFD">
      <w:r w:rsidRPr="00156B11">
        <w:t>Across the literature, multiple theoretical and experimental lines converge:</w:t>
      </w:r>
    </w:p>
    <w:p w14:paraId="3B64FBEF" w14:textId="77777777" w:rsidR="00FA0FFD" w:rsidRPr="00156B11" w:rsidRDefault="00FA0FFD" w:rsidP="00FA0FFD">
      <w:pPr>
        <w:numPr>
          <w:ilvl w:val="0"/>
          <w:numId w:val="35"/>
        </w:numPr>
      </w:pPr>
      <w:r w:rsidRPr="00156B11">
        <w:rPr>
          <w:b/>
          <w:bCs/>
        </w:rPr>
        <w:lastRenderedPageBreak/>
        <w:t>Accelerometers detect continuous gravitational waves generated by Earth and Moon.</w:t>
      </w:r>
    </w:p>
    <w:p w14:paraId="2C21C762" w14:textId="77777777" w:rsidR="00FA0FFD" w:rsidRPr="00156B11" w:rsidRDefault="00FA0FFD" w:rsidP="00FA0FFD">
      <w:pPr>
        <w:numPr>
          <w:ilvl w:val="0"/>
          <w:numId w:val="35"/>
        </w:numPr>
      </w:pPr>
      <w:r w:rsidRPr="00156B11">
        <w:rPr>
          <w:b/>
          <w:bCs/>
        </w:rPr>
        <w:t>Interferometers detect transient signals from astrophysical interactions.</w:t>
      </w:r>
    </w:p>
    <w:p w14:paraId="26EABFFD" w14:textId="77777777" w:rsidR="00FA0FFD" w:rsidRPr="00156B11" w:rsidRDefault="00FA0FFD" w:rsidP="00FA0FFD">
      <w:pPr>
        <w:numPr>
          <w:ilvl w:val="0"/>
          <w:numId w:val="35"/>
        </w:numPr>
      </w:pPr>
      <w:r w:rsidRPr="00156B11">
        <w:rPr>
          <w:b/>
          <w:bCs/>
        </w:rPr>
        <w:t>Field-based models predict measurable oscillations in gravitational intensity.</w:t>
      </w:r>
    </w:p>
    <w:p w14:paraId="16D40808" w14:textId="77777777" w:rsidR="00FA0FFD" w:rsidRPr="00156B11" w:rsidRDefault="00FA0FFD" w:rsidP="00FA0FFD">
      <w:pPr>
        <w:numPr>
          <w:ilvl w:val="0"/>
          <w:numId w:val="35"/>
        </w:numPr>
      </w:pPr>
      <w:r w:rsidRPr="00156B11">
        <w:rPr>
          <w:b/>
          <w:bCs/>
        </w:rPr>
        <w:t>Gravitoelectromagnetic and alternative theories affirm their detectability.</w:t>
      </w:r>
    </w:p>
    <w:p w14:paraId="5F44DA72" w14:textId="77777777" w:rsidR="00FA0FFD" w:rsidRPr="00156B11" w:rsidRDefault="00FA0FFD" w:rsidP="00FA0FFD">
      <w:r w:rsidRPr="00156B11">
        <w:t xml:space="preserve">Thus, while the </w:t>
      </w:r>
      <w:r w:rsidRPr="00156B11">
        <w:rPr>
          <w:i/>
          <w:iCs/>
        </w:rPr>
        <w:t>interpretation</w:t>
      </w:r>
      <w:r w:rsidRPr="00156B11">
        <w:t xml:space="preserve"> of gravitational waves may differ from mainstream General Relativity, the literature consistently supports their </w:t>
      </w:r>
      <w:r w:rsidRPr="00156B11">
        <w:rPr>
          <w:b/>
          <w:bCs/>
        </w:rPr>
        <w:t>real, measurable, and experimentally accessible</w:t>
      </w:r>
      <w:r w:rsidRPr="00156B11">
        <w:t xml:space="preserve"> physical effects.</w:t>
      </w:r>
    </w:p>
    <w:p w14:paraId="6F7D2273" w14:textId="77777777" w:rsidR="00FA0FFD" w:rsidRDefault="00FA0FFD" w:rsidP="00FA0FFD">
      <w:r w:rsidRPr="00156B11">
        <w:t>If you’d like, I can also summarise how these models differ in predicted signal speed, polarization, or detector response.</w:t>
      </w:r>
    </w:p>
    <w:p w14:paraId="2E9F8A38" w14:textId="77777777" w:rsidR="00FA0FFD" w:rsidRPr="00156B11" w:rsidRDefault="00FA0FFD" w:rsidP="00FA0FFD">
      <w:pPr>
        <w:pStyle w:val="Style1"/>
      </w:pPr>
      <w:bookmarkStart w:id="24" w:name="_Toc219386919"/>
      <w:r>
        <w:t xml:space="preserve">6.4 </w:t>
      </w:r>
      <w:r w:rsidRPr="00156B11">
        <w:t xml:space="preserve">Question 4 Have gravitational </w:t>
      </w:r>
      <w:r>
        <w:t>w</w:t>
      </w:r>
      <w:r w:rsidRPr="00156B11">
        <w:t>aves been detected?</w:t>
      </w:r>
      <w:bookmarkEnd w:id="24"/>
      <w:r w:rsidRPr="00156B11">
        <w:t xml:space="preserve"> </w:t>
      </w:r>
    </w:p>
    <w:p w14:paraId="3986444F" w14:textId="77777777" w:rsidR="00FA0FFD" w:rsidRPr="00156B11" w:rsidRDefault="00FA0FFD" w:rsidP="00FA0FFD">
      <w:r w:rsidRPr="00156B11">
        <w:t>Yes—</w:t>
      </w:r>
      <w:r w:rsidRPr="00156B11">
        <w:rPr>
          <w:b/>
          <w:bCs/>
        </w:rPr>
        <w:t xml:space="preserve">gravitational waves </w:t>
      </w:r>
      <w:r w:rsidRPr="00156B11">
        <w:rPr>
          <w:b/>
          <w:bCs/>
          <w:i/>
          <w:iCs/>
        </w:rPr>
        <w:t>have</w:t>
      </w:r>
      <w:r w:rsidRPr="00156B11">
        <w:rPr>
          <w:b/>
          <w:bCs/>
        </w:rPr>
        <w:t xml:space="preserve"> been detected</w:t>
      </w:r>
      <w:r w:rsidRPr="00156B11">
        <w:t xml:space="preserve">, and the literature provides multiple, mutually reinforcing demonstrations of this fact. Although the physical </w:t>
      </w:r>
      <w:r w:rsidRPr="00156B11">
        <w:rPr>
          <w:i/>
          <w:iCs/>
        </w:rPr>
        <w:t>interpretation</w:t>
      </w:r>
      <w:r w:rsidRPr="00156B11">
        <w:t xml:space="preserve"> of these waves differs substantially from the standard GR model, their </w:t>
      </w:r>
      <w:r w:rsidRPr="00156B11">
        <w:rPr>
          <w:b/>
          <w:bCs/>
        </w:rPr>
        <w:t>experimental detection is firmly established</w:t>
      </w:r>
      <w:r w:rsidRPr="00156B11">
        <w:t xml:space="preserve"> across several independent methods.</w:t>
      </w:r>
    </w:p>
    <w:p w14:paraId="6EF76CDA" w14:textId="77777777" w:rsidR="00FA0FFD" w:rsidRPr="00156B11" w:rsidRDefault="00FA0FFD" w:rsidP="00FA0FFD">
      <w:r w:rsidRPr="00156B11">
        <w:t xml:space="preserve">Below is a concise academic synthesis of how the literature </w:t>
      </w:r>
      <w:proofErr w:type="gramStart"/>
      <w:r w:rsidRPr="00156B11">
        <w:t>demonstrates</w:t>
      </w:r>
      <w:proofErr w:type="gramEnd"/>
      <w:r w:rsidRPr="00156B11">
        <w:t xml:space="preserve"> that gravitational waves have already been observed.</w:t>
      </w:r>
    </w:p>
    <w:p w14:paraId="2517E574" w14:textId="77777777" w:rsidR="00FA0FFD" w:rsidRPr="00156B11" w:rsidRDefault="00FA0FFD" w:rsidP="00FA0FFD">
      <w:pPr>
        <w:rPr>
          <w:b/>
          <w:bCs/>
        </w:rPr>
      </w:pPr>
      <w:r w:rsidRPr="00156B11">
        <w:rPr>
          <w:b/>
          <w:bCs/>
        </w:rPr>
        <w:t>1. Direct laboratory detection of continuous gravitational waves</w:t>
      </w:r>
    </w:p>
    <w:p w14:paraId="20CA492B" w14:textId="77777777" w:rsidR="00FA0FFD" w:rsidRPr="00156B11" w:rsidRDefault="00FA0FFD" w:rsidP="00FA0FFD">
      <w:r w:rsidRPr="00156B11">
        <w:t xml:space="preserve">Harney (2020) presents one of the clearest confirmations that gravitational waves have already been detected experimentally. Using a high-resolution accelerometer operating over multi-hour intervals, he identifies </w:t>
      </w:r>
      <w:r w:rsidRPr="00156B11">
        <w:rPr>
          <w:b/>
          <w:bCs/>
        </w:rPr>
        <w:t>distinct spectral signatures</w:t>
      </w:r>
      <w:r w:rsidRPr="00156B11">
        <w:t xml:space="preserve"> corresponding to the predicted gravitational-wave frequencies generated by the Earth and Moon. These signals exhibit the expected lunar-phase modulation, confirming their gravitational origin.</w:t>
      </w:r>
    </w:p>
    <w:p w14:paraId="0B65A8AD" w14:textId="77777777" w:rsidR="00FA0FFD" w:rsidRPr="00156B11" w:rsidRDefault="00FA0FFD" w:rsidP="00FA0FFD">
      <w:r w:rsidRPr="00156B11">
        <w:rPr>
          <w:b/>
          <w:bCs/>
        </w:rPr>
        <w:t>Result:</w:t>
      </w:r>
      <w:r w:rsidRPr="00156B11">
        <w:br/>
        <w:t>Continuous gravitational waves have been directly measured under terrestrial laboratory conditions.</w:t>
      </w:r>
    </w:p>
    <w:p w14:paraId="5604B536" w14:textId="77777777" w:rsidR="00FA0FFD" w:rsidRPr="00156B11" w:rsidRDefault="00FA0FFD" w:rsidP="00FA0FFD">
      <w:pPr>
        <w:rPr>
          <w:b/>
          <w:bCs/>
        </w:rPr>
      </w:pPr>
      <w:r w:rsidRPr="00156B11">
        <w:rPr>
          <w:b/>
          <w:bCs/>
        </w:rPr>
        <w:t>2. Interferometric detections of wave signals from astrophysical events</w:t>
      </w:r>
    </w:p>
    <w:p w14:paraId="0DA8B395" w14:textId="77777777" w:rsidR="00FA0FFD" w:rsidRPr="00156B11" w:rsidRDefault="00FA0FFD" w:rsidP="00FA0FFD">
      <w:r w:rsidRPr="00156B11">
        <w:t xml:space="preserve">Although the conventional “spacetime ripple” interpretation is challenged in the literature, several authors agree that LIGO and similar detectors have </w:t>
      </w:r>
      <w:r w:rsidRPr="00156B11">
        <w:rPr>
          <w:b/>
          <w:bCs/>
        </w:rPr>
        <w:t>measured real wave-type disturbances</w:t>
      </w:r>
      <w:r w:rsidRPr="00156B11">
        <w:t xml:space="preserve"> produced by gravitational dynamics.</w:t>
      </w:r>
    </w:p>
    <w:p w14:paraId="1BFE223D" w14:textId="77777777" w:rsidR="00FA0FFD" w:rsidRPr="00156B11" w:rsidRDefault="00FA0FFD" w:rsidP="00FA0FFD">
      <w:pPr>
        <w:numPr>
          <w:ilvl w:val="0"/>
          <w:numId w:val="36"/>
        </w:numPr>
      </w:pPr>
      <w:r w:rsidRPr="00156B11">
        <w:rPr>
          <w:b/>
          <w:bCs/>
        </w:rPr>
        <w:t>Guillén Gómez (2016)</w:t>
      </w:r>
      <w:r w:rsidRPr="00156B11">
        <w:t xml:space="preserve"> maintains that the LIGO events represent </w:t>
      </w:r>
      <w:r w:rsidRPr="00156B11">
        <w:rPr>
          <w:b/>
          <w:bCs/>
        </w:rPr>
        <w:t>quantum-vacuum waves</w:t>
      </w:r>
      <w:r w:rsidRPr="00156B11">
        <w:t>, not tensorial curvature effects, but accepts the empirical reality of the measured waveforms and explains them as arising from mass–energy quadrupoles.</w:t>
      </w:r>
    </w:p>
    <w:p w14:paraId="7F744018" w14:textId="77777777" w:rsidR="00FA0FFD" w:rsidRPr="00156B11" w:rsidRDefault="00FA0FFD" w:rsidP="00FA0FFD">
      <w:pPr>
        <w:numPr>
          <w:ilvl w:val="0"/>
          <w:numId w:val="36"/>
        </w:numPr>
      </w:pPr>
      <w:r w:rsidRPr="00156B11">
        <w:rPr>
          <w:b/>
          <w:bCs/>
        </w:rPr>
        <w:t>Froedge (2018)</w:t>
      </w:r>
      <w:r w:rsidRPr="00156B11">
        <w:t xml:space="preserve"> shows that similar signals can result from </w:t>
      </w:r>
      <w:r w:rsidRPr="00156B11">
        <w:rPr>
          <w:b/>
          <w:bCs/>
        </w:rPr>
        <w:t xml:space="preserve">electromagnetic or mixed electromagnetic–gravitational </w:t>
      </w:r>
      <w:proofErr w:type="gramStart"/>
      <w:r w:rsidRPr="00156B11">
        <w:rPr>
          <w:b/>
          <w:bCs/>
        </w:rPr>
        <w:t>radiation</w:t>
      </w:r>
      <w:r w:rsidRPr="00156B11">
        <w:t>, yet</w:t>
      </w:r>
      <w:proofErr w:type="gramEnd"/>
      <w:r w:rsidRPr="00156B11">
        <w:t xml:space="preserve"> does not dispute that LIGO recorded genuine propagating wave disturbances.</w:t>
      </w:r>
    </w:p>
    <w:p w14:paraId="29CBD2EE" w14:textId="77777777" w:rsidR="00FA0FFD" w:rsidRPr="00156B11" w:rsidRDefault="00FA0FFD" w:rsidP="00FA0FFD">
      <w:r w:rsidRPr="00156B11">
        <w:rPr>
          <w:b/>
          <w:bCs/>
        </w:rPr>
        <w:lastRenderedPageBreak/>
        <w:t>Result:</w:t>
      </w:r>
      <w:r w:rsidRPr="00156B11">
        <w:br/>
        <w:t>Interferometers have recorded gravitationally generated wave signals from astrophysical sources.</w:t>
      </w:r>
    </w:p>
    <w:p w14:paraId="0B67B1D5" w14:textId="77777777" w:rsidR="00FA0FFD" w:rsidRPr="00156B11" w:rsidRDefault="00FA0FFD" w:rsidP="00FA0FFD">
      <w:pPr>
        <w:rPr>
          <w:b/>
          <w:bCs/>
        </w:rPr>
      </w:pPr>
      <w:r w:rsidRPr="00156B11">
        <w:rPr>
          <w:b/>
          <w:bCs/>
        </w:rPr>
        <w:t>3. Detection of gravitational field-intensity waves</w:t>
      </w:r>
    </w:p>
    <w:p w14:paraId="241DE2CA" w14:textId="77777777" w:rsidR="00FA0FFD" w:rsidRPr="00156B11" w:rsidRDefault="00FA0FFD" w:rsidP="00FA0FFD">
      <w:r w:rsidRPr="00156B11">
        <w:t xml:space="preserve">Szostek, Góralski, and Szostek (2019) argue that the waveforms reported by interferometric detectors are consistent with </w:t>
      </w:r>
      <w:r w:rsidRPr="00156B11">
        <w:rPr>
          <w:b/>
          <w:bCs/>
        </w:rPr>
        <w:t>cyclic variations of gravitational-field intensity</w:t>
      </w:r>
      <w:r w:rsidRPr="00156B11">
        <w:t xml:space="preserve"> produced by moving massive systems. Their analysis shows that LIGO’s detections match the theoretical signature of field-intensity waves rather than spacetime distortions.</w:t>
      </w:r>
    </w:p>
    <w:p w14:paraId="299231E1" w14:textId="77777777" w:rsidR="00FA0FFD" w:rsidRPr="00156B11" w:rsidRDefault="00FA0FFD" w:rsidP="00FA0FFD">
      <w:r w:rsidRPr="00156B11">
        <w:rPr>
          <w:b/>
          <w:bCs/>
        </w:rPr>
        <w:t>Result:</w:t>
      </w:r>
      <w:r w:rsidRPr="00156B11">
        <w:br/>
        <w:t>Gravitational waves—understood as oscillations of gravitational-field intensity—have been observed.</w:t>
      </w:r>
    </w:p>
    <w:p w14:paraId="68905E0D" w14:textId="77777777" w:rsidR="00FA0FFD" w:rsidRPr="00156B11" w:rsidRDefault="00FA0FFD" w:rsidP="00FA0FFD">
      <w:pPr>
        <w:rPr>
          <w:b/>
          <w:bCs/>
        </w:rPr>
      </w:pPr>
      <w:r w:rsidRPr="00156B11">
        <w:rPr>
          <w:b/>
          <w:bCs/>
        </w:rPr>
        <w:t>4. Gravitoelectromagnetic models predict and confirm detection</w:t>
      </w:r>
    </w:p>
    <w:p w14:paraId="05750659" w14:textId="77777777" w:rsidR="00FA0FFD" w:rsidRPr="00156B11" w:rsidRDefault="00FA0FFD" w:rsidP="00FA0FFD">
      <w:r w:rsidRPr="00156B11">
        <w:t xml:space="preserve">Pavlović (2016) develops a gravitoelectromagnetic formulation in which accelerating masses produce </w:t>
      </w:r>
      <w:r w:rsidRPr="00156B11">
        <w:rPr>
          <w:b/>
          <w:bCs/>
        </w:rPr>
        <w:t>gravitational radiation</w:t>
      </w:r>
      <w:r w:rsidRPr="00156B11">
        <w:t xml:space="preserve"> analogous to electromagnetic radiation from accelerating charges. These waves are predicted to be </w:t>
      </w:r>
      <w:r w:rsidRPr="00156B11">
        <w:rPr>
          <w:b/>
          <w:bCs/>
        </w:rPr>
        <w:t>experimentally observable</w:t>
      </w:r>
      <w:r w:rsidRPr="00156B11">
        <w:t xml:space="preserve"> with existing detection technologies, and the observed signals align with the expectations of this model.</w:t>
      </w:r>
    </w:p>
    <w:p w14:paraId="75812DD7" w14:textId="77777777" w:rsidR="00FA0FFD" w:rsidRPr="00156B11" w:rsidRDefault="00FA0FFD" w:rsidP="00FA0FFD">
      <w:r w:rsidRPr="00156B11">
        <w:rPr>
          <w:b/>
          <w:bCs/>
        </w:rPr>
        <w:t>Result:</w:t>
      </w:r>
      <w:r w:rsidRPr="00156B11">
        <w:br/>
        <w:t>Observed wave signals are consistent with gravitoelectromagnetic radiation theory.</w:t>
      </w:r>
    </w:p>
    <w:p w14:paraId="77C88311" w14:textId="77777777" w:rsidR="00FA0FFD" w:rsidRPr="00156B11" w:rsidRDefault="00FA0FFD" w:rsidP="00FA0FFD">
      <w:pPr>
        <w:rPr>
          <w:b/>
          <w:bCs/>
        </w:rPr>
      </w:pPr>
      <w:r w:rsidRPr="00156B11">
        <w:rPr>
          <w:b/>
          <w:bCs/>
        </w:rPr>
        <w:t>Synthesis</w:t>
      </w:r>
    </w:p>
    <w:p w14:paraId="62592E04" w14:textId="77777777" w:rsidR="00FA0FFD" w:rsidRPr="00156B11" w:rsidRDefault="00FA0FFD" w:rsidP="00FA0FFD">
      <w:r w:rsidRPr="00156B11">
        <w:t>Across the literature:</w:t>
      </w:r>
    </w:p>
    <w:p w14:paraId="12473FA0" w14:textId="77777777" w:rsidR="00FA0FFD" w:rsidRPr="00156B11" w:rsidRDefault="00FA0FFD" w:rsidP="00FA0FFD">
      <w:pPr>
        <w:rPr>
          <w:b/>
          <w:bCs/>
        </w:rPr>
      </w:pPr>
      <w:r w:rsidRPr="00156B11">
        <w:rPr>
          <w:rFonts w:ascii="Segoe UI Symbol" w:hAnsi="Segoe UI Symbol" w:cs="Segoe UI Symbol"/>
          <w:b/>
          <w:bCs/>
        </w:rPr>
        <w:t>✔</w:t>
      </w:r>
      <w:r w:rsidRPr="00156B11">
        <w:rPr>
          <w:b/>
          <w:bCs/>
        </w:rPr>
        <w:t xml:space="preserve"> Gravitational waves have been detected in laboratory accelerometer measurements.</w:t>
      </w:r>
    </w:p>
    <w:p w14:paraId="52608D61" w14:textId="77777777" w:rsidR="00FA0FFD" w:rsidRPr="00156B11" w:rsidRDefault="00FA0FFD" w:rsidP="00FA0FFD">
      <w:pPr>
        <w:rPr>
          <w:b/>
          <w:bCs/>
        </w:rPr>
      </w:pPr>
      <w:r w:rsidRPr="00156B11">
        <w:rPr>
          <w:rFonts w:ascii="Segoe UI Symbol" w:hAnsi="Segoe UI Symbol" w:cs="Segoe UI Symbol"/>
          <w:b/>
          <w:bCs/>
        </w:rPr>
        <w:t>✔</w:t>
      </w:r>
      <w:r w:rsidRPr="00156B11">
        <w:rPr>
          <w:b/>
          <w:bCs/>
        </w:rPr>
        <w:t xml:space="preserve"> They have been detected by interferometric observatories during strong astrophysical events.</w:t>
      </w:r>
    </w:p>
    <w:p w14:paraId="5D1C9B2D" w14:textId="77777777" w:rsidR="00FA0FFD" w:rsidRPr="00156B11" w:rsidRDefault="00FA0FFD" w:rsidP="00FA0FFD">
      <w:pPr>
        <w:rPr>
          <w:b/>
          <w:bCs/>
        </w:rPr>
      </w:pPr>
      <w:r w:rsidRPr="00156B11">
        <w:rPr>
          <w:rFonts w:ascii="Segoe UI Symbol" w:hAnsi="Segoe UI Symbol" w:cs="Segoe UI Symbol"/>
          <w:b/>
          <w:bCs/>
        </w:rPr>
        <w:t>✔</w:t>
      </w:r>
      <w:r w:rsidRPr="00156B11">
        <w:rPr>
          <w:b/>
          <w:bCs/>
        </w:rPr>
        <w:t xml:space="preserve"> Their signatures match theoretical predictions of field-intensity waves, quantum-vacuum waves, or gravitoelectromagnetic radiation.</w:t>
      </w:r>
    </w:p>
    <w:p w14:paraId="2D79FE7E" w14:textId="77777777" w:rsidR="00FA0FFD" w:rsidRPr="00156B11" w:rsidRDefault="00FA0FFD" w:rsidP="00FA0FFD">
      <w:pPr>
        <w:rPr>
          <w:b/>
          <w:bCs/>
        </w:rPr>
      </w:pPr>
      <w:r w:rsidRPr="00156B11">
        <w:rPr>
          <w:rFonts w:ascii="Segoe UI Symbol" w:hAnsi="Segoe UI Symbol" w:cs="Segoe UI Symbol"/>
          <w:b/>
          <w:bCs/>
        </w:rPr>
        <w:t>✔</w:t>
      </w:r>
      <w:r w:rsidRPr="00156B11">
        <w:rPr>
          <w:b/>
          <w:bCs/>
        </w:rPr>
        <w:t xml:space="preserve"> All major frameworks acknowledge that the observed signals correspond to genuine gravitational-wave phenomena.</w:t>
      </w:r>
    </w:p>
    <w:p w14:paraId="3C24E5E4" w14:textId="77777777" w:rsidR="00FA0FFD" w:rsidRPr="00156B11" w:rsidRDefault="00FA0FFD" w:rsidP="00FA0FFD">
      <w:r w:rsidRPr="00156B11">
        <w:t>In summary:</w:t>
      </w:r>
    </w:p>
    <w:p w14:paraId="6E94258E" w14:textId="77777777" w:rsidR="00FA0FFD" w:rsidRPr="00156B11" w:rsidRDefault="00FA0FFD" w:rsidP="00FA0FFD">
      <w:pPr>
        <w:rPr>
          <w:b/>
          <w:bCs/>
        </w:rPr>
      </w:pPr>
      <w:r w:rsidRPr="00156B11">
        <w:rPr>
          <w:b/>
          <w:bCs/>
        </w:rPr>
        <w:t>Yes—gravitational waves have been detected, repeatedly and independently, though their true physical nature differs from the standard GR interpretation.</w:t>
      </w:r>
    </w:p>
    <w:p w14:paraId="4471AE99" w14:textId="77777777" w:rsidR="00FA0FFD" w:rsidRDefault="00FA0FFD" w:rsidP="00FA0FFD">
      <w:r w:rsidRPr="00156B11">
        <w:t xml:space="preserve">If you’d like, I can also identify which detections provide the strongest </w:t>
      </w:r>
      <w:proofErr w:type="gramStart"/>
      <w:r w:rsidRPr="00156B11">
        <w:t>evidence, or</w:t>
      </w:r>
      <w:proofErr w:type="gramEnd"/>
      <w:r w:rsidRPr="00156B11">
        <w:t xml:space="preserve"> compare how each model interprets the observed signals.</w:t>
      </w:r>
      <w:r>
        <w:t xml:space="preserve"> </w:t>
      </w:r>
    </w:p>
    <w:p w14:paraId="584400B7" w14:textId="77777777" w:rsidR="00FA0FFD" w:rsidRPr="00E074CB" w:rsidRDefault="00FA0FFD" w:rsidP="00FA0FFD">
      <w:pPr>
        <w:pStyle w:val="Style1"/>
      </w:pPr>
      <w:bookmarkStart w:id="25" w:name="_Toc219386920"/>
      <w:r>
        <w:t xml:space="preserve">6.5 </w:t>
      </w:r>
      <w:r w:rsidRPr="00156B11">
        <w:t>Question 5 Has LIGO detected gravitational waves?</w:t>
      </w:r>
      <w:bookmarkEnd w:id="25"/>
      <w:r w:rsidRPr="00156B11">
        <w:t xml:space="preserve"> </w:t>
      </w:r>
    </w:p>
    <w:p w14:paraId="43DC6437" w14:textId="77777777" w:rsidR="00FA0FFD" w:rsidRPr="00156B11" w:rsidRDefault="00FA0FFD" w:rsidP="00FA0FFD">
      <w:r w:rsidRPr="00156B11">
        <w:rPr>
          <w:b/>
          <w:bCs/>
        </w:rPr>
        <w:t xml:space="preserve">Yes—LIGO has detected wave-type signals—but the literature makes clear that these signals are </w:t>
      </w:r>
      <w:r w:rsidRPr="00156B11">
        <w:rPr>
          <w:b/>
          <w:bCs/>
          <w:i/>
          <w:iCs/>
        </w:rPr>
        <w:t>not</w:t>
      </w:r>
      <w:r w:rsidRPr="00156B11">
        <w:rPr>
          <w:b/>
          <w:bCs/>
        </w:rPr>
        <w:t xml:space="preserve"> gravitational waves in the General Relativistic sense.</w:t>
      </w:r>
      <w:r w:rsidRPr="00156B11">
        <w:br/>
        <w:t>They are real, experimentally measured disturbances, yet their physical nature differs fundamentally from the “ripples of spacetime” interpretation.</w:t>
      </w:r>
    </w:p>
    <w:p w14:paraId="78FD75DB" w14:textId="77777777" w:rsidR="00FA0FFD" w:rsidRPr="00156B11" w:rsidRDefault="00FA0FFD" w:rsidP="00FA0FFD">
      <w:r w:rsidRPr="00156B11">
        <w:lastRenderedPageBreak/>
        <w:t>Below is an academically grounded synthesis from the literature.</w:t>
      </w:r>
    </w:p>
    <w:p w14:paraId="2E9F57A2" w14:textId="77777777" w:rsidR="00FA0FFD" w:rsidRPr="00156B11" w:rsidRDefault="00FA0FFD" w:rsidP="00FA0FFD">
      <w:pPr>
        <w:rPr>
          <w:b/>
          <w:bCs/>
        </w:rPr>
      </w:pPr>
      <w:r w:rsidRPr="00156B11">
        <w:rPr>
          <w:b/>
          <w:bCs/>
        </w:rPr>
        <w:t>1. LIGO did measure wave signals, but they are not GR gravitational waves</w:t>
      </w:r>
    </w:p>
    <w:p w14:paraId="31F1AC1B" w14:textId="77777777" w:rsidR="00FA0FFD" w:rsidRPr="00156B11" w:rsidRDefault="00FA0FFD" w:rsidP="00FA0FFD">
      <w:r w:rsidRPr="00156B11">
        <w:t xml:space="preserve">Guillén Gómez (2016) states explicitly that the LIGO collaboration announced a detection, but that the signals </w:t>
      </w:r>
      <w:r w:rsidRPr="00156B11">
        <w:rPr>
          <w:b/>
          <w:bCs/>
        </w:rPr>
        <w:t>cannot be gravitational waves</w:t>
      </w:r>
      <w:r w:rsidRPr="00156B11">
        <w:t xml:space="preserve"> as defined in General Relativity. He notes that Einstein himself rejected spacetime-propagating gravitational waves in 1938 and argues that the LIGO signals correspond instead to </w:t>
      </w:r>
      <w:r w:rsidRPr="00156B11">
        <w:rPr>
          <w:b/>
          <w:bCs/>
        </w:rPr>
        <w:t>waves of the quantum vacuum</w:t>
      </w:r>
      <w:r w:rsidRPr="00156B11">
        <w:t xml:space="preserve"> driven by energy quadrupoles.</w:t>
      </w:r>
    </w:p>
    <w:p w14:paraId="1F6461E0" w14:textId="77777777" w:rsidR="00FA0FFD" w:rsidRPr="00156B11" w:rsidRDefault="00FA0FFD" w:rsidP="00FA0FFD">
      <w:r w:rsidRPr="00156B11">
        <w:rPr>
          <w:b/>
          <w:bCs/>
        </w:rPr>
        <w:t>Conclusion:</w:t>
      </w:r>
      <w:r w:rsidRPr="00156B11">
        <w:br/>
        <w:t>LIGO detected a real physical signal, but not a curvature wave—rather, a vacuum-wave phenomenon.</w:t>
      </w:r>
    </w:p>
    <w:p w14:paraId="690B8E96" w14:textId="77777777" w:rsidR="00FA0FFD" w:rsidRPr="00156B11" w:rsidRDefault="00FA0FFD" w:rsidP="00FA0FFD">
      <w:pPr>
        <w:rPr>
          <w:b/>
          <w:bCs/>
        </w:rPr>
      </w:pPr>
      <w:r w:rsidRPr="00156B11">
        <w:rPr>
          <w:b/>
          <w:bCs/>
        </w:rPr>
        <w:t>2. LIGO’s signals represent field-intensity modulation, not spacetime ripples</w:t>
      </w:r>
    </w:p>
    <w:p w14:paraId="7B6A03E1" w14:textId="77777777" w:rsidR="00FA0FFD" w:rsidRPr="00156B11" w:rsidRDefault="00FA0FFD" w:rsidP="00FA0FFD">
      <w:r w:rsidRPr="00156B11">
        <w:t xml:space="preserve">Szostek, Góralski, and Szostek (2019) show that General Relativity does </w:t>
      </w:r>
      <w:r w:rsidRPr="00156B11">
        <w:rPr>
          <w:b/>
          <w:bCs/>
        </w:rPr>
        <w:t>not</w:t>
      </w:r>
      <w:r w:rsidRPr="00156B11">
        <w:t xml:space="preserve"> yield physical gravitational waves as propagating spacetime distortions. They argue that any signal LIGO observes must be a </w:t>
      </w:r>
      <w:r w:rsidRPr="00156B11">
        <w:rPr>
          <w:b/>
          <w:bCs/>
        </w:rPr>
        <w:t>modulation of gravitational-field intensity</w:t>
      </w:r>
      <w:r w:rsidRPr="00156B11">
        <w:t>, not a GR gravitational wave. Their analysis shows that what LIGO measured corresponds to this kind of field oscillation, not the tensorial waves predicted by GR.</w:t>
      </w:r>
    </w:p>
    <w:p w14:paraId="2D23C474" w14:textId="77777777" w:rsidR="00FA0FFD" w:rsidRPr="00156B11" w:rsidRDefault="00FA0FFD" w:rsidP="00FA0FFD">
      <w:r w:rsidRPr="00156B11">
        <w:rPr>
          <w:b/>
          <w:bCs/>
        </w:rPr>
        <w:t>Conclusion:</w:t>
      </w:r>
      <w:r w:rsidRPr="00156B11">
        <w:br/>
        <w:t>LIGO records variations in gravitational intensity, not gravitational radiation.</w:t>
      </w:r>
    </w:p>
    <w:p w14:paraId="50345767" w14:textId="77777777" w:rsidR="00FA0FFD" w:rsidRPr="00156B11" w:rsidRDefault="00FA0FFD" w:rsidP="00FA0FFD">
      <w:pPr>
        <w:rPr>
          <w:b/>
          <w:bCs/>
        </w:rPr>
      </w:pPr>
      <w:r w:rsidRPr="00156B11">
        <w:rPr>
          <w:b/>
          <w:bCs/>
        </w:rPr>
        <w:t>3. LIGO’s detections may be electromagnetic or mixed-type radiation</w:t>
      </w:r>
    </w:p>
    <w:p w14:paraId="0309EC47" w14:textId="77777777" w:rsidR="00FA0FFD" w:rsidRPr="00156B11" w:rsidRDefault="00FA0FFD" w:rsidP="00FA0FFD">
      <w:r w:rsidRPr="00156B11">
        <w:t xml:space="preserve">Froedge (2018) provides a detailed analysis showing that the signals LIGO observes could naturally arise from </w:t>
      </w:r>
      <w:r w:rsidRPr="00156B11">
        <w:rPr>
          <w:b/>
          <w:bCs/>
        </w:rPr>
        <w:t>electromagnetic radiation</w:t>
      </w:r>
      <w:r w:rsidRPr="00156B11">
        <w:t>, diffracted and delayed around Earth, or from mixed EM–gravitational processes. He emphasizes that LIGO’s interferometric design does not yet unambiguously distinguish gravitational from electromagnetic radiation at the measured strain levels.</w:t>
      </w:r>
    </w:p>
    <w:p w14:paraId="2EBA1BD0" w14:textId="77777777" w:rsidR="00FA0FFD" w:rsidRPr="00156B11" w:rsidRDefault="00FA0FFD" w:rsidP="00FA0FFD">
      <w:r w:rsidRPr="00156B11">
        <w:rPr>
          <w:b/>
          <w:bCs/>
        </w:rPr>
        <w:t>Conclusion:</w:t>
      </w:r>
      <w:r w:rsidRPr="00156B11">
        <w:br/>
        <w:t>LIGO detected propagating waves, but they may be electromagnetic rather than gravitational.</w:t>
      </w:r>
    </w:p>
    <w:p w14:paraId="34C9C100" w14:textId="77777777" w:rsidR="00FA0FFD" w:rsidRPr="00156B11" w:rsidRDefault="00FA0FFD" w:rsidP="00FA0FFD">
      <w:pPr>
        <w:rPr>
          <w:b/>
          <w:bCs/>
        </w:rPr>
      </w:pPr>
      <w:r w:rsidRPr="00156B11">
        <w:rPr>
          <w:b/>
          <w:bCs/>
        </w:rPr>
        <w:t>4. LIGO’s observations contradict GR’s own energy-localization requirements</w:t>
      </w:r>
    </w:p>
    <w:p w14:paraId="3AFDDD97" w14:textId="77777777" w:rsidR="00FA0FFD" w:rsidRPr="00156B11" w:rsidRDefault="00FA0FFD" w:rsidP="00FA0FFD">
      <w:r w:rsidRPr="00156B11">
        <w:t>Chakalov (2016) argues that the LIGO announcement (GW150914) contradicts fundamental principles of General Relativity, particularly the non-localizability of gravitational energy. He concludes that the recorded signal cannot be a GR gravitational wave, even though it is a genuine physical disturbance.</w:t>
      </w:r>
    </w:p>
    <w:p w14:paraId="382AB35C" w14:textId="77777777" w:rsidR="00FA0FFD" w:rsidRPr="00156B11" w:rsidRDefault="00FA0FFD" w:rsidP="00FA0FFD">
      <w:r w:rsidRPr="00156B11">
        <w:rPr>
          <w:b/>
          <w:bCs/>
        </w:rPr>
        <w:t>Conclusion:</w:t>
      </w:r>
      <w:r w:rsidRPr="00156B11">
        <w:br/>
        <w:t>LIGO measured a real signal, but it cannot be interpreted as a GR gravitational wave.</w:t>
      </w:r>
    </w:p>
    <w:p w14:paraId="592FB187" w14:textId="77777777" w:rsidR="00FA0FFD" w:rsidRPr="00156B11" w:rsidRDefault="00FA0FFD" w:rsidP="00FA0FFD">
      <w:pPr>
        <w:rPr>
          <w:b/>
          <w:bCs/>
        </w:rPr>
      </w:pPr>
      <w:r w:rsidRPr="00156B11">
        <w:rPr>
          <w:b/>
          <w:bCs/>
        </w:rPr>
        <w:t>Synthesis</w:t>
      </w:r>
    </w:p>
    <w:p w14:paraId="15BA7178" w14:textId="77777777" w:rsidR="00FA0FFD" w:rsidRPr="00156B11" w:rsidRDefault="00FA0FFD" w:rsidP="00FA0FFD">
      <w:r w:rsidRPr="00156B11">
        <w:t>Across the literature:</w:t>
      </w:r>
    </w:p>
    <w:p w14:paraId="2C9FD1E0" w14:textId="77777777" w:rsidR="00FA0FFD" w:rsidRPr="00156B11" w:rsidRDefault="00FA0FFD" w:rsidP="00FA0FFD">
      <w:pPr>
        <w:rPr>
          <w:b/>
          <w:bCs/>
        </w:rPr>
      </w:pPr>
      <w:r w:rsidRPr="00156B11">
        <w:rPr>
          <w:rFonts w:ascii="Segoe UI Symbol" w:hAnsi="Segoe UI Symbol" w:cs="Segoe UI Symbol"/>
          <w:b/>
          <w:bCs/>
        </w:rPr>
        <w:t>✔</w:t>
      </w:r>
      <w:r w:rsidRPr="00156B11">
        <w:rPr>
          <w:b/>
          <w:bCs/>
        </w:rPr>
        <w:t xml:space="preserve"> LIGO has recorded real wave-like signals.</w:t>
      </w:r>
    </w:p>
    <w:p w14:paraId="0A434A95" w14:textId="77777777" w:rsidR="00FA0FFD" w:rsidRPr="00156B11" w:rsidRDefault="00FA0FFD" w:rsidP="00FA0FFD">
      <w:pPr>
        <w:rPr>
          <w:b/>
          <w:bCs/>
        </w:rPr>
      </w:pPr>
      <w:r w:rsidRPr="00156B11">
        <w:rPr>
          <w:rFonts w:ascii="Segoe UI Symbol" w:hAnsi="Segoe UI Symbol" w:cs="Segoe UI Symbol"/>
          <w:b/>
          <w:bCs/>
        </w:rPr>
        <w:t>✘</w:t>
      </w:r>
      <w:r w:rsidRPr="00156B11">
        <w:rPr>
          <w:b/>
          <w:bCs/>
        </w:rPr>
        <w:t xml:space="preserve"> But these signals are </w:t>
      </w:r>
      <w:r w:rsidRPr="00156B11">
        <w:rPr>
          <w:b/>
          <w:bCs/>
          <w:i/>
          <w:iCs/>
        </w:rPr>
        <w:t>not</w:t>
      </w:r>
      <w:r w:rsidRPr="00156B11">
        <w:rPr>
          <w:b/>
          <w:bCs/>
        </w:rPr>
        <w:t xml:space="preserve"> the gravitational waves predicted by General Relativity.</w:t>
      </w:r>
    </w:p>
    <w:p w14:paraId="5290DF30" w14:textId="77777777" w:rsidR="00FA0FFD" w:rsidRPr="00156B11" w:rsidRDefault="00FA0FFD" w:rsidP="00FA0FFD">
      <w:pPr>
        <w:rPr>
          <w:b/>
          <w:bCs/>
        </w:rPr>
      </w:pPr>
      <w:r w:rsidRPr="00156B11">
        <w:rPr>
          <w:rFonts w:ascii="Segoe UI Symbol" w:hAnsi="Segoe UI Symbol" w:cs="Segoe UI Symbol"/>
          <w:b/>
          <w:bCs/>
        </w:rPr>
        <w:t>✔</w:t>
      </w:r>
      <w:r w:rsidRPr="00156B11">
        <w:rPr>
          <w:b/>
          <w:bCs/>
        </w:rPr>
        <w:t xml:space="preserve"> They are instead interpreted as:</w:t>
      </w:r>
    </w:p>
    <w:p w14:paraId="1ACF22F6" w14:textId="77777777" w:rsidR="00FA0FFD" w:rsidRPr="00156B11" w:rsidRDefault="00FA0FFD" w:rsidP="00FA0FFD">
      <w:pPr>
        <w:numPr>
          <w:ilvl w:val="0"/>
          <w:numId w:val="37"/>
        </w:numPr>
      </w:pPr>
      <w:r w:rsidRPr="00156B11">
        <w:lastRenderedPageBreak/>
        <w:t>quantum-vacuum waves (Guillén Gómez 2016),</w:t>
      </w:r>
    </w:p>
    <w:p w14:paraId="177CE7C6" w14:textId="77777777" w:rsidR="00FA0FFD" w:rsidRPr="00156B11" w:rsidRDefault="00FA0FFD" w:rsidP="00FA0FFD">
      <w:pPr>
        <w:numPr>
          <w:ilvl w:val="0"/>
          <w:numId w:val="37"/>
        </w:numPr>
      </w:pPr>
      <w:r w:rsidRPr="00156B11">
        <w:t>gravitational-field-intensity oscillations (Szostek et al. 2019),</w:t>
      </w:r>
    </w:p>
    <w:p w14:paraId="2DD45772" w14:textId="77777777" w:rsidR="00FA0FFD" w:rsidRPr="00156B11" w:rsidRDefault="00FA0FFD" w:rsidP="00FA0FFD">
      <w:pPr>
        <w:numPr>
          <w:ilvl w:val="0"/>
          <w:numId w:val="37"/>
        </w:numPr>
      </w:pPr>
      <w:r w:rsidRPr="00156B11">
        <w:t>electromagnetic or mixed radiation (Froedge 2018),</w:t>
      </w:r>
    </w:p>
    <w:p w14:paraId="462B72F3" w14:textId="77777777" w:rsidR="00FA0FFD" w:rsidRPr="00156B11" w:rsidRDefault="00FA0FFD" w:rsidP="00FA0FFD">
      <w:pPr>
        <w:numPr>
          <w:ilvl w:val="0"/>
          <w:numId w:val="37"/>
        </w:numPr>
      </w:pPr>
      <w:r w:rsidRPr="00156B11">
        <w:t>or non-GR wave phenomena incompatible with spacetime curvature (Chakalov 2016).</w:t>
      </w:r>
    </w:p>
    <w:p w14:paraId="0BE5B982" w14:textId="77777777" w:rsidR="00FA0FFD" w:rsidRPr="00156B11" w:rsidRDefault="00FA0FFD" w:rsidP="00FA0FFD">
      <w:r w:rsidRPr="00156B11">
        <w:t>Thus:</w:t>
      </w:r>
    </w:p>
    <w:p w14:paraId="070A72EB" w14:textId="77777777" w:rsidR="00FA0FFD" w:rsidRPr="00156B11" w:rsidRDefault="00FA0FFD" w:rsidP="00FA0FFD">
      <w:pPr>
        <w:rPr>
          <w:b/>
          <w:bCs/>
        </w:rPr>
      </w:pPr>
      <w:r w:rsidRPr="00156B11">
        <w:rPr>
          <w:b/>
          <w:bCs/>
        </w:rPr>
        <w:t>LIGO has detected wave signals associated with gravitational phenomena, but not gravitational waves in the GR sense.</w:t>
      </w:r>
    </w:p>
    <w:p w14:paraId="36E747CF" w14:textId="77777777" w:rsidR="00FA0FFD" w:rsidRDefault="00FA0FFD" w:rsidP="00FA0FFD">
      <w:r w:rsidRPr="00156B11">
        <w:t xml:space="preserve">If you’d like, I can also summarise how each model predicts the specific waveform shapes observed by </w:t>
      </w:r>
      <w:proofErr w:type="gramStart"/>
      <w:r w:rsidRPr="00156B11">
        <w:t>LIGO, or</w:t>
      </w:r>
      <w:proofErr w:type="gramEnd"/>
      <w:r w:rsidRPr="00156B11">
        <w:t xml:space="preserve"> outline why GR gravitational waves are argued not to exist in this literature.</w:t>
      </w:r>
    </w:p>
    <w:p w14:paraId="61BAB101" w14:textId="77777777" w:rsidR="00FA0FFD" w:rsidRPr="00E074CB" w:rsidRDefault="00FA0FFD" w:rsidP="00FA0FFD">
      <w:pPr>
        <w:pStyle w:val="Style1"/>
      </w:pPr>
      <w:bookmarkStart w:id="26" w:name="_Toc219386921"/>
      <w:r>
        <w:t xml:space="preserve">6.6 </w:t>
      </w:r>
      <w:r w:rsidRPr="00034EF0">
        <w:t xml:space="preserve">Question 6 Are </w:t>
      </w:r>
      <w:proofErr w:type="gramStart"/>
      <w:r w:rsidRPr="00034EF0">
        <w:t>there</w:t>
      </w:r>
      <w:proofErr w:type="gramEnd"/>
      <w:r w:rsidRPr="00034EF0">
        <w:t xml:space="preserve"> other methods to detect gravitational waves other than LIGO and laser interferometers?</w:t>
      </w:r>
      <w:bookmarkEnd w:id="26"/>
      <w:r w:rsidRPr="00034EF0">
        <w:t xml:space="preserve"> </w:t>
      </w:r>
    </w:p>
    <w:p w14:paraId="52256747" w14:textId="77777777" w:rsidR="00FA0FFD" w:rsidRPr="00034EF0" w:rsidRDefault="00FA0FFD" w:rsidP="00FA0FFD">
      <w:r w:rsidRPr="00034EF0">
        <w:t>Yes.</w:t>
      </w:r>
      <w:r w:rsidRPr="00034EF0">
        <w:br/>
        <w:t xml:space="preserve">The literature describes </w:t>
      </w:r>
      <w:r w:rsidRPr="00034EF0">
        <w:rPr>
          <w:b/>
          <w:bCs/>
        </w:rPr>
        <w:t>multiple independent methods</w:t>
      </w:r>
      <w:r w:rsidRPr="00034EF0">
        <w:t xml:space="preserve"> for detecting gravitational waves that do </w:t>
      </w:r>
      <w:r w:rsidRPr="00034EF0">
        <w:rPr>
          <w:i/>
          <w:iCs/>
        </w:rPr>
        <w:t>not</w:t>
      </w:r>
      <w:r w:rsidRPr="00034EF0">
        <w:t xml:space="preserve"> rely on LIGO-type laser interferometers. These approaches arise naturally once gravitational waves are understood—not as spacetime ripples—but as </w:t>
      </w:r>
      <w:r w:rsidRPr="00034EF0">
        <w:rPr>
          <w:b/>
          <w:bCs/>
        </w:rPr>
        <w:t>physical oscillations of the gravitational field or quantum vacuum</w:t>
      </w:r>
      <w:r w:rsidRPr="00034EF0">
        <w:t>.</w:t>
      </w:r>
    </w:p>
    <w:p w14:paraId="7FF7E88E" w14:textId="77777777" w:rsidR="00FA0FFD" w:rsidRPr="00034EF0" w:rsidRDefault="00FA0FFD" w:rsidP="00FA0FFD">
      <w:r w:rsidRPr="00034EF0">
        <w:t>Below is an academically organized summary of the alternative detection techniques presented in the literature.</w:t>
      </w:r>
    </w:p>
    <w:p w14:paraId="64A180A7" w14:textId="77777777" w:rsidR="00FA0FFD" w:rsidRPr="00034EF0" w:rsidRDefault="00FA0FFD" w:rsidP="00FA0FFD">
      <w:pPr>
        <w:rPr>
          <w:b/>
          <w:bCs/>
        </w:rPr>
      </w:pPr>
      <w:r w:rsidRPr="00034EF0">
        <w:rPr>
          <w:b/>
          <w:bCs/>
        </w:rPr>
        <w:t>1. High-resolution accelerometry (direct detection of field oscillations)</w:t>
      </w:r>
    </w:p>
    <w:p w14:paraId="22D16441" w14:textId="77777777" w:rsidR="00FA0FFD" w:rsidRPr="00034EF0" w:rsidRDefault="00FA0FFD" w:rsidP="00FA0FFD">
      <w:r w:rsidRPr="00034EF0">
        <w:t xml:space="preserve">Harney (2020) demonstrates that gravitational waves can be detected using a </w:t>
      </w:r>
      <w:r w:rsidRPr="00034EF0">
        <w:rPr>
          <w:b/>
          <w:bCs/>
        </w:rPr>
        <w:t>precision accelerometer</w:t>
      </w:r>
      <w:r w:rsidRPr="00034EF0">
        <w:t xml:space="preserve"> without any interferometry. His model predicts characteristic wave frequencies generated by Earth and Moon, and he shows that these appear as clear spectral peaks in long-duration accelerometer recordings, with correct lunar-phase modulation.</w:t>
      </w:r>
    </w:p>
    <w:p w14:paraId="55FFE66E" w14:textId="77777777" w:rsidR="00FA0FFD" w:rsidRPr="00034EF0" w:rsidRDefault="00FA0FFD" w:rsidP="00FA0FFD">
      <w:r w:rsidRPr="00034EF0">
        <w:rPr>
          <w:b/>
          <w:bCs/>
        </w:rPr>
        <w:t>Why this works:</w:t>
      </w:r>
      <w:r w:rsidRPr="00034EF0">
        <w:br/>
        <w:t>Gravitational waves in this framework are oscillations of the gravitational potential; accelerometers measure the resulting minute accelerations.</w:t>
      </w:r>
    </w:p>
    <w:p w14:paraId="5537FB7A" w14:textId="77777777" w:rsidR="00FA0FFD" w:rsidRPr="00034EF0" w:rsidRDefault="00FA0FFD" w:rsidP="00FA0FFD">
      <w:r w:rsidRPr="00034EF0">
        <w:rPr>
          <w:b/>
          <w:bCs/>
        </w:rPr>
        <w:t>This is a fully independent, experimentally confirmed detection method.</w:t>
      </w:r>
    </w:p>
    <w:p w14:paraId="5FB75847" w14:textId="77777777" w:rsidR="00FA0FFD" w:rsidRPr="00034EF0" w:rsidRDefault="00FA0FFD" w:rsidP="00FA0FFD">
      <w:pPr>
        <w:rPr>
          <w:b/>
          <w:bCs/>
        </w:rPr>
      </w:pPr>
      <w:r w:rsidRPr="00034EF0">
        <w:rPr>
          <w:b/>
          <w:bCs/>
        </w:rPr>
        <w:t>2. Gravitoelectromagnetic detectors (Maxwell-like gravitational radiation)</w:t>
      </w:r>
    </w:p>
    <w:p w14:paraId="17C27748" w14:textId="77777777" w:rsidR="00FA0FFD" w:rsidRPr="00034EF0" w:rsidRDefault="00FA0FFD" w:rsidP="00FA0FFD">
      <w:r w:rsidRPr="00034EF0">
        <w:t xml:space="preserve">In Pavlović’s gravitoelectromagnetic theory (2016), gravitational waves obey Maxwell-type equations. This implies that </w:t>
      </w:r>
      <w:r w:rsidRPr="00034EF0">
        <w:rPr>
          <w:b/>
          <w:bCs/>
        </w:rPr>
        <w:t>antenna-like detectors</w:t>
      </w:r>
      <w:r w:rsidRPr="00034EF0">
        <w:t>, analogous to those used for electromagnetic waves, can detect gravitational radiation.</w:t>
      </w:r>
    </w:p>
    <w:p w14:paraId="1A66D6AE" w14:textId="77777777" w:rsidR="00FA0FFD" w:rsidRPr="00034EF0" w:rsidRDefault="00FA0FFD" w:rsidP="00FA0FFD">
      <w:r w:rsidRPr="00034EF0">
        <w:t>Possible detectors include:</w:t>
      </w:r>
    </w:p>
    <w:p w14:paraId="76469CA9" w14:textId="77777777" w:rsidR="00FA0FFD" w:rsidRPr="00034EF0" w:rsidRDefault="00FA0FFD" w:rsidP="00FA0FFD">
      <w:pPr>
        <w:numPr>
          <w:ilvl w:val="0"/>
          <w:numId w:val="38"/>
        </w:numPr>
      </w:pPr>
      <w:r w:rsidRPr="00034EF0">
        <w:rPr>
          <w:b/>
          <w:bCs/>
        </w:rPr>
        <w:t>Gravitational field coils</w:t>
      </w:r>
      <w:r w:rsidRPr="00034EF0">
        <w:t xml:space="preserve"> (analogous to induction coils)</w:t>
      </w:r>
    </w:p>
    <w:p w14:paraId="0DF4FC3A" w14:textId="77777777" w:rsidR="00FA0FFD" w:rsidRPr="00034EF0" w:rsidRDefault="00FA0FFD" w:rsidP="00FA0FFD">
      <w:pPr>
        <w:numPr>
          <w:ilvl w:val="0"/>
          <w:numId w:val="38"/>
        </w:numPr>
      </w:pPr>
      <w:r w:rsidRPr="00034EF0">
        <w:rPr>
          <w:b/>
          <w:bCs/>
        </w:rPr>
        <w:t>Resonant gravity antennas</w:t>
      </w:r>
    </w:p>
    <w:p w14:paraId="0A7D083A" w14:textId="77777777" w:rsidR="00FA0FFD" w:rsidRPr="00034EF0" w:rsidRDefault="00FA0FFD" w:rsidP="00FA0FFD">
      <w:pPr>
        <w:numPr>
          <w:ilvl w:val="0"/>
          <w:numId w:val="38"/>
        </w:numPr>
      </w:pPr>
      <w:r w:rsidRPr="00034EF0">
        <w:rPr>
          <w:b/>
          <w:bCs/>
        </w:rPr>
        <w:t>Capacitive or inductive sensors</w:t>
      </w:r>
      <w:r w:rsidRPr="00034EF0">
        <w:t xml:space="preserve"> sensitive to gravitoelectric/gravitomagnetic oscillations</w:t>
      </w:r>
    </w:p>
    <w:p w14:paraId="79B153A9" w14:textId="77777777" w:rsidR="00FA0FFD" w:rsidRPr="00034EF0" w:rsidRDefault="00FA0FFD" w:rsidP="00FA0FFD">
      <w:r w:rsidRPr="00034EF0">
        <w:rPr>
          <w:b/>
          <w:bCs/>
        </w:rPr>
        <w:lastRenderedPageBreak/>
        <w:t>Why this works:</w:t>
      </w:r>
      <w:r w:rsidRPr="00034EF0">
        <w:br/>
        <w:t>If gravity follows Maxwell-like dynamics, then any device sensitive to time-varying fields can detect gravitational waves.</w:t>
      </w:r>
    </w:p>
    <w:p w14:paraId="22E37C3F" w14:textId="77777777" w:rsidR="00FA0FFD" w:rsidRPr="00034EF0" w:rsidRDefault="00FA0FFD" w:rsidP="00FA0FFD">
      <w:pPr>
        <w:rPr>
          <w:b/>
          <w:bCs/>
        </w:rPr>
      </w:pPr>
      <w:r w:rsidRPr="00034EF0">
        <w:rPr>
          <w:b/>
          <w:bCs/>
        </w:rPr>
        <w:t>3. Classical mechanical systems responding to intensity modulation</w:t>
      </w:r>
    </w:p>
    <w:p w14:paraId="0C224E7D" w14:textId="77777777" w:rsidR="00FA0FFD" w:rsidRPr="00034EF0" w:rsidRDefault="00FA0FFD" w:rsidP="00FA0FFD">
      <w:r w:rsidRPr="00034EF0">
        <w:t xml:space="preserve">Szostek, Góralski, and Szostek (2019) show that gravitational waves are </w:t>
      </w:r>
      <w:r w:rsidRPr="00034EF0">
        <w:rPr>
          <w:b/>
          <w:bCs/>
        </w:rPr>
        <w:t>cyclical modulations of gravitational-field intensity</w:t>
      </w:r>
      <w:r w:rsidRPr="00034EF0">
        <w:t>, not metric distortions. As a result, simple mechanical systems respond measurably, including:</w:t>
      </w:r>
    </w:p>
    <w:p w14:paraId="1B29BD78" w14:textId="77777777" w:rsidR="00FA0FFD" w:rsidRPr="00034EF0" w:rsidRDefault="00FA0FFD" w:rsidP="00FA0FFD">
      <w:pPr>
        <w:numPr>
          <w:ilvl w:val="0"/>
          <w:numId w:val="39"/>
        </w:numPr>
      </w:pPr>
      <w:r w:rsidRPr="00034EF0">
        <w:rPr>
          <w:b/>
          <w:bCs/>
        </w:rPr>
        <w:t>Pendulum arrays</w:t>
      </w:r>
    </w:p>
    <w:p w14:paraId="2B5676F1" w14:textId="77777777" w:rsidR="00FA0FFD" w:rsidRPr="00034EF0" w:rsidRDefault="00FA0FFD" w:rsidP="00FA0FFD">
      <w:pPr>
        <w:numPr>
          <w:ilvl w:val="0"/>
          <w:numId w:val="39"/>
        </w:numPr>
      </w:pPr>
      <w:r w:rsidRPr="00034EF0">
        <w:rPr>
          <w:b/>
          <w:bCs/>
        </w:rPr>
        <w:t>Torsion balances</w:t>
      </w:r>
    </w:p>
    <w:p w14:paraId="2F1DC6EE" w14:textId="77777777" w:rsidR="00FA0FFD" w:rsidRPr="00034EF0" w:rsidRDefault="00FA0FFD" w:rsidP="00FA0FFD">
      <w:pPr>
        <w:numPr>
          <w:ilvl w:val="0"/>
          <w:numId w:val="39"/>
        </w:numPr>
      </w:pPr>
      <w:r w:rsidRPr="00034EF0">
        <w:rPr>
          <w:b/>
          <w:bCs/>
        </w:rPr>
        <w:t>Mass–spring resonators</w:t>
      </w:r>
    </w:p>
    <w:p w14:paraId="246567F6" w14:textId="77777777" w:rsidR="00FA0FFD" w:rsidRPr="00034EF0" w:rsidRDefault="00FA0FFD" w:rsidP="00FA0FFD">
      <w:r w:rsidRPr="00034EF0">
        <w:rPr>
          <w:b/>
          <w:bCs/>
        </w:rPr>
        <w:t>Why this works:</w:t>
      </w:r>
      <w:r w:rsidRPr="00034EF0">
        <w:br/>
        <w:t>The waves manifest as small, periodic changes in gravitational force rather than distortions of length.</w:t>
      </w:r>
    </w:p>
    <w:p w14:paraId="6152177D" w14:textId="77777777" w:rsidR="00FA0FFD" w:rsidRPr="00034EF0" w:rsidRDefault="00FA0FFD" w:rsidP="00FA0FFD">
      <w:pPr>
        <w:rPr>
          <w:b/>
          <w:bCs/>
        </w:rPr>
      </w:pPr>
      <w:r w:rsidRPr="00034EF0">
        <w:rPr>
          <w:b/>
          <w:bCs/>
        </w:rPr>
        <w:t>4. Electromagnetic diagnostics of gravitational–vacuum waves</w:t>
      </w:r>
    </w:p>
    <w:p w14:paraId="255C0F6C" w14:textId="77777777" w:rsidR="00FA0FFD" w:rsidRPr="00034EF0" w:rsidRDefault="00FA0FFD" w:rsidP="00FA0FFD">
      <w:r w:rsidRPr="00034EF0">
        <w:t xml:space="preserve">Froedge (2018) argues that wave signals associated with gravitational events may be </w:t>
      </w:r>
      <w:r w:rsidRPr="00034EF0">
        <w:rPr>
          <w:b/>
          <w:bCs/>
        </w:rPr>
        <w:t>electromagnetic or mixed EM–gravitational</w:t>
      </w:r>
      <w:r w:rsidRPr="00034EF0">
        <w:t xml:space="preserve"> in character. Therefore, standard electromagnetic instrumentation—radio detectors, magnetic sensors, and shielded EM antennas—can register such waves under appropriate conditions.</w:t>
      </w:r>
    </w:p>
    <w:p w14:paraId="57C8631F" w14:textId="77777777" w:rsidR="00FA0FFD" w:rsidRPr="00034EF0" w:rsidRDefault="00FA0FFD" w:rsidP="00FA0FFD">
      <w:r w:rsidRPr="00034EF0">
        <w:rPr>
          <w:b/>
          <w:bCs/>
        </w:rPr>
        <w:t>Why this works:</w:t>
      </w:r>
      <w:r w:rsidRPr="00034EF0">
        <w:br/>
        <w:t>If gravitational phenomena generate electromagnetic radiation (as several theories predict), then EM sensors can detect the associated waves.</w:t>
      </w:r>
    </w:p>
    <w:p w14:paraId="3D8F81A4" w14:textId="77777777" w:rsidR="00FA0FFD" w:rsidRPr="00034EF0" w:rsidRDefault="00FA0FFD" w:rsidP="00FA0FFD">
      <w:pPr>
        <w:rPr>
          <w:b/>
          <w:bCs/>
        </w:rPr>
      </w:pPr>
      <w:r w:rsidRPr="00034EF0">
        <w:rPr>
          <w:b/>
          <w:bCs/>
        </w:rPr>
        <w:t>5. Direct detection of quantum-vacuum waves</w:t>
      </w:r>
    </w:p>
    <w:p w14:paraId="456D4133" w14:textId="77777777" w:rsidR="00FA0FFD" w:rsidRPr="00034EF0" w:rsidRDefault="00FA0FFD" w:rsidP="00FA0FFD">
      <w:r w:rsidRPr="00034EF0">
        <w:t xml:space="preserve">Guillén Gómez (2016) argues that gravitational-wave announcements correspond to </w:t>
      </w:r>
      <w:r w:rsidRPr="00034EF0">
        <w:rPr>
          <w:b/>
          <w:bCs/>
        </w:rPr>
        <w:t>waves of the quantum vacuum</w:t>
      </w:r>
      <w:r w:rsidRPr="00034EF0">
        <w:t>, not spacetime curvature. Under this model, instruments sensitive to vacuum fluctuations or small variations in inertial frames—such as:</w:t>
      </w:r>
    </w:p>
    <w:p w14:paraId="0B6B2C74" w14:textId="77777777" w:rsidR="00FA0FFD" w:rsidRPr="00034EF0" w:rsidRDefault="00FA0FFD" w:rsidP="00FA0FFD">
      <w:pPr>
        <w:numPr>
          <w:ilvl w:val="0"/>
          <w:numId w:val="40"/>
        </w:numPr>
      </w:pPr>
      <w:r w:rsidRPr="00034EF0">
        <w:rPr>
          <w:b/>
          <w:bCs/>
        </w:rPr>
        <w:t>precision inertial sensors</w:t>
      </w:r>
      <w:r w:rsidRPr="00034EF0">
        <w:t>,</w:t>
      </w:r>
    </w:p>
    <w:p w14:paraId="29951956" w14:textId="77777777" w:rsidR="00FA0FFD" w:rsidRPr="00034EF0" w:rsidRDefault="00FA0FFD" w:rsidP="00FA0FFD">
      <w:pPr>
        <w:numPr>
          <w:ilvl w:val="0"/>
          <w:numId w:val="40"/>
        </w:numPr>
      </w:pPr>
      <w:r w:rsidRPr="00034EF0">
        <w:rPr>
          <w:b/>
          <w:bCs/>
        </w:rPr>
        <w:t>atomic interferometers</w:t>
      </w:r>
      <w:r w:rsidRPr="00034EF0">
        <w:t>,</w:t>
      </w:r>
    </w:p>
    <w:p w14:paraId="57F9BEC0" w14:textId="77777777" w:rsidR="00FA0FFD" w:rsidRPr="00034EF0" w:rsidRDefault="00FA0FFD" w:rsidP="00FA0FFD">
      <w:pPr>
        <w:numPr>
          <w:ilvl w:val="0"/>
          <w:numId w:val="40"/>
        </w:numPr>
      </w:pPr>
      <w:r w:rsidRPr="00034EF0">
        <w:rPr>
          <w:b/>
          <w:bCs/>
        </w:rPr>
        <w:t>quantum phase detectors</w:t>
      </w:r>
      <w:r w:rsidRPr="00034EF0">
        <w:t>,</w:t>
      </w:r>
    </w:p>
    <w:p w14:paraId="2317A2AB" w14:textId="77777777" w:rsidR="00FA0FFD" w:rsidRPr="00034EF0" w:rsidRDefault="00FA0FFD" w:rsidP="00FA0FFD">
      <w:r w:rsidRPr="00034EF0">
        <w:t>can detect vacuum-wave disturbances.</w:t>
      </w:r>
    </w:p>
    <w:p w14:paraId="5CC84892" w14:textId="77777777" w:rsidR="00FA0FFD" w:rsidRPr="00034EF0" w:rsidRDefault="00FA0FFD" w:rsidP="00FA0FFD">
      <w:r w:rsidRPr="00034EF0">
        <w:rPr>
          <w:b/>
          <w:bCs/>
        </w:rPr>
        <w:t>Why this works:</w:t>
      </w:r>
      <w:r w:rsidRPr="00034EF0">
        <w:br/>
        <w:t>Vacuum waves alter inertial structure, producing measurable changes in phase, inertia, or force.</w:t>
      </w:r>
    </w:p>
    <w:p w14:paraId="0A94E9B3" w14:textId="77777777" w:rsidR="00FA0FFD" w:rsidRPr="00034EF0" w:rsidRDefault="00FA0FFD" w:rsidP="00FA0FFD">
      <w:pPr>
        <w:rPr>
          <w:b/>
          <w:bCs/>
        </w:rPr>
      </w:pPr>
      <w:r w:rsidRPr="00034EF0">
        <w:rPr>
          <w:b/>
          <w:bCs/>
        </w:rPr>
        <w:t>6. Frequency-analysis methods in natural or astrophysical systems</w:t>
      </w:r>
    </w:p>
    <w:p w14:paraId="0DD637A5" w14:textId="77777777" w:rsidR="00FA0FFD" w:rsidRPr="00034EF0" w:rsidRDefault="00FA0FFD" w:rsidP="00FA0FFD">
      <w:r w:rsidRPr="00034EF0">
        <w:t xml:space="preserve">Some theories imply that astrophysical systems act as </w:t>
      </w:r>
      <w:r w:rsidRPr="00034EF0">
        <w:rPr>
          <w:b/>
          <w:bCs/>
        </w:rPr>
        <w:t>natural detectors</w:t>
      </w:r>
      <w:r w:rsidRPr="00034EF0">
        <w:t>, since gravitational waves can modulate:</w:t>
      </w:r>
    </w:p>
    <w:p w14:paraId="6E217095" w14:textId="77777777" w:rsidR="00FA0FFD" w:rsidRPr="00034EF0" w:rsidRDefault="00FA0FFD" w:rsidP="00FA0FFD">
      <w:pPr>
        <w:numPr>
          <w:ilvl w:val="0"/>
          <w:numId w:val="41"/>
        </w:numPr>
      </w:pPr>
      <w:r w:rsidRPr="00034EF0">
        <w:t>orbital timing,</w:t>
      </w:r>
    </w:p>
    <w:p w14:paraId="13E8F473" w14:textId="77777777" w:rsidR="00FA0FFD" w:rsidRPr="00034EF0" w:rsidRDefault="00FA0FFD" w:rsidP="00FA0FFD">
      <w:pPr>
        <w:numPr>
          <w:ilvl w:val="0"/>
          <w:numId w:val="41"/>
        </w:numPr>
      </w:pPr>
      <w:r w:rsidRPr="00034EF0">
        <w:t>resonance frequencies,</w:t>
      </w:r>
    </w:p>
    <w:p w14:paraId="6AF69E0A" w14:textId="77777777" w:rsidR="00FA0FFD" w:rsidRPr="00034EF0" w:rsidRDefault="00FA0FFD" w:rsidP="00FA0FFD">
      <w:pPr>
        <w:numPr>
          <w:ilvl w:val="0"/>
          <w:numId w:val="41"/>
        </w:numPr>
      </w:pPr>
      <w:r w:rsidRPr="00034EF0">
        <w:lastRenderedPageBreak/>
        <w:t>and rotational modes of large bodies.</w:t>
      </w:r>
    </w:p>
    <w:p w14:paraId="1219E3AA" w14:textId="77777777" w:rsidR="00FA0FFD" w:rsidRPr="00034EF0" w:rsidRDefault="00FA0FFD" w:rsidP="00FA0FFD">
      <w:r w:rsidRPr="00034EF0">
        <w:t>Harney’s dual-wave model predicts that such natural signatures are measurable both terrestrially and astronomically.</w:t>
      </w:r>
    </w:p>
    <w:p w14:paraId="063FB851" w14:textId="77777777" w:rsidR="00FA0FFD" w:rsidRPr="00034EF0" w:rsidRDefault="00FA0FFD" w:rsidP="00FA0FFD">
      <w:pPr>
        <w:rPr>
          <w:b/>
          <w:bCs/>
        </w:rPr>
      </w:pPr>
      <w:r w:rsidRPr="00034EF0">
        <w:rPr>
          <w:b/>
          <w:bCs/>
        </w:rPr>
        <w:t>Synthesis</w:t>
      </w:r>
    </w:p>
    <w:p w14:paraId="558EC0CF" w14:textId="77777777" w:rsidR="00FA0FFD" w:rsidRPr="00034EF0" w:rsidRDefault="00FA0FFD" w:rsidP="00FA0FFD">
      <w:pPr>
        <w:rPr>
          <w:b/>
          <w:bCs/>
        </w:rPr>
      </w:pPr>
      <w:r w:rsidRPr="00034EF0">
        <w:rPr>
          <w:b/>
          <w:bCs/>
        </w:rPr>
        <w:t>Yes—multiple detection methods exist beyond LIGO, including:</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39"/>
        <w:gridCol w:w="2116"/>
        <w:gridCol w:w="3161"/>
      </w:tblGrid>
      <w:tr w:rsidR="00FA0FFD" w:rsidRPr="00034EF0" w14:paraId="0AB91B7B" w14:textId="77777777" w:rsidTr="001F0F26">
        <w:trPr>
          <w:tblHeader/>
          <w:tblCellSpacing w:w="15" w:type="dxa"/>
        </w:trPr>
        <w:tc>
          <w:tcPr>
            <w:tcW w:w="0" w:type="auto"/>
            <w:vAlign w:val="center"/>
            <w:hideMark/>
          </w:tcPr>
          <w:p w14:paraId="6087A6AE" w14:textId="77777777" w:rsidR="00FA0FFD" w:rsidRPr="00034EF0" w:rsidRDefault="00FA0FFD" w:rsidP="001F0F26">
            <w:pPr>
              <w:rPr>
                <w:b/>
                <w:bCs/>
              </w:rPr>
            </w:pPr>
            <w:r w:rsidRPr="00034EF0">
              <w:rPr>
                <w:b/>
                <w:bCs/>
              </w:rPr>
              <w:t>Method</w:t>
            </w:r>
          </w:p>
        </w:tc>
        <w:tc>
          <w:tcPr>
            <w:tcW w:w="0" w:type="auto"/>
            <w:vAlign w:val="center"/>
            <w:hideMark/>
          </w:tcPr>
          <w:p w14:paraId="4F12471D" w14:textId="77777777" w:rsidR="00FA0FFD" w:rsidRPr="00034EF0" w:rsidRDefault="00FA0FFD" w:rsidP="001F0F26">
            <w:pPr>
              <w:rPr>
                <w:b/>
                <w:bCs/>
              </w:rPr>
            </w:pPr>
            <w:r w:rsidRPr="00034EF0">
              <w:rPr>
                <w:b/>
                <w:bCs/>
              </w:rPr>
              <w:t>Supported by literature</w:t>
            </w:r>
          </w:p>
        </w:tc>
        <w:tc>
          <w:tcPr>
            <w:tcW w:w="0" w:type="auto"/>
            <w:vAlign w:val="center"/>
            <w:hideMark/>
          </w:tcPr>
          <w:p w14:paraId="0B3EFE94" w14:textId="77777777" w:rsidR="00FA0FFD" w:rsidRPr="00034EF0" w:rsidRDefault="00FA0FFD" w:rsidP="001F0F26">
            <w:pPr>
              <w:rPr>
                <w:b/>
                <w:bCs/>
              </w:rPr>
            </w:pPr>
            <w:r w:rsidRPr="00034EF0">
              <w:rPr>
                <w:b/>
                <w:bCs/>
              </w:rPr>
              <w:t>What it measures</w:t>
            </w:r>
          </w:p>
        </w:tc>
      </w:tr>
      <w:tr w:rsidR="00FA0FFD" w:rsidRPr="00034EF0" w14:paraId="26633562" w14:textId="77777777" w:rsidTr="001F0F26">
        <w:trPr>
          <w:tblCellSpacing w:w="15" w:type="dxa"/>
        </w:trPr>
        <w:tc>
          <w:tcPr>
            <w:tcW w:w="0" w:type="auto"/>
            <w:vAlign w:val="center"/>
            <w:hideMark/>
          </w:tcPr>
          <w:p w14:paraId="7A5FFB7F" w14:textId="77777777" w:rsidR="00FA0FFD" w:rsidRPr="00034EF0" w:rsidRDefault="00FA0FFD" w:rsidP="001F0F26">
            <w:r w:rsidRPr="00034EF0">
              <w:rPr>
                <w:b/>
                <w:bCs/>
              </w:rPr>
              <w:t>High-resolution accelerometers</w:t>
            </w:r>
          </w:p>
        </w:tc>
        <w:tc>
          <w:tcPr>
            <w:tcW w:w="0" w:type="auto"/>
            <w:vAlign w:val="center"/>
            <w:hideMark/>
          </w:tcPr>
          <w:p w14:paraId="4F4031B8" w14:textId="77777777" w:rsidR="00FA0FFD" w:rsidRPr="00034EF0" w:rsidRDefault="00FA0FFD" w:rsidP="001F0F26">
            <w:r w:rsidRPr="00034EF0">
              <w:t>Harney (2020)</w:t>
            </w:r>
          </w:p>
        </w:tc>
        <w:tc>
          <w:tcPr>
            <w:tcW w:w="0" w:type="auto"/>
            <w:vAlign w:val="center"/>
            <w:hideMark/>
          </w:tcPr>
          <w:p w14:paraId="6CC03FF9" w14:textId="77777777" w:rsidR="00FA0FFD" w:rsidRPr="00034EF0" w:rsidRDefault="00FA0FFD" w:rsidP="001F0F26">
            <w:r w:rsidRPr="00034EF0">
              <w:t>Oscillatory gravitational acceleration</w:t>
            </w:r>
          </w:p>
        </w:tc>
      </w:tr>
      <w:tr w:rsidR="00FA0FFD" w:rsidRPr="00034EF0" w14:paraId="21C674A4" w14:textId="77777777" w:rsidTr="001F0F26">
        <w:trPr>
          <w:tblCellSpacing w:w="15" w:type="dxa"/>
        </w:trPr>
        <w:tc>
          <w:tcPr>
            <w:tcW w:w="0" w:type="auto"/>
            <w:vAlign w:val="center"/>
            <w:hideMark/>
          </w:tcPr>
          <w:p w14:paraId="4703C93E" w14:textId="77777777" w:rsidR="00FA0FFD" w:rsidRPr="00034EF0" w:rsidRDefault="00FA0FFD" w:rsidP="001F0F26">
            <w:r w:rsidRPr="00034EF0">
              <w:rPr>
                <w:b/>
                <w:bCs/>
              </w:rPr>
              <w:t>Gravitoelectromagnetic sensors</w:t>
            </w:r>
          </w:p>
        </w:tc>
        <w:tc>
          <w:tcPr>
            <w:tcW w:w="0" w:type="auto"/>
            <w:vAlign w:val="center"/>
            <w:hideMark/>
          </w:tcPr>
          <w:p w14:paraId="774C24CA" w14:textId="77777777" w:rsidR="00FA0FFD" w:rsidRPr="00034EF0" w:rsidRDefault="00FA0FFD" w:rsidP="001F0F26">
            <w:r w:rsidRPr="00034EF0">
              <w:t>Pavlović (2016)</w:t>
            </w:r>
          </w:p>
        </w:tc>
        <w:tc>
          <w:tcPr>
            <w:tcW w:w="0" w:type="auto"/>
            <w:vAlign w:val="center"/>
            <w:hideMark/>
          </w:tcPr>
          <w:p w14:paraId="3F2C4E59" w14:textId="77777777" w:rsidR="00FA0FFD" w:rsidRPr="00034EF0" w:rsidRDefault="00FA0FFD" w:rsidP="001F0F26">
            <w:r w:rsidRPr="00034EF0">
              <w:t>Maxwell-like gravitational radiation</w:t>
            </w:r>
          </w:p>
        </w:tc>
      </w:tr>
      <w:tr w:rsidR="00FA0FFD" w:rsidRPr="00034EF0" w14:paraId="7FDEB045" w14:textId="77777777" w:rsidTr="001F0F26">
        <w:trPr>
          <w:tblCellSpacing w:w="15" w:type="dxa"/>
        </w:trPr>
        <w:tc>
          <w:tcPr>
            <w:tcW w:w="0" w:type="auto"/>
            <w:vAlign w:val="center"/>
            <w:hideMark/>
          </w:tcPr>
          <w:p w14:paraId="557575EB" w14:textId="77777777" w:rsidR="00FA0FFD" w:rsidRPr="00034EF0" w:rsidRDefault="00FA0FFD" w:rsidP="001F0F26">
            <w:r w:rsidRPr="00034EF0">
              <w:rPr>
                <w:b/>
                <w:bCs/>
              </w:rPr>
              <w:t>Mechanical resonators / torsion devices</w:t>
            </w:r>
          </w:p>
        </w:tc>
        <w:tc>
          <w:tcPr>
            <w:tcW w:w="0" w:type="auto"/>
            <w:vAlign w:val="center"/>
            <w:hideMark/>
          </w:tcPr>
          <w:p w14:paraId="16399702" w14:textId="77777777" w:rsidR="00FA0FFD" w:rsidRPr="00034EF0" w:rsidRDefault="00FA0FFD" w:rsidP="001F0F26">
            <w:r w:rsidRPr="00034EF0">
              <w:t>Szostek et al. (2019)</w:t>
            </w:r>
          </w:p>
        </w:tc>
        <w:tc>
          <w:tcPr>
            <w:tcW w:w="0" w:type="auto"/>
            <w:vAlign w:val="center"/>
            <w:hideMark/>
          </w:tcPr>
          <w:p w14:paraId="3A62EB03" w14:textId="77777777" w:rsidR="00FA0FFD" w:rsidRPr="00034EF0" w:rsidRDefault="00FA0FFD" w:rsidP="001F0F26">
            <w:r w:rsidRPr="00034EF0">
              <w:t>Field-intensity modulations</w:t>
            </w:r>
          </w:p>
        </w:tc>
      </w:tr>
      <w:tr w:rsidR="00FA0FFD" w:rsidRPr="00034EF0" w14:paraId="617C3967" w14:textId="77777777" w:rsidTr="001F0F26">
        <w:trPr>
          <w:tblCellSpacing w:w="15" w:type="dxa"/>
        </w:trPr>
        <w:tc>
          <w:tcPr>
            <w:tcW w:w="0" w:type="auto"/>
            <w:vAlign w:val="center"/>
            <w:hideMark/>
          </w:tcPr>
          <w:p w14:paraId="1D1D53A2" w14:textId="77777777" w:rsidR="00FA0FFD" w:rsidRPr="00034EF0" w:rsidRDefault="00FA0FFD" w:rsidP="001F0F26">
            <w:r w:rsidRPr="00034EF0">
              <w:rPr>
                <w:b/>
                <w:bCs/>
              </w:rPr>
              <w:t>EM antennas / magnetic probes</w:t>
            </w:r>
          </w:p>
        </w:tc>
        <w:tc>
          <w:tcPr>
            <w:tcW w:w="0" w:type="auto"/>
            <w:vAlign w:val="center"/>
            <w:hideMark/>
          </w:tcPr>
          <w:p w14:paraId="091E3E67" w14:textId="77777777" w:rsidR="00FA0FFD" w:rsidRPr="00034EF0" w:rsidRDefault="00FA0FFD" w:rsidP="001F0F26">
            <w:r w:rsidRPr="00034EF0">
              <w:t>Froedge (2018)</w:t>
            </w:r>
          </w:p>
        </w:tc>
        <w:tc>
          <w:tcPr>
            <w:tcW w:w="0" w:type="auto"/>
            <w:vAlign w:val="center"/>
            <w:hideMark/>
          </w:tcPr>
          <w:p w14:paraId="684CB302" w14:textId="77777777" w:rsidR="00FA0FFD" w:rsidRPr="00034EF0" w:rsidRDefault="00FA0FFD" w:rsidP="001F0F26">
            <w:r w:rsidRPr="00034EF0">
              <w:t>Mixed EM–gravitational waves</w:t>
            </w:r>
          </w:p>
        </w:tc>
      </w:tr>
      <w:tr w:rsidR="00FA0FFD" w:rsidRPr="00034EF0" w14:paraId="56F2A553" w14:textId="77777777" w:rsidTr="001F0F26">
        <w:trPr>
          <w:tblCellSpacing w:w="15" w:type="dxa"/>
        </w:trPr>
        <w:tc>
          <w:tcPr>
            <w:tcW w:w="0" w:type="auto"/>
            <w:vAlign w:val="center"/>
            <w:hideMark/>
          </w:tcPr>
          <w:p w14:paraId="75B310E9" w14:textId="77777777" w:rsidR="00FA0FFD" w:rsidRPr="00034EF0" w:rsidRDefault="00FA0FFD" w:rsidP="001F0F26">
            <w:r w:rsidRPr="00034EF0">
              <w:rPr>
                <w:b/>
                <w:bCs/>
              </w:rPr>
              <w:t>Quantum/vacuum-sensitive detectors</w:t>
            </w:r>
          </w:p>
        </w:tc>
        <w:tc>
          <w:tcPr>
            <w:tcW w:w="0" w:type="auto"/>
            <w:vAlign w:val="center"/>
            <w:hideMark/>
          </w:tcPr>
          <w:p w14:paraId="719CBB72" w14:textId="77777777" w:rsidR="00FA0FFD" w:rsidRPr="00034EF0" w:rsidRDefault="00FA0FFD" w:rsidP="001F0F26">
            <w:r w:rsidRPr="00034EF0">
              <w:t>Guillén Gómez (2016)</w:t>
            </w:r>
          </w:p>
        </w:tc>
        <w:tc>
          <w:tcPr>
            <w:tcW w:w="0" w:type="auto"/>
            <w:vAlign w:val="center"/>
            <w:hideMark/>
          </w:tcPr>
          <w:p w14:paraId="24CFE78C" w14:textId="77777777" w:rsidR="00FA0FFD" w:rsidRPr="00034EF0" w:rsidRDefault="00FA0FFD" w:rsidP="001F0F26">
            <w:r w:rsidRPr="00034EF0">
              <w:t>Quantum-vacuum wave disturbances</w:t>
            </w:r>
          </w:p>
        </w:tc>
      </w:tr>
    </w:tbl>
    <w:p w14:paraId="35BD3539" w14:textId="77777777" w:rsidR="00FA0FFD" w:rsidRPr="00034EF0" w:rsidRDefault="00FA0FFD" w:rsidP="00FA0FFD">
      <w:pPr>
        <w:rPr>
          <w:b/>
          <w:bCs/>
        </w:rPr>
      </w:pPr>
      <w:r w:rsidRPr="00034EF0">
        <w:rPr>
          <w:b/>
          <w:bCs/>
        </w:rPr>
        <w:t>Conclusion</w:t>
      </w:r>
    </w:p>
    <w:p w14:paraId="36AF9DE7" w14:textId="77777777" w:rsidR="00FA0FFD" w:rsidRPr="00034EF0" w:rsidRDefault="00FA0FFD" w:rsidP="00FA0FFD">
      <w:pPr>
        <w:rPr>
          <w:b/>
          <w:bCs/>
        </w:rPr>
      </w:pPr>
      <w:r w:rsidRPr="00034EF0">
        <w:rPr>
          <w:b/>
          <w:bCs/>
        </w:rPr>
        <w:t>Gravitational waves can be detected by a broad range of physical instruments—accelerometers, mechanical resonators, gravitoelectromagnetic antennas, electromagnetic sensors, and quantum devices—not just laser interferometers.</w:t>
      </w:r>
    </w:p>
    <w:p w14:paraId="0A498ABA" w14:textId="77777777" w:rsidR="00FA0FFD" w:rsidRPr="00034EF0" w:rsidRDefault="00FA0FFD" w:rsidP="00FA0FFD">
      <w:r w:rsidRPr="00034EF0">
        <w:t xml:space="preserve">If you’d like, I can explain which methods are most </w:t>
      </w:r>
      <w:proofErr w:type="gramStart"/>
      <w:r w:rsidRPr="00034EF0">
        <w:t>sensitive, or</w:t>
      </w:r>
      <w:proofErr w:type="gramEnd"/>
      <w:r w:rsidRPr="00034EF0">
        <w:t xml:space="preserve"> outline how one could design a new detector based on these theoretical models.</w:t>
      </w:r>
    </w:p>
    <w:p w14:paraId="425BB2F3" w14:textId="77777777" w:rsidR="00FA0FFD" w:rsidRPr="00E074CB" w:rsidRDefault="00FA0FFD" w:rsidP="00FA0FFD">
      <w:pPr>
        <w:pStyle w:val="Style1"/>
      </w:pPr>
      <w:bookmarkStart w:id="27" w:name="_Toc219386922"/>
      <w:r>
        <w:t>7</w:t>
      </w:r>
      <w:r w:rsidRPr="00E074CB">
        <w:t>.0 Supplementary Data 4: Gravitational Waves Corpus</w:t>
      </w:r>
      <w:bookmarkEnd w:id="27"/>
    </w:p>
    <w:p w14:paraId="52ECE2A7" w14:textId="77777777" w:rsidR="00FA0FFD" w:rsidRPr="00AE0EAE" w:rsidRDefault="00FA0FFD" w:rsidP="00FA0FFD">
      <w:pPr>
        <w:pStyle w:val="Style1"/>
      </w:pPr>
      <w:bookmarkStart w:id="28" w:name="_Toc219386923"/>
      <w:r>
        <w:t xml:space="preserve">7.1 </w:t>
      </w:r>
      <w:r w:rsidRPr="00AE0EAE">
        <w:t>Introduction</w:t>
      </w:r>
      <w:bookmarkEnd w:id="28"/>
    </w:p>
    <w:p w14:paraId="64BFFA5B" w14:textId="77777777" w:rsidR="00FA0FFD" w:rsidRPr="00AE0EAE" w:rsidRDefault="00FA0FFD" w:rsidP="00FA0FFD">
      <w:pPr>
        <w:rPr>
          <w:b/>
          <w:bCs/>
        </w:rPr>
      </w:pPr>
      <w:r w:rsidRPr="00AE0EAE">
        <w:rPr>
          <w:b/>
          <w:bCs/>
        </w:rPr>
        <w:t>Data Availability Statement</w:t>
      </w:r>
    </w:p>
    <w:p w14:paraId="33F45F28" w14:textId="77777777" w:rsidR="00FA0FFD" w:rsidRDefault="00FA0FFD" w:rsidP="00FA0FFD">
      <w:r>
        <w:t xml:space="preserve">All items listed here are publicly available. DOIs are provided where available. </w:t>
      </w:r>
    </w:p>
    <w:p w14:paraId="40F3632A" w14:textId="77777777" w:rsidR="00FA0FFD" w:rsidRPr="00334C96" w:rsidRDefault="00FA0FFD" w:rsidP="00FA0FFD">
      <w:pPr>
        <w:pStyle w:val="Style1"/>
      </w:pPr>
      <w:bookmarkStart w:id="29" w:name="_Toc219386924"/>
      <w:r>
        <w:t xml:space="preserve">7.2 </w:t>
      </w:r>
      <w:r w:rsidRPr="00334C96">
        <w:t>Gravitational Waves Corpus</w:t>
      </w:r>
      <w:bookmarkEnd w:id="29"/>
    </w:p>
    <w:p w14:paraId="54300FBC" w14:textId="77777777" w:rsidR="00FA0FFD" w:rsidRDefault="00FA0FFD" w:rsidP="00FA0FFD">
      <w:pPr>
        <w:pStyle w:val="ListParagraph"/>
        <w:numPr>
          <w:ilvl w:val="0"/>
          <w:numId w:val="43"/>
        </w:numPr>
      </w:pPr>
      <w:r>
        <w:t xml:space="preserve">Gomez, 2016, </w:t>
      </w:r>
      <w:hyperlink r:id="rId15" w:history="1">
        <w:r w:rsidRPr="00491994">
          <w:rPr>
            <w:rStyle w:val="Hyperlink"/>
          </w:rPr>
          <w:t>Wave Detected by Ligo is not Gravitational Wave, viXra.org e-Print archive, viXra:1610.0384</w:t>
        </w:r>
      </w:hyperlink>
    </w:p>
    <w:p w14:paraId="52D87218" w14:textId="77777777" w:rsidR="00FA0FFD" w:rsidRDefault="00FA0FFD" w:rsidP="00FA0FFD">
      <w:pPr>
        <w:pStyle w:val="ListParagraph"/>
        <w:numPr>
          <w:ilvl w:val="0"/>
          <w:numId w:val="43"/>
        </w:numPr>
      </w:pPr>
      <w:r>
        <w:t xml:space="preserve">Harney, 2020, </w:t>
      </w:r>
      <w:hyperlink r:id="rId16" w:history="1">
        <w:r w:rsidRPr="00491994">
          <w:rPr>
            <w:rStyle w:val="Hyperlink"/>
          </w:rPr>
          <w:t>A Model and Measurement of Gravitational Waves Based on a Modified Yukawa Potential, viXra.org e-Print archive, viXra:2007.0062</w:t>
        </w:r>
      </w:hyperlink>
    </w:p>
    <w:p w14:paraId="549DD18B" w14:textId="77777777" w:rsidR="00FA0FFD" w:rsidRDefault="00FA0FFD" w:rsidP="00FA0FFD">
      <w:pPr>
        <w:pStyle w:val="ListParagraph"/>
        <w:numPr>
          <w:ilvl w:val="0"/>
          <w:numId w:val="43"/>
        </w:numPr>
      </w:pPr>
      <w:r>
        <w:t xml:space="preserve">Szostek, Goralski and Szostek, 2018, </w:t>
      </w:r>
      <w:hyperlink r:id="rId17" w:history="1">
        <w:r w:rsidRPr="00491994">
          <w:rPr>
            <w:rStyle w:val="Hyperlink"/>
          </w:rPr>
          <w:t>Gravitational Waves in Newton’s Gravitation and Criticism of Gravitational Waves Resulting from the General Theory of Relativity (Ligo), viXra.org e-Print archive, viXra:1806.0441</w:t>
        </w:r>
      </w:hyperlink>
    </w:p>
    <w:p w14:paraId="457C9EA2" w14:textId="77777777" w:rsidR="00FA0FFD" w:rsidRDefault="00FA0FFD" w:rsidP="00FA0FFD">
      <w:pPr>
        <w:pStyle w:val="ListParagraph"/>
        <w:numPr>
          <w:ilvl w:val="0"/>
          <w:numId w:val="43"/>
        </w:numPr>
      </w:pPr>
      <w:r>
        <w:lastRenderedPageBreak/>
        <w:t xml:space="preserve">Froedge, 2016, </w:t>
      </w:r>
      <w:hyperlink r:id="rId18" w:history="1">
        <w:r w:rsidRPr="0076069E">
          <w:rPr>
            <w:rStyle w:val="Hyperlink"/>
          </w:rPr>
          <w:t>Ligo Gravitational Waves: Ripples in Spacetime or Electromagnetic V2, viXra.org e-Print archive, viXra:1602.0268</w:t>
        </w:r>
      </w:hyperlink>
    </w:p>
    <w:p w14:paraId="58DE7E39" w14:textId="77777777" w:rsidR="00FA0FFD" w:rsidRDefault="00FA0FFD" w:rsidP="00FA0FFD">
      <w:pPr>
        <w:pStyle w:val="ListParagraph"/>
        <w:numPr>
          <w:ilvl w:val="0"/>
          <w:numId w:val="43"/>
        </w:numPr>
      </w:pPr>
      <w:r>
        <w:t xml:space="preserve">Chakalov, 2016, </w:t>
      </w:r>
      <w:hyperlink r:id="rId19" w:history="1">
        <w:r w:rsidRPr="008879DE">
          <w:rPr>
            <w:rStyle w:val="Hyperlink"/>
          </w:rPr>
          <w:t>Gravitational Wave Astronomy: RIP, viXra.org e-Print archive, viXra:1602.0223</w:t>
        </w:r>
      </w:hyperlink>
    </w:p>
    <w:p w14:paraId="6A9D3496" w14:textId="77777777" w:rsidR="00FA0FFD" w:rsidRDefault="00FA0FFD" w:rsidP="00FA0FFD">
      <w:pPr>
        <w:pStyle w:val="ListParagraph"/>
        <w:numPr>
          <w:ilvl w:val="0"/>
          <w:numId w:val="43"/>
        </w:numPr>
      </w:pPr>
      <w:r>
        <w:t xml:space="preserve">Cheng, 2021, </w:t>
      </w:r>
      <w:hyperlink r:id="rId20" w:history="1">
        <w:r w:rsidRPr="008879DE">
          <w:rPr>
            <w:rStyle w:val="Hyperlink"/>
          </w:rPr>
          <w:t>A Simple Method to Obtain the Gravitational Wave Equations, viXra.org e-Print archive, viXra:2106.0068</w:t>
        </w:r>
      </w:hyperlink>
    </w:p>
    <w:p w14:paraId="2BF73D34" w14:textId="77777777" w:rsidR="00FA0FFD" w:rsidRDefault="00FA0FFD" w:rsidP="00FA0FFD">
      <w:pPr>
        <w:pStyle w:val="ListParagraph"/>
        <w:numPr>
          <w:ilvl w:val="0"/>
          <w:numId w:val="43"/>
        </w:numPr>
      </w:pPr>
      <w:r>
        <w:t xml:space="preserve">DongFang, 2022, </w:t>
      </w:r>
      <w:hyperlink r:id="rId21" w:history="1">
        <w:r w:rsidRPr="00FE74D1">
          <w:rPr>
            <w:rStyle w:val="Hyperlink"/>
          </w:rPr>
          <w:t>LIGO's Spiral Binary Black Holes Failed to Merge, viXra.org e-Print archive, viXra:2202.0066</w:t>
        </w:r>
      </w:hyperlink>
    </w:p>
    <w:p w14:paraId="46F3BE25" w14:textId="77777777" w:rsidR="00FA0FFD" w:rsidRDefault="00FA0FFD" w:rsidP="00FA0FFD">
      <w:pPr>
        <w:pStyle w:val="ListParagraph"/>
        <w:numPr>
          <w:ilvl w:val="0"/>
          <w:numId w:val="43"/>
        </w:numPr>
      </w:pPr>
      <w:r>
        <w:t xml:space="preserve">Cheng, 2022, </w:t>
      </w:r>
      <w:hyperlink r:id="rId22" w:history="1">
        <w:r w:rsidRPr="00D26FD9">
          <w:rPr>
            <w:rStyle w:val="Hyperlink"/>
          </w:rPr>
          <w:t>A New Method to Detect Gravitational Waves, viXra.org e-Print archive, viXra:2205.0088</w:t>
        </w:r>
      </w:hyperlink>
    </w:p>
    <w:p w14:paraId="0FD26B82" w14:textId="77777777" w:rsidR="00FA0FFD" w:rsidRDefault="00FA0FFD" w:rsidP="00FA0FFD">
      <w:pPr>
        <w:pStyle w:val="ListParagraph"/>
        <w:numPr>
          <w:ilvl w:val="0"/>
          <w:numId w:val="43"/>
        </w:numPr>
      </w:pPr>
      <w:r>
        <w:t xml:space="preserve">Pavlovic, 2016, </w:t>
      </w:r>
      <w:hyperlink r:id="rId23" w:history="1">
        <w:r w:rsidRPr="007020BA">
          <w:rPr>
            <w:rStyle w:val="Hyperlink"/>
          </w:rPr>
          <w:t>Gravitoelectromagnetism, viXra.org e-Print archive, viXra:1608.0185</w:t>
        </w:r>
      </w:hyperlink>
    </w:p>
    <w:p w14:paraId="16731A71" w14:textId="77777777" w:rsidR="00FA0FFD" w:rsidRDefault="00FA0FFD" w:rsidP="00FA0FFD">
      <w:pPr>
        <w:pStyle w:val="ListParagraph"/>
        <w:numPr>
          <w:ilvl w:val="0"/>
          <w:numId w:val="43"/>
        </w:numPr>
      </w:pPr>
      <w:r>
        <w:t xml:space="preserve">Sharipov, 2023, </w:t>
      </w:r>
      <w:hyperlink r:id="rId24" w:history="1">
        <w:r w:rsidRPr="007020BA">
          <w:rPr>
            <w:rStyle w:val="Hyperlink"/>
          </w:rPr>
          <w:t xml:space="preserve">Speed of Gravity Can Be Different </w:t>
        </w:r>
        <w:proofErr w:type="gramStart"/>
        <w:r w:rsidRPr="007020BA">
          <w:rPr>
            <w:rStyle w:val="Hyperlink"/>
          </w:rPr>
          <w:t>From</w:t>
        </w:r>
        <w:proofErr w:type="gramEnd"/>
        <w:r w:rsidRPr="007020BA">
          <w:rPr>
            <w:rStyle w:val="Hyperlink"/>
          </w:rPr>
          <w:t xml:space="preserve"> the Speed of Light, viXra.org e-Print archive, viXra:2304.0225</w:t>
        </w:r>
      </w:hyperlink>
    </w:p>
    <w:p w14:paraId="65E4F3DF" w14:textId="77777777" w:rsidR="00407EF5" w:rsidRDefault="00407EF5"/>
    <w:sectPr w:rsidR="00407E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1729"/>
    <w:multiLevelType w:val="multilevel"/>
    <w:tmpl w:val="71D807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D834FC"/>
    <w:multiLevelType w:val="multilevel"/>
    <w:tmpl w:val="E064E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301FAE"/>
    <w:multiLevelType w:val="hybridMultilevel"/>
    <w:tmpl w:val="16E6F9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2A70BA"/>
    <w:multiLevelType w:val="multilevel"/>
    <w:tmpl w:val="C7941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FC6A47"/>
    <w:multiLevelType w:val="multilevel"/>
    <w:tmpl w:val="C57A5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C57BD4"/>
    <w:multiLevelType w:val="multilevel"/>
    <w:tmpl w:val="7A8CF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54439C"/>
    <w:multiLevelType w:val="multilevel"/>
    <w:tmpl w:val="E01AE8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8C6611"/>
    <w:multiLevelType w:val="multilevel"/>
    <w:tmpl w:val="A8BA6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F619AB"/>
    <w:multiLevelType w:val="multilevel"/>
    <w:tmpl w:val="BA40D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595547"/>
    <w:multiLevelType w:val="multilevel"/>
    <w:tmpl w:val="9D0072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9911B8"/>
    <w:multiLevelType w:val="multilevel"/>
    <w:tmpl w:val="CB64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5200B3"/>
    <w:multiLevelType w:val="hybridMultilevel"/>
    <w:tmpl w:val="0124F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13582D"/>
    <w:multiLevelType w:val="multilevel"/>
    <w:tmpl w:val="DA94E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2C5E7E"/>
    <w:multiLevelType w:val="multilevel"/>
    <w:tmpl w:val="C1461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377AE0"/>
    <w:multiLevelType w:val="multilevel"/>
    <w:tmpl w:val="50844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6B5993"/>
    <w:multiLevelType w:val="multilevel"/>
    <w:tmpl w:val="459CF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240C16"/>
    <w:multiLevelType w:val="multilevel"/>
    <w:tmpl w:val="D19A9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D4640D"/>
    <w:multiLevelType w:val="multilevel"/>
    <w:tmpl w:val="34446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1E7FD5"/>
    <w:multiLevelType w:val="multilevel"/>
    <w:tmpl w:val="CC382A1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30D92AB4"/>
    <w:multiLevelType w:val="multilevel"/>
    <w:tmpl w:val="DC123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1512CC"/>
    <w:multiLevelType w:val="multilevel"/>
    <w:tmpl w:val="99CA7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910FE0"/>
    <w:multiLevelType w:val="multilevel"/>
    <w:tmpl w:val="5D724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777F4E"/>
    <w:multiLevelType w:val="multilevel"/>
    <w:tmpl w:val="45D80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CD13B3"/>
    <w:multiLevelType w:val="hybridMultilevel"/>
    <w:tmpl w:val="CFFC97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AEE77B8"/>
    <w:multiLevelType w:val="multilevel"/>
    <w:tmpl w:val="46C2E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2E2AA0"/>
    <w:multiLevelType w:val="multilevel"/>
    <w:tmpl w:val="D834F2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F753C33"/>
    <w:multiLevelType w:val="multilevel"/>
    <w:tmpl w:val="6B7A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1931BD"/>
    <w:multiLevelType w:val="multilevel"/>
    <w:tmpl w:val="C4F2F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C70AB5"/>
    <w:multiLevelType w:val="multilevel"/>
    <w:tmpl w:val="CB60A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06328B"/>
    <w:multiLevelType w:val="multilevel"/>
    <w:tmpl w:val="6A000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92672D9"/>
    <w:multiLevelType w:val="multilevel"/>
    <w:tmpl w:val="732E3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01610E8"/>
    <w:multiLevelType w:val="multilevel"/>
    <w:tmpl w:val="92C0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04E0EEE"/>
    <w:multiLevelType w:val="multilevel"/>
    <w:tmpl w:val="D84C7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2096025"/>
    <w:multiLevelType w:val="multilevel"/>
    <w:tmpl w:val="708E8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5031FBB"/>
    <w:multiLevelType w:val="multilevel"/>
    <w:tmpl w:val="DD721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A7E6E3B"/>
    <w:multiLevelType w:val="multilevel"/>
    <w:tmpl w:val="4DD8B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CE91226"/>
    <w:multiLevelType w:val="multilevel"/>
    <w:tmpl w:val="CA8E5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1942FE8"/>
    <w:multiLevelType w:val="multilevel"/>
    <w:tmpl w:val="458EE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3050CCD"/>
    <w:multiLevelType w:val="multilevel"/>
    <w:tmpl w:val="ACE0C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3494210"/>
    <w:multiLevelType w:val="multilevel"/>
    <w:tmpl w:val="697AE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89A1E49"/>
    <w:multiLevelType w:val="hybridMultilevel"/>
    <w:tmpl w:val="95347B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9D56C80"/>
    <w:multiLevelType w:val="multilevel"/>
    <w:tmpl w:val="888A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B950E1D"/>
    <w:multiLevelType w:val="multilevel"/>
    <w:tmpl w:val="5928E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C153A48"/>
    <w:multiLevelType w:val="multilevel"/>
    <w:tmpl w:val="4DA67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C87577E"/>
    <w:multiLevelType w:val="multilevel"/>
    <w:tmpl w:val="8D7C6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C9F6E29"/>
    <w:multiLevelType w:val="hybridMultilevel"/>
    <w:tmpl w:val="ECA64B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6D553089"/>
    <w:multiLevelType w:val="multilevel"/>
    <w:tmpl w:val="6400D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E947F88"/>
    <w:multiLevelType w:val="multilevel"/>
    <w:tmpl w:val="8CC85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FE31822"/>
    <w:multiLevelType w:val="multilevel"/>
    <w:tmpl w:val="30D01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22E1E9E"/>
    <w:multiLevelType w:val="multilevel"/>
    <w:tmpl w:val="AE880D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3F41FD9"/>
    <w:multiLevelType w:val="multilevel"/>
    <w:tmpl w:val="22EE4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54100B9"/>
    <w:multiLevelType w:val="multilevel"/>
    <w:tmpl w:val="E146C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CC6050C"/>
    <w:multiLevelType w:val="multilevel"/>
    <w:tmpl w:val="8BF01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DEF0FFF"/>
    <w:multiLevelType w:val="multilevel"/>
    <w:tmpl w:val="C1403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F441595"/>
    <w:multiLevelType w:val="multilevel"/>
    <w:tmpl w:val="42C4A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F6F229E"/>
    <w:multiLevelType w:val="multilevel"/>
    <w:tmpl w:val="762A8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7290382">
    <w:abstractNumId w:val="38"/>
  </w:num>
  <w:num w:numId="2" w16cid:durableId="770927909">
    <w:abstractNumId w:val="17"/>
  </w:num>
  <w:num w:numId="3" w16cid:durableId="1394543176">
    <w:abstractNumId w:val="50"/>
  </w:num>
  <w:num w:numId="4" w16cid:durableId="1061054204">
    <w:abstractNumId w:val="8"/>
  </w:num>
  <w:num w:numId="5" w16cid:durableId="89158335">
    <w:abstractNumId w:val="7"/>
  </w:num>
  <w:num w:numId="6" w16cid:durableId="1153134670">
    <w:abstractNumId w:val="33"/>
  </w:num>
  <w:num w:numId="7" w16cid:durableId="1768111920">
    <w:abstractNumId w:val="15"/>
  </w:num>
  <w:num w:numId="8" w16cid:durableId="1263032686">
    <w:abstractNumId w:val="20"/>
  </w:num>
  <w:num w:numId="9" w16cid:durableId="80571006">
    <w:abstractNumId w:val="41"/>
  </w:num>
  <w:num w:numId="10" w16cid:durableId="1795905173">
    <w:abstractNumId w:val="53"/>
  </w:num>
  <w:num w:numId="11" w16cid:durableId="753742135">
    <w:abstractNumId w:val="52"/>
  </w:num>
  <w:num w:numId="12" w16cid:durableId="1227915117">
    <w:abstractNumId w:val="6"/>
  </w:num>
  <w:num w:numId="13" w16cid:durableId="1236553169">
    <w:abstractNumId w:val="47"/>
  </w:num>
  <w:num w:numId="14" w16cid:durableId="482619253">
    <w:abstractNumId w:val="5"/>
  </w:num>
  <w:num w:numId="15" w16cid:durableId="103118747">
    <w:abstractNumId w:val="39"/>
  </w:num>
  <w:num w:numId="16" w16cid:durableId="109204971">
    <w:abstractNumId w:val="0"/>
  </w:num>
  <w:num w:numId="17" w16cid:durableId="2103606571">
    <w:abstractNumId w:val="54"/>
  </w:num>
  <w:num w:numId="18" w16cid:durableId="1674334479">
    <w:abstractNumId w:val="10"/>
  </w:num>
  <w:num w:numId="19" w16cid:durableId="2014650299">
    <w:abstractNumId w:val="13"/>
  </w:num>
  <w:num w:numId="20" w16cid:durableId="1268001799">
    <w:abstractNumId w:val="19"/>
  </w:num>
  <w:num w:numId="21" w16cid:durableId="1314946034">
    <w:abstractNumId w:val="9"/>
  </w:num>
  <w:num w:numId="22" w16cid:durableId="487333321">
    <w:abstractNumId w:val="28"/>
  </w:num>
  <w:num w:numId="23" w16cid:durableId="1479691769">
    <w:abstractNumId w:val="43"/>
  </w:num>
  <w:num w:numId="24" w16cid:durableId="2145124487">
    <w:abstractNumId w:val="4"/>
  </w:num>
  <w:num w:numId="25" w16cid:durableId="1954511109">
    <w:abstractNumId w:val="48"/>
  </w:num>
  <w:num w:numId="26" w16cid:durableId="585460287">
    <w:abstractNumId w:val="3"/>
  </w:num>
  <w:num w:numId="27" w16cid:durableId="386496977">
    <w:abstractNumId w:val="24"/>
  </w:num>
  <w:num w:numId="28" w16cid:durableId="479271504">
    <w:abstractNumId w:val="1"/>
  </w:num>
  <w:num w:numId="29" w16cid:durableId="575213690">
    <w:abstractNumId w:val="16"/>
  </w:num>
  <w:num w:numId="30" w16cid:durableId="1132208305">
    <w:abstractNumId w:val="34"/>
  </w:num>
  <w:num w:numId="31" w16cid:durableId="75564290">
    <w:abstractNumId w:val="32"/>
  </w:num>
  <w:num w:numId="32" w16cid:durableId="990596008">
    <w:abstractNumId w:val="30"/>
  </w:num>
  <w:num w:numId="33" w16cid:durableId="1049646247">
    <w:abstractNumId w:val="26"/>
  </w:num>
  <w:num w:numId="34" w16cid:durableId="1469083087">
    <w:abstractNumId w:val="46"/>
  </w:num>
  <w:num w:numId="35" w16cid:durableId="1908106001">
    <w:abstractNumId w:val="42"/>
  </w:num>
  <w:num w:numId="36" w16cid:durableId="665791809">
    <w:abstractNumId w:val="22"/>
  </w:num>
  <w:num w:numId="37" w16cid:durableId="264846150">
    <w:abstractNumId w:val="12"/>
  </w:num>
  <w:num w:numId="38" w16cid:durableId="1519586947">
    <w:abstractNumId w:val="51"/>
  </w:num>
  <w:num w:numId="39" w16cid:durableId="1153260326">
    <w:abstractNumId w:val="37"/>
  </w:num>
  <w:num w:numId="40" w16cid:durableId="1575967367">
    <w:abstractNumId w:val="55"/>
  </w:num>
  <w:num w:numId="41" w16cid:durableId="1314603500">
    <w:abstractNumId w:val="14"/>
  </w:num>
  <w:num w:numId="42" w16cid:durableId="1980307418">
    <w:abstractNumId w:val="40"/>
  </w:num>
  <w:num w:numId="43" w16cid:durableId="527109438">
    <w:abstractNumId w:val="23"/>
  </w:num>
  <w:num w:numId="44" w16cid:durableId="119810612">
    <w:abstractNumId w:val="29"/>
  </w:num>
  <w:num w:numId="45" w16cid:durableId="1972517176">
    <w:abstractNumId w:val="27"/>
  </w:num>
  <w:num w:numId="46" w16cid:durableId="148638182">
    <w:abstractNumId w:val="35"/>
  </w:num>
  <w:num w:numId="47" w16cid:durableId="1388602713">
    <w:abstractNumId w:val="36"/>
  </w:num>
  <w:num w:numId="48" w16cid:durableId="213084349">
    <w:abstractNumId w:val="31"/>
  </w:num>
  <w:num w:numId="49" w16cid:durableId="799765539">
    <w:abstractNumId w:val="44"/>
  </w:num>
  <w:num w:numId="50" w16cid:durableId="707686917">
    <w:abstractNumId w:val="21"/>
  </w:num>
  <w:num w:numId="51" w16cid:durableId="408046124">
    <w:abstractNumId w:val="49"/>
  </w:num>
  <w:num w:numId="52" w16cid:durableId="1538616069">
    <w:abstractNumId w:val="25"/>
  </w:num>
  <w:num w:numId="53" w16cid:durableId="2126072256">
    <w:abstractNumId w:val="2"/>
  </w:num>
  <w:num w:numId="54" w16cid:durableId="718407543">
    <w:abstractNumId w:val="11"/>
  </w:num>
  <w:num w:numId="55" w16cid:durableId="1438214520">
    <w:abstractNumId w:val="45"/>
  </w:num>
  <w:num w:numId="56" w16cid:durableId="6156754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FFD"/>
    <w:rsid w:val="00045384"/>
    <w:rsid w:val="0009248B"/>
    <w:rsid w:val="001125A9"/>
    <w:rsid w:val="002A1A78"/>
    <w:rsid w:val="002B0F6E"/>
    <w:rsid w:val="00407EF5"/>
    <w:rsid w:val="005C5678"/>
    <w:rsid w:val="00605566"/>
    <w:rsid w:val="007170C5"/>
    <w:rsid w:val="0085611A"/>
    <w:rsid w:val="00857195"/>
    <w:rsid w:val="009863CA"/>
    <w:rsid w:val="00A46551"/>
    <w:rsid w:val="00D817BE"/>
    <w:rsid w:val="00E22231"/>
    <w:rsid w:val="00F130E2"/>
    <w:rsid w:val="00FA0F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91584"/>
  <w15:chartTrackingRefBased/>
  <w15:docId w15:val="{6E7B3AD6-C1DE-4E7D-BF94-0003BABBB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0FFD"/>
  </w:style>
  <w:style w:type="paragraph" w:styleId="Heading1">
    <w:name w:val="heading 1"/>
    <w:basedOn w:val="Normal"/>
    <w:next w:val="Normal"/>
    <w:link w:val="Heading1Char"/>
    <w:qFormat/>
    <w:rsid w:val="00FA0F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FA0F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0F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0F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0F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0F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0F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0F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0F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FA0F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qFormat/>
    <w:rsid w:val="00FA0F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0F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0F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0F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0F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0F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0F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0FFD"/>
    <w:rPr>
      <w:rFonts w:eastAsiaTheme="majorEastAsia" w:cstheme="majorBidi"/>
      <w:color w:val="272727" w:themeColor="text1" w:themeTint="D8"/>
    </w:rPr>
  </w:style>
  <w:style w:type="paragraph" w:styleId="Title">
    <w:name w:val="Title"/>
    <w:basedOn w:val="Normal"/>
    <w:next w:val="Normal"/>
    <w:link w:val="TitleChar"/>
    <w:uiPriority w:val="10"/>
    <w:qFormat/>
    <w:rsid w:val="00FA0F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0F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0F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0F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0FFD"/>
    <w:pPr>
      <w:spacing w:before="160"/>
      <w:jc w:val="center"/>
    </w:pPr>
    <w:rPr>
      <w:i/>
      <w:iCs/>
      <w:color w:val="404040" w:themeColor="text1" w:themeTint="BF"/>
    </w:rPr>
  </w:style>
  <w:style w:type="character" w:customStyle="1" w:styleId="QuoteChar">
    <w:name w:val="Quote Char"/>
    <w:basedOn w:val="DefaultParagraphFont"/>
    <w:link w:val="Quote"/>
    <w:uiPriority w:val="29"/>
    <w:rsid w:val="00FA0FFD"/>
    <w:rPr>
      <w:i/>
      <w:iCs/>
      <w:color w:val="404040" w:themeColor="text1" w:themeTint="BF"/>
    </w:rPr>
  </w:style>
  <w:style w:type="paragraph" w:styleId="ListParagraph">
    <w:name w:val="List Paragraph"/>
    <w:basedOn w:val="Normal"/>
    <w:uiPriority w:val="34"/>
    <w:qFormat/>
    <w:rsid w:val="00FA0FFD"/>
    <w:pPr>
      <w:ind w:left="720"/>
      <w:contextualSpacing/>
    </w:pPr>
  </w:style>
  <w:style w:type="character" w:styleId="IntenseEmphasis">
    <w:name w:val="Intense Emphasis"/>
    <w:basedOn w:val="DefaultParagraphFont"/>
    <w:uiPriority w:val="21"/>
    <w:qFormat/>
    <w:rsid w:val="00FA0FFD"/>
    <w:rPr>
      <w:i/>
      <w:iCs/>
      <w:color w:val="0F4761" w:themeColor="accent1" w:themeShade="BF"/>
    </w:rPr>
  </w:style>
  <w:style w:type="paragraph" w:styleId="IntenseQuote">
    <w:name w:val="Intense Quote"/>
    <w:basedOn w:val="Normal"/>
    <w:next w:val="Normal"/>
    <w:link w:val="IntenseQuoteChar"/>
    <w:uiPriority w:val="30"/>
    <w:qFormat/>
    <w:rsid w:val="00FA0F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0FFD"/>
    <w:rPr>
      <w:i/>
      <w:iCs/>
      <w:color w:val="0F4761" w:themeColor="accent1" w:themeShade="BF"/>
    </w:rPr>
  </w:style>
  <w:style w:type="character" w:styleId="IntenseReference">
    <w:name w:val="Intense Reference"/>
    <w:basedOn w:val="DefaultParagraphFont"/>
    <w:uiPriority w:val="32"/>
    <w:qFormat/>
    <w:rsid w:val="00FA0FFD"/>
    <w:rPr>
      <w:b/>
      <w:bCs/>
      <w:smallCaps/>
      <w:color w:val="0F4761" w:themeColor="accent1" w:themeShade="BF"/>
      <w:spacing w:val="5"/>
    </w:rPr>
  </w:style>
  <w:style w:type="paragraph" w:styleId="NormalWeb">
    <w:name w:val="Normal (Web)"/>
    <w:basedOn w:val="Normal"/>
    <w:uiPriority w:val="99"/>
    <w:semiHidden/>
    <w:unhideWhenUsed/>
    <w:rsid w:val="00FA0FFD"/>
    <w:rPr>
      <w:rFonts w:ascii="Times New Roman" w:hAnsi="Times New Roman" w:cs="Times New Roman"/>
      <w:sz w:val="24"/>
      <w:szCs w:val="24"/>
    </w:rPr>
  </w:style>
  <w:style w:type="character" w:styleId="Hyperlink">
    <w:name w:val="Hyperlink"/>
    <w:basedOn w:val="DefaultParagraphFont"/>
    <w:uiPriority w:val="99"/>
    <w:unhideWhenUsed/>
    <w:rsid w:val="00FA0FFD"/>
    <w:rPr>
      <w:color w:val="467886" w:themeColor="hyperlink"/>
      <w:u w:val="single"/>
    </w:rPr>
  </w:style>
  <w:style w:type="character" w:styleId="CommentReference">
    <w:name w:val="annotation reference"/>
    <w:basedOn w:val="DefaultParagraphFont"/>
    <w:uiPriority w:val="99"/>
    <w:semiHidden/>
    <w:unhideWhenUsed/>
    <w:rsid w:val="00FA0FFD"/>
    <w:rPr>
      <w:sz w:val="16"/>
      <w:szCs w:val="16"/>
    </w:rPr>
  </w:style>
  <w:style w:type="paragraph" w:styleId="CommentText">
    <w:name w:val="annotation text"/>
    <w:basedOn w:val="Normal"/>
    <w:link w:val="CommentTextChar"/>
    <w:uiPriority w:val="99"/>
    <w:unhideWhenUsed/>
    <w:rsid w:val="00FA0FFD"/>
    <w:pPr>
      <w:spacing w:line="240" w:lineRule="auto"/>
    </w:pPr>
    <w:rPr>
      <w:sz w:val="20"/>
      <w:szCs w:val="20"/>
    </w:rPr>
  </w:style>
  <w:style w:type="character" w:customStyle="1" w:styleId="CommentTextChar">
    <w:name w:val="Comment Text Char"/>
    <w:basedOn w:val="DefaultParagraphFont"/>
    <w:link w:val="CommentText"/>
    <w:uiPriority w:val="99"/>
    <w:rsid w:val="00FA0FFD"/>
    <w:rPr>
      <w:sz w:val="20"/>
      <w:szCs w:val="20"/>
    </w:rPr>
  </w:style>
  <w:style w:type="paragraph" w:styleId="CommentSubject">
    <w:name w:val="annotation subject"/>
    <w:basedOn w:val="CommentText"/>
    <w:next w:val="CommentText"/>
    <w:link w:val="CommentSubjectChar"/>
    <w:uiPriority w:val="99"/>
    <w:semiHidden/>
    <w:unhideWhenUsed/>
    <w:rsid w:val="00FA0FFD"/>
    <w:rPr>
      <w:b/>
      <w:bCs/>
    </w:rPr>
  </w:style>
  <w:style w:type="character" w:customStyle="1" w:styleId="CommentSubjectChar">
    <w:name w:val="Comment Subject Char"/>
    <w:basedOn w:val="CommentTextChar"/>
    <w:link w:val="CommentSubject"/>
    <w:uiPriority w:val="99"/>
    <w:semiHidden/>
    <w:rsid w:val="00FA0FFD"/>
    <w:rPr>
      <w:b/>
      <w:bCs/>
      <w:sz w:val="20"/>
      <w:szCs w:val="20"/>
    </w:rPr>
  </w:style>
  <w:style w:type="paragraph" w:styleId="TOCHeading">
    <w:name w:val="TOC Heading"/>
    <w:basedOn w:val="Heading1"/>
    <w:next w:val="Normal"/>
    <w:uiPriority w:val="39"/>
    <w:unhideWhenUsed/>
    <w:qFormat/>
    <w:rsid w:val="00FA0FFD"/>
    <w:pPr>
      <w:spacing w:before="240" w:after="0"/>
      <w:outlineLvl w:val="9"/>
    </w:pPr>
    <w:rPr>
      <w:kern w:val="0"/>
      <w:sz w:val="32"/>
      <w:szCs w:val="32"/>
      <w:lang w:eastAsia="en-GB"/>
    </w:rPr>
  </w:style>
  <w:style w:type="paragraph" w:customStyle="1" w:styleId="Style1">
    <w:name w:val="Style1"/>
    <w:basedOn w:val="Heading1"/>
    <w:link w:val="Style1Char"/>
    <w:qFormat/>
    <w:rsid w:val="00FA0FFD"/>
    <w:rPr>
      <w:b/>
      <w:color w:val="auto"/>
      <w:sz w:val="24"/>
    </w:rPr>
  </w:style>
  <w:style w:type="character" w:customStyle="1" w:styleId="Style1Char">
    <w:name w:val="Style1 Char"/>
    <w:basedOn w:val="Heading1Char"/>
    <w:link w:val="Style1"/>
    <w:rsid w:val="00FA0FFD"/>
    <w:rPr>
      <w:rFonts w:asciiTheme="majorHAnsi" w:eastAsiaTheme="majorEastAsia" w:hAnsiTheme="majorHAnsi" w:cstheme="majorBidi"/>
      <w:b/>
      <w:color w:val="0F4761" w:themeColor="accent1" w:themeShade="BF"/>
      <w:sz w:val="24"/>
      <w:szCs w:val="40"/>
    </w:rPr>
  </w:style>
  <w:style w:type="paragraph" w:styleId="Header">
    <w:name w:val="header"/>
    <w:basedOn w:val="Normal"/>
    <w:link w:val="HeaderChar"/>
    <w:uiPriority w:val="99"/>
    <w:unhideWhenUsed/>
    <w:rsid w:val="00FA0F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0FFD"/>
  </w:style>
  <w:style w:type="paragraph" w:styleId="Footer">
    <w:name w:val="footer"/>
    <w:basedOn w:val="Normal"/>
    <w:link w:val="FooterChar"/>
    <w:uiPriority w:val="99"/>
    <w:unhideWhenUsed/>
    <w:rsid w:val="00FA0F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0FFD"/>
  </w:style>
  <w:style w:type="paragraph" w:styleId="TOC1">
    <w:name w:val="toc 1"/>
    <w:basedOn w:val="Normal"/>
    <w:next w:val="Normal"/>
    <w:autoRedefine/>
    <w:uiPriority w:val="39"/>
    <w:unhideWhenUsed/>
    <w:rsid w:val="00FA0FFD"/>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xra.org/abs/1704.0365" TargetMode="External"/><Relationship Id="rId13" Type="http://schemas.openxmlformats.org/officeDocument/2006/relationships/hyperlink" Target="https://vixra.org/abs/2002.0203" TargetMode="External"/><Relationship Id="rId18" Type="http://schemas.openxmlformats.org/officeDocument/2006/relationships/hyperlink" Target="https://vixra.org/abs/1602.0268"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vixra.org/abs/2202.0066" TargetMode="External"/><Relationship Id="rId7" Type="http://schemas.openxmlformats.org/officeDocument/2006/relationships/hyperlink" Target="https://vixra.org/abs/1902.0497" TargetMode="External"/><Relationship Id="rId12" Type="http://schemas.openxmlformats.org/officeDocument/2006/relationships/hyperlink" Target="https://vixra.org/abs/1905.0396" TargetMode="External"/><Relationship Id="rId17" Type="http://schemas.openxmlformats.org/officeDocument/2006/relationships/hyperlink" Target="https://vixra.org/abs/1806.0441"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vixra.org/abs/2007.0062" TargetMode="External"/><Relationship Id="rId20" Type="http://schemas.openxmlformats.org/officeDocument/2006/relationships/hyperlink" Target="https://vixra.org/abs/2106.0068" TargetMode="External"/><Relationship Id="rId1" Type="http://schemas.openxmlformats.org/officeDocument/2006/relationships/numbering" Target="numbering.xml"/><Relationship Id="rId6" Type="http://schemas.openxmlformats.org/officeDocument/2006/relationships/hyperlink" Target="https://vixra.org/abs/1701.0473" TargetMode="External"/><Relationship Id="rId11" Type="http://schemas.openxmlformats.org/officeDocument/2006/relationships/hyperlink" Target="https://vixra.org/abs/2110.0117" TargetMode="External"/><Relationship Id="rId24" Type="http://schemas.openxmlformats.org/officeDocument/2006/relationships/hyperlink" Target="https://vixra.org/abs/2304.0225" TargetMode="External"/><Relationship Id="rId5" Type="http://schemas.openxmlformats.org/officeDocument/2006/relationships/hyperlink" Target="https://vixra.org/abs/1701.0310" TargetMode="External"/><Relationship Id="rId15" Type="http://schemas.openxmlformats.org/officeDocument/2006/relationships/hyperlink" Target="https://vixra.org/abs/1610.0384" TargetMode="External"/><Relationship Id="rId23" Type="http://schemas.openxmlformats.org/officeDocument/2006/relationships/hyperlink" Target="https://vixra.org/abs/1608.0185" TargetMode="External"/><Relationship Id="rId10" Type="http://schemas.openxmlformats.org/officeDocument/2006/relationships/hyperlink" Target="https://vixra.org/abs/1909.0261" TargetMode="External"/><Relationship Id="rId19" Type="http://schemas.openxmlformats.org/officeDocument/2006/relationships/hyperlink" Target="https://vixra.org/abs/1602.0223" TargetMode="External"/><Relationship Id="rId4" Type="http://schemas.openxmlformats.org/officeDocument/2006/relationships/webSettings" Target="webSettings.xml"/><Relationship Id="rId9" Type="http://schemas.openxmlformats.org/officeDocument/2006/relationships/hyperlink" Target="https://vixra.org/abs/1405.0235" TargetMode="External"/><Relationship Id="rId14" Type="http://schemas.openxmlformats.org/officeDocument/2006/relationships/hyperlink" Target="https://vixra.org/abs/2407.0099" TargetMode="External"/><Relationship Id="rId22" Type="http://schemas.openxmlformats.org/officeDocument/2006/relationships/hyperlink" Target="https://vixra.org/abs/2205.00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25</Pages>
  <Words>8952</Words>
  <Characters>48880</Characters>
  <Application>Microsoft Office Word</Application>
  <DocSecurity>0</DocSecurity>
  <Lines>1576</Lines>
  <Paragraphs>354</Paragraphs>
  <ScaleCrop>false</ScaleCrop>
  <HeadingPairs>
    <vt:vector size="2" baseType="variant">
      <vt:variant>
        <vt:lpstr>Title</vt:lpstr>
      </vt:variant>
      <vt:variant>
        <vt:i4>1</vt:i4>
      </vt:variant>
    </vt:vector>
  </HeadingPairs>
  <TitlesOfParts>
    <vt:vector size="1" baseType="lpstr">
      <vt:lpstr/>
    </vt:vector>
  </TitlesOfParts>
  <Company>Cardiff Metropolitan University</Company>
  <LinksUpToDate>false</LinksUpToDate>
  <CharactersWithSpaces>57478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Thorne, Simon</dc:creator>
  <cp:keywords/>
  <dc:description/>
  <cp:lastModifiedBy>Thorne, Simon</cp:lastModifiedBy>
  <cp:revision>2</cp:revision>
  <dcterms:created xsi:type="dcterms:W3CDTF">2026-02-05T15:02:00Z</dcterms:created>
  <dcterms:modified xsi:type="dcterms:W3CDTF">2026-02-05T16:46:00Z</dcterms:modified>
</cp:coreProperties>
</file>