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553D6" w14:textId="77777777" w:rsidR="00597EF4" w:rsidRDefault="00597EF4" w:rsidP="00597EF4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012F2D">
        <w:rPr>
          <w:rFonts w:ascii="Times New Roman" w:hAnsi="Times New Roman" w:cs="Times New Roman"/>
          <w:b/>
          <w:bCs/>
          <w:color w:val="000000" w:themeColor="text1"/>
        </w:rPr>
        <w:t>Supplemental material</w:t>
      </w:r>
    </w:p>
    <w:p w14:paraId="53F553D7" w14:textId="77777777" w:rsidR="00597EF4" w:rsidRDefault="00597EF4" w:rsidP="00597EF4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53F553D8" w14:textId="77777777" w:rsidR="00597EF4" w:rsidRDefault="00597EF4" w:rsidP="00597EF4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Table. S1. Model configuration for heavy rainfall simulations.</w:t>
      </w:r>
    </w:p>
    <w:tbl>
      <w:tblPr>
        <w:tblStyle w:val="TableGrid2"/>
        <w:tblW w:w="7792" w:type="dxa"/>
        <w:tblInd w:w="985" w:type="dxa"/>
        <w:tblLook w:val="04A0" w:firstRow="1" w:lastRow="0" w:firstColumn="1" w:lastColumn="0" w:noHBand="0" w:noVBand="1"/>
      </w:tblPr>
      <w:tblGrid>
        <w:gridCol w:w="3197"/>
        <w:gridCol w:w="4595"/>
      </w:tblGrid>
      <w:tr w:rsidR="00597EF4" w:rsidRPr="00877CCC" w14:paraId="53F553DB" w14:textId="77777777" w:rsidTr="009D547A">
        <w:trPr>
          <w:trHeight w:val="252"/>
        </w:trPr>
        <w:tc>
          <w:tcPr>
            <w:tcW w:w="3197" w:type="dxa"/>
          </w:tcPr>
          <w:p w14:paraId="53F553D9" w14:textId="77777777" w:rsidR="00597EF4" w:rsidRPr="00877CCC" w:rsidRDefault="00597EF4" w:rsidP="009D547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7CCC">
              <w:rPr>
                <w:rFonts w:ascii="Times New Roman" w:hAnsi="Times New Roman" w:cs="Times New Roman"/>
                <w:b/>
                <w:bCs/>
                <w:lang w:val="en-US"/>
              </w:rPr>
              <w:t>Dynamics</w:t>
            </w:r>
          </w:p>
        </w:tc>
        <w:tc>
          <w:tcPr>
            <w:tcW w:w="4595" w:type="dxa"/>
          </w:tcPr>
          <w:p w14:paraId="53F553DA" w14:textId="77777777" w:rsidR="00597EF4" w:rsidRPr="00877CCC" w:rsidRDefault="00597EF4" w:rsidP="009D547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77CCC">
              <w:rPr>
                <w:rFonts w:ascii="Times New Roman" w:hAnsi="Times New Roman" w:cs="Times New Roman"/>
                <w:b/>
                <w:bCs/>
                <w:lang w:val="en-US"/>
              </w:rPr>
              <w:t>Configuration</w:t>
            </w:r>
          </w:p>
        </w:tc>
      </w:tr>
      <w:tr w:rsidR="00597EF4" w:rsidRPr="00877CCC" w14:paraId="53F553DE" w14:textId="77777777" w:rsidTr="009D547A">
        <w:trPr>
          <w:trHeight w:val="252"/>
        </w:trPr>
        <w:tc>
          <w:tcPr>
            <w:tcW w:w="3197" w:type="dxa"/>
          </w:tcPr>
          <w:p w14:paraId="53F553DC" w14:textId="77777777" w:rsidR="00597EF4" w:rsidRPr="00877CCC" w:rsidRDefault="00597EF4" w:rsidP="009D547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B7781">
              <w:rPr>
                <w:rFonts w:ascii="Times New Roman" w:hAnsi="Times New Roman" w:cs="Times New Roman"/>
              </w:rPr>
              <w:t>Initial and lateral boundary condition data</w:t>
            </w:r>
          </w:p>
        </w:tc>
        <w:tc>
          <w:tcPr>
            <w:tcW w:w="4595" w:type="dxa"/>
          </w:tcPr>
          <w:p w14:paraId="53F553DD" w14:textId="77777777" w:rsidR="00597EF4" w:rsidRPr="00877CCC" w:rsidRDefault="00597EF4" w:rsidP="009D547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</w:rPr>
              <w:t>Six-hourly</w:t>
            </w:r>
            <w:r w:rsidRPr="007B778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NCEP-GFS</w:t>
            </w:r>
            <w:r w:rsidRPr="007B7781">
              <w:rPr>
                <w:rFonts w:ascii="Times New Roman" w:hAnsi="Times New Roman" w:cs="Times New Roman"/>
              </w:rPr>
              <w:t xml:space="preserve"> at 0.25°×0.25° </w:t>
            </w:r>
            <w:r>
              <w:rPr>
                <w:rFonts w:ascii="Times New Roman" w:hAnsi="Times New Roman" w:cs="Times New Roman"/>
              </w:rPr>
              <w:t xml:space="preserve">horizontal </w:t>
            </w:r>
            <w:r w:rsidRPr="007B7781">
              <w:rPr>
                <w:rFonts w:ascii="Times New Roman" w:hAnsi="Times New Roman" w:cs="Times New Roman"/>
              </w:rPr>
              <w:t>resolution</w:t>
            </w:r>
          </w:p>
        </w:tc>
      </w:tr>
      <w:tr w:rsidR="00597EF4" w:rsidRPr="00877CCC" w14:paraId="53F553E1" w14:textId="77777777" w:rsidTr="009D547A">
        <w:trPr>
          <w:trHeight w:val="252"/>
        </w:trPr>
        <w:tc>
          <w:tcPr>
            <w:tcW w:w="3197" w:type="dxa"/>
          </w:tcPr>
          <w:p w14:paraId="53F553DF" w14:textId="77777777" w:rsidR="00597EF4" w:rsidRPr="00877CCC" w:rsidRDefault="00597EF4" w:rsidP="009D547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</w:rPr>
              <w:t>Simulations period</w:t>
            </w:r>
          </w:p>
        </w:tc>
        <w:tc>
          <w:tcPr>
            <w:tcW w:w="4595" w:type="dxa"/>
          </w:tcPr>
          <w:p w14:paraId="53F553E0" w14:textId="77777777" w:rsidR="00597EF4" w:rsidRPr="00877CCC" w:rsidRDefault="00597EF4" w:rsidP="009D547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</w:rPr>
              <w:t>72</w:t>
            </w:r>
            <w:r w:rsidRPr="007B7781">
              <w:rPr>
                <w:rFonts w:ascii="Times New Roman" w:hAnsi="Times New Roman" w:cs="Times New Roman"/>
              </w:rPr>
              <w:t xml:space="preserve"> hours</w:t>
            </w:r>
          </w:p>
        </w:tc>
      </w:tr>
      <w:tr w:rsidR="00597EF4" w:rsidRPr="00877CCC" w14:paraId="53F553E9" w14:textId="77777777" w:rsidTr="009D547A">
        <w:trPr>
          <w:trHeight w:val="252"/>
        </w:trPr>
        <w:tc>
          <w:tcPr>
            <w:tcW w:w="3197" w:type="dxa"/>
          </w:tcPr>
          <w:p w14:paraId="53F553E2" w14:textId="77777777" w:rsidR="00597EF4" w:rsidRPr="007B7781" w:rsidRDefault="00597EF4" w:rsidP="009D547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53F553E3" w14:textId="77777777" w:rsidR="00597EF4" w:rsidRPr="00877CCC" w:rsidRDefault="00597EF4" w:rsidP="009D547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B7781">
              <w:rPr>
                <w:rFonts w:ascii="Times New Roman" w:hAnsi="Times New Roman" w:cs="Times New Roman"/>
              </w:rPr>
              <w:t xml:space="preserve">The number of domains, </w:t>
            </w:r>
            <w:r>
              <w:rPr>
                <w:rFonts w:ascii="Times New Roman" w:hAnsi="Times New Roman" w:cs="Times New Roman"/>
              </w:rPr>
              <w:t xml:space="preserve">horizontal </w:t>
            </w:r>
            <w:r w:rsidRPr="007B7781">
              <w:rPr>
                <w:rFonts w:ascii="Times New Roman" w:hAnsi="Times New Roman" w:cs="Times New Roman"/>
              </w:rPr>
              <w:t>resolution</w:t>
            </w:r>
            <w:r>
              <w:rPr>
                <w:rFonts w:ascii="Times New Roman" w:hAnsi="Times New Roman" w:cs="Times New Roman"/>
              </w:rPr>
              <w:t>s</w:t>
            </w:r>
            <w:r w:rsidRPr="007B7781">
              <w:rPr>
                <w:rFonts w:ascii="Times New Roman" w:hAnsi="Times New Roman" w:cs="Times New Roman"/>
              </w:rPr>
              <w:t>, and No. of grid points in X and Y directions</w:t>
            </w:r>
          </w:p>
        </w:tc>
        <w:tc>
          <w:tcPr>
            <w:tcW w:w="4595" w:type="dxa"/>
          </w:tcPr>
          <w:p w14:paraId="53F553E4" w14:textId="77777777" w:rsidR="00597EF4" w:rsidRPr="007B7781" w:rsidRDefault="00597EF4" w:rsidP="009D547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d01: 4.5 km (3.5°N-38.15°N; 62.50°E-96.</w:t>
            </w:r>
            <w:r w:rsidRPr="007B778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7B7781">
              <w:rPr>
                <w:rFonts w:ascii="Times New Roman" w:hAnsi="Times New Roman" w:cs="Times New Roman"/>
              </w:rPr>
              <w:t>°E), 842*572 grid points</w:t>
            </w:r>
          </w:p>
          <w:p w14:paraId="53F553E5" w14:textId="77777777" w:rsidR="00597EF4" w:rsidRPr="007B7781" w:rsidRDefault="00597EF4" w:rsidP="009D547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53F553E6" w14:textId="77777777" w:rsidR="00597EF4" w:rsidRDefault="00597EF4" w:rsidP="009D54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d02: 1.5 km (11.5°N-23.7°N; 70.4°E-87.5</w:t>
            </w:r>
            <w:r w:rsidRPr="007B7781">
              <w:rPr>
                <w:rFonts w:ascii="Times New Roman" w:hAnsi="Times New Roman" w:cs="Times New Roman"/>
              </w:rPr>
              <w:t>°E), 858*1014 grid points</w:t>
            </w:r>
          </w:p>
          <w:p w14:paraId="53F553E7" w14:textId="77777777" w:rsidR="00597EF4" w:rsidRDefault="00597EF4" w:rsidP="009D547A">
            <w:pPr>
              <w:rPr>
                <w:rFonts w:ascii="Times New Roman" w:hAnsi="Times New Roman" w:cs="Times New Roman"/>
              </w:rPr>
            </w:pPr>
          </w:p>
          <w:p w14:paraId="53F553E8" w14:textId="77777777" w:rsidR="00597EF4" w:rsidRPr="00157A14" w:rsidRDefault="00597EF4" w:rsidP="009D547A">
            <w:pPr>
              <w:rPr>
                <w:rFonts w:ascii="Times New Roman" w:hAnsi="Times New Roman" w:cs="Times New Roman"/>
              </w:rPr>
            </w:pPr>
            <w:r w:rsidRPr="00157A14">
              <w:rPr>
                <w:rFonts w:ascii="Times New Roman" w:hAnsi="Times New Roman" w:cs="Times New Roman"/>
              </w:rPr>
              <w:t>d03: 0.5 km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57A14">
              <w:rPr>
                <w:rFonts w:ascii="Times New Roman" w:hAnsi="Times New Roman" w:cs="Times New Roman"/>
              </w:rPr>
              <w:t>(84.72ºE-86.99ºE and 19.27ºN-21.17ºE)</w:t>
            </w:r>
            <w:r>
              <w:rPr>
                <w:rFonts w:ascii="Times New Roman" w:hAnsi="Times New Roman" w:cs="Times New Roman"/>
              </w:rPr>
              <w:t xml:space="preserve"> 336*</w:t>
            </w:r>
            <w:r w:rsidRPr="00157A14">
              <w:rPr>
                <w:rFonts w:ascii="Times New Roman" w:hAnsi="Times New Roman" w:cs="Times New Roman"/>
              </w:rPr>
              <w:t>384 grid points</w:t>
            </w:r>
          </w:p>
        </w:tc>
      </w:tr>
      <w:tr w:rsidR="00597EF4" w:rsidRPr="00877CCC" w14:paraId="53F553EC" w14:textId="77777777" w:rsidTr="009D547A">
        <w:trPr>
          <w:trHeight w:val="252"/>
        </w:trPr>
        <w:tc>
          <w:tcPr>
            <w:tcW w:w="3197" w:type="dxa"/>
          </w:tcPr>
          <w:p w14:paraId="53F553EA" w14:textId="77777777" w:rsidR="00597EF4" w:rsidRPr="00877CCC" w:rsidRDefault="00597EF4" w:rsidP="009D547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B7781">
              <w:rPr>
                <w:rFonts w:ascii="Times New Roman" w:hAnsi="Times New Roman" w:cs="Times New Roman"/>
              </w:rPr>
              <w:t>Vertical levels</w:t>
            </w:r>
          </w:p>
        </w:tc>
        <w:tc>
          <w:tcPr>
            <w:tcW w:w="4595" w:type="dxa"/>
          </w:tcPr>
          <w:p w14:paraId="53F553EB" w14:textId="77777777" w:rsidR="00597EF4" w:rsidRPr="00877CCC" w:rsidRDefault="00597EF4" w:rsidP="009D547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B7781">
              <w:rPr>
                <w:rFonts w:ascii="Times New Roman" w:hAnsi="Times New Roman" w:cs="Times New Roman"/>
              </w:rPr>
              <w:t>45</w:t>
            </w:r>
          </w:p>
        </w:tc>
      </w:tr>
      <w:tr w:rsidR="00597EF4" w:rsidRPr="00877CCC" w14:paraId="53F553F3" w14:textId="77777777" w:rsidTr="009D547A">
        <w:trPr>
          <w:trHeight w:val="1011"/>
        </w:trPr>
        <w:tc>
          <w:tcPr>
            <w:tcW w:w="3197" w:type="dxa"/>
          </w:tcPr>
          <w:p w14:paraId="53F553ED" w14:textId="77777777" w:rsidR="00597EF4" w:rsidRDefault="00597EF4" w:rsidP="009D547A">
            <w:pPr>
              <w:jc w:val="center"/>
              <w:rPr>
                <w:rFonts w:ascii="Times New Roman" w:hAnsi="Times New Roman" w:cs="Times New Roman"/>
              </w:rPr>
            </w:pPr>
          </w:p>
          <w:p w14:paraId="53F553EE" w14:textId="77777777" w:rsidR="00597EF4" w:rsidRPr="00877CCC" w:rsidRDefault="00597EF4" w:rsidP="009D547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7CCC">
              <w:rPr>
                <w:rFonts w:ascii="Times New Roman" w:hAnsi="Times New Roman" w:cs="Times New Roman"/>
              </w:rPr>
              <w:t>Microphysics</w:t>
            </w:r>
          </w:p>
        </w:tc>
        <w:tc>
          <w:tcPr>
            <w:tcW w:w="4595" w:type="dxa"/>
          </w:tcPr>
          <w:p w14:paraId="53F553EF" w14:textId="77777777" w:rsidR="00597EF4" w:rsidRDefault="00597EF4" w:rsidP="00597E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 w:rsidRPr="00C239B6">
              <w:rPr>
                <w:rFonts w:ascii="Times New Roman" w:hAnsi="Times New Roman" w:cs="Times New Roman"/>
                <w:lang w:val="en-US"/>
              </w:rPr>
              <w:t>Ferrier (Ferrier 2000)</w:t>
            </w:r>
          </w:p>
          <w:p w14:paraId="53F553F0" w14:textId="77777777" w:rsidR="00597EF4" w:rsidRDefault="00597EF4" w:rsidP="00597E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 w:rsidRPr="00C239B6">
              <w:rPr>
                <w:rFonts w:ascii="Times New Roman" w:hAnsi="Times New Roman" w:cs="Times New Roman"/>
                <w:lang w:val="en-US"/>
              </w:rPr>
              <w:t>Lin (Lin et al. 1983)</w:t>
            </w:r>
          </w:p>
          <w:p w14:paraId="53F553F1" w14:textId="77777777" w:rsidR="00597EF4" w:rsidRDefault="00597EF4" w:rsidP="00597E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 w:rsidRPr="00C239B6">
              <w:rPr>
                <w:rFonts w:ascii="Times New Roman" w:hAnsi="Times New Roman" w:cs="Times New Roman"/>
                <w:lang w:val="en-US"/>
              </w:rPr>
              <w:t>Thompson (Thompson et al. 2008)</w:t>
            </w:r>
          </w:p>
          <w:p w14:paraId="53F553F2" w14:textId="77777777" w:rsidR="00597EF4" w:rsidRPr="00C239B6" w:rsidRDefault="00597EF4" w:rsidP="00597E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 w:rsidRPr="00C239B6">
              <w:rPr>
                <w:rFonts w:ascii="Times New Roman" w:hAnsi="Times New Roman" w:cs="Times New Roman"/>
                <w:lang w:val="en-US"/>
              </w:rPr>
              <w:t>WSM6 (Hong et al. 2006)</w:t>
            </w:r>
          </w:p>
        </w:tc>
      </w:tr>
      <w:tr w:rsidR="00597EF4" w:rsidRPr="00877CCC" w14:paraId="53F553F6" w14:textId="77777777" w:rsidTr="009D547A">
        <w:trPr>
          <w:trHeight w:val="241"/>
        </w:trPr>
        <w:tc>
          <w:tcPr>
            <w:tcW w:w="3197" w:type="dxa"/>
          </w:tcPr>
          <w:p w14:paraId="53F553F4" w14:textId="77777777" w:rsidR="00597EF4" w:rsidRPr="00877CCC" w:rsidRDefault="00597EF4" w:rsidP="009D547A">
            <w:pPr>
              <w:jc w:val="center"/>
              <w:rPr>
                <w:rFonts w:ascii="Times New Roman" w:hAnsi="Times New Roman" w:cs="Times New Roman"/>
              </w:rPr>
            </w:pPr>
            <w:r w:rsidRPr="00877CCC">
              <w:rPr>
                <w:rFonts w:ascii="Times New Roman" w:hAnsi="Times New Roman" w:cs="Times New Roman"/>
              </w:rPr>
              <w:t>Surface layer physics</w:t>
            </w:r>
          </w:p>
        </w:tc>
        <w:tc>
          <w:tcPr>
            <w:tcW w:w="4595" w:type="dxa"/>
          </w:tcPr>
          <w:p w14:paraId="53F553F5" w14:textId="77777777" w:rsidR="00597EF4" w:rsidRPr="00877CCC" w:rsidRDefault="00597EF4" w:rsidP="009D547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877CCC">
              <w:rPr>
                <w:rFonts w:ascii="Times New Roman" w:hAnsi="Times New Roman" w:cs="Times New Roman"/>
                <w:lang w:val="en-US"/>
              </w:rPr>
              <w:t>M</w:t>
            </w:r>
            <w:r>
              <w:rPr>
                <w:rFonts w:ascii="Times New Roman" w:hAnsi="Times New Roman" w:cs="Times New Roman"/>
                <w:lang w:val="en-US"/>
              </w:rPr>
              <w:t>odified MM5</w:t>
            </w:r>
            <w:r w:rsidRPr="00877CCC">
              <w:rPr>
                <w:rFonts w:ascii="Times New Roman" w:hAnsi="Times New Roman" w:cs="Times New Roman"/>
                <w:lang w:val="en-US"/>
              </w:rPr>
              <w:t xml:space="preserve"> (Jimenez et al., 2012)</w:t>
            </w:r>
          </w:p>
        </w:tc>
      </w:tr>
      <w:tr w:rsidR="00597EF4" w:rsidRPr="00877CCC" w14:paraId="53F553FA" w14:textId="77777777" w:rsidTr="009D547A">
        <w:trPr>
          <w:trHeight w:val="332"/>
        </w:trPr>
        <w:tc>
          <w:tcPr>
            <w:tcW w:w="3197" w:type="dxa"/>
          </w:tcPr>
          <w:p w14:paraId="53F553F7" w14:textId="77777777" w:rsidR="00597EF4" w:rsidRPr="00877CCC" w:rsidRDefault="00597EF4" w:rsidP="009D547A">
            <w:pPr>
              <w:jc w:val="center"/>
              <w:rPr>
                <w:rFonts w:ascii="Times New Roman" w:hAnsi="Times New Roman" w:cs="Times New Roman"/>
              </w:rPr>
            </w:pPr>
            <w:r w:rsidRPr="00877CCC">
              <w:rPr>
                <w:rFonts w:ascii="Times New Roman" w:hAnsi="Times New Roman" w:cs="Times New Roman"/>
              </w:rPr>
              <w:t>Land surface Physics</w:t>
            </w:r>
          </w:p>
        </w:tc>
        <w:tc>
          <w:tcPr>
            <w:tcW w:w="4595" w:type="dxa"/>
          </w:tcPr>
          <w:p w14:paraId="53F553F8" w14:textId="77777777" w:rsidR="00597EF4" w:rsidRPr="00C239B6" w:rsidRDefault="00597EF4" w:rsidP="00597EF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39B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Noah (Tewari et al., 2004)</w:t>
            </w:r>
          </w:p>
          <w:p w14:paraId="53F553F9" w14:textId="77777777" w:rsidR="00597EF4" w:rsidRPr="00C239B6" w:rsidRDefault="00597EF4" w:rsidP="00597EF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39B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Noah-MP (Niu et al. 2011, Yang et al. 2011)</w:t>
            </w:r>
          </w:p>
        </w:tc>
      </w:tr>
      <w:tr w:rsidR="00597EF4" w:rsidRPr="00877CCC" w14:paraId="53F553FD" w14:textId="77777777" w:rsidTr="009D547A">
        <w:trPr>
          <w:trHeight w:val="252"/>
        </w:trPr>
        <w:tc>
          <w:tcPr>
            <w:tcW w:w="3197" w:type="dxa"/>
          </w:tcPr>
          <w:p w14:paraId="53F553FB" w14:textId="77777777" w:rsidR="00597EF4" w:rsidRPr="00877CCC" w:rsidRDefault="00597EF4" w:rsidP="009D547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7CCC">
              <w:rPr>
                <w:rFonts w:ascii="Times New Roman" w:hAnsi="Times New Roman" w:cs="Times New Roman"/>
              </w:rPr>
              <w:t>PBL</w:t>
            </w:r>
          </w:p>
        </w:tc>
        <w:tc>
          <w:tcPr>
            <w:tcW w:w="4595" w:type="dxa"/>
          </w:tcPr>
          <w:p w14:paraId="53F553FC" w14:textId="77777777" w:rsidR="00597EF4" w:rsidRPr="00C239B6" w:rsidRDefault="00597EF4" w:rsidP="009D547A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77CCC">
              <w:rPr>
                <w:rFonts w:ascii="Times New Roman" w:hAnsi="Times New Roman" w:cs="Times New Roman"/>
                <w:color w:val="000000" w:themeColor="text1"/>
              </w:rPr>
              <w:t>BouLac</w:t>
            </w:r>
            <w:proofErr w:type="spellEnd"/>
            <w:r w:rsidRPr="00877CCC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proofErr w:type="spellStart"/>
            <w:r w:rsidRPr="00877CCC">
              <w:rPr>
                <w:rFonts w:ascii="Times New Roman" w:hAnsi="Times New Roman" w:cs="Times New Roman"/>
                <w:color w:val="000000" w:themeColor="text1"/>
              </w:rPr>
              <w:t>Bougeault</w:t>
            </w:r>
            <w:proofErr w:type="spellEnd"/>
            <w:r w:rsidRPr="00877CCC">
              <w:rPr>
                <w:rFonts w:ascii="Times New Roman" w:hAnsi="Times New Roman" w:cs="Times New Roman"/>
                <w:color w:val="000000" w:themeColor="text1"/>
              </w:rPr>
              <w:t xml:space="preserve"> and </w:t>
            </w:r>
            <w:proofErr w:type="spellStart"/>
            <w:r w:rsidRPr="00877CCC">
              <w:rPr>
                <w:rFonts w:ascii="Times New Roman" w:hAnsi="Times New Roman" w:cs="Times New Roman"/>
                <w:color w:val="000000" w:themeColor="text1"/>
              </w:rPr>
              <w:t>Lacarrere</w:t>
            </w:r>
            <w:proofErr w:type="spellEnd"/>
            <w:r w:rsidRPr="00877CCC">
              <w:rPr>
                <w:rFonts w:ascii="Times New Roman" w:hAnsi="Times New Roman" w:cs="Times New Roman"/>
                <w:color w:val="000000" w:themeColor="text1"/>
              </w:rPr>
              <w:t>, 1989)</w:t>
            </w:r>
          </w:p>
        </w:tc>
      </w:tr>
      <w:tr w:rsidR="00597EF4" w:rsidRPr="00877CCC" w14:paraId="53F55404" w14:textId="77777777" w:rsidTr="009D547A">
        <w:trPr>
          <w:trHeight w:val="1264"/>
        </w:trPr>
        <w:tc>
          <w:tcPr>
            <w:tcW w:w="3197" w:type="dxa"/>
          </w:tcPr>
          <w:p w14:paraId="53F553FE" w14:textId="77777777" w:rsidR="00597EF4" w:rsidRDefault="00597EF4" w:rsidP="009D547A">
            <w:pPr>
              <w:jc w:val="center"/>
              <w:rPr>
                <w:rFonts w:ascii="Times New Roman" w:hAnsi="Times New Roman" w:cs="Times New Roman"/>
              </w:rPr>
            </w:pPr>
          </w:p>
          <w:p w14:paraId="53F553FF" w14:textId="77777777" w:rsidR="00597EF4" w:rsidRPr="00877CCC" w:rsidRDefault="00597EF4" w:rsidP="009D547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7CCC">
              <w:rPr>
                <w:rFonts w:ascii="Times New Roman" w:hAnsi="Times New Roman" w:cs="Times New Roman"/>
              </w:rPr>
              <w:t>Cumulus</w:t>
            </w:r>
          </w:p>
        </w:tc>
        <w:tc>
          <w:tcPr>
            <w:tcW w:w="4595" w:type="dxa"/>
          </w:tcPr>
          <w:p w14:paraId="53F55400" w14:textId="77777777" w:rsidR="00597EF4" w:rsidRDefault="00597EF4" w:rsidP="00597EF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 cumulus</w:t>
            </w:r>
          </w:p>
          <w:p w14:paraId="53F55401" w14:textId="77777777" w:rsidR="00597EF4" w:rsidRDefault="00597EF4" w:rsidP="00597EF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 w:rsidRPr="00C239B6">
              <w:rPr>
                <w:rFonts w:ascii="Times New Roman" w:hAnsi="Times New Roman" w:cs="Times New Roman"/>
                <w:lang w:val="en-US"/>
              </w:rPr>
              <w:t>Kain-Fritsch (Kain 2004)</w:t>
            </w:r>
          </w:p>
          <w:p w14:paraId="53F55402" w14:textId="77777777" w:rsidR="00597EF4" w:rsidRDefault="00597EF4" w:rsidP="00597EF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 w:rsidRPr="00C239B6">
              <w:rPr>
                <w:rFonts w:ascii="Times New Roman" w:hAnsi="Times New Roman" w:cs="Times New Roman"/>
                <w:lang w:val="en-US"/>
              </w:rPr>
              <w:t>Betts-Miller-Janjic (Janjic et al. 1994)</w:t>
            </w:r>
          </w:p>
          <w:p w14:paraId="53F55403" w14:textId="77777777" w:rsidR="00597EF4" w:rsidRPr="00C239B6" w:rsidRDefault="00597EF4" w:rsidP="00597EF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 w:rsidRPr="00C239B6">
              <w:rPr>
                <w:rFonts w:ascii="Times New Roman" w:hAnsi="Times New Roman" w:cs="Times New Roman"/>
                <w:lang w:val="en-US"/>
              </w:rPr>
              <w:t>Multi-Scale Kain-Fritsch (Zheng et al. 2016, Glotfelty et al. 2019)</w:t>
            </w:r>
          </w:p>
        </w:tc>
      </w:tr>
      <w:tr w:rsidR="00597EF4" w:rsidRPr="00877CCC" w14:paraId="53F55407" w14:textId="77777777" w:rsidTr="009D547A">
        <w:trPr>
          <w:trHeight w:val="747"/>
        </w:trPr>
        <w:tc>
          <w:tcPr>
            <w:tcW w:w="3197" w:type="dxa"/>
          </w:tcPr>
          <w:p w14:paraId="53F55405" w14:textId="77777777" w:rsidR="00597EF4" w:rsidRPr="00877CCC" w:rsidRDefault="00597EF4" w:rsidP="009D547A">
            <w:pPr>
              <w:jc w:val="center"/>
              <w:rPr>
                <w:rFonts w:ascii="Times New Roman" w:hAnsi="Times New Roman" w:cs="Times New Roman"/>
              </w:rPr>
            </w:pPr>
            <w:r w:rsidRPr="00877CCC">
              <w:rPr>
                <w:rFonts w:ascii="Times New Roman" w:hAnsi="Times New Roman" w:cs="Times New Roman"/>
              </w:rPr>
              <w:t>Radiation physics</w:t>
            </w:r>
          </w:p>
        </w:tc>
        <w:tc>
          <w:tcPr>
            <w:tcW w:w="4595" w:type="dxa"/>
          </w:tcPr>
          <w:p w14:paraId="53F55406" w14:textId="77777777" w:rsidR="00597EF4" w:rsidRPr="00C239B6" w:rsidRDefault="00597EF4" w:rsidP="009D547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C239B6">
              <w:rPr>
                <w:rFonts w:ascii="Times New Roman" w:hAnsi="Times New Roman" w:cs="Times New Roman"/>
                <w:lang w:val="en-US"/>
              </w:rPr>
              <w:t xml:space="preserve">Rapid Radiative Transfer </w:t>
            </w:r>
            <w:r>
              <w:rPr>
                <w:rFonts w:ascii="Times New Roman" w:hAnsi="Times New Roman" w:cs="Times New Roman"/>
                <w:lang w:val="en-US"/>
              </w:rPr>
              <w:t>Model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Mlawer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et al. 1997) for l</w:t>
            </w:r>
            <w:r w:rsidRPr="00C239B6">
              <w:rPr>
                <w:rFonts w:ascii="Times New Roman" w:hAnsi="Times New Roman" w:cs="Times New Roman"/>
                <w:lang w:val="en-US"/>
              </w:rPr>
              <w:t>ongwave</w:t>
            </w:r>
            <w:r>
              <w:rPr>
                <w:rFonts w:ascii="Times New Roman" w:hAnsi="Times New Roman" w:cs="Times New Roman"/>
                <w:lang w:val="en-US"/>
              </w:rPr>
              <w:t>, Goddard (Chou et al. 1994) for s</w:t>
            </w:r>
            <w:r w:rsidRPr="00C239B6">
              <w:rPr>
                <w:rFonts w:ascii="Times New Roman" w:hAnsi="Times New Roman" w:cs="Times New Roman"/>
                <w:lang w:val="en-US"/>
              </w:rPr>
              <w:t>hortwave</w:t>
            </w:r>
          </w:p>
        </w:tc>
      </w:tr>
      <w:tr w:rsidR="00597EF4" w:rsidRPr="00877CCC" w14:paraId="53F5540A" w14:textId="77777777" w:rsidTr="009D547A">
        <w:trPr>
          <w:trHeight w:val="252"/>
        </w:trPr>
        <w:tc>
          <w:tcPr>
            <w:tcW w:w="3197" w:type="dxa"/>
          </w:tcPr>
          <w:p w14:paraId="53F55408" w14:textId="77777777" w:rsidR="00597EF4" w:rsidRPr="00877CCC" w:rsidRDefault="00597EF4" w:rsidP="009D547A">
            <w:pPr>
              <w:jc w:val="center"/>
              <w:rPr>
                <w:rFonts w:ascii="Times New Roman" w:hAnsi="Times New Roman" w:cs="Times New Roman"/>
              </w:rPr>
            </w:pPr>
            <w:r w:rsidRPr="00877CCC">
              <w:rPr>
                <w:rFonts w:ascii="Times New Roman" w:hAnsi="Times New Roman" w:cs="Times New Roman"/>
              </w:rPr>
              <w:t>Urban physics</w:t>
            </w:r>
          </w:p>
        </w:tc>
        <w:tc>
          <w:tcPr>
            <w:tcW w:w="4595" w:type="dxa"/>
          </w:tcPr>
          <w:p w14:paraId="53F55409" w14:textId="77777777" w:rsidR="00597EF4" w:rsidRPr="00313827" w:rsidRDefault="00597EF4" w:rsidP="009D547A">
            <w:pPr>
              <w:jc w:val="both"/>
              <w:rPr>
                <w:rFonts w:ascii="Times New Roman" w:hAnsi="Times New Roman" w:cs="Times New Roman"/>
              </w:rPr>
            </w:pPr>
            <w:r w:rsidRPr="00313827">
              <w:rPr>
                <w:rFonts w:ascii="Times New Roman" w:hAnsi="Times New Roman" w:cs="Times New Roman"/>
              </w:rPr>
              <w:t>No Urban physics</w:t>
            </w:r>
          </w:p>
        </w:tc>
      </w:tr>
      <w:tr w:rsidR="00597EF4" w:rsidRPr="00877CCC" w14:paraId="53F5540D" w14:textId="77777777" w:rsidTr="009D547A">
        <w:trPr>
          <w:trHeight w:val="252"/>
        </w:trPr>
        <w:tc>
          <w:tcPr>
            <w:tcW w:w="3197" w:type="dxa"/>
          </w:tcPr>
          <w:p w14:paraId="53F5540B" w14:textId="77777777" w:rsidR="00597EF4" w:rsidRPr="00877CCC" w:rsidRDefault="00597EF4" w:rsidP="009D547A">
            <w:pPr>
              <w:jc w:val="center"/>
              <w:rPr>
                <w:rFonts w:ascii="Times New Roman" w:hAnsi="Times New Roman" w:cs="Times New Roman"/>
              </w:rPr>
            </w:pPr>
            <w:r w:rsidRPr="00877CCC">
              <w:rPr>
                <w:rFonts w:ascii="Times New Roman" w:hAnsi="Times New Roman" w:cs="Times New Roman"/>
              </w:rPr>
              <w:t>LULC</w:t>
            </w:r>
          </w:p>
        </w:tc>
        <w:tc>
          <w:tcPr>
            <w:tcW w:w="4595" w:type="dxa"/>
          </w:tcPr>
          <w:p w14:paraId="53F5540C" w14:textId="77777777" w:rsidR="00597EF4" w:rsidRPr="00877CCC" w:rsidRDefault="00597EF4" w:rsidP="009D54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ISRO 2019 30s</w:t>
            </w:r>
          </w:p>
        </w:tc>
      </w:tr>
    </w:tbl>
    <w:p w14:paraId="53F5540E" w14:textId="77777777" w:rsidR="00597EF4" w:rsidRDefault="00597EF4" w:rsidP="00597EF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53F5540F" w14:textId="77777777" w:rsidR="00597EF4" w:rsidRPr="00012F2D" w:rsidRDefault="00597EF4" w:rsidP="00597EF4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53F55410" w14:textId="44261F56" w:rsidR="00597EF4" w:rsidRPr="00791379" w:rsidRDefault="008E0D34" w:rsidP="00597EF4"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F55416" wp14:editId="2BA39473">
                <wp:simplePos x="0" y="0"/>
                <wp:positionH relativeFrom="column">
                  <wp:posOffset>2128723</wp:posOffset>
                </wp:positionH>
                <wp:positionV relativeFrom="paragraph">
                  <wp:posOffset>1265530</wp:posOffset>
                </wp:positionV>
                <wp:extent cx="1060145" cy="746150"/>
                <wp:effectExtent l="0" t="0" r="83185" b="5397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0145" cy="746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6C695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167.6pt;margin-top:99.65pt;width:83.5pt;height:5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" strokecolor="red" strokeweight="1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F55418" wp14:editId="5FF368EB">
                <wp:simplePos x="0" y="0"/>
                <wp:positionH relativeFrom="column">
                  <wp:posOffset>2136038</wp:posOffset>
                </wp:positionH>
                <wp:positionV relativeFrom="paragraph">
                  <wp:posOffset>402336</wp:posOffset>
                </wp:positionV>
                <wp:extent cx="1053389" cy="746100"/>
                <wp:effectExtent l="0" t="38100" r="52070" b="3556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53389" cy="746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28DDB" id="Straight Arrow Connector 4" o:spid="_x0000_s1026" type="#_x0000_t32" style="position:absolute;margin-left:168.2pt;margin-top:31.7pt;width:82.95pt;height:58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" strokecolor="red" strokeweight="1.5pt">
                <v:stroke endarrow="block" joinstyle="miter"/>
              </v:shape>
            </w:pict>
          </mc:Fallback>
        </mc:AlternateContent>
      </w:r>
      <w:r w:rsidR="00597EF4" w:rsidRPr="00926A73">
        <w:rPr>
          <w:rFonts w:ascii="Times New Roman" w:hAnsi="Times New Roman" w:cs="Times New Roman"/>
          <w:noProof/>
          <w:color w:val="000000" w:themeColor="text1"/>
          <w:lang w:eastAsia="en-IN"/>
        </w:rPr>
        <w:drawing>
          <wp:inline distT="0" distB="0" distL="0" distR="0" wp14:anchorId="53F5541A" wp14:editId="3D82D4D2">
            <wp:extent cx="5314208" cy="2553387"/>
            <wp:effectExtent l="0" t="0" r="1270" b="0"/>
            <wp:docPr id="3" name="Picture 3" descr="D:\boyaj\box\four_combin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oyaj\box\four_combination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76" b="10167"/>
                    <a:stretch/>
                  </pic:blipFill>
                  <pic:spPr bwMode="auto">
                    <a:xfrm>
                      <a:off x="0" y="0"/>
                      <a:ext cx="5337268" cy="2564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F55411" w14:textId="77777777" w:rsidR="00597EF4" w:rsidRDefault="00597EF4" w:rsidP="00597EF4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24CFF">
        <w:rPr>
          <w:rFonts w:ascii="Times New Roman" w:hAnsi="Times New Roman" w:cs="Times New Roman"/>
          <w:color w:val="000000" w:themeColor="text1"/>
        </w:rPr>
        <w:t>Figure S1. (a) shows t</w:t>
      </w:r>
      <w:r>
        <w:rPr>
          <w:rFonts w:ascii="Times New Roman" w:hAnsi="Times New Roman" w:cs="Times New Roman"/>
          <w:color w:val="000000" w:themeColor="text1"/>
        </w:rPr>
        <w:t>he domain configuration. The black, dark-orange, and red boxes represent Domains 1,</w:t>
      </w:r>
      <w:r w:rsidRPr="00D24CFF">
        <w:rPr>
          <w:rFonts w:ascii="Times New Roman" w:hAnsi="Times New Roman" w:cs="Times New Roman"/>
          <w:color w:val="000000" w:themeColor="text1"/>
        </w:rPr>
        <w:t xml:space="preserve"> 2</w:t>
      </w:r>
      <w:r>
        <w:rPr>
          <w:rFonts w:ascii="Times New Roman" w:hAnsi="Times New Roman" w:cs="Times New Roman"/>
          <w:color w:val="000000" w:themeColor="text1"/>
        </w:rPr>
        <w:t xml:space="preserve">, and 3 (D01, </w:t>
      </w:r>
      <w:r w:rsidRPr="00D24CFF">
        <w:rPr>
          <w:rFonts w:ascii="Times New Roman" w:hAnsi="Times New Roman" w:cs="Times New Roman"/>
          <w:color w:val="000000" w:themeColor="text1"/>
        </w:rPr>
        <w:t>D02</w:t>
      </w:r>
      <w:r>
        <w:rPr>
          <w:rFonts w:ascii="Times New Roman" w:hAnsi="Times New Roman" w:cs="Times New Roman"/>
          <w:color w:val="000000" w:themeColor="text1"/>
        </w:rPr>
        <w:t>, and DO3) which have 4.5,</w:t>
      </w:r>
      <w:r w:rsidRPr="00D24CFF">
        <w:rPr>
          <w:rFonts w:ascii="Times New Roman" w:hAnsi="Times New Roman" w:cs="Times New Roman"/>
          <w:color w:val="000000" w:themeColor="text1"/>
        </w:rPr>
        <w:t xml:space="preserve"> 1.5</w:t>
      </w:r>
      <w:r>
        <w:rPr>
          <w:rFonts w:ascii="Times New Roman" w:hAnsi="Times New Roman" w:cs="Times New Roman"/>
          <w:color w:val="000000" w:themeColor="text1"/>
        </w:rPr>
        <w:t>, and 0.5</w:t>
      </w:r>
      <w:r w:rsidRPr="00D24CFF">
        <w:rPr>
          <w:rFonts w:ascii="Times New Roman" w:hAnsi="Times New Roman" w:cs="Times New Roman"/>
          <w:color w:val="000000" w:themeColor="text1"/>
        </w:rPr>
        <w:t xml:space="preserve"> km horizontal resolution, respectively. The black dot with a red edge indicates the location of the city of Bhubaneswar. The shaded </w:t>
      </w:r>
      <w:proofErr w:type="spellStart"/>
      <w:r w:rsidRPr="00D24CFF">
        <w:rPr>
          <w:rFonts w:ascii="Times New Roman" w:hAnsi="Times New Roman" w:cs="Times New Roman"/>
          <w:color w:val="000000" w:themeColor="text1"/>
        </w:rPr>
        <w:t>colors</w:t>
      </w:r>
      <w:proofErr w:type="spellEnd"/>
      <w:r w:rsidRPr="00D24CFF">
        <w:rPr>
          <w:rFonts w:ascii="Times New Roman" w:hAnsi="Times New Roman" w:cs="Times New Roman"/>
          <w:color w:val="000000" w:themeColor="text1"/>
        </w:rPr>
        <w:t xml:space="preserve"> represent the te</w:t>
      </w:r>
      <w:r>
        <w:rPr>
          <w:rFonts w:ascii="Times New Roman" w:hAnsi="Times New Roman" w:cs="Times New Roman"/>
          <w:color w:val="000000" w:themeColor="text1"/>
        </w:rPr>
        <w:t>rrain height (m). The black polygon line</w:t>
      </w:r>
      <w:r w:rsidRPr="00D24CFF">
        <w:rPr>
          <w:rFonts w:ascii="Times New Roman" w:hAnsi="Times New Roman" w:cs="Times New Roman"/>
          <w:color w:val="000000" w:themeColor="text1"/>
        </w:rPr>
        <w:t xml:space="preserve"> on the figu</w:t>
      </w:r>
      <w:r>
        <w:rPr>
          <w:rFonts w:ascii="Times New Roman" w:hAnsi="Times New Roman" w:cs="Times New Roman"/>
          <w:color w:val="000000" w:themeColor="text1"/>
        </w:rPr>
        <w:t>re on the right (b) displays</w:t>
      </w:r>
      <w:r w:rsidRPr="00D24CFF">
        <w:rPr>
          <w:rFonts w:ascii="Times New Roman" w:hAnsi="Times New Roman" w:cs="Times New Roman"/>
          <w:color w:val="000000" w:themeColor="text1"/>
        </w:rPr>
        <w:t xml:space="preserve"> the city of Bhubaneswar.</w:t>
      </w:r>
    </w:p>
    <w:p w14:paraId="53F55412" w14:textId="77777777" w:rsidR="00597EF4" w:rsidRDefault="00597EF4" w:rsidP="00597EF4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3F55413" w14:textId="77777777" w:rsidR="00597EF4" w:rsidRDefault="00597EF4" w:rsidP="00597EF4">
      <w:pPr>
        <w:spacing w:line="24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en-IN"/>
        </w:rPr>
        <w:drawing>
          <wp:inline distT="0" distB="0" distL="0" distR="0" wp14:anchorId="53F5541C" wp14:editId="53F5541D">
            <wp:extent cx="5296395" cy="318311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383" cy="3189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F55414" w14:textId="77777777" w:rsidR="00597EF4" w:rsidRDefault="00597EF4" w:rsidP="00597EF4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Figure S2</w:t>
      </w:r>
      <w:r w:rsidRPr="00E1129D">
        <w:rPr>
          <w:rFonts w:ascii="Times New Roman" w:hAnsi="Times New Roman" w:cs="Times New Roman"/>
          <w:color w:val="000000" w:themeColor="text1"/>
        </w:rPr>
        <w:t>. Spatial distribution of conve</w:t>
      </w:r>
      <w:r>
        <w:rPr>
          <w:rFonts w:ascii="Times New Roman" w:hAnsi="Times New Roman" w:cs="Times New Roman"/>
          <w:color w:val="000000" w:themeColor="text1"/>
        </w:rPr>
        <w:t>ctive inhibition (CINE</w:t>
      </w:r>
      <w:r w:rsidRPr="00E1129D">
        <w:rPr>
          <w:rFonts w:ascii="Times New Roman" w:hAnsi="Times New Roman" w:cs="Times New Roman"/>
          <w:color w:val="000000" w:themeColor="text1"/>
        </w:rPr>
        <w:t xml:space="preserve"> (J/kg)) for the four best model combinations (b-e) and the ERA5 reanalysis dataset (a). The red circle indicates the study region of Bhubaneswar city.</w:t>
      </w:r>
    </w:p>
    <w:p w14:paraId="53F55415" w14:textId="77777777" w:rsidR="001F6093" w:rsidRDefault="001F6093"/>
    <w:sectPr w:rsidR="001F60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A51616"/>
    <w:multiLevelType w:val="hybridMultilevel"/>
    <w:tmpl w:val="4F3C2A80"/>
    <w:lvl w:ilvl="0" w:tplc="3F1456E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79158D"/>
    <w:multiLevelType w:val="hybridMultilevel"/>
    <w:tmpl w:val="AB3EE66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9B102C"/>
    <w:multiLevelType w:val="hybridMultilevel"/>
    <w:tmpl w:val="1E1EEB2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652445">
    <w:abstractNumId w:val="1"/>
  </w:num>
  <w:num w:numId="2" w16cid:durableId="652949331">
    <w:abstractNumId w:val="0"/>
  </w:num>
  <w:num w:numId="3" w16cid:durableId="1939176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69F"/>
    <w:rsid w:val="00172179"/>
    <w:rsid w:val="001F6093"/>
    <w:rsid w:val="00597EF4"/>
    <w:rsid w:val="008E0D34"/>
    <w:rsid w:val="00B2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553D6"/>
  <w15:chartTrackingRefBased/>
  <w15:docId w15:val="{29F09437-B14D-4DC5-86CA-A4D0A8828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EF4"/>
    <w:rPr>
      <w:rFonts w:ascii="Calibri" w:eastAsiaTheme="minorEastAsia" w:hAnsi="Calibri" w:cs="Calibri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7EF4"/>
    <w:pPr>
      <w:ind w:left="720"/>
      <w:contextualSpacing/>
    </w:pPr>
  </w:style>
  <w:style w:type="paragraph" w:styleId="NoSpacing">
    <w:name w:val="No Spacing"/>
    <w:uiPriority w:val="1"/>
    <w:qFormat/>
    <w:rsid w:val="00597EF4"/>
    <w:pPr>
      <w:spacing w:after="0" w:line="240" w:lineRule="auto"/>
    </w:pPr>
    <w:rPr>
      <w:rFonts w:ascii="Calibri" w:eastAsiaTheme="minorEastAsia" w:hAnsi="Calibri" w:cs="Calibri"/>
      <w:kern w:val="2"/>
      <w:sz w:val="24"/>
      <w:szCs w:val="24"/>
      <w14:ligatures w14:val="standardContextual"/>
    </w:rPr>
  </w:style>
  <w:style w:type="table" w:customStyle="1" w:styleId="TableGrid2">
    <w:name w:val="Table Grid2"/>
    <w:basedOn w:val="TableNormal"/>
    <w:next w:val="TableGrid"/>
    <w:uiPriority w:val="39"/>
    <w:rsid w:val="00597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97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Alugula Boyaj</cp:lastModifiedBy>
  <cp:revision>3</cp:revision>
  <dcterms:created xsi:type="dcterms:W3CDTF">2024-11-17T08:25:00Z</dcterms:created>
  <dcterms:modified xsi:type="dcterms:W3CDTF">2024-11-20T09:16:00Z</dcterms:modified>
</cp:coreProperties>
</file>