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157" w:rsidRPr="00E637C9" w:rsidRDefault="00E637C9">
      <w:pPr>
        <w:pStyle w:val="Title"/>
        <w:rPr>
          <w:color w:val="000000" w:themeColor="text1"/>
        </w:rPr>
      </w:pPr>
      <w:r w:rsidRPr="00E637C9">
        <w:rPr>
          <w:color w:val="000000" w:themeColor="text1"/>
        </w:rPr>
        <w:t>Appendices B, C, D, E and K</w:t>
      </w:r>
    </w:p>
    <w:p w:rsidR="00AF7157" w:rsidRPr="00E637C9" w:rsidRDefault="00E637C9">
      <w:pPr>
        <w:rPr>
          <w:color w:val="000000" w:themeColor="text1"/>
        </w:rPr>
      </w:pPr>
      <w:r w:rsidRPr="00E637C9">
        <w:rPr>
          <w:b/>
          <w:color w:val="000000" w:themeColor="text1"/>
        </w:rPr>
        <w:t>Research on Edge-Intelligent IoT Collaborative Perception and Adaptive Spatial Design Optimization for Urban Digital Twins</w:t>
      </w:r>
    </w:p>
    <w:p w:rsidR="00AF7157" w:rsidRPr="00E637C9" w:rsidRDefault="00E637C9">
      <w:pPr>
        <w:pStyle w:val="Heading1"/>
        <w:rPr>
          <w:color w:val="000000" w:themeColor="text1"/>
        </w:rPr>
      </w:pPr>
      <w:r w:rsidRPr="00E637C9">
        <w:rPr>
          <w:color w:val="000000" w:themeColor="text1"/>
        </w:rPr>
        <w:t>Appendix B. Supplementary Notation and Evaluation Definitions</w:t>
      </w:r>
    </w:p>
    <w:p w:rsidR="00AF7157" w:rsidRPr="00E637C9" w:rsidRDefault="00E637C9">
      <w:pPr>
        <w:pStyle w:val="Heading2"/>
        <w:rPr>
          <w:color w:val="000000" w:themeColor="text1"/>
        </w:rPr>
      </w:pPr>
      <w:r w:rsidRPr="00E637C9">
        <w:rPr>
          <w:color w:val="000000" w:themeColor="text1"/>
        </w:rPr>
        <w:t xml:space="preserve">B.1 State, communication and feedback </w:t>
      </w:r>
      <w:r w:rsidRPr="00E637C9">
        <w:rPr>
          <w:color w:val="000000" w:themeColor="text1"/>
        </w:rPr>
        <w:t>variables</w:t>
      </w:r>
    </w:p>
    <w:p w:rsidR="00AF7157" w:rsidRPr="00E637C9" w:rsidRDefault="00E637C9">
      <w:pPr>
        <w:keepNext/>
        <w:spacing w:after="100"/>
        <w:rPr>
          <w:color w:val="000000" w:themeColor="text1"/>
        </w:rPr>
      </w:pPr>
      <w:r w:rsidRPr="00E637C9">
        <w:rPr>
          <w:b/>
          <w:color w:val="000000" w:themeColor="text1"/>
        </w:rPr>
        <w:t>Table B1. Supplementary notation.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77"/>
        <w:gridCol w:w="7416"/>
      </w:tblGrid>
      <w:tr w:rsidR="00E637C9" w:rsidRPr="00E637C9">
        <w:trPr>
          <w:cantSplit/>
          <w:tblHeader/>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Symbol</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Meaning</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Q(t), </w:t>
            </w:r>
            <w:proofErr w:type="spellStart"/>
            <w:r w:rsidRPr="00E637C9">
              <w:rPr>
                <w:color w:val="000000" w:themeColor="text1"/>
                <w:sz w:val="20"/>
              </w:rPr>
              <w:t>Qsel</w:t>
            </w:r>
            <w:proofErr w:type="spellEnd"/>
            <w:r w:rsidRPr="00E637C9">
              <w:rPr>
                <w:color w:val="000000" w:themeColor="text1"/>
                <w:sz w:val="20"/>
              </w:rPr>
              <w:t>(t)</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Candidate query set and selected query set at step t.</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qᵢ(t), rᵢ(t), mᵢ(t)</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Query, predicted communication utility, and binary selection indicator.</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bᵢ(t), B(t), C(t)</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Encoded query </w:t>
            </w:r>
            <w:r w:rsidRPr="00E637C9">
              <w:rPr>
                <w:color w:val="000000" w:themeColor="text1"/>
                <w:sz w:val="20"/>
              </w:rPr>
              <w:t>payload in bits, total communication budget in bits, and measured aggregate payload in Mb.</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T(t), S(t), </w:t>
            </w:r>
            <w:proofErr w:type="spellStart"/>
            <w:r w:rsidRPr="00E637C9">
              <w:rPr>
                <w:color w:val="000000" w:themeColor="text1"/>
                <w:sz w:val="20"/>
              </w:rPr>
              <w:t>Gurban</w:t>
            </w:r>
            <w:proofErr w:type="spellEnd"/>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Twin state, semantic Gaussian set, and urban structural graph.</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αᵢⱼ(t), Ω(t)</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Query–Gaussian matching weight and event-affected update region.</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hᵣ</w:t>
            </w:r>
            <w:r w:rsidRPr="00E637C9">
              <w:rPr>
                <w:color w:val="000000" w:themeColor="text1"/>
                <w:sz w:val="20"/>
              </w:rPr>
              <w:t>(t), zᵣ(t), ρᵣ(t)</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Urban-unit representation, c</w:t>
            </w:r>
            <w:bookmarkStart w:id="0" w:name="_GoBack"/>
            <w:bookmarkEnd w:id="0"/>
            <w:r w:rsidRPr="00E637C9">
              <w:rPr>
                <w:color w:val="000000" w:themeColor="text1"/>
                <w:sz w:val="20"/>
              </w:rPr>
              <w:t>onstrained feedback variable, and propagated spatial sensitivity.</w:t>
            </w:r>
          </w:p>
        </w:tc>
      </w:tr>
      <w:tr w:rsidR="00E637C9"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proofErr w:type="spellStart"/>
            <w:r w:rsidRPr="00E637C9">
              <w:rPr>
                <w:color w:val="000000" w:themeColor="text1"/>
                <w:sz w:val="20"/>
              </w:rPr>
              <w:t>Etwin</w:t>
            </w:r>
            <w:proofErr w:type="spellEnd"/>
            <w:r w:rsidRPr="00E637C9">
              <w:rPr>
                <w:color w:val="000000" w:themeColor="text1"/>
                <w:sz w:val="20"/>
              </w:rPr>
              <w:t>(t), J(t)</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Normalized twin-state error and protocol-defined spatial objective.</w:t>
            </w:r>
          </w:p>
        </w:tc>
      </w:tr>
      <w:tr w:rsidR="00AF7157" w:rsidRPr="00E637C9">
        <w:trPr>
          <w:cantSplit/>
          <w:jc w:val="center"/>
        </w:trPr>
        <w:tc>
          <w:tcPr>
            <w:tcW w:w="247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ω, w, η</w:t>
            </w:r>
          </w:p>
        </w:tc>
        <w:tc>
          <w:tcPr>
            <w:tcW w:w="741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Twin-error weights, spatial-objective weights, and </w:t>
            </w:r>
            <w:r w:rsidRPr="00E637C9">
              <w:rPr>
                <w:color w:val="000000" w:themeColor="text1"/>
                <w:sz w:val="20"/>
              </w:rPr>
              <w:t>DSCE mixture weights; distinct from training-loss weights.</w:t>
            </w:r>
          </w:p>
        </w:tc>
      </w:tr>
    </w:tbl>
    <w:p w:rsidR="00AF7157" w:rsidRPr="00E637C9" w:rsidRDefault="00AF7157">
      <w:pPr>
        <w:spacing w:after="0"/>
        <w:rPr>
          <w:color w:val="000000" w:themeColor="text1"/>
        </w:rPr>
      </w:pPr>
    </w:p>
    <w:p w:rsidR="00AF7157" w:rsidRPr="00E637C9" w:rsidRDefault="00E637C9">
      <w:pPr>
        <w:pStyle w:val="Heading2"/>
        <w:rPr>
          <w:color w:val="000000" w:themeColor="text1"/>
        </w:rPr>
      </w:pPr>
      <w:r w:rsidRPr="00E637C9">
        <w:rPr>
          <w:color w:val="000000" w:themeColor="text1"/>
        </w:rPr>
        <w:t>B.2 Component errors and fixed normalization</w:t>
      </w:r>
    </w:p>
    <w:p w:rsidR="00AF7157" w:rsidRPr="00E637C9" w:rsidRDefault="00E637C9">
      <w:pPr>
        <w:rPr>
          <w:color w:val="000000" w:themeColor="text1"/>
        </w:rPr>
      </w:pPr>
      <w:r w:rsidRPr="00E637C9">
        <w:rPr>
          <w:color w:val="000000" w:themeColor="text1"/>
        </w:rPr>
        <w:t xml:space="preserve">The twin evaluator uses geometry error (Depth RMSE, in metres), semantic error (1 − mIoU), identity error (1 minus the applicable IDF1 or SIC score), </w:t>
      </w:r>
      <w:r w:rsidRPr="00E637C9">
        <w:rPr>
          <w:color w:val="000000" w:themeColor="text1"/>
        </w:rPr>
        <w:t>and uncertainty error (ECE). Scores expressed as percentages must be converted to fractions before subtraction from one. Each component is normalized using training-split percentiles, with the same constants fixed across all test methods.</w:t>
      </w:r>
    </w:p>
    <w:p w:rsidR="00AF7157" w:rsidRPr="00E637C9" w:rsidRDefault="00E637C9">
      <w:pPr>
        <w:spacing w:after="140"/>
        <w:ind w:left="173"/>
        <w:rPr>
          <w:color w:val="000000" w:themeColor="text1"/>
        </w:rPr>
      </w:pPr>
      <w:r w:rsidRPr="00E637C9">
        <w:rPr>
          <w:color w:val="000000" w:themeColor="text1"/>
        </w:rPr>
        <w:t>Ēₖ(t) = clip((Eₖ</w:t>
      </w:r>
      <w:r w:rsidRPr="00E637C9">
        <w:rPr>
          <w:color w:val="000000" w:themeColor="text1"/>
        </w:rPr>
        <w:t>(t) − P5,ₖ) / (P95,ₖ − P5,ₖ + ε), 0, 1).</w:t>
      </w:r>
    </w:p>
    <w:p w:rsidR="00AF7157" w:rsidRPr="00E637C9" w:rsidRDefault="00E637C9">
      <w:pPr>
        <w:spacing w:after="140"/>
        <w:ind w:left="173"/>
        <w:rPr>
          <w:color w:val="000000" w:themeColor="text1"/>
        </w:rPr>
      </w:pPr>
      <w:r w:rsidRPr="00E637C9">
        <w:rPr>
          <w:color w:val="000000" w:themeColor="text1"/>
        </w:rPr>
        <w:t>Etwin(t) = 0.25 × [Ēgeo(t) + Ēsem(t) + Ēid(t) + Ēunc(t)].</w:t>
      </w:r>
    </w:p>
    <w:p w:rsidR="00AF7157" w:rsidRPr="00E637C9" w:rsidRDefault="00E637C9">
      <w:pPr>
        <w:rPr>
          <w:color w:val="000000" w:themeColor="text1"/>
        </w:rPr>
      </w:pPr>
      <w:r w:rsidRPr="00E637C9">
        <w:rPr>
          <w:color w:val="000000" w:themeColor="text1"/>
          <w:sz w:val="20"/>
        </w:rPr>
        <w:t>Here P5,ₖ and P95,ₖ are the training-derived fifth and ninety-fifth percentiles, respectively, and ε = 10⁻⁶. The same normalization constants are fixed a</w:t>
      </w:r>
      <w:r w:rsidRPr="00E637C9">
        <w:rPr>
          <w:color w:val="000000" w:themeColor="text1"/>
          <w:sz w:val="20"/>
        </w:rPr>
        <w:t>cross test methods.</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2"/>
        <w:rPr>
          <w:color w:val="000000" w:themeColor="text1"/>
        </w:rPr>
      </w:pPr>
      <w:r w:rsidRPr="00E637C9">
        <w:rPr>
          <w:color w:val="000000" w:themeColor="text1"/>
        </w:rPr>
        <w:t>B.3 Twin-maintenance and feedback metrics</w:t>
      </w:r>
    </w:p>
    <w:p w:rsidR="00AF7157" w:rsidRPr="00E637C9" w:rsidRDefault="00E637C9">
      <w:pPr>
        <w:rPr>
          <w:color w:val="000000" w:themeColor="text1"/>
        </w:rPr>
      </w:pPr>
      <w:r w:rsidRPr="00E637C9">
        <w:rPr>
          <w:color w:val="000000" w:themeColor="text1"/>
        </w:rPr>
        <w:t>For a common pre-update state T(t), let Ebefore and Eafter denote normalized twin error before and after applying the selected queries. Let Jbefore and Jafter denote the corresponding fixed pr</w:t>
      </w:r>
      <w:r w:rsidRPr="00E637C9">
        <w:rPr>
          <w:color w:val="000000" w:themeColor="text1"/>
        </w:rPr>
        <w:t>oxy spatial objectives. The manuscript defines:</w:t>
      </w:r>
    </w:p>
    <w:p w:rsidR="00AF7157" w:rsidRPr="00E637C9" w:rsidRDefault="00E637C9">
      <w:pPr>
        <w:spacing w:after="140"/>
        <w:ind w:left="173"/>
        <w:rPr>
          <w:color w:val="000000" w:themeColor="text1"/>
        </w:rPr>
      </w:pPr>
      <w:r w:rsidRPr="00E637C9">
        <w:rPr>
          <w:color w:val="000000" w:themeColor="text1"/>
        </w:rPr>
        <w:t>TSUG(t) = (Ebefore − Eafter) / (Ebefore + ε).</w:t>
      </w:r>
    </w:p>
    <w:p w:rsidR="00AF7157" w:rsidRPr="00E637C9" w:rsidRDefault="00E637C9">
      <w:pPr>
        <w:spacing w:after="140"/>
        <w:ind w:left="173"/>
        <w:rPr>
          <w:color w:val="000000" w:themeColor="text1"/>
        </w:rPr>
      </w:pPr>
      <w:r w:rsidRPr="00E637C9">
        <w:rPr>
          <w:color w:val="000000" w:themeColor="text1"/>
        </w:rPr>
        <w:t>UE(t) = (Ebefore − Eafter) / Tupdate(t).</w:t>
      </w:r>
    </w:p>
    <w:p w:rsidR="00AF7157" w:rsidRPr="00E637C9" w:rsidRDefault="00E637C9">
      <w:pPr>
        <w:spacing w:after="140"/>
        <w:ind w:left="173"/>
        <w:rPr>
          <w:color w:val="000000" w:themeColor="text1"/>
        </w:rPr>
      </w:pPr>
      <w:r w:rsidRPr="00E637C9">
        <w:rPr>
          <w:color w:val="000000" w:themeColor="text1"/>
        </w:rPr>
        <w:t>CDIR(t) = (Jbefore − Jafter) / (Jbefore + ε).</w:t>
      </w:r>
    </w:p>
    <w:p w:rsidR="00AF7157" w:rsidRPr="00E637C9" w:rsidRDefault="00E637C9">
      <w:pPr>
        <w:spacing w:after="140"/>
        <w:ind w:left="173"/>
        <w:rPr>
          <w:color w:val="000000" w:themeColor="text1"/>
        </w:rPr>
      </w:pPr>
      <w:r w:rsidRPr="00E637C9">
        <w:rPr>
          <w:color w:val="000000" w:themeColor="text1"/>
        </w:rPr>
        <w:t>DSCE(t) = [0.5 × TSUG(t) + 0.5 × CDIR(t)] / [C(t) + ε].</w:t>
      </w:r>
    </w:p>
    <w:p w:rsidR="00AF7157" w:rsidRPr="00E637C9" w:rsidRDefault="00E637C9">
      <w:pPr>
        <w:rPr>
          <w:color w:val="000000" w:themeColor="text1"/>
        </w:rPr>
      </w:pPr>
      <w:r w:rsidRPr="00E637C9">
        <w:rPr>
          <w:color w:val="000000" w:themeColor="text1"/>
        </w:rPr>
        <w:t xml:space="preserve">Update time is </w:t>
      </w:r>
      <w:r w:rsidRPr="00E637C9">
        <w:rPr>
          <w:color w:val="000000" w:themeColor="text1"/>
        </w:rPr>
        <w:t>measured in seconds for UE; times reported in milliseconds are divided by 1,000. Communication is aggregated over all active transmitting nodes, with 1 Mb = 10⁶ bits. TSUG and CDIR are dimensionless; UE is normalized twin-error reduction per second; DSCE i</w:t>
      </w:r>
      <w:r w:rsidRPr="00E637C9">
        <w:rPr>
          <w:color w:val="000000" w:themeColor="text1"/>
        </w:rPr>
        <w:t>s combined proxy utility per Mb. Negative error reduction represents deterioration rather than an update gain.</w:t>
      </w:r>
    </w:p>
    <w:p w:rsidR="00AF7157" w:rsidRPr="00E637C9" w:rsidRDefault="00E637C9">
      <w:pPr>
        <w:spacing w:after="140"/>
        <w:ind w:left="173"/>
        <w:rPr>
          <w:color w:val="000000" w:themeColor="text1"/>
        </w:rPr>
      </w:pPr>
      <w:r w:rsidRPr="00E637C9">
        <w:rPr>
          <w:color w:val="000000" w:themeColor="text1"/>
        </w:rPr>
        <w:t>J(t) = 0.25 Rcong(t) + 0.25 Rsafety(t) − 0.20 Aaccess(t)</w:t>
      </w:r>
      <w:r w:rsidRPr="00E637C9">
        <w:rPr>
          <w:color w:val="000000" w:themeColor="text1"/>
        </w:rPr>
        <w:br/>
        <w:t xml:space="preserve">          + 0.15 Cadjust(t) + 0.15 Vconstraint(t).</w:t>
      </w:r>
    </w:p>
    <w:p w:rsidR="00AF7157" w:rsidRPr="00E637C9" w:rsidRDefault="00E637C9">
      <w:pPr>
        <w:rPr>
          <w:color w:val="000000" w:themeColor="text1"/>
        </w:rPr>
      </w:pPr>
      <w:r w:rsidRPr="00E637C9">
        <w:rPr>
          <w:color w:val="000000" w:themeColor="text1"/>
        </w:rPr>
        <w:t>Lower J represents a better protocol-</w:t>
      </w:r>
      <w:r w:rsidRPr="00E637C9">
        <w:rPr>
          <w:color w:val="000000" w:themeColor="text1"/>
        </w:rPr>
        <w:t>defined operational state. Higher accessibility reduces the objective, while congestion risk, safety risk, adjustment cost and constraint violations increase it.</w:t>
      </w:r>
    </w:p>
    <w:p w:rsidR="00AF7157" w:rsidRPr="00E637C9" w:rsidRDefault="00E637C9">
      <w:pPr>
        <w:pStyle w:val="Heading2"/>
        <w:rPr>
          <w:color w:val="000000" w:themeColor="text1"/>
        </w:rPr>
      </w:pPr>
      <w:r w:rsidRPr="00E637C9">
        <w:rPr>
          <w:color w:val="000000" w:themeColor="text1"/>
        </w:rPr>
        <w:t>B.4 Evaluation isolation and sequential interpretation</w:t>
      </w:r>
    </w:p>
    <w:p w:rsidR="00AF7157" w:rsidRPr="00E637C9" w:rsidRDefault="00E637C9">
      <w:pPr>
        <w:rPr>
          <w:color w:val="000000" w:themeColor="text1"/>
        </w:rPr>
      </w:pPr>
      <w:r w:rsidRPr="00E637C9">
        <w:rPr>
          <w:color w:val="000000" w:themeColor="text1"/>
        </w:rPr>
        <w:t>The offline teacher supplies training-o</w:t>
      </w:r>
      <w:r w:rsidRPr="00E637C9">
        <w:rPr>
          <w:color w:val="000000" w:themeColor="text1"/>
        </w:rPr>
        <w:t>nly soft query labels. Validation checkpoint selection first requires a budget-violation rate below 1%, then minimizes validation loss; validation 3D mAP is used only to break ties. TSUG, UE, CDIR and DSCE are computed using independent frozen evaluators a</w:t>
      </w:r>
      <w:r w:rsidRPr="00E637C9">
        <w:rPr>
          <w:color w:val="000000" w:themeColor="text1"/>
        </w:rPr>
        <w:t>nd are excluded from training, hyperparameter selection and checkpoint selection.</w:t>
      </w:r>
    </w:p>
    <w:p w:rsidR="00AF7157" w:rsidRPr="00E637C9" w:rsidRDefault="00E637C9">
      <w:pPr>
        <w:rPr>
          <w:color w:val="000000" w:themeColor="text1"/>
        </w:rPr>
      </w:pPr>
      <w:r w:rsidRPr="00E637C9">
        <w:rPr>
          <w:color w:val="000000" w:themeColor="text1"/>
        </w:rPr>
        <w:t>In a single-step backend-controlled comparison, all selection strategies begin from the same pre-update state and share the Gaussian updater, budget and evaluators. In sequen</w:t>
      </w:r>
      <w:r w:rsidRPr="00E637C9">
        <w:rPr>
          <w:color w:val="000000" w:themeColor="text1"/>
        </w:rPr>
        <w:t>tial experiments, methods begin from a common initial state and candidate pool, then propagate their own updated states. Dynamic sensitivity is explicitly consumed by the next query-selection step. These two protocols should not be conflated.</w:t>
      </w:r>
    </w:p>
    <w:p w:rsidR="00AF7157" w:rsidRPr="00E637C9" w:rsidRDefault="00E637C9">
      <w:pPr>
        <w:rPr>
          <w:color w:val="000000" w:themeColor="text1"/>
        </w:rPr>
      </w:pPr>
      <w:r w:rsidRPr="00E637C9">
        <w:rPr>
          <w:color w:val="000000" w:themeColor="text1"/>
        </w:rPr>
        <w:t>Results are s</w:t>
      </w:r>
      <w:r w:rsidRPr="00E637C9">
        <w:rPr>
          <w:color w:val="000000" w:themeColor="text1"/>
        </w:rPr>
        <w:t>ummarized over training seeds {0, 1, 2, 3, 4}. Inferential comparisons first average the metric across seeds within each independent paired evaluation unit. The manuscript uses 10,000 paired bootstrap resamples, 95% confidence intervals, standardized paire</w:t>
      </w:r>
      <w:r w:rsidRPr="00E637C9">
        <w:rPr>
          <w:color w:val="000000" w:themeColor="text1"/>
        </w:rPr>
        <w:t>d effect size d_z, and Holm adjustment; seeds and adjacent frames are not counted as independent statistical samples.</w:t>
      </w:r>
    </w:p>
    <w:p w:rsidR="00AF7157" w:rsidRPr="00E637C9" w:rsidRDefault="00E637C9">
      <w:pPr>
        <w:rPr>
          <w:color w:val="000000" w:themeColor="text1"/>
        </w:rPr>
      </w:pPr>
      <w:r w:rsidRPr="00E637C9">
        <w:rPr>
          <w:color w:val="000000" w:themeColor="text1"/>
          <w:sz w:val="20"/>
        </w:rPr>
        <w:t>Interpretation. The four metrics measure protocol-defined twin maintenance and feedback utility. They do not establish real-world planning</w:t>
      </w:r>
      <w:r w:rsidRPr="00E637C9">
        <w:rPr>
          <w:color w:val="000000" w:themeColor="text1"/>
          <w:sz w:val="20"/>
        </w:rPr>
        <w:t>, traffic-engineering, safety, accessibility or governance outcomes.</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1"/>
        <w:rPr>
          <w:color w:val="000000" w:themeColor="text1"/>
        </w:rPr>
      </w:pPr>
      <w:r w:rsidRPr="00E637C9">
        <w:rPr>
          <w:color w:val="000000" w:themeColor="text1"/>
        </w:rPr>
        <w:t>Appendix C. Candidate Queries and Budgeted Communication</w:t>
      </w:r>
    </w:p>
    <w:p w:rsidR="00AF7157" w:rsidRPr="00E637C9" w:rsidRDefault="00E637C9">
      <w:pPr>
        <w:pStyle w:val="Heading2"/>
        <w:rPr>
          <w:color w:val="000000" w:themeColor="text1"/>
        </w:rPr>
      </w:pPr>
      <w:r w:rsidRPr="00E637C9">
        <w:rPr>
          <w:color w:val="000000" w:themeColor="text1"/>
        </w:rPr>
        <w:t>C.1 Candidate generation and alignment</w:t>
      </w:r>
    </w:p>
    <w:p w:rsidR="00AF7157" w:rsidRPr="00E637C9" w:rsidRDefault="00E637C9">
      <w:pPr>
        <w:rPr>
          <w:color w:val="000000" w:themeColor="text1"/>
        </w:rPr>
      </w:pPr>
      <w:r w:rsidRPr="00E637C9">
        <w:rPr>
          <w:color w:val="000000" w:themeColor="text1"/>
        </w:rPr>
        <w:t xml:space="preserve">Each node generates detection queries from the 3D detection head, event queries from the </w:t>
      </w:r>
      <w:r w:rsidRPr="00E637C9">
        <w:rPr>
          <w:color w:val="000000" w:themeColor="text1"/>
        </w:rPr>
        <w:t>temporal event-proposal branch, and semantic queries from the map-aligned semantic encoder. A query contains a 256-dimensional feature, world-coordinate location, predicted category, confidence, uncertainty and encoded payload. Identity, timestamp and node</w:t>
      </w:r>
      <w:r w:rsidRPr="00E637C9">
        <w:rPr>
          <w:color w:val="000000" w:themeColor="text1"/>
        </w:rPr>
        <w:t xml:space="preserve"> metadata are included in transmission accounting.</w:t>
      </w:r>
    </w:p>
    <w:p w:rsidR="00AF7157" w:rsidRPr="00E637C9" w:rsidRDefault="00E637C9">
      <w:pPr>
        <w:keepNext/>
        <w:spacing w:after="100"/>
        <w:rPr>
          <w:color w:val="000000" w:themeColor="text1"/>
        </w:rPr>
      </w:pPr>
      <w:r w:rsidRPr="00E637C9">
        <w:rPr>
          <w:b/>
          <w:color w:val="000000" w:themeColor="text1"/>
        </w:rPr>
        <w:t>Table C1. Reported temporal and coordinate alignment settings.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4"/>
        <w:gridCol w:w="6566"/>
        <w:gridCol w:w="1512"/>
      </w:tblGrid>
      <w:tr w:rsidR="00E637C9" w:rsidRPr="00E637C9">
        <w:trPr>
          <w:cantSplit/>
          <w:tblHeader/>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Dataset</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Alignment</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Tolerance</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V2X-Real</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Sensor to ego/world; nearest frame with pose compensation.</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50 ms</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TUMTraf-V2X</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Vehicle/roadside sensor to</w:t>
            </w:r>
            <w:r w:rsidRPr="00E637C9">
              <w:rPr>
                <w:color w:val="000000" w:themeColor="text1"/>
                <w:sz w:val="20"/>
              </w:rPr>
              <w:t xml:space="preserve"> world; nearest frame using GPS/IMU poses.</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50 ms</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DAIR-V2X-C</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Infrastructure to vehicle/world; nearest paired frame.</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10 ms</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V2V4Real</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Vehicle sensor to ego/world; nearest frame with trajectory compensation.</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50 ms</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OPV2V</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Agent to CARLA world; </w:t>
            </w:r>
            <w:r w:rsidRPr="00E637C9">
              <w:rPr>
                <w:color w:val="000000" w:themeColor="text1"/>
                <w:sz w:val="20"/>
              </w:rPr>
              <w:t>simulator-synchronous.</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 ms</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TUM2TWIN</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Georeferenced source to a common world frame.</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Static alignment</w:t>
            </w:r>
          </w:p>
        </w:tc>
      </w:tr>
      <w:tr w:rsidR="00E637C9"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proofErr w:type="spellStart"/>
            <w:r w:rsidRPr="00E637C9">
              <w:rPr>
                <w:color w:val="000000" w:themeColor="text1"/>
                <w:sz w:val="20"/>
              </w:rPr>
              <w:t>MatrixCity</w:t>
            </w:r>
            <w:proofErr w:type="spellEnd"/>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Released pose to scene world; pose-index alignment.</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 ms</w:t>
            </w:r>
          </w:p>
        </w:tc>
      </w:tr>
      <w:tr w:rsidR="00AF7157" w:rsidRPr="00E637C9">
        <w:trPr>
          <w:cantSplit/>
          <w:jc w:val="center"/>
        </w:trPr>
        <w:tc>
          <w:tcPr>
            <w:tcW w:w="1814"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UrbanScene3D</w:t>
            </w:r>
          </w:p>
        </w:tc>
        <w:tc>
          <w:tcPr>
            <w:tcW w:w="656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Scene/AirSim to scene world; simulator-synchronous.</w:t>
            </w:r>
          </w:p>
        </w:tc>
        <w:tc>
          <w:tcPr>
            <w:tcW w:w="15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 ms</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 xml:space="preserve">Samples </w:t>
      </w:r>
      <w:r w:rsidRPr="00E637C9">
        <w:rPr>
          <w:color w:val="000000" w:themeColor="text1"/>
        </w:rPr>
        <w:t>outside the stated temporal tolerance are discarded. Detection labels are mapped to vehicle, pedestrian, cyclist and large-vehicle superclasses. Incompatible categories are not merged.</w:t>
      </w:r>
    </w:p>
    <w:p w:rsidR="00AF7157" w:rsidRPr="00E637C9" w:rsidRDefault="00E637C9">
      <w:pPr>
        <w:pStyle w:val="Heading2"/>
        <w:rPr>
          <w:color w:val="000000" w:themeColor="text1"/>
        </w:rPr>
      </w:pPr>
      <w:r w:rsidRPr="00E637C9">
        <w:rPr>
          <w:color w:val="000000" w:themeColor="text1"/>
        </w:rPr>
        <w:t>C.2 Node-level and cross-node deduplication</w:t>
      </w:r>
    </w:p>
    <w:p w:rsidR="00AF7157" w:rsidRPr="00E637C9" w:rsidRDefault="00E637C9">
      <w:pPr>
        <w:rPr>
          <w:color w:val="000000" w:themeColor="text1"/>
        </w:rPr>
      </w:pPr>
      <w:r w:rsidRPr="00E637C9">
        <w:rPr>
          <w:color w:val="000000" w:themeColor="text1"/>
        </w:rPr>
        <w:t>After transformation to a s</w:t>
      </w:r>
      <w:r w:rsidRPr="00E637C9">
        <w:rPr>
          <w:color w:val="000000" w:themeColor="text1"/>
        </w:rPr>
        <w:t>hared coordinate system, queries are treated as duplicates only when their categories are compatible and their spatial distance is smaller than δx. The lower-confidence query is removed. The same rule is applied within each node and when merging candidates</w:t>
      </w:r>
      <w:r w:rsidRPr="00E637C9">
        <w:rPr>
          <w:color w:val="000000" w:themeColor="text1"/>
        </w:rPr>
        <w:t xml:space="preserve"> from different nodes.</w:t>
      </w:r>
    </w:p>
    <w:p w:rsidR="00AF7157" w:rsidRPr="00E637C9" w:rsidRDefault="00E637C9">
      <w:pPr>
        <w:rPr>
          <w:color w:val="000000" w:themeColor="text1"/>
        </w:rPr>
      </w:pPr>
      <w:r w:rsidRPr="00E637C9">
        <w:rPr>
          <w:color w:val="000000" w:themeColor="text1"/>
        </w:rPr>
        <w:t>The manuscript distinguishes a 128-query limit per transmitting node from the aggregate selected-query count of 132 ± 17 queries/frame at the main operating point. Neither value identifies the maximum number of candidates generated b</w:t>
      </w:r>
      <w:r w:rsidRPr="00E637C9">
        <w:rPr>
          <w:color w:val="000000" w:themeColor="text1"/>
        </w:rPr>
        <w:t>y each of the three query branches.</w:t>
      </w:r>
    </w:p>
    <w:p w:rsidR="00AF7157" w:rsidRPr="00E637C9" w:rsidRDefault="00E637C9">
      <w:pPr>
        <w:pStyle w:val="Heading2"/>
        <w:rPr>
          <w:color w:val="000000" w:themeColor="text1"/>
        </w:rPr>
      </w:pPr>
      <w:r w:rsidRPr="00E637C9">
        <w:rPr>
          <w:color w:val="000000" w:themeColor="text1"/>
        </w:rPr>
        <w:t>C.3 State-conditioned utility</w:t>
      </w:r>
    </w:p>
    <w:p w:rsidR="00AF7157" w:rsidRPr="00E637C9" w:rsidRDefault="00E637C9">
      <w:pPr>
        <w:spacing w:after="140"/>
        <w:ind w:left="173"/>
        <w:rPr>
          <w:color w:val="000000" w:themeColor="text1"/>
        </w:rPr>
      </w:pPr>
      <w:r w:rsidRPr="00E637C9">
        <w:rPr>
          <w:color w:val="000000" w:themeColor="text1"/>
        </w:rPr>
        <w:t>rᵢ(t) = λTS Sᵀᵢ(t) + λU Sᵁᵢ(t) + λF Sᶠᵢ(t)</w:t>
      </w:r>
      <w:r w:rsidRPr="00E637C9">
        <w:rPr>
          <w:color w:val="000000" w:themeColor="text1"/>
        </w:rPr>
        <w:br/>
        <w:t xml:space="preserve">          + λP pᵢ(t) − λB b̄ᵢ(t).</w:t>
      </w:r>
    </w:p>
    <w:p w:rsidR="00AF7157" w:rsidRPr="00E637C9" w:rsidRDefault="00E637C9">
      <w:pPr>
        <w:rPr>
          <w:color w:val="000000" w:themeColor="text1"/>
        </w:rPr>
      </w:pPr>
      <w:r w:rsidRPr="00E637C9">
        <w:rPr>
          <w:color w:val="000000" w:themeColor="text1"/>
        </w:rPr>
        <w:t>Sᵀ, Sᵁ and Sᶠ predict twin-state change, uncertainty reduction and spatial-feedback relevance. Query–state attent</w:t>
      </w:r>
      <w:r w:rsidRPr="00E637C9">
        <w:rPr>
          <w:color w:val="000000" w:themeColor="text1"/>
        </w:rPr>
        <w:t>ion conditions the query feature on the current twin state and associates spatial sensitivity with the query. b̄ is the normalized payload. These selector coefficients are distinct from the main training-loss weights.</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2"/>
        <w:rPr>
          <w:color w:val="000000" w:themeColor="text1"/>
        </w:rPr>
      </w:pPr>
      <w:r w:rsidRPr="00E637C9">
        <w:rPr>
          <w:color w:val="000000" w:themeColor="text1"/>
        </w:rPr>
        <w:t xml:space="preserve">C.4 Transmission representation and </w:t>
      </w:r>
      <w:r w:rsidRPr="00E637C9">
        <w:rPr>
          <w:color w:val="000000" w:themeColor="text1"/>
        </w:rPr>
        <w:t>measured payload</w:t>
      </w:r>
    </w:p>
    <w:p w:rsidR="00AF7157" w:rsidRPr="00E637C9" w:rsidRDefault="00E637C9">
      <w:pPr>
        <w:keepNext/>
        <w:spacing w:after="100"/>
        <w:rPr>
          <w:color w:val="000000" w:themeColor="text1"/>
        </w:rPr>
      </w:pPr>
      <w:r w:rsidRPr="00E637C9">
        <w:rPr>
          <w:b/>
          <w:color w:val="000000" w:themeColor="text1"/>
        </w:rPr>
        <w:t>Table C2. Payload composition at the reported 4.4 Mb/frame operating point (main-text Table 13).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6"/>
        <w:gridCol w:w="5688"/>
        <w:gridCol w:w="1109"/>
      </w:tblGrid>
      <w:tr w:rsidR="00E637C9" w:rsidRPr="00E637C9">
        <w:trPr>
          <w:cantSplit/>
          <w:tblHeader/>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Component</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Count and representation</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Mb</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Query features</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Approximately 132 queries; 256-D FP16.</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0.541</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Position and extent</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9-D FP16 per selected </w:t>
            </w:r>
            <w:r w:rsidRPr="00E637C9">
              <w:rPr>
                <w:color w:val="000000" w:themeColor="text1"/>
                <w:sz w:val="20"/>
              </w:rPr>
              <w:t>query.</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0.019</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Category and confidence</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INT16 and FP16 fields per query.</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0.004</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Uncertainty and identity</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FP16 and INT32 fields per query.</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0.006</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Timestamp and node metadata</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Two INT32 fields per query.</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0.008</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Multi-scale context tokens</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850 aggregate tokens; </w:t>
            </w:r>
            <w:r w:rsidRPr="00E637C9">
              <w:rPr>
                <w:color w:val="000000" w:themeColor="text1"/>
                <w:sz w:val="20"/>
              </w:rPr>
              <w:t>256-D FP16.</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3.482</w:t>
            </w:r>
          </w:p>
        </w:tc>
      </w:tr>
      <w:tr w:rsidR="00E637C9"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Header, alignment and packet overhead</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Aggregate per frame.</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0.340</w:t>
            </w:r>
          </w:p>
        </w:tc>
      </w:tr>
      <w:tr w:rsidR="00AF7157" w:rsidRPr="00E637C9">
        <w:trPr>
          <w:cantSplit/>
          <w:jc w:val="center"/>
        </w:trPr>
        <w:tc>
          <w:tcPr>
            <w:tcW w:w="309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Total</w:t>
            </w:r>
          </w:p>
        </w:tc>
        <w:tc>
          <w:tcPr>
            <w:tcW w:w="568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Aggregate across active transmitting nodes.</w:t>
            </w:r>
          </w:p>
        </w:tc>
        <w:tc>
          <w:tcPr>
            <w:tcW w:w="110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4.400</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Values are rounded reported payloads. No additional entropy coding, learned feature codec or lossy post-selection</w:t>
      </w:r>
      <w:r w:rsidRPr="00E637C9">
        <w:rPr>
          <w:color w:val="000000" w:themeColor="text1"/>
        </w:rPr>
        <w:t xml:space="preserve"> compression is applied at this operating point. Raw images and raw point clouds are not transmitted. Serialization and protocol overhead are included; packet retransmission is excluded.</w:t>
      </w:r>
    </w:p>
    <w:p w:rsidR="00AF7157" w:rsidRPr="00E637C9" w:rsidRDefault="00E637C9">
      <w:pPr>
        <w:pStyle w:val="Heading2"/>
        <w:rPr>
          <w:color w:val="000000" w:themeColor="text1"/>
        </w:rPr>
      </w:pPr>
      <w:r w:rsidRPr="00E637C9">
        <w:rPr>
          <w:color w:val="000000" w:themeColor="text1"/>
        </w:rPr>
        <w:t>C.5 Selection procedure</w:t>
      </w:r>
    </w:p>
    <w:p w:rsidR="00AF7157" w:rsidRPr="00E637C9" w:rsidRDefault="00E637C9">
      <w:pPr>
        <w:rPr>
          <w:color w:val="000000" w:themeColor="text1"/>
        </w:rPr>
      </w:pPr>
      <w:r w:rsidRPr="00E637C9">
        <w:rPr>
          <w:color w:val="000000" w:themeColor="text1"/>
        </w:rPr>
        <w:t>Algorithm C1 summarizes candidate constructio</w:t>
      </w:r>
      <w:r w:rsidRPr="00E637C9">
        <w:rPr>
          <w:color w:val="000000" w:themeColor="text1"/>
        </w:rPr>
        <w:t>n and budget-constrained inference. Query selection uses the current twin state and propagated sensitivity.</w:t>
      </w:r>
    </w:p>
    <w:p w:rsidR="00AF7157" w:rsidRPr="00E637C9" w:rsidRDefault="00E637C9">
      <w:pPr>
        <w:keepNext/>
        <w:spacing w:after="100"/>
        <w:rPr>
          <w:color w:val="000000" w:themeColor="text1"/>
        </w:rPr>
      </w:pPr>
      <w:r w:rsidRPr="00E637C9">
        <w:rPr>
          <w:b/>
          <w:color w:val="000000" w:themeColor="text1"/>
        </w:rPr>
        <w:t>Algorithm C1. Candidate construction and inference-time selection.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1"/>
        <w:gridCol w:w="9202"/>
      </w:tblGrid>
      <w:tr w:rsidR="00E637C9" w:rsidRPr="00E637C9">
        <w:trPr>
          <w:cantSplit/>
          <w:tblHeader/>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Step</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Operation</w:t>
            </w:r>
          </w:p>
        </w:tc>
      </w:tr>
      <w:tr w:rsidR="00E637C9" w:rsidRPr="00E637C9">
        <w:trPr>
          <w:cantSplit/>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1</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Read current observations, twin state T(t), sensitivity ρ(t), </w:t>
            </w:r>
            <w:r w:rsidRPr="00E637C9">
              <w:rPr>
                <w:color w:val="000000" w:themeColor="text1"/>
                <w:sz w:val="20"/>
              </w:rPr>
              <w:t>structural graph and total budget B(t). Do not read future states or teacher labels.</w:t>
            </w:r>
          </w:p>
        </w:tc>
      </w:tr>
      <w:tr w:rsidR="00E637C9" w:rsidRPr="00E637C9">
        <w:trPr>
          <w:cantSplit/>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2</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Apply temporal filtering and coordinate alignment; generate detection, event and semantic candidates under the configured per-type limits.</w:t>
            </w:r>
          </w:p>
        </w:tc>
      </w:tr>
      <w:tr w:rsidR="00E637C9" w:rsidRPr="00E637C9">
        <w:trPr>
          <w:cantSplit/>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3</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Map categories; remove </w:t>
            </w:r>
            <w:r w:rsidRPr="00E637C9">
              <w:rPr>
                <w:color w:val="000000" w:themeColor="text1"/>
                <w:sz w:val="20"/>
              </w:rPr>
              <w:t>spatially close, category-compatible duplicates within and across nodes, retaining the higher-confidence query.</w:t>
            </w:r>
          </w:p>
        </w:tc>
      </w:tr>
      <w:tr w:rsidR="00E637C9" w:rsidRPr="00E637C9">
        <w:trPr>
          <w:cantSplit/>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4</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Encode current twin-state context, associate sensitivity and calculate rᵢ(t) for each remaining query.</w:t>
            </w:r>
          </w:p>
        </w:tc>
      </w:tr>
      <w:tr w:rsidR="00E637C9" w:rsidRPr="00E637C9">
        <w:trPr>
          <w:cantSplit/>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Rank candidates in descending order</w:t>
            </w:r>
            <w:r w:rsidRPr="00E637C9">
              <w:rPr>
                <w:color w:val="000000" w:themeColor="text1"/>
                <w:sz w:val="20"/>
              </w:rPr>
              <w:t xml:space="preserve"> of rᵢ(t). Form the selected set under the encoded-transmission budget; accept queries only when the resulting total transmission satisfies B(t).</w:t>
            </w:r>
          </w:p>
        </w:tc>
      </w:tr>
      <w:tr w:rsidR="00AF7157" w:rsidRPr="00E637C9">
        <w:trPr>
          <w:cantSplit/>
          <w:jc w:val="center"/>
        </w:trPr>
        <w:tc>
          <w:tcPr>
            <w:tcW w:w="69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6</w:t>
            </w:r>
          </w:p>
        </w:tc>
        <w:tc>
          <w:tcPr>
            <w:tcW w:w="920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Serialize selected queries, associated context tokens and protocol metadata. Measure complete aggregate pay</w:t>
            </w:r>
            <w:r w:rsidRPr="00E637C9">
              <w:rPr>
                <w:color w:val="000000" w:themeColor="text1"/>
                <w:sz w:val="20"/>
              </w:rPr>
              <w:t>load and pass the selected observations to the Gaussian updater.</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Training uses Gumbel-Sigmoid soft selection; stochastic selection is disabled during inference. Equal query payloads reduce the ranking rule to Top-K under the query budget. Ranking by rᵢ i</w:t>
      </w:r>
      <w:r w:rsidRPr="00E637C9">
        <w:rPr>
          <w:color w:val="000000" w:themeColor="text1"/>
        </w:rPr>
        <w:t>s the reported heuristic; it is not a claim of an exact solution to the unequal-payload knapsack problem.</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1"/>
        <w:rPr>
          <w:color w:val="000000" w:themeColor="text1"/>
        </w:rPr>
      </w:pPr>
      <w:r w:rsidRPr="00E637C9">
        <w:rPr>
          <w:color w:val="000000" w:themeColor="text1"/>
        </w:rPr>
        <w:t>Appendix D. Local Semantic Gaussian State Maintenance</w:t>
      </w:r>
    </w:p>
    <w:p w:rsidR="00AF7157" w:rsidRPr="00E637C9" w:rsidRDefault="00E637C9">
      <w:pPr>
        <w:pStyle w:val="Heading2"/>
        <w:rPr>
          <w:color w:val="000000" w:themeColor="text1"/>
        </w:rPr>
      </w:pPr>
      <w:r w:rsidRPr="00E637C9">
        <w:rPr>
          <w:color w:val="000000" w:themeColor="text1"/>
        </w:rPr>
        <w:t>D.1 Initialization and state attributes</w:t>
      </w:r>
    </w:p>
    <w:p w:rsidR="00AF7157" w:rsidRPr="00E637C9" w:rsidRDefault="00E637C9">
      <w:pPr>
        <w:rPr>
          <w:color w:val="000000" w:themeColor="text1"/>
        </w:rPr>
      </w:pPr>
      <w:r w:rsidRPr="00E637C9">
        <w:rPr>
          <w:color w:val="000000" w:themeColor="text1"/>
        </w:rPr>
        <w:t xml:space="preserve">The twin state comprises semantic Gaussian units and </w:t>
      </w:r>
      <w:r w:rsidRPr="00E637C9">
        <w:rPr>
          <w:color w:val="000000" w:themeColor="text1"/>
        </w:rPr>
        <w:t>the urban structural graph. Each Gaussian carries geometry, appearance, opacity, semantics, uncertainty and temporal information. Persistent object association additionally maintains identity and dynamic-state information.</w:t>
      </w:r>
    </w:p>
    <w:p w:rsidR="00AF7157" w:rsidRPr="00E637C9" w:rsidRDefault="00E637C9">
      <w:pPr>
        <w:keepNext/>
        <w:spacing w:after="100"/>
        <w:rPr>
          <w:color w:val="000000" w:themeColor="text1"/>
        </w:rPr>
      </w:pPr>
      <w:r w:rsidRPr="00E637C9">
        <w:rPr>
          <w:b/>
          <w:color w:val="000000" w:themeColor="text1"/>
        </w:rPr>
        <w:t>Table D1. Initialization operatio</w:t>
      </w:r>
      <w:r w:rsidRPr="00E637C9">
        <w:rPr>
          <w:b/>
          <w:color w:val="000000" w:themeColor="text1"/>
        </w:rPr>
        <w:t>ns supported by the manuscript.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52"/>
        <w:gridCol w:w="6941"/>
      </w:tblGrid>
      <w:tr w:rsidR="00E637C9" w:rsidRPr="00E637C9">
        <w:trPr>
          <w:cantSplit/>
          <w:tblHeader/>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Attribute</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Initialization</w:t>
            </w:r>
          </w:p>
        </w:tc>
      </w:tr>
      <w:tr w:rsidR="00E637C9" w:rsidRPr="00E637C9">
        <w:trPr>
          <w:cantSplit/>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Center μ</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Sample aligned point clouds or back-project aligned depth.</w:t>
            </w:r>
          </w:p>
        </w:tc>
      </w:tr>
      <w:tr w:rsidR="00E637C9" w:rsidRPr="00E637C9">
        <w:trPr>
          <w:cantSplit/>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Scale σ</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Estimate from local point spacing.</w:t>
            </w:r>
          </w:p>
        </w:tc>
      </w:tr>
      <w:tr w:rsidR="00E637C9" w:rsidRPr="00E637C9">
        <w:trPr>
          <w:cantSplit/>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Rotation R</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Initialize from the local surface frame.</w:t>
            </w:r>
          </w:p>
        </w:tc>
      </w:tr>
      <w:tr w:rsidR="00E637C9" w:rsidRPr="00E637C9">
        <w:trPr>
          <w:cantSplit/>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Opacity o</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Use a fixed initial </w:t>
            </w:r>
            <w:r w:rsidRPr="00E637C9">
              <w:rPr>
                <w:color w:val="000000" w:themeColor="text1"/>
                <w:sz w:val="20"/>
              </w:rPr>
              <w:t>value.</w:t>
            </w:r>
          </w:p>
        </w:tc>
      </w:tr>
      <w:tr w:rsidR="00E637C9" w:rsidRPr="00E637C9">
        <w:trPr>
          <w:cantSplit/>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Semantic embedding e</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Initialize with the encoder of the mapped category.</w:t>
            </w:r>
          </w:p>
        </w:tc>
      </w:tr>
      <w:tr w:rsidR="00AF7157" w:rsidRPr="00E637C9">
        <w:trPr>
          <w:cantSplit/>
          <w:jc w:val="center"/>
        </w:trPr>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Uncertainty u</w:t>
            </w:r>
          </w:p>
        </w:tc>
        <w:tc>
          <w:tcPr>
            <w:tcW w:w="69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Derive from sensor confidence.</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 xml:space="preserve">Input preprocessing uses 0.05 m point-cloud downsampling for TUM2TWIN, 1024 × 1024 RGB/depth images for MatrixCity, and 0.10 m </w:t>
      </w:r>
      <w:r w:rsidRPr="00E637C9">
        <w:rPr>
          <w:color w:val="000000" w:themeColor="text1"/>
        </w:rPr>
        <w:t>geometry downsampling with 1024 × 1024 images for UrbanScene3D.</w:t>
      </w:r>
    </w:p>
    <w:p w:rsidR="00AF7157" w:rsidRPr="00E637C9" w:rsidRDefault="00E637C9">
      <w:pPr>
        <w:pStyle w:val="Heading2"/>
        <w:rPr>
          <w:color w:val="000000" w:themeColor="text1"/>
        </w:rPr>
      </w:pPr>
      <w:r w:rsidRPr="00E637C9">
        <w:rPr>
          <w:color w:val="000000" w:themeColor="text1"/>
        </w:rPr>
        <w:t>D.2 Matching and event-affected support</w:t>
      </w:r>
    </w:p>
    <w:p w:rsidR="00AF7157" w:rsidRPr="00E637C9" w:rsidRDefault="00E637C9">
      <w:pPr>
        <w:spacing w:after="140"/>
        <w:ind w:left="173"/>
        <w:rPr>
          <w:color w:val="000000" w:themeColor="text1"/>
        </w:rPr>
      </w:pPr>
      <w:r w:rsidRPr="00E637C9">
        <w:rPr>
          <w:color w:val="000000" w:themeColor="text1"/>
        </w:rPr>
        <w:t>aᵢⱼ(t) = −‖xᵢ(t) − μⱼ(t)‖² / (2σₓ²)</w:t>
      </w:r>
      <w:r w:rsidRPr="00E637C9">
        <w:rPr>
          <w:color w:val="000000" w:themeColor="text1"/>
        </w:rPr>
        <w:br/>
        <w:t xml:space="preserve">             + λsem sim(E(cᵢ(t)), eⱼ(t)) − λg dG(i, j).</w:t>
      </w:r>
    </w:p>
    <w:p w:rsidR="00AF7157" w:rsidRPr="00E637C9" w:rsidRDefault="00E637C9">
      <w:pPr>
        <w:spacing w:after="140"/>
        <w:ind w:left="173"/>
        <w:rPr>
          <w:color w:val="000000" w:themeColor="text1"/>
        </w:rPr>
      </w:pPr>
      <w:r w:rsidRPr="00E637C9">
        <w:rPr>
          <w:color w:val="000000" w:themeColor="text1"/>
        </w:rPr>
        <w:t>αᵢⱼ(t) = exp(aᵢⱼ(t)) / Σₗ exp(aᵢₗ(t)).</w:t>
      </w:r>
    </w:p>
    <w:p w:rsidR="00AF7157" w:rsidRPr="00E637C9" w:rsidRDefault="00E637C9">
      <w:pPr>
        <w:rPr>
          <w:color w:val="000000" w:themeColor="text1"/>
        </w:rPr>
      </w:pPr>
      <w:r w:rsidRPr="00E637C9">
        <w:rPr>
          <w:color w:val="000000" w:themeColor="text1"/>
        </w:rPr>
        <w:t xml:space="preserve">Matching combines </w:t>
      </w:r>
      <w:r w:rsidRPr="00E637C9">
        <w:rPr>
          <w:color w:val="000000" w:themeColor="text1"/>
        </w:rPr>
        <w:t>spatial distance, semantic compatibility and urban-graph distance. The affected set Ω(t) contains Gaussians meeting the configured matching-weight, spatial-distance and graph-distance criteria. The softmax expression expands Equation (14).</w:t>
      </w:r>
    </w:p>
    <w:p w:rsidR="00AF7157" w:rsidRPr="00E637C9" w:rsidRDefault="00E637C9">
      <w:pPr>
        <w:pStyle w:val="Heading2"/>
        <w:rPr>
          <w:color w:val="000000" w:themeColor="text1"/>
        </w:rPr>
      </w:pPr>
      <w:r w:rsidRPr="00E637C9">
        <w:rPr>
          <w:color w:val="000000" w:themeColor="text1"/>
        </w:rPr>
        <w:t xml:space="preserve">D.3 Gated local </w:t>
      </w:r>
      <w:r w:rsidRPr="00E637C9">
        <w:rPr>
          <w:color w:val="000000" w:themeColor="text1"/>
        </w:rPr>
        <w:t>transition</w:t>
      </w:r>
    </w:p>
    <w:p w:rsidR="00AF7157" w:rsidRPr="00E637C9" w:rsidRDefault="00E637C9">
      <w:pPr>
        <w:spacing w:after="140"/>
        <w:ind w:left="173"/>
        <w:rPr>
          <w:color w:val="000000" w:themeColor="text1"/>
        </w:rPr>
      </w:pPr>
      <w:r w:rsidRPr="00E637C9">
        <w:rPr>
          <w:color w:val="000000" w:themeColor="text1"/>
        </w:rPr>
        <w:t>vⱼ(t + 1) = Γ(vⱼ(t) + γⱼ(t) Δvⱼ(t)),  j ∈ Ω(t);</w:t>
      </w:r>
      <w:r w:rsidRPr="00E637C9">
        <w:rPr>
          <w:color w:val="000000" w:themeColor="text1"/>
        </w:rPr>
        <w:br/>
        <w:t>vⱼ(t + 1) = vⱼ(t),  j ∉ Ω(t).</w:t>
      </w:r>
    </w:p>
    <w:p w:rsidR="00AF7157" w:rsidRPr="00E637C9" w:rsidRDefault="00E637C9">
      <w:pPr>
        <w:rPr>
          <w:color w:val="000000" w:themeColor="text1"/>
        </w:rPr>
      </w:pPr>
      <w:r w:rsidRPr="00E637C9">
        <w:rPr>
          <w:color w:val="000000" w:themeColor="text1"/>
        </w:rPr>
        <w:t>Here v is the vectorized state, Δv is the predicted residual, γ is an update gate in (0, 1), and Γ constrains scale, opacity, semantic embedding and uncertainty to val</w:t>
      </w:r>
      <w:r w:rsidRPr="00E637C9">
        <w:rPr>
          <w:color w:val="000000" w:themeColor="text1"/>
        </w:rPr>
        <w:t>id ranges. Preserving the second branch prevents unintended updates outside the affected region.</w:t>
      </w:r>
    </w:p>
    <w:p w:rsidR="00AF7157" w:rsidRPr="00E637C9" w:rsidRDefault="00E637C9">
      <w:pPr>
        <w:pStyle w:val="Heading2"/>
        <w:rPr>
          <w:color w:val="000000" w:themeColor="text1"/>
        </w:rPr>
      </w:pPr>
      <w:r w:rsidRPr="00E637C9">
        <w:rPr>
          <w:color w:val="000000" w:themeColor="text1"/>
        </w:rPr>
        <w:t>D.4 New and inactive Gaussian states</w:t>
      </w:r>
    </w:p>
    <w:p w:rsidR="00AF7157" w:rsidRPr="00E637C9" w:rsidRDefault="00E637C9">
      <w:pPr>
        <w:rPr>
          <w:color w:val="000000" w:themeColor="text1"/>
        </w:rPr>
      </w:pPr>
      <w:r w:rsidRPr="00E637C9">
        <w:rPr>
          <w:color w:val="000000" w:themeColor="text1"/>
        </w:rPr>
        <w:t>An unmatched high-confidence query creates a new Gaussian; an unmatched low-confidence query leaves the state unchanged. A</w:t>
      </w:r>
      <w:r w:rsidRPr="00E637C9">
        <w:rPr>
          <w:color w:val="000000" w:themeColor="text1"/>
        </w:rPr>
        <w:t xml:space="preserve"> long-unobserved Gaussian is marked inactive, rather than immediately deleted, only when its uncertainty also exceeds the configured threshold.</w:t>
      </w:r>
    </w:p>
    <w:p w:rsidR="00AF7157" w:rsidRPr="00E637C9" w:rsidRDefault="00E637C9">
      <w:pPr>
        <w:spacing w:after="140"/>
        <w:ind w:left="173"/>
        <w:rPr>
          <w:color w:val="000000" w:themeColor="text1"/>
        </w:rPr>
      </w:pPr>
      <w:r w:rsidRPr="00E637C9">
        <w:rPr>
          <w:color w:val="000000" w:themeColor="text1"/>
        </w:rPr>
        <w:t>Create new Gaussian if maxⱼ αᵢⱼ(t) &lt; τmatch and pᵢ(t) &gt; τnew.</w:t>
      </w:r>
    </w:p>
    <w:p w:rsidR="00AF7157" w:rsidRPr="00E637C9" w:rsidRDefault="00E637C9">
      <w:pPr>
        <w:spacing w:after="140"/>
        <w:ind w:left="173"/>
        <w:rPr>
          <w:color w:val="000000" w:themeColor="text1"/>
        </w:rPr>
      </w:pPr>
      <w:r w:rsidRPr="00E637C9">
        <w:rPr>
          <w:color w:val="000000" w:themeColor="text1"/>
        </w:rPr>
        <w:t>Mark Gaussian j inactive if t − tlast,ⱼ &gt; τinactiv</w:t>
      </w:r>
      <w:r w:rsidRPr="00E637C9">
        <w:rPr>
          <w:color w:val="000000" w:themeColor="text1"/>
        </w:rPr>
        <w:t>e and uⱼ(t) &gt; τu.</w:t>
      </w:r>
    </w:p>
    <w:p w:rsidR="00AF7157" w:rsidRPr="00E637C9" w:rsidRDefault="00E637C9">
      <w:pPr>
        <w:rPr>
          <w:color w:val="000000" w:themeColor="text1"/>
        </w:rPr>
      </w:pPr>
      <w:r w:rsidRPr="00E637C9">
        <w:rPr>
          <w:color w:val="000000" w:themeColor="text1"/>
        </w:rPr>
        <w:t>The update therefore preserves unchanged regions, permits high-confidence observations to extend the state, and retains inactive records rather than immediately deleting them. Backend-controlled query-selection strategies share the same i</w:t>
      </w:r>
      <w:r w:rsidRPr="00E637C9">
        <w:rPr>
          <w:color w:val="000000" w:themeColor="text1"/>
        </w:rPr>
        <w:t>nitial twin state and Gaussian updater.</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1"/>
        <w:rPr>
          <w:color w:val="000000" w:themeColor="text1"/>
        </w:rPr>
      </w:pPr>
      <w:r w:rsidRPr="00E637C9">
        <w:rPr>
          <w:color w:val="000000" w:themeColor="text1"/>
        </w:rPr>
        <w:t>Appendix E. Spatial Feedback and Sensitivity Propagation</w:t>
      </w:r>
    </w:p>
    <w:p w:rsidR="00AF7157" w:rsidRPr="00E637C9" w:rsidRDefault="00E637C9">
      <w:pPr>
        <w:pStyle w:val="Heading2"/>
        <w:rPr>
          <w:color w:val="000000" w:themeColor="text1"/>
        </w:rPr>
      </w:pPr>
      <w:r w:rsidRPr="00E637C9">
        <w:rPr>
          <w:color w:val="000000" w:themeColor="text1"/>
        </w:rPr>
        <w:t>E.1 Urban-unit aggregation and structural relations</w:t>
      </w:r>
    </w:p>
    <w:p w:rsidR="00AF7157" w:rsidRPr="00E637C9" w:rsidRDefault="00E637C9">
      <w:pPr>
        <w:rPr>
          <w:color w:val="000000" w:themeColor="text1"/>
        </w:rPr>
      </w:pPr>
      <w:r w:rsidRPr="00E637C9">
        <w:rPr>
          <w:color w:val="000000" w:themeColor="text1"/>
        </w:rPr>
        <w:t>Gaussian units associated with the same urban object or spatial unit are pooled into one object represent</w:t>
      </w:r>
      <w:r w:rsidRPr="00E637C9">
        <w:rPr>
          <w:color w:val="000000" w:themeColor="text1"/>
        </w:rPr>
        <w:t>ation. The resulting object graph connects units according to road topology, spatial adjacency and functional relations. With Iᵣ denoting the Gaussian indices associated with urban unit r, the reported computation is:</w:t>
      </w:r>
    </w:p>
    <w:p w:rsidR="00AF7157" w:rsidRPr="00E637C9" w:rsidRDefault="00E637C9">
      <w:pPr>
        <w:spacing w:after="140"/>
        <w:ind w:left="173"/>
        <w:rPr>
          <w:color w:val="000000" w:themeColor="text1"/>
        </w:rPr>
      </w:pPr>
      <w:r w:rsidRPr="00E637C9">
        <w:rPr>
          <w:color w:val="000000" w:themeColor="text1"/>
        </w:rPr>
        <w:t>oᵣ(t + 1) = Pool({sⱼ(t + 1) : j ∈ Iᵣ})</w:t>
      </w:r>
      <w:r w:rsidRPr="00E637C9">
        <w:rPr>
          <w:color w:val="000000" w:themeColor="text1"/>
        </w:rPr>
        <w:t>;</w:t>
      </w:r>
      <w:r w:rsidRPr="00E637C9">
        <w:rPr>
          <w:color w:val="000000" w:themeColor="text1"/>
        </w:rPr>
        <w:br/>
        <w:t>Gobj(t + 1) = (Vobj, Eobj, O(t + 1)).</w:t>
      </w:r>
    </w:p>
    <w:p w:rsidR="00AF7157" w:rsidRPr="00E637C9" w:rsidRDefault="00E637C9">
      <w:pPr>
        <w:rPr>
          <w:color w:val="000000" w:themeColor="text1"/>
        </w:rPr>
      </w:pPr>
      <w:r w:rsidRPr="00E637C9">
        <w:rPr>
          <w:color w:val="000000" w:themeColor="text1"/>
        </w:rPr>
        <w:t>Graph processing produces an urban-unit representation hᵣ(t + 1), from which the model estimates local indicators and constrained feedback. Structural relations provide context for interpreting local state changes.</w:t>
      </w:r>
    </w:p>
    <w:p w:rsidR="00AF7157" w:rsidRPr="00E637C9" w:rsidRDefault="00E637C9">
      <w:pPr>
        <w:spacing w:after="140"/>
        <w:ind w:left="173"/>
        <w:rPr>
          <w:color w:val="000000" w:themeColor="text1"/>
        </w:rPr>
      </w:pPr>
      <w:r w:rsidRPr="00E637C9">
        <w:rPr>
          <w:color w:val="000000" w:themeColor="text1"/>
        </w:rPr>
        <w:t>ξ</w:t>
      </w:r>
      <w:r w:rsidRPr="00E637C9">
        <w:rPr>
          <w:color w:val="000000" w:themeColor="text1"/>
        </w:rPr>
        <w:t>ᵣ(t + 1) = Find(hᵣ(t + 1)).</w:t>
      </w:r>
    </w:p>
    <w:p w:rsidR="00AF7157" w:rsidRPr="00E637C9" w:rsidRDefault="00E637C9">
      <w:pPr>
        <w:spacing w:after="140"/>
        <w:ind w:left="173"/>
        <w:rPr>
          <w:color w:val="000000" w:themeColor="text1"/>
        </w:rPr>
      </w:pPr>
      <w:r w:rsidRPr="00E637C9">
        <w:rPr>
          <w:color w:val="000000" w:themeColor="text1"/>
        </w:rPr>
        <w:t>zᵣ(t + 1) = ΠZᵣ(Ffb(hᵣ(t + 1), ξᵣ(t + 1), zᵣ(t))).</w:t>
      </w:r>
    </w:p>
    <w:p w:rsidR="00AF7157" w:rsidRPr="00E637C9" w:rsidRDefault="00E637C9">
      <w:pPr>
        <w:rPr>
          <w:color w:val="000000" w:themeColor="text1"/>
        </w:rPr>
      </w:pPr>
      <w:r w:rsidRPr="00E637C9">
        <w:rPr>
          <w:color w:val="000000" w:themeColor="text1"/>
        </w:rPr>
        <w:t>ΠZᵣ denotes projection onto a feasible local-feedback domain Zᵣ. The indicators may describe congestion, safety, accessibility, facility pressure or pedestrian-space pressure.</w:t>
      </w:r>
    </w:p>
    <w:p w:rsidR="00AF7157" w:rsidRPr="00E637C9" w:rsidRDefault="00E637C9">
      <w:pPr>
        <w:pStyle w:val="Heading2"/>
        <w:rPr>
          <w:color w:val="000000" w:themeColor="text1"/>
        </w:rPr>
      </w:pPr>
      <w:r w:rsidRPr="00E637C9">
        <w:rPr>
          <w:color w:val="000000" w:themeColor="text1"/>
        </w:rPr>
        <w:t>E</w:t>
      </w:r>
      <w:r w:rsidRPr="00E637C9">
        <w:rPr>
          <w:color w:val="000000" w:themeColor="text1"/>
        </w:rPr>
        <w:t>.2 Objective components and supervision provenance</w:t>
      </w:r>
    </w:p>
    <w:p w:rsidR="00AF7157" w:rsidRPr="00E637C9" w:rsidRDefault="00E637C9">
      <w:pPr>
        <w:keepNext/>
        <w:spacing w:after="100"/>
        <w:rPr>
          <w:color w:val="000000" w:themeColor="text1"/>
        </w:rPr>
      </w:pPr>
      <w:r w:rsidRPr="00E637C9">
        <w:rPr>
          <w:b/>
          <w:color w:val="000000" w:themeColor="text1"/>
        </w:rPr>
        <w:t>Table E1. Proxy-objective components and target sources.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12"/>
        <w:gridCol w:w="1440"/>
        <w:gridCol w:w="5141"/>
      </w:tblGrid>
      <w:tr w:rsidR="00E637C9" w:rsidRPr="00E637C9">
        <w:trPr>
          <w:cantSplit/>
          <w:tblHeader/>
          <w:jc w:val="center"/>
        </w:trPr>
        <w:tc>
          <w:tcPr>
            <w:tcW w:w="33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Component</w:t>
            </w:r>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Weight / sign</w:t>
            </w:r>
          </w:p>
        </w:tc>
        <w:tc>
          <w:tcPr>
            <w:tcW w:w="51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Target source</w:t>
            </w:r>
          </w:p>
        </w:tc>
      </w:tr>
      <w:tr w:rsidR="00E637C9" w:rsidRPr="00E637C9">
        <w:trPr>
          <w:cantSplit/>
          <w:jc w:val="center"/>
        </w:trPr>
        <w:tc>
          <w:tcPr>
            <w:tcW w:w="33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Congestion risk </w:t>
            </w:r>
            <w:proofErr w:type="spellStart"/>
            <w:r w:rsidRPr="00E637C9">
              <w:rPr>
                <w:color w:val="000000" w:themeColor="text1"/>
                <w:sz w:val="20"/>
              </w:rPr>
              <w:t>Rcong</w:t>
            </w:r>
            <w:proofErr w:type="spellEnd"/>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+0.25</w:t>
            </w:r>
          </w:p>
        </w:tc>
        <w:tc>
          <w:tcPr>
            <w:tcW w:w="51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UrbanScene3D and controlled simulation scenes.</w:t>
            </w:r>
          </w:p>
        </w:tc>
      </w:tr>
      <w:tr w:rsidR="00E637C9" w:rsidRPr="00E637C9">
        <w:trPr>
          <w:cantSplit/>
          <w:jc w:val="center"/>
        </w:trPr>
        <w:tc>
          <w:tcPr>
            <w:tcW w:w="33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Safety risk </w:t>
            </w:r>
            <w:proofErr w:type="spellStart"/>
            <w:r w:rsidRPr="00E637C9">
              <w:rPr>
                <w:color w:val="000000" w:themeColor="text1"/>
                <w:sz w:val="20"/>
              </w:rPr>
              <w:t>Rsafety</w:t>
            </w:r>
            <w:proofErr w:type="spellEnd"/>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+0.25</w:t>
            </w:r>
          </w:p>
        </w:tc>
        <w:tc>
          <w:tcPr>
            <w:tcW w:w="51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UrbanScene3D and controlled simulation scenes.</w:t>
            </w:r>
          </w:p>
        </w:tc>
      </w:tr>
      <w:tr w:rsidR="00E637C9" w:rsidRPr="00E637C9">
        <w:trPr>
          <w:cantSplit/>
          <w:jc w:val="center"/>
        </w:trPr>
        <w:tc>
          <w:tcPr>
            <w:tcW w:w="33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Accessibility </w:t>
            </w:r>
            <w:proofErr w:type="spellStart"/>
            <w:r w:rsidRPr="00E637C9">
              <w:rPr>
                <w:color w:val="000000" w:themeColor="text1"/>
                <w:sz w:val="20"/>
              </w:rPr>
              <w:t>Aaccess</w:t>
            </w:r>
            <w:proofErr w:type="spellEnd"/>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−0.20</w:t>
            </w:r>
          </w:p>
        </w:tc>
        <w:tc>
          <w:tcPr>
            <w:tcW w:w="51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UrbanScene3D and controlled simulation scenes.</w:t>
            </w:r>
          </w:p>
        </w:tc>
      </w:tr>
      <w:tr w:rsidR="00E637C9" w:rsidRPr="00E637C9">
        <w:trPr>
          <w:cantSplit/>
          <w:jc w:val="center"/>
        </w:trPr>
        <w:tc>
          <w:tcPr>
            <w:tcW w:w="33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Adjustment cost </w:t>
            </w:r>
            <w:proofErr w:type="spellStart"/>
            <w:r w:rsidRPr="00E637C9">
              <w:rPr>
                <w:color w:val="000000" w:themeColor="text1"/>
                <w:sz w:val="20"/>
              </w:rPr>
              <w:t>Cadjust</w:t>
            </w:r>
            <w:proofErr w:type="spellEnd"/>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+0.15</w:t>
            </w:r>
          </w:p>
        </w:tc>
        <w:tc>
          <w:tcPr>
            <w:tcW w:w="51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Deterministic rule-based evaluator.</w:t>
            </w:r>
          </w:p>
        </w:tc>
      </w:tr>
      <w:tr w:rsidR="00AF7157" w:rsidRPr="00E637C9">
        <w:trPr>
          <w:cantSplit/>
          <w:jc w:val="center"/>
        </w:trPr>
        <w:tc>
          <w:tcPr>
            <w:tcW w:w="331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Constraint violation </w:t>
            </w:r>
            <w:proofErr w:type="spellStart"/>
            <w:r w:rsidRPr="00E637C9">
              <w:rPr>
                <w:color w:val="000000" w:themeColor="text1"/>
                <w:sz w:val="20"/>
              </w:rPr>
              <w:t>Vconstraint</w:t>
            </w:r>
            <w:proofErr w:type="spellEnd"/>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+0.15</w:t>
            </w:r>
          </w:p>
        </w:tc>
        <w:tc>
          <w:tcPr>
            <w:tcW w:w="514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Deterministic rule-based e</w:t>
            </w:r>
            <w:r w:rsidRPr="00E637C9">
              <w:rPr>
                <w:color w:val="000000" w:themeColor="text1"/>
                <w:sz w:val="20"/>
              </w:rPr>
              <w:t>valuator.</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 xml:space="preserve">Simulator-derived targets account for three of the five objective components (60%); deterministic rules account for the other two (40%). These percentages describe component composition, not proportions of samples, weights or training batches. </w:t>
      </w:r>
      <w:r w:rsidRPr="00E637C9">
        <w:rPr>
          <w:color w:val="000000" w:themeColor="text1"/>
        </w:rPr>
        <w:t>No frozen external model or expert-annotated labels are used to generate these proxy-supervision targets.</w:t>
      </w:r>
    </w:p>
    <w:p w:rsidR="00AF7157" w:rsidRPr="00E637C9" w:rsidRDefault="00E637C9">
      <w:pPr>
        <w:rPr>
          <w:color w:val="000000" w:themeColor="text1"/>
        </w:rPr>
      </w:pPr>
      <w:r w:rsidRPr="00E637C9">
        <w:rPr>
          <w:color w:val="000000" w:themeColor="text1"/>
          <w:sz w:val="20"/>
        </w:rPr>
        <w:t>The final evaluation protocol separately uses independent frozen evaluators. These evaluators are isolated in data and parameters from the offline que</w:t>
      </w:r>
      <w:r w:rsidRPr="00E637C9">
        <w:rPr>
          <w:color w:val="000000" w:themeColor="text1"/>
          <w:sz w:val="20"/>
        </w:rPr>
        <w:t>ry teacher.</w:t>
      </w:r>
    </w:p>
    <w:p w:rsidR="00AF7157" w:rsidRPr="00E637C9" w:rsidRDefault="00E637C9">
      <w:pPr>
        <w:pStyle w:val="Heading2"/>
        <w:rPr>
          <w:color w:val="000000" w:themeColor="text1"/>
        </w:rPr>
      </w:pPr>
      <w:r w:rsidRPr="00E637C9">
        <w:rPr>
          <w:color w:val="000000" w:themeColor="text1"/>
        </w:rPr>
        <w:t>E.3 Objective sensitivity and next-step propagation</w:t>
      </w:r>
    </w:p>
    <w:p w:rsidR="00AF7157" w:rsidRPr="00E637C9" w:rsidRDefault="00E637C9">
      <w:pPr>
        <w:rPr>
          <w:color w:val="000000" w:themeColor="text1"/>
        </w:rPr>
      </w:pPr>
      <w:r w:rsidRPr="00E637C9">
        <w:rPr>
          <w:color w:val="000000" w:themeColor="text1"/>
        </w:rPr>
        <w:t>The feedback objective uses the weights in Table E1. Spatial sensitivity is the Euclidean norm of its gradient with respect to the urban-unit representation. The manuscript normalizes this raw</w:t>
      </w:r>
      <w:r w:rsidRPr="00E637C9">
        <w:rPr>
          <w:color w:val="000000" w:themeColor="text1"/>
        </w:rPr>
        <w:t xml:space="preserve"> sensitivity and smooths it with the previous propagated value:</w:t>
      </w:r>
    </w:p>
    <w:p w:rsidR="00AF7157" w:rsidRPr="00E637C9" w:rsidRDefault="00E637C9">
      <w:pPr>
        <w:spacing w:after="140"/>
        <w:ind w:left="173"/>
        <w:rPr>
          <w:color w:val="000000" w:themeColor="text1"/>
        </w:rPr>
      </w:pPr>
      <w:r w:rsidRPr="00E637C9">
        <w:rPr>
          <w:color w:val="000000" w:themeColor="text1"/>
        </w:rPr>
        <w:t>ρ̂ᵣ(t + 1) = ‖∂J(t + 1) / ∂hᵣ(t + 1)‖₂.</w:t>
      </w:r>
    </w:p>
    <w:p w:rsidR="00AF7157" w:rsidRPr="00E637C9" w:rsidRDefault="00E637C9">
      <w:pPr>
        <w:spacing w:after="140"/>
        <w:ind w:left="173"/>
        <w:rPr>
          <w:color w:val="000000" w:themeColor="text1"/>
        </w:rPr>
      </w:pPr>
      <w:r w:rsidRPr="00E637C9">
        <w:rPr>
          <w:color w:val="000000" w:themeColor="text1"/>
        </w:rPr>
        <w:t>ρᵣ(t + 1) = λρ ρᵣ(t) + (1 − λρ) Norm(ρ̂ᵣ(t + 1)).</w:t>
      </w:r>
    </w:p>
    <w:p w:rsidR="00AF7157" w:rsidRPr="00E637C9" w:rsidRDefault="00E637C9">
      <w:pPr>
        <w:rPr>
          <w:color w:val="000000" w:themeColor="text1"/>
        </w:rPr>
      </w:pPr>
      <w:r w:rsidRPr="00E637C9">
        <w:rPr>
          <w:color w:val="000000" w:themeColor="text1"/>
        </w:rPr>
        <w:t>At the next step, query selection consumes the updated twin state and sensitivity:</w:t>
      </w:r>
    </w:p>
    <w:p w:rsidR="00AF7157" w:rsidRPr="00E637C9" w:rsidRDefault="00E637C9">
      <w:pPr>
        <w:spacing w:after="140"/>
        <w:ind w:left="173"/>
        <w:rPr>
          <w:color w:val="000000" w:themeColor="text1"/>
        </w:rPr>
      </w:pPr>
      <w:r w:rsidRPr="00E637C9">
        <w:rPr>
          <w:color w:val="000000" w:themeColor="text1"/>
        </w:rPr>
        <w:t>Qsel(t + 1) = πθ(Q(</w:t>
      </w:r>
      <w:r w:rsidRPr="00E637C9">
        <w:rPr>
          <w:color w:val="000000" w:themeColor="text1"/>
        </w:rPr>
        <w:t>t + 1), T(t + 1), ρ(t + 1), B(t + 1)).</w:t>
      </w:r>
    </w:p>
    <w:p w:rsidR="00AF7157" w:rsidRPr="00E637C9" w:rsidRDefault="00E637C9">
      <w:pPr>
        <w:rPr>
          <w:color w:val="000000" w:themeColor="text1"/>
        </w:rPr>
      </w:pPr>
      <w:r w:rsidRPr="00E637C9">
        <w:rPr>
          <w:color w:val="000000" w:themeColor="text1"/>
        </w:rPr>
        <w:t>The state path supplies persistent twin context, while the sensitivity path changes the priorities assigned to later queries. A larger ρᵣ indicates greater objective sensitivity associated with an urban unit. The feed</w:t>
      </w:r>
      <w:r w:rsidRPr="00E637C9">
        <w:rPr>
          <w:color w:val="000000" w:themeColor="text1"/>
        </w:rPr>
        <w:t>back module estimates local operational indicators and does not produce a complete urban-planning solution.</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1"/>
        <w:rPr>
          <w:color w:val="000000" w:themeColor="text1"/>
        </w:rPr>
      </w:pPr>
      <w:r w:rsidRPr="00E637C9">
        <w:rPr>
          <w:color w:val="000000" w:themeColor="text1"/>
        </w:rPr>
        <w:t>Appendix K. Ablation and Sensitivity Analyses</w:t>
      </w:r>
    </w:p>
    <w:p w:rsidR="00AF7157" w:rsidRPr="00E637C9" w:rsidRDefault="00E637C9">
      <w:pPr>
        <w:pStyle w:val="Heading2"/>
        <w:rPr>
          <w:color w:val="000000" w:themeColor="text1"/>
        </w:rPr>
      </w:pPr>
      <w:r w:rsidRPr="00E637C9">
        <w:rPr>
          <w:color w:val="000000" w:themeColor="text1"/>
        </w:rPr>
        <w:t>K.1 Module ablations</w:t>
      </w:r>
    </w:p>
    <w:p w:rsidR="00AF7157" w:rsidRPr="00E637C9" w:rsidRDefault="00E637C9">
      <w:pPr>
        <w:rPr>
          <w:color w:val="000000" w:themeColor="text1"/>
        </w:rPr>
      </w:pPr>
      <w:r w:rsidRPr="00E637C9">
        <w:rPr>
          <w:color w:val="000000" w:themeColor="text1"/>
        </w:rPr>
        <w:t>Tables K1 and K2 summarize the core module ablations. Values are mean ± SD over</w:t>
      </w:r>
      <w:r w:rsidRPr="00E637C9">
        <w:rPr>
          <w:color w:val="000000" w:themeColor="text1"/>
        </w:rPr>
        <w:t xml:space="preserve"> five training seeds. Query-selection ablations use V2X-Real with the same Gaussian backend; Gaussian-update ablations use the TUM2TWIN/UrbanScene3D local-change protocol. The two groups are evaluated within their respective tasks.</w:t>
      </w:r>
    </w:p>
    <w:p w:rsidR="00AF7157" w:rsidRPr="00E637C9" w:rsidRDefault="00E637C9">
      <w:pPr>
        <w:keepNext/>
        <w:spacing w:after="100"/>
        <w:rPr>
          <w:color w:val="000000" w:themeColor="text1"/>
        </w:rPr>
      </w:pPr>
      <w:r w:rsidRPr="00E637C9">
        <w:rPr>
          <w:b/>
          <w:color w:val="000000" w:themeColor="text1"/>
        </w:rPr>
        <w:t>Table K1. Reported query</w:t>
      </w:r>
      <w:r w:rsidRPr="00E637C9">
        <w:rPr>
          <w:b/>
          <w:color w:val="000000" w:themeColor="text1"/>
        </w:rPr>
        <w:t>-selection ablations.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87"/>
        <w:gridCol w:w="1829"/>
        <w:gridCol w:w="2131"/>
        <w:gridCol w:w="2146"/>
      </w:tblGrid>
      <w:tr w:rsidR="00E637C9" w:rsidRPr="00E637C9">
        <w:trPr>
          <w:cantSplit/>
          <w:tblHeader/>
          <w:jc w:val="center"/>
        </w:trPr>
        <w:tc>
          <w:tcPr>
            <w:tcW w:w="378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Variant</w:t>
            </w:r>
          </w:p>
        </w:tc>
        <w:tc>
          <w:tcPr>
            <w:tcW w:w="182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3D mAP ↑</w:t>
            </w:r>
          </w:p>
        </w:tc>
        <w:tc>
          <w:tcPr>
            <w:tcW w:w="213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TSUG ↑</w:t>
            </w:r>
          </w:p>
        </w:tc>
        <w:tc>
          <w:tcPr>
            <w:tcW w:w="214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DSCE ↑</w:t>
            </w:r>
          </w:p>
        </w:tc>
      </w:tr>
      <w:tr w:rsidR="00E637C9" w:rsidRPr="00E637C9">
        <w:trPr>
          <w:cantSplit/>
          <w:jc w:val="center"/>
        </w:trPr>
        <w:tc>
          <w:tcPr>
            <w:tcW w:w="378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Without twin-state context</w:t>
            </w:r>
          </w:p>
        </w:tc>
        <w:tc>
          <w:tcPr>
            <w:tcW w:w="182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70.4 ± 1.0</w:t>
            </w:r>
          </w:p>
        </w:tc>
        <w:tc>
          <w:tcPr>
            <w:tcW w:w="213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0.238 ± 0.019</w:t>
            </w:r>
          </w:p>
        </w:tc>
        <w:tc>
          <w:tcPr>
            <w:tcW w:w="214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0.087 ± 0.010</w:t>
            </w:r>
          </w:p>
        </w:tc>
      </w:tr>
      <w:tr w:rsidR="00E637C9" w:rsidRPr="00E637C9">
        <w:trPr>
          <w:cantSplit/>
          <w:jc w:val="center"/>
        </w:trPr>
        <w:tc>
          <w:tcPr>
            <w:tcW w:w="378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Without uncertainty</w:t>
            </w:r>
          </w:p>
        </w:tc>
        <w:tc>
          <w:tcPr>
            <w:tcW w:w="182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71.6 ± 0.9</w:t>
            </w:r>
          </w:p>
        </w:tc>
        <w:tc>
          <w:tcPr>
            <w:tcW w:w="213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0.271 ± 0.018</w:t>
            </w:r>
          </w:p>
        </w:tc>
        <w:tc>
          <w:tcPr>
            <w:tcW w:w="214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0.095 ± 0.011</w:t>
            </w:r>
          </w:p>
        </w:tc>
      </w:tr>
      <w:tr w:rsidR="00E637C9" w:rsidRPr="00E637C9">
        <w:trPr>
          <w:cantSplit/>
          <w:jc w:val="center"/>
        </w:trPr>
        <w:tc>
          <w:tcPr>
            <w:tcW w:w="378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Without feedback sensitivity</w:t>
            </w:r>
          </w:p>
        </w:tc>
        <w:tc>
          <w:tcPr>
            <w:tcW w:w="182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72.0 ± 0.8</w:t>
            </w:r>
          </w:p>
        </w:tc>
        <w:tc>
          <w:tcPr>
            <w:tcW w:w="213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0.287 ± 0.017</w:t>
            </w:r>
          </w:p>
        </w:tc>
        <w:tc>
          <w:tcPr>
            <w:tcW w:w="214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0.068 ± 0.009</w:t>
            </w:r>
          </w:p>
        </w:tc>
      </w:tr>
      <w:tr w:rsidR="00AF7157" w:rsidRPr="00E637C9">
        <w:trPr>
          <w:cantSplit/>
          <w:jc w:val="center"/>
        </w:trPr>
        <w:tc>
          <w:tcPr>
            <w:tcW w:w="378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Ours-full</w:t>
            </w:r>
          </w:p>
        </w:tc>
        <w:tc>
          <w:tcPr>
            <w:tcW w:w="182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72.4 ± 0.9</w:t>
            </w:r>
          </w:p>
        </w:tc>
        <w:tc>
          <w:tcPr>
            <w:tcW w:w="213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0.312 ± 0.020</w:t>
            </w:r>
          </w:p>
        </w:tc>
        <w:tc>
          <w:tcPr>
            <w:tcW w:w="214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0.103 ± 0.012</w:t>
            </w:r>
          </w:p>
        </w:tc>
      </w:tr>
    </w:tbl>
    <w:p w:rsidR="00AF7157" w:rsidRPr="00E637C9" w:rsidRDefault="00AF7157">
      <w:pPr>
        <w:spacing w:after="0"/>
        <w:rPr>
          <w:color w:val="000000" w:themeColor="text1"/>
        </w:rPr>
      </w:pPr>
    </w:p>
    <w:p w:rsidR="00AF7157" w:rsidRPr="00E637C9" w:rsidRDefault="00E637C9">
      <w:pPr>
        <w:keepNext/>
        <w:spacing w:after="100"/>
        <w:rPr>
          <w:color w:val="000000" w:themeColor="text1"/>
        </w:rPr>
      </w:pPr>
      <w:r w:rsidRPr="00E637C9">
        <w:rPr>
          <w:b/>
          <w:color w:val="000000" w:themeColor="text1"/>
        </w:rPr>
        <w:t>Table K2. Reported Gaussian-update ablations.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89"/>
        <w:gridCol w:w="1440"/>
        <w:gridCol w:w="1627"/>
        <w:gridCol w:w="1555"/>
        <w:gridCol w:w="1555"/>
        <w:gridCol w:w="1526"/>
      </w:tblGrid>
      <w:tr w:rsidR="00E637C9" w:rsidRPr="00E637C9">
        <w:trPr>
          <w:cantSplit/>
          <w:tblHeader/>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Variant</w:t>
            </w:r>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mIoU ↑</w:t>
            </w:r>
          </w:p>
        </w:tc>
        <w:tc>
          <w:tcPr>
            <w:tcW w:w="162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IDF1/SIC ↑</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UE ↑</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LUR ↓</w:t>
            </w:r>
          </w:p>
        </w:tc>
        <w:tc>
          <w:tcPr>
            <w:tcW w:w="152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Time / ms ↓</w:t>
            </w:r>
          </w:p>
        </w:tc>
      </w:tr>
      <w:tr w:rsidR="00E637C9" w:rsidRPr="00E637C9">
        <w:trPr>
          <w:cantSplit/>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Global Update</w:t>
            </w:r>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58.2 ± 0.9</w:t>
            </w:r>
          </w:p>
        </w:tc>
        <w:tc>
          <w:tcPr>
            <w:tcW w:w="162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0.87 ± 0.02</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0.35 ± 0.04</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0.91 ± 0.04</w:t>
            </w:r>
          </w:p>
        </w:tc>
        <w:tc>
          <w:tcPr>
            <w:tcW w:w="152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930 ± 52</w:t>
            </w:r>
          </w:p>
        </w:tc>
      </w:tr>
      <w:tr w:rsidR="00E637C9" w:rsidRPr="00E637C9">
        <w:trPr>
          <w:cantSplit/>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Without local update</w:t>
            </w:r>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53.1 ± 1.1</w:t>
            </w:r>
          </w:p>
        </w:tc>
        <w:tc>
          <w:tcPr>
            <w:tcW w:w="162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0.82 ±</w:t>
            </w:r>
            <w:r w:rsidRPr="00E637C9">
              <w:rPr>
                <w:color w:val="000000" w:themeColor="text1"/>
                <w:sz w:val="20"/>
              </w:rPr>
              <w:t xml:space="preserve"> 0.03</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0.29 ± 0.04</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0.78 ± 0.05</w:t>
            </w:r>
          </w:p>
        </w:tc>
        <w:tc>
          <w:tcPr>
            <w:tcW w:w="152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760 ± 48</w:t>
            </w:r>
          </w:p>
        </w:tc>
      </w:tr>
      <w:tr w:rsidR="00AF7157" w:rsidRPr="00E637C9">
        <w:trPr>
          <w:cantSplit/>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Ours-full</w:t>
            </w:r>
          </w:p>
        </w:tc>
        <w:tc>
          <w:tcPr>
            <w:tcW w:w="144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57.6 ± 1.1</w:t>
            </w:r>
          </w:p>
        </w:tc>
        <w:tc>
          <w:tcPr>
            <w:tcW w:w="162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0.90 ± 0.02</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0.51 ± 0.05</w:t>
            </w:r>
          </w:p>
        </w:tc>
        <w:tc>
          <w:tcPr>
            <w:tcW w:w="1555"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0.42 ± 0.04</w:t>
            </w:r>
          </w:p>
        </w:tc>
        <w:tc>
          <w:tcPr>
            <w:tcW w:w="152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455 ± 33</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 xml:space="preserve">Removing twin-state context, uncertainty or feedback sensitivity lowers TSUG and DSCE. Global updating achieves slightly higher mIoU while </w:t>
      </w:r>
      <w:r w:rsidRPr="00E637C9">
        <w:rPr>
          <w:color w:val="000000" w:themeColor="text1"/>
        </w:rPr>
        <w:t>increasing LUR and update time; the local updater offers higher identity consistency and update efficiency. These observations apply within the corresponding protocols.</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2"/>
        <w:rPr>
          <w:color w:val="000000" w:themeColor="text1"/>
        </w:rPr>
      </w:pPr>
      <w:r w:rsidRPr="00E637C9">
        <w:rPr>
          <w:color w:val="000000" w:themeColor="text1"/>
        </w:rPr>
        <w:t>K.2 Metric-weight sensitivity</w:t>
      </w:r>
    </w:p>
    <w:p w:rsidR="00AF7157" w:rsidRPr="00E637C9" w:rsidRDefault="00E637C9">
      <w:pPr>
        <w:rPr>
          <w:color w:val="000000" w:themeColor="text1"/>
        </w:rPr>
      </w:pPr>
      <w:r w:rsidRPr="00E637C9">
        <w:rPr>
          <w:color w:val="000000" w:themeColor="text1"/>
        </w:rPr>
        <w:t>The reported analysis independently multiplies one sele</w:t>
      </w:r>
      <w:r w:rsidRPr="00E637C9">
        <w:rPr>
          <w:color w:val="000000" w:themeColor="text1"/>
        </w:rPr>
        <w:t>cted weight by a factor a ∈ {0.50, 0.75, 1.00, 1.25, 1.50}, while leaving the other unnormalized weights unchanged. Weights are then renormalized within the corresponding metric. For a default weight vector u summing to one and selected index j, this gives</w:t>
      </w:r>
      <w:r w:rsidRPr="00E637C9">
        <w:rPr>
          <w:color w:val="000000" w:themeColor="text1"/>
        </w:rPr>
        <w:t>:</w:t>
      </w:r>
    </w:p>
    <w:p w:rsidR="00AF7157" w:rsidRPr="00E637C9" w:rsidRDefault="00E637C9">
      <w:pPr>
        <w:spacing w:after="140"/>
        <w:ind w:left="173"/>
        <w:rPr>
          <w:color w:val="000000" w:themeColor="text1"/>
        </w:rPr>
      </w:pPr>
      <w:r w:rsidRPr="00E637C9">
        <w:rPr>
          <w:color w:val="000000" w:themeColor="text1"/>
        </w:rPr>
        <w:t>u′ⱼ = a uⱼ / [1 + (a − 1)uⱼ];</w:t>
      </w:r>
      <w:r w:rsidRPr="00E637C9">
        <w:rPr>
          <w:color w:val="000000" w:themeColor="text1"/>
        </w:rPr>
        <w:br/>
        <w:t>u′ₖ = uₖ / [1 + (a − 1)uⱼ],  k ≠ j.</w:t>
      </w:r>
    </w:p>
    <w:p w:rsidR="00AF7157" w:rsidRPr="00E637C9" w:rsidRDefault="00E637C9">
      <w:pPr>
        <w:keepNext/>
        <w:spacing w:after="100"/>
        <w:rPr>
          <w:color w:val="000000" w:themeColor="text1"/>
        </w:rPr>
      </w:pPr>
      <w:r w:rsidRPr="00E637C9">
        <w:rPr>
          <w:b/>
          <w:color w:val="000000" w:themeColor="text1"/>
        </w:rPr>
        <w:t>Table K3. Weight groups and defaults.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89"/>
        <w:gridCol w:w="2952"/>
        <w:gridCol w:w="4752"/>
      </w:tblGrid>
      <w:tr w:rsidR="00E637C9" w:rsidRPr="00E637C9">
        <w:trPr>
          <w:cantSplit/>
          <w:tblHeader/>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Metric group</w:t>
            </w:r>
          </w:p>
        </w:tc>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Default weights</w:t>
            </w:r>
          </w:p>
        </w:tc>
        <w:tc>
          <w:tcPr>
            <w:tcW w:w="47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Perturbation targets</w:t>
            </w:r>
          </w:p>
        </w:tc>
      </w:tr>
      <w:tr w:rsidR="00E637C9" w:rsidRPr="00E637C9">
        <w:trPr>
          <w:cantSplit/>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Twin-state error</w:t>
            </w:r>
          </w:p>
        </w:tc>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(0.25, 0.25, 0.25, 0.25)</w:t>
            </w:r>
          </w:p>
        </w:tc>
        <w:tc>
          <w:tcPr>
            <w:tcW w:w="47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Geometry, semantics, identity and uncertainty, one at a </w:t>
            </w:r>
            <w:r w:rsidRPr="00E637C9">
              <w:rPr>
                <w:color w:val="000000" w:themeColor="text1"/>
                <w:sz w:val="20"/>
              </w:rPr>
              <w:t>time.</w:t>
            </w:r>
          </w:p>
        </w:tc>
      </w:tr>
      <w:tr w:rsidR="00E637C9" w:rsidRPr="00E637C9">
        <w:trPr>
          <w:cantSplit/>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Spatial objective</w:t>
            </w:r>
          </w:p>
        </w:tc>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(0.25, 0.25, 0.20, 0.15, 0.15)</w:t>
            </w:r>
          </w:p>
        </w:tc>
        <w:tc>
          <w:tcPr>
            <w:tcW w:w="47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Congestion, safety, accessibility, adjustment and violations, one at a time.</w:t>
            </w:r>
          </w:p>
        </w:tc>
      </w:tr>
      <w:tr w:rsidR="00AF7157" w:rsidRPr="00E637C9">
        <w:trPr>
          <w:cantSplit/>
          <w:jc w:val="center"/>
        </w:trPr>
        <w:tc>
          <w:tcPr>
            <w:tcW w:w="2189"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DSCE mixture</w:t>
            </w:r>
          </w:p>
        </w:tc>
        <w:tc>
          <w:tcPr>
            <w:tcW w:w="29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(0.50, 0.50)</w:t>
            </w:r>
          </w:p>
        </w:tc>
        <w:tc>
          <w:tcPr>
            <w:tcW w:w="4752"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Twin-maintenance and feedback contribution, one at a time.</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 xml:space="preserve">For the spatial objective, these </w:t>
      </w:r>
      <w:r w:rsidRPr="00E637C9">
        <w:rPr>
          <w:color w:val="000000" w:themeColor="text1"/>
        </w:rPr>
        <w:t>are nonnegative weight magnitudes; the accessibility term retains its minus sign. Evaluation-weight perturbations are distinct from modifications to training-loss weights.</w:t>
      </w:r>
    </w:p>
    <w:p w:rsidR="00AF7157" w:rsidRPr="00E637C9" w:rsidRDefault="00E637C9">
      <w:pPr>
        <w:keepNext/>
        <w:spacing w:after="100"/>
        <w:rPr>
          <w:color w:val="000000" w:themeColor="text1"/>
        </w:rPr>
      </w:pPr>
      <w:r w:rsidRPr="00E637C9">
        <w:rPr>
          <w:b/>
          <w:color w:val="000000" w:themeColor="text1"/>
        </w:rPr>
        <w:t>Table K4. Analytically derived normalized weight after perturbation.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3"/>
        <w:gridCol w:w="2160"/>
        <w:gridCol w:w="2160"/>
        <w:gridCol w:w="2160"/>
        <w:gridCol w:w="2160"/>
      </w:tblGrid>
      <w:tr w:rsidR="00E637C9" w:rsidRPr="00E637C9">
        <w:trPr>
          <w:cantSplit/>
          <w:tblHeader/>
          <w:jc w:val="center"/>
        </w:trPr>
        <w:tc>
          <w:tcPr>
            <w:tcW w:w="1253"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Factor a</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Defaul</w:t>
            </w:r>
            <w:r w:rsidRPr="00E637C9">
              <w:rPr>
                <w:b/>
                <w:color w:val="000000" w:themeColor="text1"/>
                <w:sz w:val="20"/>
              </w:rPr>
              <w:t>t 0.25</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Default 0.20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Default 0.15</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Default 0.50</w:t>
            </w:r>
          </w:p>
        </w:tc>
      </w:tr>
      <w:tr w:rsidR="00E637C9" w:rsidRPr="00E637C9">
        <w:trPr>
          <w:cantSplit/>
          <w:jc w:val="center"/>
        </w:trPr>
        <w:tc>
          <w:tcPr>
            <w:tcW w:w="1253"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0.142857</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0.111111</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0.081081</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0.333333</w:t>
            </w:r>
          </w:p>
        </w:tc>
      </w:tr>
      <w:tr w:rsidR="00E637C9" w:rsidRPr="00E637C9">
        <w:trPr>
          <w:cantSplit/>
          <w:jc w:val="center"/>
        </w:trPr>
        <w:tc>
          <w:tcPr>
            <w:tcW w:w="1253"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0.75</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0.200000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0.157895</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0.116883</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0.428571</w:t>
            </w:r>
          </w:p>
        </w:tc>
      </w:tr>
      <w:tr w:rsidR="00E637C9" w:rsidRPr="00E637C9">
        <w:trPr>
          <w:cantSplit/>
          <w:jc w:val="center"/>
        </w:trPr>
        <w:tc>
          <w:tcPr>
            <w:tcW w:w="1253"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1.00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0.250000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0.200000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0.150000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0.500000</w:t>
            </w:r>
          </w:p>
        </w:tc>
      </w:tr>
      <w:tr w:rsidR="00E637C9" w:rsidRPr="00E637C9">
        <w:trPr>
          <w:cantSplit/>
          <w:jc w:val="center"/>
        </w:trPr>
        <w:tc>
          <w:tcPr>
            <w:tcW w:w="1253"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1.25</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0.294118</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0.238095</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0.180723</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0.555556</w:t>
            </w:r>
          </w:p>
        </w:tc>
      </w:tr>
      <w:tr w:rsidR="00E637C9" w:rsidRPr="00E637C9">
        <w:trPr>
          <w:cantSplit/>
          <w:jc w:val="center"/>
        </w:trPr>
        <w:tc>
          <w:tcPr>
            <w:tcW w:w="1253"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1.50</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0.333333</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0.272727</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0.209302</w:t>
            </w:r>
          </w:p>
        </w:tc>
        <w:tc>
          <w:tcPr>
            <w:tcW w:w="2160"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0.600000</w:t>
            </w:r>
          </w:p>
        </w:tc>
      </w:tr>
    </w:tbl>
    <w:p w:rsidR="00AF7157" w:rsidRPr="00E637C9" w:rsidRDefault="00AF7157">
      <w:pPr>
        <w:spacing w:after="0"/>
        <w:rPr>
          <w:color w:val="000000" w:themeColor="text1"/>
        </w:rPr>
      </w:pPr>
    </w:p>
    <w:p w:rsidR="00AF7157" w:rsidRPr="00E637C9" w:rsidRDefault="00E637C9">
      <w:pPr>
        <w:pStyle w:val="Heading2"/>
        <w:rPr>
          <w:color w:val="000000" w:themeColor="text1"/>
        </w:rPr>
      </w:pPr>
      <w:r w:rsidRPr="00E637C9">
        <w:rPr>
          <w:color w:val="000000" w:themeColor="text1"/>
        </w:rPr>
        <w:t>Reported ranking robustness</w:t>
      </w:r>
    </w:p>
    <w:p w:rsidR="00AF7157" w:rsidRPr="00E637C9" w:rsidRDefault="00E637C9">
      <w:pPr>
        <w:rPr>
          <w:color w:val="000000" w:themeColor="text1"/>
        </w:rPr>
      </w:pPr>
      <w:r w:rsidRPr="00E637C9">
        <w:rPr>
          <w:color w:val="000000" w:themeColor="text1"/>
        </w:rPr>
        <w:t>Across the perturbations summarized in the manuscript, Spearman correlation with the default method ranking ranges from 0.943 to 1.000. Ours-full remains first and CoCMT-UB remains second, with no top-method reversal. This int</w:t>
      </w:r>
      <w:r w:rsidRPr="00E637C9">
        <w:rPr>
          <w:color w:val="000000" w:themeColor="text1"/>
        </w:rPr>
        <w:t>erval is an overall reported range; it is not a separate estimate for each weight family or factor.</w:t>
      </w:r>
    </w:p>
    <w:p w:rsidR="00AF7157" w:rsidRPr="00E637C9" w:rsidRDefault="00E637C9">
      <w:pPr>
        <w:rPr>
          <w:color w:val="000000" w:themeColor="text1"/>
        </w:rPr>
      </w:pPr>
      <w:r w:rsidRPr="00E637C9">
        <w:rPr>
          <w:color w:val="000000" w:themeColor="text1"/>
          <w:sz w:val="20"/>
        </w:rPr>
        <w:t>The main text states that these perturbations do not modify the final test configuration or contribute to test-set model selection. Accordingly, the reporte</w:t>
      </w:r>
      <w:r w:rsidRPr="00E637C9">
        <w:rPr>
          <w:color w:val="000000" w:themeColor="text1"/>
          <w:sz w:val="20"/>
        </w:rPr>
        <w:t>d robustness supports the proxy-metric ranking within this protocol and does not validate the proxy against real-world operational outcomes.</w:t>
      </w:r>
    </w:p>
    <w:p w:rsidR="00AF7157" w:rsidRPr="00E637C9" w:rsidRDefault="00E637C9">
      <w:pPr>
        <w:rPr>
          <w:color w:val="000000" w:themeColor="text1"/>
        </w:rPr>
      </w:pPr>
      <w:r w:rsidRPr="00E637C9">
        <w:rPr>
          <w:color w:val="000000" w:themeColor="text1"/>
        </w:rPr>
        <w:br w:type="page"/>
      </w:r>
    </w:p>
    <w:p w:rsidR="00AF7157" w:rsidRPr="00E637C9" w:rsidRDefault="00E637C9">
      <w:pPr>
        <w:pStyle w:val="Heading2"/>
        <w:rPr>
          <w:color w:val="000000" w:themeColor="text1"/>
        </w:rPr>
      </w:pPr>
      <w:r w:rsidRPr="00E637C9">
        <w:rPr>
          <w:color w:val="000000" w:themeColor="text1"/>
        </w:rPr>
        <w:t>K.3 Model-parameter sensitivity</w:t>
      </w:r>
    </w:p>
    <w:p w:rsidR="00AF7157" w:rsidRPr="00E637C9" w:rsidRDefault="00E637C9">
      <w:pPr>
        <w:rPr>
          <w:color w:val="000000" w:themeColor="text1"/>
        </w:rPr>
      </w:pPr>
      <w:r w:rsidRPr="00E637C9">
        <w:rPr>
          <w:color w:val="000000" w:themeColor="text1"/>
        </w:rPr>
        <w:t xml:space="preserve">Model-parameter sensitivity is evaluated on the validation split using </w:t>
      </w:r>
      <w:r w:rsidRPr="00E637C9">
        <w:rPr>
          <w:color w:val="000000" w:themeColor="text1"/>
        </w:rPr>
        <w:t>one-factor-at-a-time changes. For each parameter, all remaining settings are held fixed. This analysis assesses local robustness around the selected configuration and does not alter the final test model or test configuration.</w:t>
      </w:r>
    </w:p>
    <w:p w:rsidR="00AF7157" w:rsidRPr="00E637C9" w:rsidRDefault="00E637C9">
      <w:pPr>
        <w:keepNext/>
        <w:spacing w:after="100"/>
        <w:rPr>
          <w:color w:val="000000" w:themeColor="text1"/>
        </w:rPr>
      </w:pPr>
      <w:r w:rsidRPr="00E637C9">
        <w:rPr>
          <w:b/>
          <w:color w:val="000000" w:themeColor="text1"/>
        </w:rPr>
        <w:t>Table K5. Principal defaults f</w:t>
      </w:r>
      <w:r w:rsidRPr="00E637C9">
        <w:rPr>
          <w:b/>
          <w:color w:val="000000" w:themeColor="text1"/>
        </w:rPr>
        <w:t>or model-parameter analysis.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6"/>
        <w:gridCol w:w="6437"/>
      </w:tblGrid>
      <w:tr w:rsidR="00E637C9" w:rsidRPr="00E637C9">
        <w:trPr>
          <w:cantSplit/>
          <w:tblHeader/>
          <w:jc w:val="center"/>
        </w:trPr>
        <w:tc>
          <w:tcPr>
            <w:tcW w:w="34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Parameter</w:t>
            </w:r>
          </w:p>
        </w:tc>
        <w:tc>
          <w:tcPr>
            <w:tcW w:w="643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Default</w:t>
            </w:r>
          </w:p>
        </w:tc>
      </w:tr>
      <w:tr w:rsidR="00E637C9" w:rsidRPr="00E637C9">
        <w:trPr>
          <w:cantSplit/>
          <w:jc w:val="center"/>
        </w:trPr>
        <w:tc>
          <w:tcPr>
            <w:tcW w:w="34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Queries per active node</w:t>
            </w:r>
          </w:p>
        </w:tc>
        <w:tc>
          <w:tcPr>
            <w:tcW w:w="643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128-query limit before the aggregate budget constraint.</w:t>
            </w:r>
          </w:p>
        </w:tc>
      </w:tr>
      <w:tr w:rsidR="00E637C9" w:rsidRPr="00E637C9">
        <w:trPr>
          <w:cantSplit/>
          <w:jc w:val="center"/>
        </w:trPr>
        <w:tc>
          <w:tcPr>
            <w:tcW w:w="34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Local-mask ratio</w:t>
            </w:r>
          </w:p>
        </w:tc>
        <w:tc>
          <w:tcPr>
            <w:tcW w:w="643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0.50</w:t>
            </w:r>
          </w:p>
        </w:tc>
      </w:tr>
      <w:tr w:rsidR="00AF7157" w:rsidRPr="00E637C9">
        <w:trPr>
          <w:cantSplit/>
          <w:jc w:val="center"/>
        </w:trPr>
        <w:tc>
          <w:tcPr>
            <w:tcW w:w="34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 xml:space="preserve">Uncertainty-loss weight </w:t>
            </w:r>
            <w:proofErr w:type="spellStart"/>
            <w:r w:rsidRPr="00E637C9">
              <w:rPr>
                <w:color w:val="000000" w:themeColor="text1"/>
                <w:sz w:val="20"/>
              </w:rPr>
              <w:t>λunc</w:t>
            </w:r>
            <w:proofErr w:type="spellEnd"/>
          </w:p>
        </w:tc>
        <w:tc>
          <w:tcPr>
            <w:tcW w:w="6437"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0.10</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 xml:space="preserve">The per-node query limit is distinct from the observed aggregate of </w:t>
      </w:r>
      <w:r w:rsidRPr="00E637C9">
        <w:rPr>
          <w:color w:val="000000" w:themeColor="text1"/>
        </w:rPr>
        <w:t>132 ± 17 selected queries/frame. The model-parameter analysis concerns validation robustness, whereas the metric-weight analysis in K.2 concerns the stability of evaluation rankings. These analyses use different perturbation targets.</w:t>
      </w:r>
    </w:p>
    <w:p w:rsidR="00AF7157" w:rsidRPr="00E637C9" w:rsidRDefault="00E637C9">
      <w:pPr>
        <w:pStyle w:val="Heading2"/>
        <w:rPr>
          <w:color w:val="000000" w:themeColor="text1"/>
        </w:rPr>
      </w:pPr>
      <w:r w:rsidRPr="00E637C9">
        <w:rPr>
          <w:color w:val="000000" w:themeColor="text1"/>
        </w:rPr>
        <w:t>K.4 Sequential mechani</w:t>
      </w:r>
      <w:r w:rsidRPr="00E637C9">
        <w:rPr>
          <w:color w:val="000000" w:themeColor="text1"/>
        </w:rPr>
        <w:t>sm evidence already reported</w:t>
      </w:r>
    </w:p>
    <w:p w:rsidR="00AF7157" w:rsidRPr="00E637C9" w:rsidRDefault="00E637C9">
      <w:pPr>
        <w:rPr>
          <w:color w:val="000000" w:themeColor="text1"/>
        </w:rPr>
      </w:pPr>
      <w:r w:rsidRPr="00E637C9">
        <w:rPr>
          <w:color w:val="000000" w:themeColor="text1"/>
        </w:rPr>
        <w:t>The following T = 20 sequential results compare dynamically propagated sensitivity with sensitivity-free and frozen-sensitivity variants under the same per-step communication budget.</w:t>
      </w:r>
    </w:p>
    <w:p w:rsidR="00AF7157" w:rsidRPr="00E637C9" w:rsidRDefault="00E637C9">
      <w:pPr>
        <w:keepNext/>
        <w:spacing w:after="100"/>
        <w:rPr>
          <w:color w:val="000000" w:themeColor="text1"/>
        </w:rPr>
      </w:pPr>
      <w:r w:rsidRPr="00E637C9">
        <w:rPr>
          <w:b/>
          <w:color w:val="000000" w:themeColor="text1"/>
        </w:rPr>
        <w:t>Table K6. Sequential mechanism comparisons (</w:t>
      </w:r>
      <w:r w:rsidRPr="00E637C9">
        <w:rPr>
          <w:b/>
          <w:color w:val="000000" w:themeColor="text1"/>
        </w:rPr>
        <w:t>mean ± SD across five training seeds).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6"/>
        <w:gridCol w:w="2808"/>
        <w:gridCol w:w="2808"/>
        <w:gridCol w:w="2621"/>
      </w:tblGrid>
      <w:tr w:rsidR="00E637C9" w:rsidRPr="00E637C9">
        <w:trPr>
          <w:cantSplit/>
          <w:tblHeader/>
          <w:jc w:val="center"/>
        </w:trPr>
        <w:tc>
          <w:tcPr>
            <w:tcW w:w="16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Variant</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Cumulative twin error ↓</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Query redistribution ↑</w:t>
            </w:r>
          </w:p>
        </w:tc>
        <w:tc>
          <w:tcPr>
            <w:tcW w:w="262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b/>
                <w:color w:val="000000" w:themeColor="text1"/>
                <w:sz w:val="20"/>
              </w:rPr>
              <w:t>Communication / Mb</w:t>
            </w:r>
          </w:p>
        </w:tc>
      </w:tr>
      <w:tr w:rsidR="00E637C9" w:rsidRPr="00E637C9">
        <w:trPr>
          <w:cantSplit/>
          <w:jc w:val="center"/>
        </w:trPr>
        <w:tc>
          <w:tcPr>
            <w:tcW w:w="16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No-ρ</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5.15 ± 0.18</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0.309 ± 0.024</w:t>
            </w:r>
          </w:p>
        </w:tc>
        <w:tc>
          <w:tcPr>
            <w:tcW w:w="262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87.0 ± 2.1</w:t>
            </w:r>
          </w:p>
        </w:tc>
      </w:tr>
      <w:tr w:rsidR="00E637C9" w:rsidRPr="00E637C9">
        <w:trPr>
          <w:cantSplit/>
          <w:jc w:val="center"/>
        </w:trPr>
        <w:tc>
          <w:tcPr>
            <w:tcW w:w="16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Frozen-ρ</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4.98 ± 0.17</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0.356 ± 0.025</w:t>
            </w:r>
          </w:p>
        </w:tc>
        <w:tc>
          <w:tcPr>
            <w:tcW w:w="262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87.1 ± 2.2</w:t>
            </w:r>
          </w:p>
        </w:tc>
      </w:tr>
      <w:tr w:rsidR="00AF7157" w:rsidRPr="00E637C9">
        <w:trPr>
          <w:cantSplit/>
          <w:jc w:val="center"/>
        </w:trPr>
        <w:tc>
          <w:tcPr>
            <w:tcW w:w="1656"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Ours-full</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4.61 ± 0.16</w:t>
            </w:r>
          </w:p>
        </w:tc>
        <w:tc>
          <w:tcPr>
            <w:tcW w:w="2808"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0.612 ± 0.028</w:t>
            </w:r>
          </w:p>
        </w:tc>
        <w:tc>
          <w:tcPr>
            <w:tcW w:w="2621" w:type="dxa"/>
            <w:tcMar>
              <w:top w:w="65" w:type="dxa"/>
              <w:left w:w="80" w:type="dxa"/>
              <w:bottom w:w="65" w:type="dxa"/>
              <w:right w:w="80" w:type="dxa"/>
            </w:tcMar>
            <w:vAlign w:val="center"/>
          </w:tcPr>
          <w:p w:rsidR="00AF7157" w:rsidRPr="00E637C9" w:rsidRDefault="00E637C9">
            <w:pPr>
              <w:spacing w:after="0"/>
              <w:rPr>
                <w:color w:val="000000" w:themeColor="text1"/>
              </w:rPr>
            </w:pPr>
            <w:r w:rsidRPr="00E637C9">
              <w:rPr>
                <w:color w:val="000000" w:themeColor="text1"/>
                <w:sz w:val="20"/>
              </w:rPr>
              <w:t>87.2 ± 2.1</w:t>
            </w:r>
          </w:p>
        </w:tc>
      </w:tr>
    </w:tbl>
    <w:p w:rsidR="00AF7157" w:rsidRPr="00E637C9" w:rsidRDefault="00AF7157">
      <w:pPr>
        <w:spacing w:after="0"/>
        <w:rPr>
          <w:color w:val="000000" w:themeColor="text1"/>
        </w:rPr>
      </w:pPr>
    </w:p>
    <w:p w:rsidR="00AF7157" w:rsidRPr="00E637C9" w:rsidRDefault="00E637C9">
      <w:pPr>
        <w:rPr>
          <w:color w:val="000000" w:themeColor="text1"/>
        </w:rPr>
      </w:pPr>
      <w:r w:rsidRPr="00E637C9">
        <w:rPr>
          <w:color w:val="000000" w:themeColor="text1"/>
        </w:rPr>
        <w:t>Relative to Frozen-ρ, the reported mean cumulative error decreases by 0.370 and query redistribution increases by 0.256. Relative to No-ρ, the corresponding changes are 0.540 and 0.303. Query redistribution measures the fraction of next-step queries reassi</w:t>
      </w:r>
      <w:r w:rsidRPr="00E637C9">
        <w:rPr>
          <w:color w:val="000000" w:themeColor="text1"/>
        </w:rPr>
        <w:t>gned to regions whose sensitivity increased in the preceding step. Communication remains comparable across these variants.</w:t>
      </w:r>
    </w:p>
    <w:sectPr w:rsidR="00AF7157" w:rsidRPr="00E637C9" w:rsidSect="00E637C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oNotDisplayPageBoundaries/>
  <w:proofState w:spelling="clean" w:grammar="clean"/>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AF7157"/>
    <w:rsid w:val="00B47730"/>
    <w:rsid w:val="00CB0664"/>
    <w:rsid w:val="00E637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833B2BF-6564-4AC3-A7EC-0131BF633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40" w:lineRule="auto"/>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FC693F"/>
    <w:pPr>
      <w:keepNext/>
      <w:keepLines/>
      <w:outlineLvl w:val="0"/>
    </w:pPr>
    <w:rPr>
      <w:b/>
      <w:bCs/>
      <w:sz w:val="24"/>
      <w:szCs w:val="28"/>
    </w:rPr>
  </w:style>
  <w:style w:type="paragraph" w:styleId="Heading2">
    <w:name w:val="heading 2"/>
    <w:basedOn w:val="Normal"/>
    <w:next w:val="Normal"/>
    <w:link w:val="Heading2Char"/>
    <w:uiPriority w:val="9"/>
    <w:unhideWhenUsed/>
    <w:qFormat/>
    <w:rsid w:val="00FC693F"/>
    <w:pPr>
      <w:keepNext/>
      <w:keepLines/>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58AEC-6CFE-4B75-B3E6-0755AE6D6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2948</Words>
  <Characters>16806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19715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Urban Digital Twins — Appendices B, C, D, E and K</dc:title>
  <dc:subject>Supplementary appendices</dc:subject>
  <dc:creator/>
  <cp:keywords>Appendix B; Appendix C; Appendix D; Appendix E; Appendix K</cp:keywords>
  <dc:description>generated by python-docx</dc:description>
  <cp:lastModifiedBy>Sindhu C</cp:lastModifiedBy>
  <cp:revision>2</cp:revision>
  <dcterms:created xsi:type="dcterms:W3CDTF">2013-12-23T23:15:00Z</dcterms:created>
  <dcterms:modified xsi:type="dcterms:W3CDTF">2026-10-08T01:29:00Z</dcterms:modified>
  <cp:category/>
</cp:coreProperties>
</file>