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2FF5E" w14:textId="7D134BB2" w:rsidR="00DF4711" w:rsidRPr="00B701AE" w:rsidRDefault="00F84510" w:rsidP="00F84510">
      <w:pPr>
        <w:jc w:val="center"/>
        <w:rPr>
          <w:sz w:val="32"/>
          <w:szCs w:val="28"/>
        </w:rPr>
      </w:pPr>
      <w:r w:rsidRPr="00B701AE">
        <w:rPr>
          <w:b/>
          <w:color w:val="0D0D0D" w:themeColor="text1" w:themeTint="F2"/>
          <w:sz w:val="36"/>
          <w:szCs w:val="36"/>
          <w:lang w:val="en-US"/>
        </w:rPr>
        <w:t>Mechanically Synthesized S@rGO Nanocomposites for Dye Photodegradation</w:t>
      </w:r>
    </w:p>
    <w:p w14:paraId="7220DE85" w14:textId="77777777" w:rsidR="004C08A5" w:rsidRDefault="004C08A5" w:rsidP="00C612E9"/>
    <w:p w14:paraId="52E0EB49" w14:textId="06C3D72D" w:rsidR="00777DD3" w:rsidRPr="009A3E39" w:rsidRDefault="00777DD3" w:rsidP="00777DD3">
      <w:pPr>
        <w:spacing w:after="0" w:line="360" w:lineRule="auto"/>
        <w:jc w:val="both"/>
        <w:rPr>
          <w:b/>
          <w:bCs/>
          <w:color w:val="0D0D0D" w:themeColor="text1" w:themeTint="F2"/>
          <w:szCs w:val="24"/>
          <w:vertAlign w:val="superscript"/>
        </w:rPr>
      </w:pPr>
      <w:r w:rsidRPr="009A3E39">
        <w:rPr>
          <w:bCs/>
          <w:color w:val="0D0D0D" w:themeColor="text1" w:themeTint="F2"/>
          <w:szCs w:val="24"/>
        </w:rPr>
        <w:t>Karishma Jain</w:t>
      </w:r>
      <w:r w:rsidRPr="009A3E39">
        <w:rPr>
          <w:bCs/>
          <w:color w:val="0D0D0D" w:themeColor="text1" w:themeTint="F2"/>
          <w:szCs w:val="24"/>
          <w:vertAlign w:val="superscript"/>
        </w:rPr>
        <w:t>1</w:t>
      </w:r>
      <w:r w:rsidRPr="009A3E39">
        <w:rPr>
          <w:bCs/>
          <w:color w:val="0D0D0D" w:themeColor="text1" w:themeTint="F2"/>
          <w:szCs w:val="24"/>
        </w:rPr>
        <w:t>, Deepika Maan</w:t>
      </w:r>
      <w:r w:rsidRPr="009A3E39">
        <w:rPr>
          <w:bCs/>
          <w:color w:val="0D0D0D" w:themeColor="text1" w:themeTint="F2"/>
          <w:szCs w:val="24"/>
          <w:vertAlign w:val="superscript"/>
        </w:rPr>
        <w:t>1</w:t>
      </w:r>
      <w:r w:rsidRPr="009A3E39">
        <w:rPr>
          <w:bCs/>
          <w:color w:val="0D0D0D" w:themeColor="text1" w:themeTint="F2"/>
          <w:szCs w:val="24"/>
        </w:rPr>
        <w:t>, Ashish Kumar</w:t>
      </w:r>
      <w:r w:rsidRPr="009A3E39">
        <w:rPr>
          <w:bCs/>
          <w:color w:val="0D0D0D" w:themeColor="text1" w:themeTint="F2"/>
          <w:szCs w:val="24"/>
          <w:vertAlign w:val="superscript"/>
        </w:rPr>
        <w:t>1</w:t>
      </w:r>
      <w:r w:rsidRPr="009A3E39">
        <w:rPr>
          <w:bCs/>
          <w:color w:val="0D0D0D" w:themeColor="text1" w:themeTint="F2"/>
          <w:szCs w:val="24"/>
        </w:rPr>
        <w:t>, Sushil Kumar Jain</w:t>
      </w:r>
      <w:r w:rsidRPr="009A3E39">
        <w:rPr>
          <w:bCs/>
          <w:color w:val="0D0D0D" w:themeColor="text1" w:themeTint="F2"/>
          <w:szCs w:val="24"/>
          <w:vertAlign w:val="superscript"/>
        </w:rPr>
        <w:t>1*</w:t>
      </w:r>
      <w:r w:rsidRPr="009A3E39">
        <w:rPr>
          <w:bCs/>
          <w:color w:val="0D0D0D" w:themeColor="text1" w:themeTint="F2"/>
          <w:szCs w:val="24"/>
        </w:rPr>
        <w:t>, Balram Tripathi</w:t>
      </w:r>
      <w:r w:rsidRPr="009A3E39">
        <w:rPr>
          <w:bCs/>
          <w:color w:val="0D0D0D" w:themeColor="text1" w:themeTint="F2"/>
          <w:szCs w:val="24"/>
          <w:vertAlign w:val="superscript"/>
        </w:rPr>
        <w:t>2</w:t>
      </w:r>
    </w:p>
    <w:p w14:paraId="19AF3367" w14:textId="77777777" w:rsidR="00777DD3" w:rsidRPr="009A3E39" w:rsidRDefault="00777DD3" w:rsidP="00777DD3">
      <w:pPr>
        <w:pStyle w:val="Els-Affiliation"/>
        <w:spacing w:line="360" w:lineRule="auto"/>
        <w:jc w:val="both"/>
        <w:rPr>
          <w:i w:val="0"/>
          <w:color w:val="0D0D0D" w:themeColor="text1" w:themeTint="F2"/>
          <w:sz w:val="24"/>
          <w:szCs w:val="24"/>
        </w:rPr>
      </w:pPr>
      <w:r w:rsidRPr="009A3E39">
        <w:rPr>
          <w:i w:val="0"/>
          <w:color w:val="0D0D0D" w:themeColor="text1" w:themeTint="F2"/>
          <w:sz w:val="24"/>
          <w:szCs w:val="24"/>
          <w:vertAlign w:val="superscript"/>
        </w:rPr>
        <w:t>1</w:t>
      </w:r>
      <w:r w:rsidRPr="009A3E39">
        <w:rPr>
          <w:i w:val="0"/>
          <w:color w:val="0D0D0D" w:themeColor="text1" w:themeTint="F2"/>
          <w:sz w:val="24"/>
          <w:szCs w:val="24"/>
          <w:shd w:val="clear" w:color="auto" w:fill="FFFFFF"/>
        </w:rPr>
        <w:t>Department of Physics, Manipal University Jaipur, Jaipur</w:t>
      </w:r>
      <w:r w:rsidRPr="009A3E39">
        <w:rPr>
          <w:i w:val="0"/>
          <w:color w:val="0D0D0D" w:themeColor="text1" w:themeTint="F2"/>
          <w:sz w:val="24"/>
          <w:szCs w:val="24"/>
        </w:rPr>
        <w:t xml:space="preserve"> -303007,  India</w:t>
      </w:r>
    </w:p>
    <w:p w14:paraId="7153AEC3" w14:textId="77777777" w:rsidR="00777DD3" w:rsidRPr="009A3E39" w:rsidRDefault="00777DD3" w:rsidP="00777DD3">
      <w:pPr>
        <w:spacing w:after="0" w:line="360" w:lineRule="auto"/>
        <w:jc w:val="both"/>
        <w:rPr>
          <w:color w:val="0D0D0D" w:themeColor="text1" w:themeTint="F2"/>
          <w:szCs w:val="24"/>
        </w:rPr>
      </w:pPr>
      <w:r w:rsidRPr="009A3E39">
        <w:rPr>
          <w:color w:val="0D0D0D" w:themeColor="text1" w:themeTint="F2"/>
          <w:szCs w:val="24"/>
          <w:vertAlign w:val="superscript"/>
        </w:rPr>
        <w:t>2</w:t>
      </w:r>
      <w:r w:rsidRPr="009A3E39">
        <w:rPr>
          <w:color w:val="0D0D0D" w:themeColor="text1" w:themeTint="F2"/>
          <w:szCs w:val="24"/>
        </w:rPr>
        <w:t>Department of Physics, S. S. Jain Subodh PG (Auto.) College Jaipur-302004, India</w:t>
      </w:r>
    </w:p>
    <w:p w14:paraId="57510FD4" w14:textId="6199B7D4" w:rsidR="004C08A5" w:rsidRPr="007E7E44" w:rsidRDefault="00494C4D" w:rsidP="004C08A5">
      <w:r w:rsidRPr="009A3E39">
        <w:rPr>
          <w:color w:val="0D0D0D" w:themeColor="text1" w:themeTint="F2"/>
          <w:szCs w:val="24"/>
        </w:rPr>
        <w:t xml:space="preserve">E-mail: </w:t>
      </w:r>
      <w:hyperlink r:id="rId5" w:history="1">
        <w:r w:rsidRPr="009A3E39">
          <w:rPr>
            <w:rStyle w:val="Hyperlink"/>
            <w:i/>
            <w:iCs/>
            <w:color w:val="0D0D0D" w:themeColor="text1" w:themeTint="F2"/>
          </w:rPr>
          <w:t>*sushilkumar.jain@jaipur.manipal.edu</w:t>
        </w:r>
      </w:hyperlink>
    </w:p>
    <w:p w14:paraId="2EACDABB" w14:textId="77777777" w:rsidR="007C7AA0" w:rsidRDefault="007C7AA0" w:rsidP="007C7AA0">
      <w:pPr>
        <w:spacing w:after="0" w:line="360" w:lineRule="auto"/>
        <w:jc w:val="both"/>
        <w:rPr>
          <w:i/>
          <w:iCs/>
          <w:sz w:val="52"/>
          <w:szCs w:val="52"/>
        </w:rPr>
      </w:pPr>
      <w:r w:rsidRPr="007E7E44">
        <w:rPr>
          <w:i/>
          <w:iCs/>
          <w:sz w:val="52"/>
          <w:szCs w:val="52"/>
        </w:rPr>
        <w:t xml:space="preserve">Supplementary </w:t>
      </w:r>
      <w:r>
        <w:rPr>
          <w:i/>
          <w:iCs/>
          <w:sz w:val="52"/>
          <w:szCs w:val="52"/>
        </w:rPr>
        <w:t>Material</w:t>
      </w:r>
    </w:p>
    <w:p w14:paraId="4BFAC044" w14:textId="5AEA97F8" w:rsidR="007E7E44" w:rsidRDefault="003D34C7">
      <w:pPr>
        <w:rPr>
          <w:b/>
          <w:bCs/>
          <w:sz w:val="28"/>
          <w:szCs w:val="24"/>
          <w:lang w:val="en-GB"/>
        </w:rPr>
      </w:pPr>
      <w:r w:rsidRPr="003D34C7">
        <w:rPr>
          <w:b/>
          <w:bCs/>
          <w:sz w:val="28"/>
          <w:szCs w:val="24"/>
          <w:lang w:val="en-GB"/>
        </w:rPr>
        <w:t>Figures</w:t>
      </w:r>
      <w:r>
        <w:rPr>
          <w:b/>
          <w:bCs/>
          <w:sz w:val="28"/>
          <w:szCs w:val="24"/>
          <w:lang w:val="en-GB"/>
        </w:rPr>
        <w:t xml:space="preserve"> and Tables</w:t>
      </w:r>
    </w:p>
    <w:p w14:paraId="37B304BD" w14:textId="77777777" w:rsidR="00DF4711" w:rsidRDefault="00DF4711">
      <w:pPr>
        <w:rPr>
          <w:b/>
          <w:bCs/>
          <w:sz w:val="28"/>
          <w:szCs w:val="24"/>
          <w:lang w:val="en-GB"/>
        </w:rPr>
      </w:pPr>
    </w:p>
    <w:p w14:paraId="14C8F86D" w14:textId="5BB628B2" w:rsidR="003D34C7" w:rsidRDefault="003D34C7" w:rsidP="00661A28">
      <w:pPr>
        <w:pStyle w:val="Heading1"/>
      </w:pPr>
      <w:r w:rsidRPr="003D34C7">
        <w:t xml:space="preserve">XRD </w:t>
      </w:r>
      <w:r w:rsidRPr="00661A28">
        <w:t>Studies</w:t>
      </w:r>
    </w:p>
    <w:p w14:paraId="6C9FD4E2" w14:textId="77777777" w:rsidR="00E91C3A" w:rsidRPr="00E91C3A" w:rsidRDefault="00E91C3A" w:rsidP="00E91C3A">
      <w:pPr>
        <w:rPr>
          <w:lang w:val="en-GB"/>
        </w:rPr>
      </w:pPr>
    </w:p>
    <w:p w14:paraId="35538B23" w14:textId="7B77DB53" w:rsidR="00661A28" w:rsidRPr="009A3E39" w:rsidRDefault="00661A28" w:rsidP="00661A28">
      <w:pPr>
        <w:jc w:val="both"/>
        <w:rPr>
          <w:color w:val="0D0D0D" w:themeColor="text1" w:themeTint="F2"/>
        </w:rPr>
      </w:pPr>
      <w:r w:rsidRPr="009A3E39">
        <w:rPr>
          <w:b/>
          <w:bCs/>
          <w:color w:val="0D0D0D" w:themeColor="text1" w:themeTint="F2"/>
        </w:rPr>
        <w:t xml:space="preserve">Table </w:t>
      </w:r>
      <w:r w:rsidR="001F1A91">
        <w:rPr>
          <w:b/>
          <w:bCs/>
          <w:color w:val="0D0D0D" w:themeColor="text1" w:themeTint="F2"/>
        </w:rPr>
        <w:t>S</w:t>
      </w:r>
      <w:r w:rsidRPr="009A3E39">
        <w:rPr>
          <w:b/>
          <w:bCs/>
          <w:color w:val="0D0D0D" w:themeColor="text1" w:themeTint="F2"/>
        </w:rPr>
        <w:t>1</w:t>
      </w:r>
      <w:r w:rsidRPr="009A3E39">
        <w:rPr>
          <w:color w:val="0D0D0D" w:themeColor="text1" w:themeTint="F2"/>
        </w:rPr>
        <w:t xml:space="preserve"> Estimated values of 2</w:t>
      </w:r>
      <w:r w:rsidRPr="009A3E39">
        <w:rPr>
          <w:color w:val="0D0D0D" w:themeColor="text1" w:themeTint="F2"/>
          <w:szCs w:val="24"/>
        </w:rPr>
        <w:t>θ</w:t>
      </w:r>
      <w:r w:rsidRPr="009A3E39">
        <w:rPr>
          <w:color w:val="0D0D0D" w:themeColor="text1" w:themeTint="F2"/>
        </w:rPr>
        <w:t xml:space="preserve"> and interlayer spacing of reduced graphene sheet</w:t>
      </w:r>
    </w:p>
    <w:tbl>
      <w:tblPr>
        <w:tblStyle w:val="TableGrid"/>
        <w:tblW w:w="0" w:type="auto"/>
        <w:tblLook w:val="04A0" w:firstRow="1" w:lastRow="0" w:firstColumn="1" w:lastColumn="0" w:noHBand="0" w:noVBand="1"/>
      </w:tblPr>
      <w:tblGrid>
        <w:gridCol w:w="3148"/>
        <w:gridCol w:w="2934"/>
        <w:gridCol w:w="2934"/>
      </w:tblGrid>
      <w:tr w:rsidR="00661A28" w:rsidRPr="009A3E39" w14:paraId="64091126" w14:textId="77777777" w:rsidTr="00BC1C03">
        <w:tc>
          <w:tcPr>
            <w:tcW w:w="3148" w:type="dxa"/>
          </w:tcPr>
          <w:p w14:paraId="610D918F" w14:textId="77777777" w:rsidR="00661A28" w:rsidRPr="009A3E39" w:rsidRDefault="00661A28" w:rsidP="00BC1C03">
            <w:pPr>
              <w:jc w:val="both"/>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Sample name</w:t>
            </w:r>
          </w:p>
        </w:tc>
        <w:tc>
          <w:tcPr>
            <w:tcW w:w="2934" w:type="dxa"/>
          </w:tcPr>
          <w:p w14:paraId="6095FE9A" w14:textId="77777777" w:rsidR="00661A28" w:rsidRPr="009A3E39" w:rsidRDefault="00661A28" w:rsidP="00BC1C03">
            <w:pPr>
              <w:jc w:val="both"/>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2θ(°) (hkl)</w:t>
            </w:r>
          </w:p>
        </w:tc>
        <w:tc>
          <w:tcPr>
            <w:tcW w:w="2934" w:type="dxa"/>
          </w:tcPr>
          <w:p w14:paraId="75554A1C" w14:textId="77777777" w:rsidR="00661A28" w:rsidRPr="009A3E39" w:rsidRDefault="00661A28" w:rsidP="00BC1C03">
            <w:pPr>
              <w:jc w:val="both"/>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 xml:space="preserve">Interlayer spacing, d (nm) </w:t>
            </w:r>
          </w:p>
        </w:tc>
      </w:tr>
      <w:tr w:rsidR="00661A28" w:rsidRPr="009A3E39" w14:paraId="11EC6436" w14:textId="77777777" w:rsidTr="00BC1C03">
        <w:tc>
          <w:tcPr>
            <w:tcW w:w="3148" w:type="dxa"/>
            <w:vMerge w:val="restart"/>
          </w:tcPr>
          <w:p w14:paraId="4AE3DE1C" w14:textId="77777777" w:rsidR="00661A28" w:rsidRPr="009A3E39" w:rsidRDefault="00661A28" w:rsidP="00BC1C03">
            <w:pPr>
              <w:jc w:val="center"/>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pristine rGO</w:t>
            </w:r>
          </w:p>
        </w:tc>
        <w:tc>
          <w:tcPr>
            <w:tcW w:w="2934" w:type="dxa"/>
          </w:tcPr>
          <w:p w14:paraId="22CCA2F4"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26.62 (002)</w:t>
            </w:r>
          </w:p>
        </w:tc>
        <w:tc>
          <w:tcPr>
            <w:tcW w:w="2934" w:type="dxa"/>
          </w:tcPr>
          <w:p w14:paraId="1F9428C2"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0.335</w:t>
            </w:r>
          </w:p>
        </w:tc>
      </w:tr>
      <w:tr w:rsidR="00661A28" w:rsidRPr="009A3E39" w14:paraId="1EB6FB7F" w14:textId="77777777" w:rsidTr="00BC1C03">
        <w:tc>
          <w:tcPr>
            <w:tcW w:w="3148" w:type="dxa"/>
            <w:vMerge/>
          </w:tcPr>
          <w:p w14:paraId="34CD14E7" w14:textId="77777777" w:rsidR="00661A28" w:rsidRPr="009A3E39" w:rsidRDefault="00661A28" w:rsidP="00BC1C03">
            <w:pPr>
              <w:jc w:val="both"/>
              <w:rPr>
                <w:rFonts w:ascii="Times New Roman" w:hAnsi="Times New Roman" w:cs="Times New Roman"/>
                <w:b/>
                <w:bCs/>
                <w:color w:val="0D0D0D" w:themeColor="text1" w:themeTint="F2"/>
                <w:sz w:val="24"/>
                <w:szCs w:val="24"/>
              </w:rPr>
            </w:pPr>
          </w:p>
        </w:tc>
        <w:tc>
          <w:tcPr>
            <w:tcW w:w="2934" w:type="dxa"/>
          </w:tcPr>
          <w:p w14:paraId="3AA7BEFB"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54.68 (004)</w:t>
            </w:r>
          </w:p>
        </w:tc>
        <w:tc>
          <w:tcPr>
            <w:tcW w:w="2934" w:type="dxa"/>
          </w:tcPr>
          <w:p w14:paraId="50566D96"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0.168</w:t>
            </w:r>
          </w:p>
        </w:tc>
      </w:tr>
      <w:tr w:rsidR="00661A28" w:rsidRPr="009A3E39" w14:paraId="7F0E0492" w14:textId="77777777" w:rsidTr="00BC1C03">
        <w:tc>
          <w:tcPr>
            <w:tcW w:w="3148" w:type="dxa"/>
            <w:vMerge w:val="restart"/>
          </w:tcPr>
          <w:p w14:paraId="6CDAEF1B" w14:textId="77777777" w:rsidR="00661A28" w:rsidRPr="009A3E39" w:rsidRDefault="00661A28" w:rsidP="00BC1C03">
            <w:pPr>
              <w:jc w:val="center"/>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S@rGO-1</w:t>
            </w:r>
          </w:p>
        </w:tc>
        <w:tc>
          <w:tcPr>
            <w:tcW w:w="2934" w:type="dxa"/>
          </w:tcPr>
          <w:p w14:paraId="2613D2F3"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26.54 (002)</w:t>
            </w:r>
          </w:p>
        </w:tc>
        <w:tc>
          <w:tcPr>
            <w:tcW w:w="2934" w:type="dxa"/>
          </w:tcPr>
          <w:p w14:paraId="61907CBB"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0.336</w:t>
            </w:r>
          </w:p>
        </w:tc>
      </w:tr>
      <w:tr w:rsidR="00661A28" w:rsidRPr="009A3E39" w14:paraId="608B565F" w14:textId="77777777" w:rsidTr="00BC1C03">
        <w:tc>
          <w:tcPr>
            <w:tcW w:w="3148" w:type="dxa"/>
            <w:vMerge/>
          </w:tcPr>
          <w:p w14:paraId="57D251CB" w14:textId="77777777" w:rsidR="00661A28" w:rsidRPr="009A3E39" w:rsidRDefault="00661A28" w:rsidP="00BC1C03">
            <w:pPr>
              <w:jc w:val="both"/>
              <w:rPr>
                <w:rFonts w:ascii="Times New Roman" w:hAnsi="Times New Roman" w:cs="Times New Roman"/>
                <w:b/>
                <w:bCs/>
                <w:color w:val="0D0D0D" w:themeColor="text1" w:themeTint="F2"/>
                <w:sz w:val="24"/>
                <w:szCs w:val="24"/>
              </w:rPr>
            </w:pPr>
          </w:p>
        </w:tc>
        <w:tc>
          <w:tcPr>
            <w:tcW w:w="2934" w:type="dxa"/>
          </w:tcPr>
          <w:p w14:paraId="3A98C338"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54.66 (004)</w:t>
            </w:r>
          </w:p>
        </w:tc>
        <w:tc>
          <w:tcPr>
            <w:tcW w:w="2934" w:type="dxa"/>
          </w:tcPr>
          <w:p w14:paraId="11861975"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0.168</w:t>
            </w:r>
          </w:p>
        </w:tc>
      </w:tr>
      <w:tr w:rsidR="00661A28" w:rsidRPr="009A3E39" w14:paraId="01C2FB30" w14:textId="77777777" w:rsidTr="00BC1C03">
        <w:tc>
          <w:tcPr>
            <w:tcW w:w="3148" w:type="dxa"/>
            <w:vMerge w:val="restart"/>
          </w:tcPr>
          <w:p w14:paraId="5C7D758B" w14:textId="77777777" w:rsidR="00661A28" w:rsidRPr="009A3E39" w:rsidRDefault="00661A28" w:rsidP="00BC1C03">
            <w:pPr>
              <w:jc w:val="center"/>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S@rGO-2</w:t>
            </w:r>
          </w:p>
        </w:tc>
        <w:tc>
          <w:tcPr>
            <w:tcW w:w="2934" w:type="dxa"/>
          </w:tcPr>
          <w:p w14:paraId="54133913"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26.46 (002)</w:t>
            </w:r>
          </w:p>
        </w:tc>
        <w:tc>
          <w:tcPr>
            <w:tcW w:w="2934" w:type="dxa"/>
          </w:tcPr>
          <w:p w14:paraId="0081771B"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0.337</w:t>
            </w:r>
          </w:p>
        </w:tc>
      </w:tr>
      <w:tr w:rsidR="00661A28" w:rsidRPr="009A3E39" w14:paraId="342621C2" w14:textId="77777777" w:rsidTr="00BC1C03">
        <w:tc>
          <w:tcPr>
            <w:tcW w:w="3148" w:type="dxa"/>
            <w:vMerge/>
          </w:tcPr>
          <w:p w14:paraId="302B12A4" w14:textId="77777777" w:rsidR="00661A28" w:rsidRPr="009A3E39" w:rsidRDefault="00661A28" w:rsidP="00BC1C03">
            <w:pPr>
              <w:jc w:val="both"/>
              <w:rPr>
                <w:rFonts w:ascii="Times New Roman" w:hAnsi="Times New Roman" w:cs="Times New Roman"/>
                <w:b/>
                <w:bCs/>
                <w:color w:val="0D0D0D" w:themeColor="text1" w:themeTint="F2"/>
                <w:sz w:val="24"/>
                <w:szCs w:val="24"/>
              </w:rPr>
            </w:pPr>
          </w:p>
        </w:tc>
        <w:tc>
          <w:tcPr>
            <w:tcW w:w="2934" w:type="dxa"/>
          </w:tcPr>
          <w:p w14:paraId="7F76F760"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54.56 (004)</w:t>
            </w:r>
          </w:p>
        </w:tc>
        <w:tc>
          <w:tcPr>
            <w:tcW w:w="2934" w:type="dxa"/>
          </w:tcPr>
          <w:p w14:paraId="11FD0E9C"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0.168</w:t>
            </w:r>
          </w:p>
        </w:tc>
      </w:tr>
      <w:tr w:rsidR="00661A28" w:rsidRPr="009A3E39" w14:paraId="0FD3C866" w14:textId="77777777" w:rsidTr="00BC1C03">
        <w:tc>
          <w:tcPr>
            <w:tcW w:w="3148" w:type="dxa"/>
            <w:vMerge w:val="restart"/>
          </w:tcPr>
          <w:p w14:paraId="35E9D3F6" w14:textId="77777777" w:rsidR="00661A28" w:rsidRPr="009A3E39" w:rsidRDefault="00661A28" w:rsidP="00BC1C03">
            <w:pPr>
              <w:jc w:val="center"/>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S@rGO-3</w:t>
            </w:r>
          </w:p>
        </w:tc>
        <w:tc>
          <w:tcPr>
            <w:tcW w:w="2934" w:type="dxa"/>
          </w:tcPr>
          <w:p w14:paraId="66755EF4"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26.51 (002)</w:t>
            </w:r>
          </w:p>
        </w:tc>
        <w:tc>
          <w:tcPr>
            <w:tcW w:w="2934" w:type="dxa"/>
          </w:tcPr>
          <w:p w14:paraId="3FC8A7A2"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0.336</w:t>
            </w:r>
          </w:p>
        </w:tc>
      </w:tr>
      <w:tr w:rsidR="00661A28" w:rsidRPr="009A3E39" w14:paraId="062CCCF8" w14:textId="77777777" w:rsidTr="00BC1C03">
        <w:tc>
          <w:tcPr>
            <w:tcW w:w="3148" w:type="dxa"/>
            <w:vMerge/>
          </w:tcPr>
          <w:p w14:paraId="4ABB9CAA" w14:textId="77777777" w:rsidR="00661A28" w:rsidRPr="009A3E39" w:rsidRDefault="00661A28" w:rsidP="00BC1C03">
            <w:pPr>
              <w:jc w:val="both"/>
              <w:rPr>
                <w:rFonts w:ascii="Times New Roman" w:hAnsi="Times New Roman" w:cs="Times New Roman"/>
                <w:b/>
                <w:bCs/>
                <w:color w:val="0D0D0D" w:themeColor="text1" w:themeTint="F2"/>
                <w:sz w:val="24"/>
                <w:szCs w:val="24"/>
              </w:rPr>
            </w:pPr>
          </w:p>
        </w:tc>
        <w:tc>
          <w:tcPr>
            <w:tcW w:w="2934" w:type="dxa"/>
          </w:tcPr>
          <w:p w14:paraId="1A75F4A9"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54.62 (004)</w:t>
            </w:r>
          </w:p>
        </w:tc>
        <w:tc>
          <w:tcPr>
            <w:tcW w:w="2934" w:type="dxa"/>
          </w:tcPr>
          <w:p w14:paraId="3A37B523"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0.168</w:t>
            </w:r>
          </w:p>
        </w:tc>
      </w:tr>
      <w:tr w:rsidR="00661A28" w:rsidRPr="009A3E39" w14:paraId="25AF9782" w14:textId="77777777" w:rsidTr="00BC1C03">
        <w:tc>
          <w:tcPr>
            <w:tcW w:w="3148" w:type="dxa"/>
            <w:vMerge w:val="restart"/>
          </w:tcPr>
          <w:p w14:paraId="7FC003FB" w14:textId="77777777" w:rsidR="00661A28" w:rsidRPr="009A3E39" w:rsidRDefault="00661A28" w:rsidP="00BC1C03">
            <w:pPr>
              <w:jc w:val="center"/>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S@rGO-4</w:t>
            </w:r>
          </w:p>
        </w:tc>
        <w:tc>
          <w:tcPr>
            <w:tcW w:w="2934" w:type="dxa"/>
          </w:tcPr>
          <w:p w14:paraId="0465B5BD"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26.51 (002)</w:t>
            </w:r>
          </w:p>
        </w:tc>
        <w:tc>
          <w:tcPr>
            <w:tcW w:w="2934" w:type="dxa"/>
          </w:tcPr>
          <w:p w14:paraId="4CF9C962"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0.336</w:t>
            </w:r>
          </w:p>
        </w:tc>
      </w:tr>
      <w:tr w:rsidR="00661A28" w:rsidRPr="009A3E39" w14:paraId="479CDB9A" w14:textId="77777777" w:rsidTr="00BC1C03">
        <w:tc>
          <w:tcPr>
            <w:tcW w:w="3148" w:type="dxa"/>
            <w:vMerge/>
          </w:tcPr>
          <w:p w14:paraId="5C542713" w14:textId="77777777" w:rsidR="00661A28" w:rsidRPr="009A3E39" w:rsidRDefault="00661A28" w:rsidP="00BC1C03">
            <w:pPr>
              <w:jc w:val="both"/>
              <w:rPr>
                <w:rFonts w:ascii="Times New Roman" w:hAnsi="Times New Roman" w:cs="Times New Roman"/>
                <w:color w:val="0D0D0D" w:themeColor="text1" w:themeTint="F2"/>
                <w:sz w:val="24"/>
                <w:szCs w:val="24"/>
              </w:rPr>
            </w:pPr>
          </w:p>
        </w:tc>
        <w:tc>
          <w:tcPr>
            <w:tcW w:w="2934" w:type="dxa"/>
          </w:tcPr>
          <w:p w14:paraId="236BDD5E"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54.62 (004)</w:t>
            </w:r>
          </w:p>
        </w:tc>
        <w:tc>
          <w:tcPr>
            <w:tcW w:w="2934" w:type="dxa"/>
          </w:tcPr>
          <w:p w14:paraId="7C183457" w14:textId="77777777" w:rsidR="00661A28" w:rsidRPr="009A3E39" w:rsidRDefault="00661A28" w:rsidP="00BC1C03">
            <w:pPr>
              <w:jc w:val="both"/>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0.168</w:t>
            </w:r>
          </w:p>
        </w:tc>
      </w:tr>
    </w:tbl>
    <w:p w14:paraId="1FE39515" w14:textId="77777777" w:rsidR="00F84510" w:rsidRDefault="00661A28" w:rsidP="00F84510">
      <w:r w:rsidRPr="009A3E39">
        <w:rPr>
          <w:color w:val="0D0D0D" w:themeColor="text1" w:themeTint="F2"/>
        </w:rPr>
        <w:lastRenderedPageBreak/>
        <w:t xml:space="preserve"> </w:t>
      </w:r>
      <w:r w:rsidR="00F84510">
        <w:rPr>
          <w:noProof/>
        </w:rPr>
        <w:drawing>
          <wp:inline distT="0" distB="0" distL="0" distR="0" wp14:anchorId="0EB2F826" wp14:editId="627D4101">
            <wp:extent cx="5731510" cy="6800215"/>
            <wp:effectExtent l="0" t="0" r="2540" b="635"/>
            <wp:docPr id="1977308716" name="Picture 1" descr="A group of graphs with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08716" name="Picture 1" descr="A group of graphs with line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6800215"/>
                    </a:xfrm>
                    <a:prstGeom prst="rect">
                      <a:avLst/>
                    </a:prstGeom>
                    <a:noFill/>
                    <a:ln>
                      <a:noFill/>
                    </a:ln>
                  </pic:spPr>
                </pic:pic>
              </a:graphicData>
            </a:graphic>
          </wp:inline>
        </w:drawing>
      </w:r>
    </w:p>
    <w:p w14:paraId="78DB1633" w14:textId="594E1A08" w:rsidR="00F84510" w:rsidRDefault="00F84510" w:rsidP="00F84510">
      <w:r w:rsidRPr="00E0374E">
        <w:rPr>
          <w:noProof/>
        </w:rPr>
        <w:t xml:space="preserve"> </w:t>
      </w:r>
      <w:r w:rsidRPr="00A902FA">
        <w:rPr>
          <w:b/>
          <w:bCs/>
        </w:rPr>
        <w:t>Fig. S</w:t>
      </w:r>
      <w:r w:rsidR="001F1A91">
        <w:rPr>
          <w:b/>
          <w:bCs/>
        </w:rPr>
        <w:t>1</w:t>
      </w:r>
      <w:r w:rsidRPr="00EE4AE2">
        <w:t xml:space="preserve"> W</w:t>
      </w:r>
      <w:r>
        <w:t>-</w:t>
      </w:r>
      <w:r w:rsidRPr="00EE4AE2">
        <w:t xml:space="preserve">H Plot corresponds to the </w:t>
      </w:r>
      <w:r>
        <w:t>nanomaterials</w:t>
      </w:r>
      <w:r w:rsidRPr="00EE4AE2">
        <w:t xml:space="preserve"> (a) rGO , (b)</w:t>
      </w:r>
      <w:r>
        <w:t xml:space="preserve"> S@rGO-1</w:t>
      </w:r>
      <w:r w:rsidRPr="00EE4AE2">
        <w:t>, (c)</w:t>
      </w:r>
      <w:r>
        <w:t xml:space="preserve"> S@rGO-2 </w:t>
      </w:r>
      <w:r w:rsidRPr="00EE4AE2">
        <w:t>, (d)</w:t>
      </w:r>
      <w:r>
        <w:t xml:space="preserve"> S@rGO-3 </w:t>
      </w:r>
      <w:r w:rsidRPr="00EE4AE2">
        <w:t>, (e)</w:t>
      </w:r>
      <w:r>
        <w:t xml:space="preserve"> S@rGO-4.</w:t>
      </w:r>
    </w:p>
    <w:p w14:paraId="67A16F4C" w14:textId="07EF9EFD" w:rsidR="00661A28" w:rsidRDefault="00661A28" w:rsidP="00661A28">
      <w:pPr>
        <w:jc w:val="both"/>
        <w:rPr>
          <w:color w:val="0D0D0D" w:themeColor="text1" w:themeTint="F2"/>
        </w:rPr>
      </w:pPr>
    </w:p>
    <w:p w14:paraId="4572A663" w14:textId="77777777" w:rsidR="00E91C3A" w:rsidRPr="009A3E39" w:rsidRDefault="00E91C3A" w:rsidP="00E91C3A">
      <w:pPr>
        <w:autoSpaceDE w:val="0"/>
        <w:autoSpaceDN w:val="0"/>
        <w:adjustRightInd w:val="0"/>
        <w:spacing w:after="0" w:line="240" w:lineRule="auto"/>
        <w:rPr>
          <w:color w:val="0D0D0D" w:themeColor="text1" w:themeTint="F2"/>
        </w:rPr>
      </w:pPr>
      <w:r w:rsidRPr="009A3E39">
        <w:rPr>
          <w:noProof/>
          <w:color w:val="0D0D0D" w:themeColor="text1" w:themeTint="F2"/>
        </w:rPr>
        <w:lastRenderedPageBreak/>
        <w:drawing>
          <wp:inline distT="0" distB="0" distL="0" distR="0" wp14:anchorId="167E913C" wp14:editId="1096629F">
            <wp:extent cx="3678184" cy="2965450"/>
            <wp:effectExtent l="0" t="0" r="0" b="6350"/>
            <wp:docPr id="11845889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80031" cy="2966939"/>
                    </a:xfrm>
                    <a:prstGeom prst="rect">
                      <a:avLst/>
                    </a:prstGeom>
                    <a:noFill/>
                    <a:ln>
                      <a:noFill/>
                    </a:ln>
                  </pic:spPr>
                </pic:pic>
              </a:graphicData>
            </a:graphic>
          </wp:inline>
        </w:drawing>
      </w:r>
    </w:p>
    <w:p w14:paraId="5A660299" w14:textId="4935E8AF" w:rsidR="00E91C3A" w:rsidRPr="009A3E39" w:rsidRDefault="00E91C3A" w:rsidP="00E91C3A">
      <w:pPr>
        <w:jc w:val="both"/>
        <w:rPr>
          <w:color w:val="0D0D0D" w:themeColor="text1" w:themeTint="F2"/>
        </w:rPr>
      </w:pPr>
      <w:r w:rsidRPr="009A3E39">
        <w:rPr>
          <w:b/>
          <w:bCs/>
          <w:color w:val="0D0D0D" w:themeColor="text1" w:themeTint="F2"/>
        </w:rPr>
        <w:t xml:space="preserve">Fig. </w:t>
      </w:r>
      <w:r w:rsidR="001F1A91">
        <w:rPr>
          <w:b/>
          <w:bCs/>
          <w:color w:val="0D0D0D" w:themeColor="text1" w:themeTint="F2"/>
        </w:rPr>
        <w:t>S2</w:t>
      </w:r>
      <w:r w:rsidRPr="009A3E39">
        <w:rPr>
          <w:color w:val="0D0D0D" w:themeColor="text1" w:themeTint="F2"/>
        </w:rPr>
        <w:t xml:space="preserve"> Column chart depicting crystallinity (in %) of nanocomposites – rGO, S@rGO-1, S@rGO-2 , S@rGO-3 and S@rGO-4</w:t>
      </w:r>
    </w:p>
    <w:p w14:paraId="63656F7B" w14:textId="77777777" w:rsidR="00E91C3A" w:rsidRPr="009A3E39" w:rsidRDefault="00E91C3A" w:rsidP="00661A28">
      <w:pPr>
        <w:jc w:val="both"/>
        <w:rPr>
          <w:color w:val="0D0D0D" w:themeColor="text1" w:themeTint="F2"/>
        </w:rPr>
      </w:pPr>
    </w:p>
    <w:p w14:paraId="5453F67E" w14:textId="21F2A347" w:rsidR="00661A28" w:rsidRPr="009A3E39" w:rsidRDefault="00661A28" w:rsidP="00661A28">
      <w:pPr>
        <w:autoSpaceDE w:val="0"/>
        <w:autoSpaceDN w:val="0"/>
        <w:adjustRightInd w:val="0"/>
        <w:spacing w:after="0" w:line="240" w:lineRule="auto"/>
        <w:rPr>
          <w:color w:val="0D0D0D" w:themeColor="text1" w:themeTint="F2"/>
        </w:rPr>
      </w:pPr>
      <w:r w:rsidRPr="001C4814">
        <w:rPr>
          <w:b/>
          <w:bCs/>
          <w:color w:val="0D0D0D" w:themeColor="text1" w:themeTint="F2"/>
        </w:rPr>
        <w:t xml:space="preserve">Table </w:t>
      </w:r>
      <w:r w:rsidR="001C4814" w:rsidRPr="001C4814">
        <w:rPr>
          <w:b/>
          <w:bCs/>
          <w:color w:val="0D0D0D" w:themeColor="text1" w:themeTint="F2"/>
        </w:rPr>
        <w:t>S2</w:t>
      </w:r>
      <w:r w:rsidRPr="009A3E39">
        <w:rPr>
          <w:color w:val="0D0D0D" w:themeColor="text1" w:themeTint="F2"/>
        </w:rPr>
        <w:t xml:space="preserve"> Estimated lattice parameter values of nanocomposites</w:t>
      </w:r>
    </w:p>
    <w:p w14:paraId="3424248E" w14:textId="77777777" w:rsidR="00661A28" w:rsidRPr="009A3E39" w:rsidRDefault="00661A28" w:rsidP="00661A28">
      <w:pPr>
        <w:autoSpaceDE w:val="0"/>
        <w:autoSpaceDN w:val="0"/>
        <w:adjustRightInd w:val="0"/>
        <w:spacing w:after="0" w:line="240" w:lineRule="auto"/>
        <w:rPr>
          <w:color w:val="0D0D0D" w:themeColor="text1" w:themeTint="F2"/>
        </w:rPr>
      </w:pPr>
    </w:p>
    <w:tbl>
      <w:tblPr>
        <w:tblStyle w:val="TableGrid"/>
        <w:tblW w:w="0" w:type="auto"/>
        <w:tblLook w:val="04A0" w:firstRow="1" w:lastRow="0" w:firstColumn="1" w:lastColumn="0" w:noHBand="0" w:noVBand="1"/>
      </w:tblPr>
      <w:tblGrid>
        <w:gridCol w:w="1886"/>
        <w:gridCol w:w="1821"/>
        <w:gridCol w:w="1821"/>
        <w:gridCol w:w="1821"/>
        <w:gridCol w:w="1667"/>
      </w:tblGrid>
      <w:tr w:rsidR="00661A28" w:rsidRPr="009A3E39" w14:paraId="111C82EA" w14:textId="77777777" w:rsidTr="00BC1C03">
        <w:tc>
          <w:tcPr>
            <w:tcW w:w="1886" w:type="dxa"/>
          </w:tcPr>
          <w:p w14:paraId="699B1AD3" w14:textId="77777777" w:rsidR="00661A28" w:rsidRPr="009A3E39" w:rsidRDefault="00661A28" w:rsidP="00BC1C03">
            <w:pPr>
              <w:autoSpaceDE w:val="0"/>
              <w:autoSpaceDN w:val="0"/>
              <w:adjustRightInd w:val="0"/>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Sample Name</w:t>
            </w:r>
          </w:p>
        </w:tc>
        <w:tc>
          <w:tcPr>
            <w:tcW w:w="1821" w:type="dxa"/>
          </w:tcPr>
          <w:p w14:paraId="7E60F62D" w14:textId="77777777" w:rsidR="00661A28" w:rsidRPr="009A3E39" w:rsidRDefault="00661A28" w:rsidP="00BC1C03">
            <w:pPr>
              <w:autoSpaceDE w:val="0"/>
              <w:autoSpaceDN w:val="0"/>
              <w:adjustRightInd w:val="0"/>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a (Å)</w:t>
            </w:r>
          </w:p>
        </w:tc>
        <w:tc>
          <w:tcPr>
            <w:tcW w:w="1821" w:type="dxa"/>
          </w:tcPr>
          <w:p w14:paraId="68D12145" w14:textId="77777777" w:rsidR="00661A28" w:rsidRPr="009A3E39" w:rsidRDefault="00661A28" w:rsidP="00BC1C03">
            <w:pPr>
              <w:autoSpaceDE w:val="0"/>
              <w:autoSpaceDN w:val="0"/>
              <w:adjustRightInd w:val="0"/>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c(Å)</w:t>
            </w:r>
          </w:p>
        </w:tc>
        <w:tc>
          <w:tcPr>
            <w:tcW w:w="1821" w:type="dxa"/>
          </w:tcPr>
          <w:p w14:paraId="39F636E6" w14:textId="77777777" w:rsidR="00661A28" w:rsidRPr="009A3E39" w:rsidRDefault="00661A28" w:rsidP="00BC1C03">
            <w:pPr>
              <w:autoSpaceDE w:val="0"/>
              <w:autoSpaceDN w:val="0"/>
              <w:adjustRightInd w:val="0"/>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c/a</w:t>
            </w:r>
          </w:p>
        </w:tc>
        <w:tc>
          <w:tcPr>
            <w:tcW w:w="1667" w:type="dxa"/>
          </w:tcPr>
          <w:p w14:paraId="35A4DF6F" w14:textId="77777777" w:rsidR="00661A28" w:rsidRPr="009A3E39" w:rsidRDefault="00661A28" w:rsidP="00BC1C03">
            <w:pPr>
              <w:autoSpaceDE w:val="0"/>
              <w:autoSpaceDN w:val="0"/>
              <w:adjustRightInd w:val="0"/>
              <w:rPr>
                <w:rFonts w:ascii="Times New Roman" w:hAnsi="Times New Roman" w:cs="Times New Roman"/>
                <w:b/>
                <w:bCs/>
                <w:color w:val="0D0D0D" w:themeColor="text1" w:themeTint="F2"/>
                <w:sz w:val="24"/>
                <w:szCs w:val="24"/>
              </w:rPr>
            </w:pPr>
            <w:r w:rsidRPr="009A3E39">
              <w:rPr>
                <w:rFonts w:ascii="Times New Roman" w:hAnsi="Times New Roman" w:cs="Times New Roman"/>
                <w:b/>
                <w:bCs/>
                <w:color w:val="0D0D0D" w:themeColor="text1" w:themeTint="F2"/>
                <w:sz w:val="24"/>
                <w:szCs w:val="24"/>
              </w:rPr>
              <w:t>Volume(Å</w:t>
            </w:r>
            <w:r w:rsidRPr="009A3E39">
              <w:rPr>
                <w:rFonts w:ascii="Times New Roman" w:hAnsi="Times New Roman" w:cs="Times New Roman"/>
                <w:b/>
                <w:bCs/>
                <w:color w:val="0D0D0D" w:themeColor="text1" w:themeTint="F2"/>
                <w:sz w:val="24"/>
                <w:szCs w:val="24"/>
                <w:vertAlign w:val="superscript"/>
              </w:rPr>
              <w:t>3</w:t>
            </w:r>
            <w:r w:rsidRPr="009A3E39">
              <w:rPr>
                <w:rFonts w:ascii="Times New Roman" w:hAnsi="Times New Roman" w:cs="Times New Roman"/>
                <w:b/>
                <w:bCs/>
                <w:color w:val="0D0D0D" w:themeColor="text1" w:themeTint="F2"/>
                <w:sz w:val="24"/>
                <w:szCs w:val="24"/>
              </w:rPr>
              <w:t>)</w:t>
            </w:r>
          </w:p>
        </w:tc>
      </w:tr>
      <w:tr w:rsidR="00661A28" w:rsidRPr="009A3E39" w14:paraId="11CD1B13" w14:textId="77777777" w:rsidTr="00BC1C03">
        <w:tc>
          <w:tcPr>
            <w:tcW w:w="1886" w:type="dxa"/>
          </w:tcPr>
          <w:p w14:paraId="0DD6F977" w14:textId="77777777" w:rsidR="00661A28" w:rsidRPr="009A3E39" w:rsidRDefault="00661A28" w:rsidP="00BC1C03">
            <w:pPr>
              <w:autoSpaceDE w:val="0"/>
              <w:autoSpaceDN w:val="0"/>
              <w:adjustRightInd w:val="0"/>
              <w:rPr>
                <w:rFonts w:ascii="Times New Roman" w:hAnsi="Times New Roman" w:cs="Times New Roman"/>
                <w:bCs/>
                <w:color w:val="0D0D0D" w:themeColor="text1" w:themeTint="F2"/>
                <w:sz w:val="24"/>
                <w:szCs w:val="24"/>
              </w:rPr>
            </w:pPr>
            <w:r w:rsidRPr="009A3E39">
              <w:rPr>
                <w:rFonts w:ascii="Times New Roman" w:hAnsi="Times New Roman" w:cs="Times New Roman"/>
                <w:bCs/>
                <w:color w:val="0D0D0D" w:themeColor="text1" w:themeTint="F2"/>
                <w:sz w:val="24"/>
                <w:szCs w:val="24"/>
              </w:rPr>
              <w:t>rGO</w:t>
            </w:r>
          </w:p>
        </w:tc>
        <w:tc>
          <w:tcPr>
            <w:tcW w:w="1821" w:type="dxa"/>
          </w:tcPr>
          <w:p w14:paraId="0B2D1563"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2.354</w:t>
            </w:r>
          </w:p>
        </w:tc>
        <w:tc>
          <w:tcPr>
            <w:tcW w:w="1821" w:type="dxa"/>
          </w:tcPr>
          <w:p w14:paraId="5B9A318F"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6.689</w:t>
            </w:r>
          </w:p>
        </w:tc>
        <w:tc>
          <w:tcPr>
            <w:tcW w:w="1821" w:type="dxa"/>
          </w:tcPr>
          <w:p w14:paraId="456C1670"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2.842</w:t>
            </w:r>
          </w:p>
        </w:tc>
        <w:tc>
          <w:tcPr>
            <w:tcW w:w="1667" w:type="dxa"/>
          </w:tcPr>
          <w:p w14:paraId="5EA59835"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32.100</w:t>
            </w:r>
          </w:p>
        </w:tc>
      </w:tr>
      <w:tr w:rsidR="00661A28" w:rsidRPr="009A3E39" w14:paraId="10C40705" w14:textId="77777777" w:rsidTr="00BC1C03">
        <w:tc>
          <w:tcPr>
            <w:tcW w:w="1886" w:type="dxa"/>
          </w:tcPr>
          <w:p w14:paraId="04945803" w14:textId="77777777" w:rsidR="00661A28" w:rsidRPr="009A3E39" w:rsidRDefault="00661A28" w:rsidP="00BC1C03">
            <w:pPr>
              <w:autoSpaceDE w:val="0"/>
              <w:autoSpaceDN w:val="0"/>
              <w:adjustRightInd w:val="0"/>
              <w:rPr>
                <w:rFonts w:ascii="Times New Roman" w:hAnsi="Times New Roman" w:cs="Times New Roman"/>
                <w:bCs/>
                <w:color w:val="0D0D0D" w:themeColor="text1" w:themeTint="F2"/>
                <w:sz w:val="24"/>
                <w:szCs w:val="24"/>
              </w:rPr>
            </w:pPr>
            <w:r w:rsidRPr="009A3E39">
              <w:rPr>
                <w:rFonts w:ascii="Times New Roman" w:hAnsi="Times New Roman" w:cs="Times New Roman"/>
                <w:bCs/>
                <w:color w:val="0D0D0D" w:themeColor="text1" w:themeTint="F2"/>
                <w:sz w:val="24"/>
                <w:szCs w:val="24"/>
              </w:rPr>
              <w:t>S@rGO-1</w:t>
            </w:r>
          </w:p>
        </w:tc>
        <w:tc>
          <w:tcPr>
            <w:tcW w:w="1821" w:type="dxa"/>
          </w:tcPr>
          <w:p w14:paraId="4A010FBB"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2.353</w:t>
            </w:r>
          </w:p>
        </w:tc>
        <w:tc>
          <w:tcPr>
            <w:tcW w:w="1821" w:type="dxa"/>
          </w:tcPr>
          <w:p w14:paraId="25C54BF5"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6.712</w:t>
            </w:r>
          </w:p>
        </w:tc>
        <w:tc>
          <w:tcPr>
            <w:tcW w:w="1821" w:type="dxa"/>
          </w:tcPr>
          <w:p w14:paraId="1CFFB35F"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2.853</w:t>
            </w:r>
          </w:p>
        </w:tc>
        <w:tc>
          <w:tcPr>
            <w:tcW w:w="1667" w:type="dxa"/>
          </w:tcPr>
          <w:p w14:paraId="1891144A"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32.183</w:t>
            </w:r>
          </w:p>
        </w:tc>
      </w:tr>
      <w:tr w:rsidR="00661A28" w:rsidRPr="009A3E39" w14:paraId="427DA018" w14:textId="77777777" w:rsidTr="00BC1C03">
        <w:tc>
          <w:tcPr>
            <w:tcW w:w="1886" w:type="dxa"/>
          </w:tcPr>
          <w:p w14:paraId="4B4DFDC4" w14:textId="77777777" w:rsidR="00661A28" w:rsidRPr="009A3E39" w:rsidRDefault="00661A28" w:rsidP="00BC1C03">
            <w:pPr>
              <w:autoSpaceDE w:val="0"/>
              <w:autoSpaceDN w:val="0"/>
              <w:adjustRightInd w:val="0"/>
              <w:rPr>
                <w:rFonts w:ascii="Times New Roman" w:hAnsi="Times New Roman" w:cs="Times New Roman"/>
                <w:bCs/>
                <w:color w:val="0D0D0D" w:themeColor="text1" w:themeTint="F2"/>
                <w:sz w:val="24"/>
                <w:szCs w:val="24"/>
              </w:rPr>
            </w:pPr>
            <w:r w:rsidRPr="009A3E39">
              <w:rPr>
                <w:rFonts w:ascii="Times New Roman" w:hAnsi="Times New Roman" w:cs="Times New Roman"/>
                <w:bCs/>
                <w:color w:val="0D0D0D" w:themeColor="text1" w:themeTint="F2"/>
                <w:sz w:val="24"/>
                <w:szCs w:val="24"/>
              </w:rPr>
              <w:t>S@rGO-2</w:t>
            </w:r>
          </w:p>
        </w:tc>
        <w:tc>
          <w:tcPr>
            <w:tcW w:w="1821" w:type="dxa"/>
          </w:tcPr>
          <w:p w14:paraId="0A0D35D4"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2.352</w:t>
            </w:r>
          </w:p>
        </w:tc>
        <w:tc>
          <w:tcPr>
            <w:tcW w:w="1821" w:type="dxa"/>
          </w:tcPr>
          <w:p w14:paraId="37D6AF87"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6.729</w:t>
            </w:r>
          </w:p>
        </w:tc>
        <w:tc>
          <w:tcPr>
            <w:tcW w:w="1821" w:type="dxa"/>
          </w:tcPr>
          <w:p w14:paraId="421899A5"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2.861</w:t>
            </w:r>
          </w:p>
        </w:tc>
        <w:tc>
          <w:tcPr>
            <w:tcW w:w="1667" w:type="dxa"/>
          </w:tcPr>
          <w:p w14:paraId="44CB3358"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32.237</w:t>
            </w:r>
          </w:p>
        </w:tc>
      </w:tr>
      <w:tr w:rsidR="00661A28" w:rsidRPr="009A3E39" w14:paraId="73D55BD6" w14:textId="77777777" w:rsidTr="00BC1C03">
        <w:tc>
          <w:tcPr>
            <w:tcW w:w="1886" w:type="dxa"/>
          </w:tcPr>
          <w:p w14:paraId="68738C7D" w14:textId="77777777" w:rsidR="00661A28" w:rsidRPr="009A3E39" w:rsidRDefault="00661A28" w:rsidP="00BC1C03">
            <w:pPr>
              <w:autoSpaceDE w:val="0"/>
              <w:autoSpaceDN w:val="0"/>
              <w:adjustRightInd w:val="0"/>
              <w:rPr>
                <w:rFonts w:ascii="Times New Roman" w:hAnsi="Times New Roman" w:cs="Times New Roman"/>
                <w:bCs/>
                <w:color w:val="0D0D0D" w:themeColor="text1" w:themeTint="F2"/>
                <w:sz w:val="24"/>
                <w:szCs w:val="24"/>
              </w:rPr>
            </w:pPr>
            <w:r w:rsidRPr="009A3E39">
              <w:rPr>
                <w:rFonts w:ascii="Times New Roman" w:hAnsi="Times New Roman" w:cs="Times New Roman"/>
                <w:bCs/>
                <w:color w:val="0D0D0D" w:themeColor="text1" w:themeTint="F2"/>
                <w:sz w:val="24"/>
                <w:szCs w:val="24"/>
              </w:rPr>
              <w:t>S@rGO-3</w:t>
            </w:r>
          </w:p>
        </w:tc>
        <w:tc>
          <w:tcPr>
            <w:tcW w:w="1821" w:type="dxa"/>
          </w:tcPr>
          <w:p w14:paraId="33E17419"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2.352</w:t>
            </w:r>
          </w:p>
        </w:tc>
        <w:tc>
          <w:tcPr>
            <w:tcW w:w="1821" w:type="dxa"/>
          </w:tcPr>
          <w:p w14:paraId="6B2FB101"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6.719</w:t>
            </w:r>
          </w:p>
        </w:tc>
        <w:tc>
          <w:tcPr>
            <w:tcW w:w="1821" w:type="dxa"/>
          </w:tcPr>
          <w:p w14:paraId="1FA66FF9"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2.857</w:t>
            </w:r>
          </w:p>
        </w:tc>
        <w:tc>
          <w:tcPr>
            <w:tcW w:w="1667" w:type="dxa"/>
          </w:tcPr>
          <w:p w14:paraId="4F2259A1"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32.189</w:t>
            </w:r>
          </w:p>
        </w:tc>
      </w:tr>
      <w:tr w:rsidR="00661A28" w:rsidRPr="009A3E39" w14:paraId="43EA389D" w14:textId="77777777" w:rsidTr="00BC1C03">
        <w:tc>
          <w:tcPr>
            <w:tcW w:w="1886" w:type="dxa"/>
          </w:tcPr>
          <w:p w14:paraId="5B312597" w14:textId="77777777" w:rsidR="00661A28" w:rsidRPr="009A3E39" w:rsidRDefault="00661A28" w:rsidP="00BC1C03">
            <w:pPr>
              <w:autoSpaceDE w:val="0"/>
              <w:autoSpaceDN w:val="0"/>
              <w:adjustRightInd w:val="0"/>
              <w:rPr>
                <w:rFonts w:ascii="Times New Roman" w:hAnsi="Times New Roman" w:cs="Times New Roman"/>
                <w:bCs/>
                <w:color w:val="0D0D0D" w:themeColor="text1" w:themeTint="F2"/>
                <w:sz w:val="24"/>
                <w:szCs w:val="24"/>
              </w:rPr>
            </w:pPr>
            <w:r w:rsidRPr="009A3E39">
              <w:rPr>
                <w:rFonts w:ascii="Times New Roman" w:hAnsi="Times New Roman" w:cs="Times New Roman"/>
                <w:bCs/>
                <w:color w:val="0D0D0D" w:themeColor="text1" w:themeTint="F2"/>
                <w:sz w:val="24"/>
                <w:szCs w:val="24"/>
              </w:rPr>
              <w:t>S@rGO-4</w:t>
            </w:r>
          </w:p>
        </w:tc>
        <w:tc>
          <w:tcPr>
            <w:tcW w:w="1821" w:type="dxa"/>
          </w:tcPr>
          <w:p w14:paraId="077BEDA5"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2.352</w:t>
            </w:r>
          </w:p>
        </w:tc>
        <w:tc>
          <w:tcPr>
            <w:tcW w:w="1821" w:type="dxa"/>
          </w:tcPr>
          <w:p w14:paraId="385899F9"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6.719</w:t>
            </w:r>
          </w:p>
        </w:tc>
        <w:tc>
          <w:tcPr>
            <w:tcW w:w="1821" w:type="dxa"/>
          </w:tcPr>
          <w:p w14:paraId="3A17C6CA"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2.857</w:t>
            </w:r>
          </w:p>
        </w:tc>
        <w:tc>
          <w:tcPr>
            <w:tcW w:w="1667" w:type="dxa"/>
          </w:tcPr>
          <w:p w14:paraId="3D320B59" w14:textId="77777777" w:rsidR="00661A28" w:rsidRPr="009A3E39" w:rsidRDefault="00661A28" w:rsidP="00BC1C03">
            <w:pPr>
              <w:autoSpaceDE w:val="0"/>
              <w:autoSpaceDN w:val="0"/>
              <w:adjustRightInd w:val="0"/>
              <w:rPr>
                <w:rFonts w:ascii="Times New Roman" w:hAnsi="Times New Roman" w:cs="Times New Roman"/>
                <w:color w:val="0D0D0D" w:themeColor="text1" w:themeTint="F2"/>
                <w:sz w:val="24"/>
                <w:szCs w:val="24"/>
              </w:rPr>
            </w:pPr>
            <w:r w:rsidRPr="009A3E39">
              <w:rPr>
                <w:rFonts w:ascii="Times New Roman" w:hAnsi="Times New Roman" w:cs="Times New Roman"/>
                <w:color w:val="0D0D0D" w:themeColor="text1" w:themeTint="F2"/>
                <w:sz w:val="24"/>
                <w:szCs w:val="24"/>
              </w:rPr>
              <w:t>32.189</w:t>
            </w:r>
          </w:p>
        </w:tc>
      </w:tr>
    </w:tbl>
    <w:p w14:paraId="74F6A637" w14:textId="77777777" w:rsidR="00661A28" w:rsidRDefault="00661A28">
      <w:pPr>
        <w:rPr>
          <w:sz w:val="28"/>
          <w:szCs w:val="24"/>
          <w:u w:val="single"/>
          <w:lang w:val="en-GB"/>
        </w:rPr>
      </w:pPr>
    </w:p>
    <w:p w14:paraId="4AC0AE90" w14:textId="75807706" w:rsidR="00661A28" w:rsidRDefault="00661A28" w:rsidP="00661A28">
      <w:pPr>
        <w:pStyle w:val="Heading1"/>
      </w:pPr>
      <w:r>
        <w:t>Raman Studies</w:t>
      </w:r>
    </w:p>
    <w:p w14:paraId="0FAC3D7F" w14:textId="1819EB74" w:rsidR="00E91C3A" w:rsidRDefault="00E91C3A" w:rsidP="00E91C3A">
      <w:pPr>
        <w:rPr>
          <w:lang w:val="en-GB"/>
        </w:rPr>
      </w:pPr>
      <w:r>
        <w:rPr>
          <w:noProof/>
        </w:rPr>
        <w:drawing>
          <wp:inline distT="0" distB="0" distL="0" distR="0" wp14:anchorId="54D23646" wp14:editId="6FC35978">
            <wp:extent cx="2713939" cy="2383792"/>
            <wp:effectExtent l="0" t="0" r="0" b="0"/>
            <wp:docPr id="1134438081" name="Picture 6"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38081" name="Picture 6" descr="A graph of a number of object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9168" cy="2388385"/>
                    </a:xfrm>
                    <a:prstGeom prst="rect">
                      <a:avLst/>
                    </a:prstGeom>
                    <a:noFill/>
                    <a:ln>
                      <a:noFill/>
                    </a:ln>
                  </pic:spPr>
                </pic:pic>
              </a:graphicData>
            </a:graphic>
          </wp:inline>
        </w:drawing>
      </w:r>
    </w:p>
    <w:p w14:paraId="0694D7B0" w14:textId="7BEECE93" w:rsidR="00E91C3A" w:rsidRPr="009A3E39" w:rsidRDefault="00E91C3A" w:rsidP="00E91C3A">
      <w:pPr>
        <w:jc w:val="both"/>
        <w:rPr>
          <w:color w:val="0D0D0D" w:themeColor="text1" w:themeTint="F2"/>
        </w:rPr>
      </w:pPr>
      <w:r w:rsidRPr="009A3E39">
        <w:rPr>
          <w:b/>
          <w:bCs/>
          <w:color w:val="0D0D0D" w:themeColor="text1" w:themeTint="F2"/>
        </w:rPr>
        <w:t xml:space="preserve">Fig. </w:t>
      </w:r>
      <w:r w:rsidR="001C4814">
        <w:rPr>
          <w:b/>
          <w:bCs/>
          <w:color w:val="0D0D0D" w:themeColor="text1" w:themeTint="F2"/>
        </w:rPr>
        <w:t>S3</w:t>
      </w:r>
      <w:r w:rsidRPr="009A3E39">
        <w:rPr>
          <w:color w:val="0D0D0D" w:themeColor="text1" w:themeTint="F2"/>
        </w:rPr>
        <w:t xml:space="preserve"> Detailed Raman spectra</w:t>
      </w:r>
      <w:r w:rsidR="001C5204">
        <w:rPr>
          <w:color w:val="0D0D0D" w:themeColor="text1" w:themeTint="F2"/>
        </w:rPr>
        <w:t>.</w:t>
      </w:r>
    </w:p>
    <w:p w14:paraId="59E6CEB5" w14:textId="77777777" w:rsidR="00E91C3A" w:rsidRPr="00E91C3A" w:rsidRDefault="00E91C3A" w:rsidP="00E91C3A">
      <w:pPr>
        <w:rPr>
          <w:lang w:val="en-GB"/>
        </w:rPr>
      </w:pPr>
    </w:p>
    <w:p w14:paraId="337E56D3" w14:textId="65E0DF7C" w:rsidR="00661A28" w:rsidRPr="009A3E39" w:rsidRDefault="00661A28" w:rsidP="00661A28">
      <w:pPr>
        <w:jc w:val="both"/>
        <w:rPr>
          <w:color w:val="0D0D0D" w:themeColor="text1" w:themeTint="F2"/>
        </w:rPr>
      </w:pPr>
      <w:r w:rsidRPr="009A3E39">
        <w:rPr>
          <w:b/>
          <w:bCs/>
          <w:color w:val="0D0D0D" w:themeColor="text1" w:themeTint="F2"/>
        </w:rPr>
        <w:lastRenderedPageBreak/>
        <w:t xml:space="preserve">Table </w:t>
      </w:r>
      <w:r w:rsidR="001C4814">
        <w:rPr>
          <w:b/>
          <w:bCs/>
          <w:color w:val="0D0D0D" w:themeColor="text1" w:themeTint="F2"/>
        </w:rPr>
        <w:t>S3</w:t>
      </w:r>
      <w:r w:rsidRPr="009A3E39">
        <w:rPr>
          <w:color w:val="0D0D0D" w:themeColor="text1" w:themeTint="F2"/>
        </w:rPr>
        <w:t xml:space="preserve"> Raman spectra analysis</w:t>
      </w:r>
    </w:p>
    <w:tbl>
      <w:tblPr>
        <w:tblStyle w:val="TableGrid"/>
        <w:tblW w:w="0" w:type="auto"/>
        <w:tblLook w:val="04A0" w:firstRow="1" w:lastRow="0" w:firstColumn="1" w:lastColumn="0" w:noHBand="0" w:noVBand="1"/>
      </w:tblPr>
      <w:tblGrid>
        <w:gridCol w:w="3005"/>
        <w:gridCol w:w="3005"/>
        <w:gridCol w:w="3006"/>
      </w:tblGrid>
      <w:tr w:rsidR="00661A28" w:rsidRPr="009A3E39" w14:paraId="49C6D139" w14:textId="77777777" w:rsidTr="00BC1C03">
        <w:trPr>
          <w:trHeight w:val="407"/>
        </w:trPr>
        <w:tc>
          <w:tcPr>
            <w:tcW w:w="3005" w:type="dxa"/>
          </w:tcPr>
          <w:p w14:paraId="10D5BE4A" w14:textId="77777777" w:rsidR="00661A28" w:rsidRPr="00272A00" w:rsidRDefault="00661A28" w:rsidP="00BC1C03">
            <w:pPr>
              <w:jc w:val="both"/>
              <w:rPr>
                <w:rFonts w:ascii="Times New Roman" w:hAnsi="Times New Roman" w:cs="Times New Roman"/>
                <w:b/>
                <w:bCs/>
                <w:color w:val="0D0D0D" w:themeColor="text1" w:themeTint="F2"/>
              </w:rPr>
            </w:pPr>
            <w:r w:rsidRPr="00272A00">
              <w:rPr>
                <w:rFonts w:ascii="Times New Roman" w:hAnsi="Times New Roman" w:cs="Times New Roman"/>
                <w:b/>
                <w:bCs/>
                <w:color w:val="0D0D0D" w:themeColor="text1" w:themeTint="F2"/>
              </w:rPr>
              <w:t xml:space="preserve">Sample name </w:t>
            </w:r>
          </w:p>
        </w:tc>
        <w:tc>
          <w:tcPr>
            <w:tcW w:w="3005" w:type="dxa"/>
          </w:tcPr>
          <w:p w14:paraId="72F1C3FE" w14:textId="77777777" w:rsidR="00661A28" w:rsidRPr="00272A00" w:rsidRDefault="00661A28" w:rsidP="00BC1C03">
            <w:pPr>
              <w:jc w:val="both"/>
              <w:rPr>
                <w:rFonts w:ascii="Times New Roman" w:hAnsi="Times New Roman" w:cs="Times New Roman"/>
                <w:b/>
                <w:bCs/>
                <w:color w:val="0D0D0D" w:themeColor="text1" w:themeTint="F2"/>
              </w:rPr>
            </w:pPr>
            <w:r w:rsidRPr="00272A00">
              <w:rPr>
                <w:rFonts w:ascii="Times New Roman" w:hAnsi="Times New Roman" w:cs="Times New Roman"/>
                <w:b/>
                <w:bCs/>
                <w:color w:val="0D0D0D" w:themeColor="text1" w:themeTint="F2"/>
              </w:rPr>
              <w:t>I</w:t>
            </w:r>
            <w:r w:rsidRPr="00272A00">
              <w:rPr>
                <w:rFonts w:ascii="Times New Roman" w:hAnsi="Times New Roman" w:cs="Times New Roman"/>
                <w:b/>
                <w:bCs/>
                <w:color w:val="0D0D0D" w:themeColor="text1" w:themeTint="F2"/>
                <w:vertAlign w:val="subscript"/>
              </w:rPr>
              <w:t>D</w:t>
            </w:r>
            <w:r w:rsidRPr="00272A00">
              <w:rPr>
                <w:rFonts w:ascii="Times New Roman" w:hAnsi="Times New Roman" w:cs="Times New Roman"/>
                <w:b/>
                <w:bCs/>
                <w:color w:val="0D0D0D" w:themeColor="text1" w:themeTint="F2"/>
              </w:rPr>
              <w:t>/ I</w:t>
            </w:r>
            <w:r w:rsidRPr="00272A00">
              <w:rPr>
                <w:rFonts w:ascii="Times New Roman" w:hAnsi="Times New Roman" w:cs="Times New Roman"/>
                <w:b/>
                <w:bCs/>
                <w:color w:val="0D0D0D" w:themeColor="text1" w:themeTint="F2"/>
                <w:vertAlign w:val="subscript"/>
              </w:rPr>
              <w:t xml:space="preserve">G </w:t>
            </w:r>
          </w:p>
        </w:tc>
        <w:tc>
          <w:tcPr>
            <w:tcW w:w="3006" w:type="dxa"/>
          </w:tcPr>
          <w:p w14:paraId="3FF8E06F" w14:textId="77777777" w:rsidR="00661A28" w:rsidRPr="00272A00" w:rsidRDefault="00661A28" w:rsidP="00BC1C03">
            <w:pPr>
              <w:jc w:val="both"/>
              <w:rPr>
                <w:rFonts w:ascii="Times New Roman" w:hAnsi="Times New Roman" w:cs="Times New Roman"/>
                <w:b/>
                <w:bCs/>
                <w:color w:val="0D0D0D" w:themeColor="text1" w:themeTint="F2"/>
              </w:rPr>
            </w:pPr>
            <w:r w:rsidRPr="00272A00">
              <w:rPr>
                <w:rFonts w:ascii="Times New Roman" w:hAnsi="Times New Roman" w:cs="Times New Roman"/>
                <w:b/>
                <w:bCs/>
                <w:color w:val="0D0D0D" w:themeColor="text1" w:themeTint="F2"/>
              </w:rPr>
              <w:t>I</w:t>
            </w:r>
            <w:r w:rsidRPr="00272A00">
              <w:rPr>
                <w:rFonts w:ascii="Times New Roman" w:hAnsi="Times New Roman" w:cs="Times New Roman"/>
                <w:b/>
                <w:bCs/>
                <w:color w:val="0D0D0D" w:themeColor="text1" w:themeTint="F2"/>
                <w:vertAlign w:val="subscript"/>
              </w:rPr>
              <w:t>2D</w:t>
            </w:r>
            <w:r w:rsidRPr="00272A00">
              <w:rPr>
                <w:rFonts w:ascii="Times New Roman" w:hAnsi="Times New Roman" w:cs="Times New Roman"/>
                <w:b/>
                <w:bCs/>
                <w:color w:val="0D0D0D" w:themeColor="text1" w:themeTint="F2"/>
              </w:rPr>
              <w:t>/ I</w:t>
            </w:r>
            <w:r w:rsidRPr="00272A00">
              <w:rPr>
                <w:rFonts w:ascii="Times New Roman" w:hAnsi="Times New Roman" w:cs="Times New Roman"/>
                <w:b/>
                <w:bCs/>
                <w:color w:val="0D0D0D" w:themeColor="text1" w:themeTint="F2"/>
                <w:vertAlign w:val="subscript"/>
              </w:rPr>
              <w:t>G</w:t>
            </w:r>
          </w:p>
        </w:tc>
      </w:tr>
      <w:tr w:rsidR="00661A28" w:rsidRPr="009A3E39" w14:paraId="20CAFEFD" w14:textId="77777777" w:rsidTr="00BC1C03">
        <w:tc>
          <w:tcPr>
            <w:tcW w:w="3005" w:type="dxa"/>
          </w:tcPr>
          <w:p w14:paraId="6B555BCF"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rGO</w:t>
            </w:r>
          </w:p>
        </w:tc>
        <w:tc>
          <w:tcPr>
            <w:tcW w:w="3005" w:type="dxa"/>
          </w:tcPr>
          <w:p w14:paraId="44B007D0"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0.336</w:t>
            </w:r>
          </w:p>
        </w:tc>
        <w:tc>
          <w:tcPr>
            <w:tcW w:w="3006" w:type="dxa"/>
          </w:tcPr>
          <w:p w14:paraId="30289AE5"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1.875</w:t>
            </w:r>
          </w:p>
        </w:tc>
      </w:tr>
      <w:tr w:rsidR="00661A28" w:rsidRPr="009A3E39" w14:paraId="21E3DF44" w14:textId="77777777" w:rsidTr="00BC1C03">
        <w:tc>
          <w:tcPr>
            <w:tcW w:w="3005" w:type="dxa"/>
          </w:tcPr>
          <w:p w14:paraId="26A4E171"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S@rGO-1</w:t>
            </w:r>
          </w:p>
        </w:tc>
        <w:tc>
          <w:tcPr>
            <w:tcW w:w="3005" w:type="dxa"/>
          </w:tcPr>
          <w:p w14:paraId="1E696200"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0.039</w:t>
            </w:r>
          </w:p>
        </w:tc>
        <w:tc>
          <w:tcPr>
            <w:tcW w:w="3006" w:type="dxa"/>
          </w:tcPr>
          <w:p w14:paraId="4BE16B72"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1.478</w:t>
            </w:r>
          </w:p>
        </w:tc>
      </w:tr>
      <w:tr w:rsidR="00661A28" w:rsidRPr="009A3E39" w14:paraId="548AD186" w14:textId="77777777" w:rsidTr="00BC1C03">
        <w:tc>
          <w:tcPr>
            <w:tcW w:w="3005" w:type="dxa"/>
          </w:tcPr>
          <w:p w14:paraId="3DF8E7EE"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S@rGO-2</w:t>
            </w:r>
          </w:p>
        </w:tc>
        <w:tc>
          <w:tcPr>
            <w:tcW w:w="3005" w:type="dxa"/>
          </w:tcPr>
          <w:p w14:paraId="10E66018"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0.321</w:t>
            </w:r>
          </w:p>
        </w:tc>
        <w:tc>
          <w:tcPr>
            <w:tcW w:w="3006" w:type="dxa"/>
          </w:tcPr>
          <w:p w14:paraId="710128E5"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0.909</w:t>
            </w:r>
          </w:p>
        </w:tc>
      </w:tr>
      <w:tr w:rsidR="00661A28" w:rsidRPr="009A3E39" w14:paraId="28ED778F" w14:textId="77777777" w:rsidTr="00BC1C03">
        <w:tc>
          <w:tcPr>
            <w:tcW w:w="3005" w:type="dxa"/>
          </w:tcPr>
          <w:p w14:paraId="6C94F717"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S@rGO-3</w:t>
            </w:r>
          </w:p>
        </w:tc>
        <w:tc>
          <w:tcPr>
            <w:tcW w:w="3005" w:type="dxa"/>
          </w:tcPr>
          <w:p w14:paraId="29D81F66"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0.045</w:t>
            </w:r>
          </w:p>
        </w:tc>
        <w:tc>
          <w:tcPr>
            <w:tcW w:w="3006" w:type="dxa"/>
          </w:tcPr>
          <w:p w14:paraId="63395136"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1.603</w:t>
            </w:r>
          </w:p>
        </w:tc>
      </w:tr>
      <w:tr w:rsidR="00661A28" w:rsidRPr="009A3E39" w14:paraId="38B953D5" w14:textId="77777777" w:rsidTr="00BC1C03">
        <w:tc>
          <w:tcPr>
            <w:tcW w:w="3005" w:type="dxa"/>
          </w:tcPr>
          <w:p w14:paraId="391074DA"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S@rGO-4</w:t>
            </w:r>
          </w:p>
        </w:tc>
        <w:tc>
          <w:tcPr>
            <w:tcW w:w="3005" w:type="dxa"/>
          </w:tcPr>
          <w:p w14:paraId="475FA91C"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0.076</w:t>
            </w:r>
          </w:p>
        </w:tc>
        <w:tc>
          <w:tcPr>
            <w:tcW w:w="3006" w:type="dxa"/>
          </w:tcPr>
          <w:p w14:paraId="3BE76FD0" w14:textId="77777777" w:rsidR="00661A28" w:rsidRPr="009A3E39" w:rsidRDefault="00661A28" w:rsidP="00BC1C03">
            <w:pPr>
              <w:jc w:val="both"/>
              <w:rPr>
                <w:rFonts w:ascii="Times New Roman" w:hAnsi="Times New Roman" w:cs="Times New Roman"/>
                <w:color w:val="0D0D0D" w:themeColor="text1" w:themeTint="F2"/>
              </w:rPr>
            </w:pPr>
            <w:r w:rsidRPr="009A3E39">
              <w:rPr>
                <w:rFonts w:ascii="Times New Roman" w:hAnsi="Times New Roman" w:cs="Times New Roman"/>
                <w:color w:val="0D0D0D" w:themeColor="text1" w:themeTint="F2"/>
              </w:rPr>
              <w:t>1.632</w:t>
            </w:r>
          </w:p>
        </w:tc>
      </w:tr>
    </w:tbl>
    <w:p w14:paraId="2CE3A003" w14:textId="77777777" w:rsidR="00661A28" w:rsidRDefault="00661A28" w:rsidP="00661A28">
      <w:pPr>
        <w:rPr>
          <w:lang w:val="en-GB"/>
        </w:rPr>
      </w:pPr>
    </w:p>
    <w:p w14:paraId="5E660DD9" w14:textId="696BB8D8" w:rsidR="00661A28" w:rsidRDefault="00661A28" w:rsidP="00661A28">
      <w:pPr>
        <w:pStyle w:val="Heading1"/>
      </w:pPr>
      <w:r>
        <w:t>FT-IR Studies</w:t>
      </w:r>
    </w:p>
    <w:p w14:paraId="457EA185" w14:textId="6AF14CC5" w:rsidR="00661A28" w:rsidRPr="009A3E39" w:rsidRDefault="00661A28" w:rsidP="00661A28">
      <w:pPr>
        <w:pStyle w:val="ListParagraph"/>
        <w:spacing w:line="360" w:lineRule="auto"/>
        <w:ind w:left="0"/>
        <w:jc w:val="both"/>
        <w:rPr>
          <w:b/>
          <w:color w:val="0D0D0D" w:themeColor="text1" w:themeTint="F2"/>
          <w:szCs w:val="24"/>
          <w:lang w:val="en-US"/>
        </w:rPr>
      </w:pPr>
      <w:r w:rsidRPr="009A3E39">
        <w:rPr>
          <w:b/>
          <w:color w:val="0D0D0D" w:themeColor="text1" w:themeTint="F2"/>
          <w:szCs w:val="24"/>
          <w:lang w:val="en-US"/>
        </w:rPr>
        <w:t xml:space="preserve">Table </w:t>
      </w:r>
      <w:r w:rsidR="001C4814">
        <w:rPr>
          <w:b/>
          <w:color w:val="0D0D0D" w:themeColor="text1" w:themeTint="F2"/>
          <w:szCs w:val="24"/>
          <w:lang w:val="en-US"/>
        </w:rPr>
        <w:t>S4</w:t>
      </w:r>
      <w:r w:rsidRPr="009A3E39">
        <w:rPr>
          <w:b/>
          <w:color w:val="0D0D0D" w:themeColor="text1" w:themeTint="F2"/>
          <w:szCs w:val="24"/>
          <w:lang w:val="en-US"/>
        </w:rPr>
        <w:t xml:space="preserve"> </w:t>
      </w:r>
      <w:r w:rsidRPr="00AF47EC">
        <w:rPr>
          <w:bCs/>
          <w:color w:val="0D0D0D" w:themeColor="text1" w:themeTint="F2"/>
          <w:szCs w:val="24"/>
          <w:lang w:val="en-US"/>
        </w:rPr>
        <w:t>Proposed</w:t>
      </w:r>
      <w:r>
        <w:rPr>
          <w:b/>
          <w:color w:val="0D0D0D" w:themeColor="text1" w:themeTint="F2"/>
          <w:szCs w:val="24"/>
          <w:lang w:val="en-US"/>
        </w:rPr>
        <w:t xml:space="preserve"> </w:t>
      </w:r>
      <w:r w:rsidRPr="009A3E39">
        <w:rPr>
          <w:color w:val="0D0D0D" w:themeColor="text1" w:themeTint="F2"/>
          <w:szCs w:val="24"/>
        </w:rPr>
        <w:t xml:space="preserve">characteristics of the vibrations as well as corresponding wave numbers related to transmittance peaks of </w:t>
      </w:r>
      <w:r w:rsidRPr="009A3E39">
        <w:rPr>
          <w:bCs/>
          <w:color w:val="0D0D0D" w:themeColor="text1" w:themeTint="F2"/>
          <w:szCs w:val="24"/>
          <w:lang w:val="en-US"/>
        </w:rPr>
        <w:t>(a) pristine sulfur (b) S@rGO-4, (c) S@rGO-3, (d) S@rGO-2, (e) S@rGO-1 and (f) pristine rGO</w:t>
      </w:r>
    </w:p>
    <w:tbl>
      <w:tblPr>
        <w:tblStyle w:val="TableGrid"/>
        <w:tblW w:w="0" w:type="auto"/>
        <w:tblLook w:val="04A0" w:firstRow="1" w:lastRow="0" w:firstColumn="1" w:lastColumn="0" w:noHBand="0" w:noVBand="1"/>
      </w:tblPr>
      <w:tblGrid>
        <w:gridCol w:w="621"/>
        <w:gridCol w:w="2635"/>
        <w:gridCol w:w="5244"/>
      </w:tblGrid>
      <w:tr w:rsidR="00661A28" w:rsidRPr="009A3E39" w14:paraId="50F23777" w14:textId="77777777" w:rsidTr="00BC1C03">
        <w:tc>
          <w:tcPr>
            <w:tcW w:w="621" w:type="dxa"/>
          </w:tcPr>
          <w:p w14:paraId="260757AA" w14:textId="77777777" w:rsidR="00661A28" w:rsidRPr="009A3E39" w:rsidRDefault="00661A28" w:rsidP="00BC1C03">
            <w:pPr>
              <w:rPr>
                <w:rFonts w:ascii="Times New Roman" w:hAnsi="Times New Roman" w:cs="Times New Roman"/>
                <w:b/>
                <w:bCs/>
                <w:color w:val="0D0D0D" w:themeColor="text1" w:themeTint="F2"/>
                <w:sz w:val="24"/>
                <w:szCs w:val="24"/>
                <w:lang w:val="en-GB"/>
              </w:rPr>
            </w:pPr>
            <w:r w:rsidRPr="009A3E39">
              <w:rPr>
                <w:rFonts w:ascii="Times New Roman" w:hAnsi="Times New Roman" w:cs="Times New Roman"/>
                <w:b/>
                <w:bCs/>
                <w:color w:val="0D0D0D" w:themeColor="text1" w:themeTint="F2"/>
                <w:sz w:val="24"/>
                <w:szCs w:val="24"/>
                <w:lang w:val="en-GB"/>
              </w:rPr>
              <w:t>Sr. No.</w:t>
            </w:r>
          </w:p>
        </w:tc>
        <w:tc>
          <w:tcPr>
            <w:tcW w:w="2635" w:type="dxa"/>
          </w:tcPr>
          <w:p w14:paraId="02BAE143" w14:textId="77777777" w:rsidR="00661A28" w:rsidRPr="009A3E39" w:rsidRDefault="00661A28" w:rsidP="00BC1C03">
            <w:pPr>
              <w:rPr>
                <w:rFonts w:ascii="Times New Roman" w:hAnsi="Times New Roman" w:cs="Times New Roman"/>
                <w:b/>
                <w:bCs/>
                <w:color w:val="0D0D0D" w:themeColor="text1" w:themeTint="F2"/>
                <w:sz w:val="24"/>
                <w:szCs w:val="24"/>
                <w:lang w:val="en-GB"/>
              </w:rPr>
            </w:pPr>
            <w:r w:rsidRPr="009A3E39">
              <w:rPr>
                <w:rFonts w:ascii="Times New Roman" w:hAnsi="Times New Roman" w:cs="Times New Roman"/>
                <w:b/>
                <w:bCs/>
                <w:color w:val="0D0D0D" w:themeColor="text1" w:themeTint="F2"/>
                <w:sz w:val="24"/>
                <w:szCs w:val="24"/>
                <w:lang w:val="en-GB"/>
              </w:rPr>
              <w:t>Position of Bands (in cm</w:t>
            </w:r>
            <w:r w:rsidRPr="009A3E39">
              <w:rPr>
                <w:rFonts w:ascii="Times New Roman" w:hAnsi="Times New Roman" w:cs="Times New Roman"/>
                <w:b/>
                <w:bCs/>
                <w:color w:val="0D0D0D" w:themeColor="text1" w:themeTint="F2"/>
                <w:sz w:val="24"/>
                <w:szCs w:val="24"/>
                <w:vertAlign w:val="superscript"/>
                <w:lang w:val="en-GB"/>
              </w:rPr>
              <w:t>-1</w:t>
            </w:r>
            <w:r w:rsidRPr="009A3E39">
              <w:rPr>
                <w:rFonts w:ascii="Times New Roman" w:hAnsi="Times New Roman" w:cs="Times New Roman"/>
                <w:b/>
                <w:bCs/>
                <w:color w:val="0D0D0D" w:themeColor="text1" w:themeTint="F2"/>
                <w:sz w:val="24"/>
                <w:szCs w:val="24"/>
                <w:lang w:val="en-GB"/>
              </w:rPr>
              <w:t>)</w:t>
            </w:r>
          </w:p>
        </w:tc>
        <w:tc>
          <w:tcPr>
            <w:tcW w:w="5244" w:type="dxa"/>
          </w:tcPr>
          <w:p w14:paraId="56608C46" w14:textId="77777777" w:rsidR="00661A28" w:rsidRPr="009A3E39" w:rsidRDefault="00661A28" w:rsidP="00BC1C03">
            <w:pPr>
              <w:rPr>
                <w:rFonts w:ascii="Times New Roman" w:hAnsi="Times New Roman" w:cs="Times New Roman"/>
                <w:b/>
                <w:bCs/>
                <w:color w:val="0D0D0D" w:themeColor="text1" w:themeTint="F2"/>
                <w:sz w:val="24"/>
                <w:szCs w:val="24"/>
                <w:lang w:val="en-GB"/>
              </w:rPr>
            </w:pPr>
            <w:r w:rsidRPr="009A3E39">
              <w:rPr>
                <w:rFonts w:ascii="Times New Roman" w:hAnsi="Times New Roman" w:cs="Times New Roman"/>
                <w:b/>
                <w:bCs/>
                <w:color w:val="0D0D0D" w:themeColor="text1" w:themeTint="F2"/>
                <w:sz w:val="24"/>
                <w:szCs w:val="24"/>
                <w:lang w:val="en-GB"/>
              </w:rPr>
              <w:t xml:space="preserve"> Assignment of Bands</w:t>
            </w:r>
          </w:p>
        </w:tc>
      </w:tr>
      <w:tr w:rsidR="00661A28" w:rsidRPr="009A3E39" w14:paraId="13843805" w14:textId="77777777" w:rsidTr="00BC1C03">
        <w:tc>
          <w:tcPr>
            <w:tcW w:w="621" w:type="dxa"/>
          </w:tcPr>
          <w:p w14:paraId="7746BF7F"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w:t>
            </w:r>
          </w:p>
        </w:tc>
        <w:tc>
          <w:tcPr>
            <w:tcW w:w="2635" w:type="dxa"/>
          </w:tcPr>
          <w:p w14:paraId="702D6139"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568</w:t>
            </w:r>
          </w:p>
        </w:tc>
        <w:tc>
          <w:tcPr>
            <w:tcW w:w="5244" w:type="dxa"/>
          </w:tcPr>
          <w:p w14:paraId="17F7ABBD" w14:textId="5AE4DFED"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 xml:space="preserve">C-C=S vibrations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{"citationItems":[{"id":"ITEM-1","itemData":{"DOI":"10.1038/s41598-017-02479-5","ISSN":"20452322","PMID":"28559593","abstract":"Over the present material synthesis routes, the sonochemical route is highly efficient and comfortable way to produce nanostructured materials. In this way, the copper sulfide (CuS-covellite) and sulfur doped reduced graphene oxide (S-rGO) nanocomposite was prepared by sonochemical method. Interestingly, the structure of the as-prepared S-rGO/CuS was changed from the covellite to digenite phase. Herein, the S-rGO was act as a mild oxidizer and liable for the structural transformations. These structural changes are sequentially studied by various physicochemical characterizations such as Fourier transform infrared spectroscopy (FT-IR), Raman spectroscopy, X-ray diffraction (XRD), X-ray photoelectron spectroscopy (XPS) and Transmission electron microscopy (TEM). After scrupulous structural evaluations, the transformation of CuS phase was identified and documented. This oxidized CuS has an excellent electrocatalytic activity when compare to the bulk CuS. This S-rGO/CuS was further used for the determination of glucose and acquired good electrocatalytic performances. This S-rGO/CuS was exhibited a wide linear concentration range, 0.0001-3.88 mM and 3.88-20.17 mM, and a low-level detection limit of 32 nM. Moreover, we have validated the practicability of our developed glucose sensor in real biological samples.","author":[{"dropping-particle":"","family":"Karikalan","given":"Natarajan","non-dropping-particle":"","parse-names":false,"suffix":""},{"dropping-particle":"","family":"Karthik","given":"Raj","non-dropping-particle":"","parse-names":false,"suffix":""},{"dropping-particle":"","family":"Chen","given":"Shen Ming","non-dropping-particle":"","parse-names":false,"suffix":""},{"dropping-particle":"","family":"Karuppiah","given":"Chelladurai","non-dropping-particle":"","parse-names":false,"suffix":""},{"dropping-particle":"","family":"Elangovan","given":"Arumugam","non-dropping-particle":"","parse-names":false,"suffix":""}],"container-title":"Scientific Reports","id":"ITEM-1","issue":"1","issued":{"date-parts":[["2017","5","30"]]},"page":"2494","title":"Sonochemical Synthesis of Sulfur Doped Reduced Graphene Oxide Supported CuS Nanoparticles for the Non-Enzymatic Glucose Sensor Applications","type":"article-journal","volume":"7"},"uris":["http://www.mendeley.com/documents/?uuid=d563c574-421e-4504-91eb-1d1d0b14e727"]}],"mendeley":{"formattedCitation":"[1]","plainTextFormattedCitation":"[1]","previouslyFormattedCitation":"[1]"},"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[1]</w:t>
            </w:r>
            <w:r w:rsidRPr="009A3E39">
              <w:rPr>
                <w:bCs/>
                <w:color w:val="0D0D0D" w:themeColor="text1" w:themeTint="F2"/>
                <w:szCs w:val="24"/>
                <w:lang w:val="en-US"/>
              </w:rPr>
              <w:fldChar w:fldCharType="end"/>
            </w:r>
          </w:p>
        </w:tc>
      </w:tr>
      <w:tr w:rsidR="00661A28" w:rsidRPr="009A3E39" w14:paraId="3E5BB642" w14:textId="77777777" w:rsidTr="00BC1C03">
        <w:tc>
          <w:tcPr>
            <w:tcW w:w="621" w:type="dxa"/>
          </w:tcPr>
          <w:p w14:paraId="5265E0CC"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2.</w:t>
            </w:r>
          </w:p>
        </w:tc>
        <w:tc>
          <w:tcPr>
            <w:tcW w:w="2635" w:type="dxa"/>
          </w:tcPr>
          <w:p w14:paraId="296DC8CE" w14:textId="77777777" w:rsidR="00661A28" w:rsidRPr="009A3E39" w:rsidRDefault="00661A28" w:rsidP="00BC1C03">
            <w:pPr>
              <w:rPr>
                <w:rFonts w:ascii="Times New Roman" w:hAnsi="Times New Roman" w:cs="Times New Roman"/>
                <w:bCs/>
                <w:color w:val="0D0D0D" w:themeColor="text1" w:themeTint="F2"/>
                <w:sz w:val="24"/>
                <w:szCs w:val="24"/>
                <w:lang w:val="en-US"/>
              </w:rPr>
            </w:pPr>
            <w:r w:rsidRPr="009A3E39">
              <w:rPr>
                <w:rFonts w:ascii="Times New Roman" w:hAnsi="Times New Roman" w:cs="Times New Roman"/>
                <w:bCs/>
                <w:color w:val="0D0D0D" w:themeColor="text1" w:themeTint="F2"/>
                <w:sz w:val="24"/>
                <w:szCs w:val="24"/>
                <w:lang w:val="en-US"/>
              </w:rPr>
              <w:t>595</w:t>
            </w:r>
          </w:p>
        </w:tc>
        <w:tc>
          <w:tcPr>
            <w:tcW w:w="5244" w:type="dxa"/>
          </w:tcPr>
          <w:p w14:paraId="73BD4061" w14:textId="4068BB5D" w:rsidR="00661A28" w:rsidRPr="009A3E39" w:rsidRDefault="00661A28" w:rsidP="00BC1C03">
            <w:pPr>
              <w:rPr>
                <w:rFonts w:ascii="Times New Roman" w:hAnsi="Times New Roman" w:cs="Times New Roman"/>
                <w:bCs/>
                <w:color w:val="0D0D0D" w:themeColor="text1" w:themeTint="F2"/>
                <w:sz w:val="24"/>
                <w:szCs w:val="24"/>
                <w:lang w:val="en-US"/>
              </w:rPr>
            </w:pPr>
            <w:r w:rsidRPr="009A3E39">
              <w:rPr>
                <w:rFonts w:ascii="Times New Roman" w:hAnsi="Times New Roman" w:cs="Times New Roman"/>
                <w:bCs/>
                <w:color w:val="0D0D0D" w:themeColor="text1" w:themeTint="F2"/>
                <w:sz w:val="24"/>
                <w:szCs w:val="24"/>
                <w:lang w:val="en-US"/>
              </w:rPr>
              <w:t xml:space="preserve">to C-H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{"citationItems":[{"id":"ITEM-1","itemData":{"DOI":"10.1007/s13762-019-02419-y","ISSN":"17352630","abstract":"The success of the graphene oxide reduction process depends on how similar the product is to pristine graphene. Sulfur oxide, which is a significant industrial waste gas, can be used in the reduction of graphene oxide. In this study, the graphene oxide reduction process was performed by using sulfur oxide with sodium tetraborate decahydrate, l-ascorbic acid, ammonium hydroxide, sodium hydroxide, lithium hydroxide, sodium borohydride and sodium thiosulfate. The carbon-to-oxygen atomic ratio and D-to-G peak ratio of the graphene oxide, which represent the degree of reduction, were 2.64–4 and 0.78–1.80 with the use of sulfur oxide, respectively. The sulfur oxide/sodium borohydride mixture increased the carbon-to-oxygen atomic ratio of the graphene oxide to 11.73, while improving the value of the D-to-G peak ratio at 3.14. The reduced graphene oxide with the highest specific heat capacity was obtained using sodium tetraborate decahydrate, with an improvement of 74.54% compared to graphene oxide. The results show that sulfur oxide, which is harmful to the environment and human health, can be utilized in an effective reduction process, together with other reducing chemicals, to obtain an industrially valuable material, such as reduced graphene oxide.","author":[{"dropping-particle":"","family":"Korucu","given":"H.","non-dropping-particle":"","parse-names":false,"suffix":""},{"dropping-particle":"","family":"Şimşek","given":"B.","non-dropping-particle":"","parse-names":false,"suffix":""},{"dropping-particle":"","family":"Kocakerim","given":"M. M.","non-dropping-particle":"","parse-names":false,"suffix":""},{"dropping-particle":"","family":"Karakaş","given":"I. H.","non-dropping-particle":"","parse-names":false,"suffix":""}],"container-title":"International Journal of Environmental Science and Technology","id":"ITEM-1","issue":"12","issued":{"date-parts":[["2019","12","28"]]},"page":"8329-8342","title":"Effective reduction of graphene oxide using sulfur dioxide-containing chemical compounds","type":"article-journal","volume":"16"},"uris":["http://www.mendeley.com/documents/?uuid=4ef0c157-ecd4-43ab-ae29-c2a2bfcabc3e"]}],"mendeley":{"formattedCitation":"[2]","plainTextFormattedCitation":"[2]","previouslyFormattedCitation":"[2]"},"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[2]</w:t>
            </w:r>
            <w:r w:rsidRPr="009A3E39">
              <w:rPr>
                <w:bCs/>
                <w:color w:val="0D0D0D" w:themeColor="text1" w:themeTint="F2"/>
                <w:szCs w:val="24"/>
                <w:lang w:val="en-US"/>
              </w:rPr>
              <w:fldChar w:fldCharType="end"/>
            </w:r>
            <w:r w:rsidRPr="009A3E39">
              <w:rPr>
                <w:rFonts w:ascii="Times New Roman" w:hAnsi="Times New Roman" w:cs="Times New Roman"/>
                <w:bCs/>
                <w:color w:val="0D0D0D" w:themeColor="text1" w:themeTint="F2"/>
                <w:sz w:val="24"/>
                <w:szCs w:val="24"/>
                <w:lang w:val="en-US"/>
              </w:rPr>
              <w:t>.</w:t>
            </w:r>
          </w:p>
        </w:tc>
      </w:tr>
      <w:tr w:rsidR="00661A28" w:rsidRPr="009A3E39" w14:paraId="58652CB1" w14:textId="77777777" w:rsidTr="00BC1C03">
        <w:tc>
          <w:tcPr>
            <w:tcW w:w="621" w:type="dxa"/>
          </w:tcPr>
          <w:p w14:paraId="5F6BE6E7"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3.</w:t>
            </w:r>
          </w:p>
        </w:tc>
        <w:tc>
          <w:tcPr>
            <w:tcW w:w="2635" w:type="dxa"/>
          </w:tcPr>
          <w:p w14:paraId="49861F75"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687</w:t>
            </w:r>
          </w:p>
        </w:tc>
        <w:tc>
          <w:tcPr>
            <w:tcW w:w="5244" w:type="dxa"/>
          </w:tcPr>
          <w:p w14:paraId="3971A8CA" w14:textId="0EFBC270"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 xml:space="preserve">Stretching of C-S bond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{"citationItems":[{"id":"ITEM-1","itemData":{"DOI":"10.1016/j.electacta.2020.136147","ISSN":"00134686","abstract":"The higher theoretical specific capacity with considerable cell potential, Lithium–Sulfur batteries (LSBs) are considered to be high-energy storage strategies near future. However, the practical realization of LSBs is being hindered owing to low cell capacity risen from poor electronic-conductivity of elemental sulfur. To enhance the electronic-conductivity and thus to improve the specific cell capacity, commonly conducting carbons such as reduced graphene oxide, carbon nanotubes etc. are used as additives in the electrodes. Here, we report a unique in-situ synthesis strategy to prepare a composite of sulfur-functionalized reduced graphene oxide (SFRGO) encapsulating monodisperse sulfur nanoparticles using a low-cost deep eutectic solvent (DES) derived from choline chloride and sodium thiosulfate. The DES serves as an effective reductant as well as dopant. Moreover, during formation of SFRGO, a major fraction of the DES degrades to elemental sulfur. The SFRGO composite has been applied as cathode material in LSBs. The cathode material delivered a maximum specific capacity of 1265 mA h g−1 during initial cycle and retains 903 mA h g−1 after 100 cycles, with a usual capacity decay rate 0.28% each cycle. This facile chemical reduction method is an alternative to the large-scale and cost-effective production of high-quality graphene for energy storage application.","author":[{"dropping-particle":"","family":"Wadekar","given":"Pravin H.","non-dropping-particle":"","parse-names":false,"suffix":""},{"dropping-particle":"","family":"Ghosh","given":"Arnab","non-dropping-particle":"","parse-names":false,"suffix":""},{"dropping-particle":"V.","family":"Khose","given":"Rahul","non-dropping-particle":"","parse-names":false,"suffix":""},{"dropping-particle":"","family":"Pethsangave","given":"Dattatray A.","non-dropping-particle":"","parse-names":false,"suffix":""},{"dropping-particle":"","family":"Mitra","given":"Sagar","non-dropping-particle":"","parse-names":false,"suffix":""},{"dropping-particle":"","family":"Some","given":"Surajit","non-dropping-particle":"","parse-names":false,"suffix":""}],"container-title":"Electrochimica Acta","id":"ITEM-1","issued":{"date-parts":[["2020","6"]]},"page":"136147","title":"A novel chemical reduction/co-precipitation method to prepare sulfur functionalized reduced graphene oxide for lithium-sulfur batteries","type":"article-journal","volume":"344"},"uris":["http://www.mendeley.com/documents/?uuid=4945c3ee-3ad6-4687-bbbc-6ef513d2332c"]}],"mendeley":{"formattedCitation":"[3]","plainTextFormattedCitation":"[3]","previouslyFormattedCitation":"[3]"},"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[3]</w:t>
            </w:r>
            <w:r w:rsidRPr="009A3E39">
              <w:rPr>
                <w:bCs/>
                <w:color w:val="0D0D0D" w:themeColor="text1" w:themeTint="F2"/>
                <w:szCs w:val="24"/>
                <w:lang w:val="en-US"/>
              </w:rPr>
              <w:fldChar w:fldCharType="end"/>
            </w:r>
          </w:p>
        </w:tc>
      </w:tr>
      <w:tr w:rsidR="00661A28" w:rsidRPr="009A3E39" w14:paraId="3D2EAD2C" w14:textId="77777777" w:rsidTr="00BC1C03">
        <w:tc>
          <w:tcPr>
            <w:tcW w:w="621" w:type="dxa"/>
          </w:tcPr>
          <w:p w14:paraId="3C705DF0"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4.</w:t>
            </w:r>
          </w:p>
        </w:tc>
        <w:tc>
          <w:tcPr>
            <w:tcW w:w="2635" w:type="dxa"/>
          </w:tcPr>
          <w:p w14:paraId="3DD09FA6"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905</w:t>
            </w:r>
          </w:p>
        </w:tc>
        <w:tc>
          <w:tcPr>
            <w:tcW w:w="5244" w:type="dxa"/>
          </w:tcPr>
          <w:p w14:paraId="07896685" w14:textId="4ADB3329"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 xml:space="preserve">Ring vibrations due to C-S bond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{"citationItems":[{"id":"ITEM-1","itemData":{"DOI":"10.1016/j.electacta.2020.136147","ISSN":"00134686","abstract":"The higher theoretical specific capacity with considerable cell potential, Lithium–Sulfur batteries (LSBs) are considered to be high-energy storage strategies near future. However, the practical realization of LSBs is being hindered owing to low cell capacity risen from poor electronic-conductivity of elemental sulfur. To enhance the electronic-conductivity and thus to improve the specific cell capacity, commonly conducting carbons such as reduced graphene oxide, carbon nanotubes etc. are used as additives in the electrodes. Here, we report a unique in-situ synthesis strategy to prepare a composite of sulfur-functionalized reduced graphene oxide (SFRGO) encapsulating monodisperse sulfur nanoparticles using a low-cost deep eutectic solvent (DES) derived from choline chloride and sodium thiosulfate. The DES serves as an effective reductant as well as dopant. Moreover, during formation of SFRGO, a major fraction of the DES degrades to elemental sulfur. The SFRGO composite has been applied as cathode material in LSBs. The cathode material delivered a maximum specific capacity of 1265 mA h g−1 during initial cycle and retains 903 mA h g−1 after 100 cycles, with a usual capacity decay rate 0.28% each cycle. This facile chemical reduction method is an alternative to the large-scale and cost-effective production of high-quality graphene for energy storage application.","author":[{"dropping-particle":"","family":"Wadekar","given":"Pravin H.","non-dropping-particle":"","parse-names":false,"suffix":""},{"dropping-particle":"","family":"Ghosh","given":"Arnab","non-dropping-particle":"","parse-names":false,"suffix":""},{"dropping-particle":"V.","family":"Khose","given":"Rahul","non-dropping-particle":"","parse-names":false,"suffix":""},{"dropping-particle":"","family":"Pethsangave","given":"Dattatray A.","non-dropping-particle":"","parse-names":false,"suffix":""},{"dropping-particle":"","family":"Mitra","given":"Sagar","non-dropping-particle":"","parse-names":false,"suffix":""},{"dropping-particle":"","family":"Some","given":"Surajit","non-dropping-particle":"","parse-names":false,"suffix":""}],"container-title":"Electrochimica Acta","id":"ITEM-1","issued":{"date-parts":[["2020","6"]]},"page":"136147","title":"A novel chemical reduction/co-precipitation method to prepare sulfur functionalized reduced graphene oxide for lithium-sulfur batteries","type":"article-journal","volume":"344"},"uris":["http://www.mendeley.com/documents/?uuid=4945c3ee-3ad6-4687-bbbc-6ef513d2332c"]}],"mendeley":{"formattedCitation":"[3]","plainTextFormattedCitation":"[3]","previouslyFormattedCitation":"[3]"},"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[3]</w:t>
            </w:r>
            <w:r w:rsidRPr="009A3E39">
              <w:rPr>
                <w:bCs/>
                <w:color w:val="0D0D0D" w:themeColor="text1" w:themeTint="F2"/>
                <w:szCs w:val="24"/>
                <w:lang w:val="en-US"/>
              </w:rPr>
              <w:fldChar w:fldCharType="end"/>
            </w:r>
          </w:p>
        </w:tc>
      </w:tr>
      <w:tr w:rsidR="00661A28" w:rsidRPr="009A3E39" w14:paraId="5B0F0E83" w14:textId="77777777" w:rsidTr="00BC1C03">
        <w:tc>
          <w:tcPr>
            <w:tcW w:w="621" w:type="dxa"/>
          </w:tcPr>
          <w:p w14:paraId="42B634F2"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5.</w:t>
            </w:r>
          </w:p>
        </w:tc>
        <w:tc>
          <w:tcPr>
            <w:tcW w:w="2635" w:type="dxa"/>
          </w:tcPr>
          <w:p w14:paraId="6319F816"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1016, 1017</w:t>
            </w:r>
          </w:p>
        </w:tc>
        <w:tc>
          <w:tcPr>
            <w:tcW w:w="5244" w:type="dxa"/>
          </w:tcPr>
          <w:p w14:paraId="764F4B77" w14:textId="60F1D4BC" w:rsidR="00661A28" w:rsidRPr="009A3E39" w:rsidRDefault="00661A28" w:rsidP="00BC1C03">
            <w:pPr>
              <w:rPr>
                <w:rFonts w:ascii="Times New Roman" w:hAnsi="Times New Roman" w:cs="Times New Roman"/>
                <w:bCs/>
                <w:color w:val="0D0D0D" w:themeColor="text1" w:themeTint="F2"/>
                <w:sz w:val="24"/>
                <w:szCs w:val="24"/>
                <w:lang w:val="en-US"/>
              </w:rPr>
            </w:pPr>
            <w:r w:rsidRPr="009A3E39">
              <w:rPr>
                <w:rFonts w:ascii="Times New Roman" w:hAnsi="Times New Roman" w:cs="Times New Roman"/>
                <w:bCs/>
                <w:color w:val="0D0D0D" w:themeColor="text1" w:themeTint="F2"/>
                <w:sz w:val="24"/>
                <w:szCs w:val="24"/>
                <w:lang w:val="en-US"/>
              </w:rPr>
              <w:t xml:space="preserve">C-O-C Stretching (epoxy group)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{"citationItems":[{"id":"ITEM-1","itemData":{"DOI":"10.1063/1.5005764","ISBN":"9780735415744","ISSN":"15517616","abstract":"Graphene oxide (GO) and reduced graphene oxide (RGO) are known to have superior properties for various applications. This work compares the properties of GO and RGO with graphite. GO was prepared by using Improved Hummer's method whereas the produced GO was subjected to chemical reduction with the use of hydrazine hydrate. Graphite, GO and RGO had different morphologies, quality, functionalized groups, UV-Vis absorption peaks and crystallinity. With the removal of oxygen-containing functional group during reduction for RGO, the quality of samples was decreased due to higher intensity of D band than G band was seen in Raman results. In addition, platelet-like surface can be observed on the surface of graphite as compared to GO and RGO where wrinkled and layered flakes, and crumpled thin sheets were observed on GO and RGO surface respectively. Fourier Transform Infra-Red (FTIR) analysis showed the presence of abundant oxygen-containing functional groups in GO as compared to RGO and graphite. The characteristic peaks at 26.62°, 9.03°and 24.10°for graphite, GO and RGO, respectively, can be detected from X-Ray diffraction (XRD). Furthermore, the reduction also caused red shift at 279nm from 238nm, as obtained from ultraviolet visible (UV-Vis) analysis. The results proved that GO was successfully oxidized from graphite whereas RGO was effectively reduced from GO.","author":[{"dropping-particle":"","family":"Hidayah","given":"N. M.S.","non-dropping-particle":"","parse-names":false,"suffix":""},{"dropping-particle":"","family":"Liu","given":"Wei Wen","non-dropping-particle":"","parse-names":false,"suffix":""},{"dropping-particle":"","family":"Lai","given":"Chin Wei","non-dropping-particle":"","parse-names":false,"suffix":""},{"dropping-particle":"","family":"Noriman","given":"N. Z.","non-dropping-particle":"","parse-names":false,"suffix":""},{"dropping-particle":"","family":"Khe","given":"Cheng Seong","non-dropping-particle":"","parse-names":false,"suffix":""},{"dropping-particle":"","family":"Hashim","given":"U.","non-dropping-particle":"","parse-names":false,"suffix":""},{"dropping-particle":"","family":"Lee","given":"H. Cheun","non-dropping-particle":"","parse-names":false,"suffix":""}],"container-title":"AIP Conference Proceedings","id":"ITEM-1","issued":{"date-parts":[["2017","10","16"]]},"page":"150002","publisher":"American Institute of Physics Inc.","title":"Comparison on graphite, graphene oxide and reduced graphene oxide: Synthesis and characterization","type":"paper-conference","volume":"1892"},"uris":["http://www.mendeley.com/documents/?uuid=dc5d20ea-4b45-4267-9dc6-ce56803afd04"]}],"mendeley":{"formattedCitation":"[4]","plainTextFormattedCitation":"[4]","previouslyFormattedCitation":"[4]"},"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[4]</w:t>
            </w:r>
            <w:r w:rsidRPr="009A3E39">
              <w:rPr>
                <w:bCs/>
                <w:color w:val="0D0D0D" w:themeColor="text1" w:themeTint="F2"/>
                <w:szCs w:val="24"/>
                <w:lang w:val="en-US"/>
              </w:rPr>
              <w:fldChar w:fldCharType="end"/>
            </w:r>
            <w:r w:rsidRPr="009A3E39">
              <w:rPr>
                <w:rFonts w:ascii="Times New Roman" w:hAnsi="Times New Roman" w:cs="Times New Roman"/>
                <w:bCs/>
                <w:color w:val="0D0D0D" w:themeColor="text1" w:themeTint="F2"/>
                <w:sz w:val="24"/>
                <w:szCs w:val="24"/>
                <w:lang w:val="en-US"/>
              </w:rPr>
              <w:t>.</w:t>
            </w:r>
          </w:p>
        </w:tc>
      </w:tr>
      <w:tr w:rsidR="00661A28" w:rsidRPr="009A3E39" w14:paraId="2A9FEFE9" w14:textId="77777777" w:rsidTr="00BC1C03">
        <w:trPr>
          <w:trHeight w:val="404"/>
        </w:trPr>
        <w:tc>
          <w:tcPr>
            <w:tcW w:w="621" w:type="dxa"/>
          </w:tcPr>
          <w:p w14:paraId="6BACA236"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6.</w:t>
            </w:r>
          </w:p>
        </w:tc>
        <w:tc>
          <w:tcPr>
            <w:tcW w:w="2635" w:type="dxa"/>
          </w:tcPr>
          <w:p w14:paraId="58D7DDAA"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1024</w:t>
            </w:r>
          </w:p>
        </w:tc>
        <w:tc>
          <w:tcPr>
            <w:tcW w:w="5244" w:type="dxa"/>
          </w:tcPr>
          <w:p w14:paraId="6C5F99E6" w14:textId="0E84123E" w:rsidR="00661A28" w:rsidRPr="009A3E39" w:rsidRDefault="00661A28" w:rsidP="00BC1C03">
            <w:pPr>
              <w:spacing w:line="360" w:lineRule="auto"/>
              <w:jc w:val="both"/>
              <w:rPr>
                <w:rFonts w:ascii="Times New Roman" w:hAnsi="Times New Roman" w:cs="Times New Roman"/>
                <w:bCs/>
                <w:color w:val="0D0D0D" w:themeColor="text1" w:themeTint="F2"/>
                <w:sz w:val="24"/>
                <w:szCs w:val="24"/>
                <w:lang w:val="en-US"/>
              </w:rPr>
            </w:pPr>
            <w:r w:rsidRPr="009A3E39">
              <w:rPr>
                <w:rFonts w:ascii="Times New Roman" w:hAnsi="Times New Roman" w:cs="Times New Roman"/>
                <w:bCs/>
                <w:color w:val="0D0D0D" w:themeColor="text1" w:themeTint="F2"/>
                <w:sz w:val="24"/>
                <w:szCs w:val="24"/>
                <w:lang w:val="en-US"/>
              </w:rPr>
              <w:t xml:space="preserve">C-O Stretching vibration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{"citationItems":[{"id":"ITEM-1","itemData":{"DOI":"10.3390/molecules26216424","ISSN":"14203049","PMID":"34770833","abstract":"Graphene as a material for optoelectronic design applications has been significantly re-stricted owing to zero bandgap and non-compatible handling procedures compared with regular microelectronic ones. In this work, nitrogen-doped reduced graphene oxide (N-rGO) with tunable optical bandgap and enhanced electrical conductivity was synthesized via a microwave-assisted hydrothermal method. The properties of the synthesized N-rGO were determined using XPS, FTIR and Raman spectroscopy, UV/vis, as well as FESEM techniques. The UV/vis spectroscopic analysis confirmed the narrowness of the optical bandgap from 3.4 to 3.1, 2.5, and 2.2 eV in N-rGO samples, where N-rGO samples were synthesized with a nitrogen doping concentration of 2.80, 4.53, and 5.51 at.%. Besides, an enhanced n-type electrical conductivity in N-rGO was observed in Hall effect mea-surement. The observed tunable optoelectrical characteristics of N-rGO make it a suitable material for developing future optoelectronic devices at the nanoscale.","author":[{"dropping-particle":"","family":"Witjaksono","given":"Gunawan","non-dropping-particle":"","parse-names":false,"suffix":""},{"dropping-particle":"","family":"Junaid","given":"Muhammad","non-dropping-particle":"","parse-names":false,"suffix":""},{"dropping-particle":"","family":"Khir","given":"Mohd Haris","non-dropping-particle":"","parse-names":false,"suffix":""},{"dropping-particle":"","family":"Ullah","given":"Zaka","non-dropping-particle":"","parse-names":false,"suffix":""},{"dropping-particle":"","family":"Tansu","given":"Nelson","non-dropping-particle":"","parse-names":false,"suffix":""},{"dropping-particle":"","family":"Saheed","given":"Mohamed Shuaib Bin Mohamed","non-dropping-particle":"","parse-names":false,"suffix":""},{"dropping-particle":"","family":"Siddiqui","given":"Muhammad Aadil","non-dropping-particle":"","parse-names":false,"suffix":""},{"dropping-particle":"","family":"Ba-Hashwan","given":"Saeed S.","non-dropping-particle":"","parse-names":false,"suffix":""},{"dropping-particle":"","family":"Algamili","given":"Abdullah Saleh","non-dropping-particle":"","parse-names":false,"suffix":""},{"dropping-particle":"","family":"Magsi","given":"Saeed Ahmed","non-dropping-particle":"","parse-names":false,"suffix":""},{"dropping-particle":"","family":"Aslam","given":"Muhammad Zubair","non-dropping-particle":"","parse-names":false,"suffix":""},{"dropping-particle":"","family":"Nawaz","given":"Rab","non-dropping-particle":"","parse-names":false,"suffix":""}],"container-title":"Molecules","id":"ITEM-1","issue":"21","issued":{"date-parts":[["2021","10","25"]]},"page":"6424","title":"Effect of nitrogen doping on the optical bandgap and electrical conductivity of nitrogen-doped reduced graphene oxide","type":"article-journal","volume":"26"},"uris":["http://www.mendeley.com/documents/?uuid=7eb43d5c-792a-407e-83c3-0185a79ccef3"]}],"mendeley":{"formattedCitation":"[5]","plainTextFormattedCitation":"[5]","previouslyFormattedCitation":"[5]"},"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[5]</w:t>
            </w:r>
            <w:r w:rsidRPr="009A3E39">
              <w:rPr>
                <w:bCs/>
                <w:color w:val="0D0D0D" w:themeColor="text1" w:themeTint="F2"/>
                <w:szCs w:val="24"/>
                <w:lang w:val="en-US"/>
              </w:rPr>
              <w:fldChar w:fldCharType="end"/>
            </w:r>
            <w:r w:rsidRPr="009A3E39">
              <w:rPr>
                <w:rFonts w:ascii="Times New Roman" w:hAnsi="Times New Roman" w:cs="Times New Roman"/>
                <w:bCs/>
                <w:color w:val="0D0D0D" w:themeColor="text1" w:themeTint="F2"/>
                <w:sz w:val="24"/>
                <w:szCs w:val="24"/>
                <w:lang w:val="en-US"/>
              </w:rPr>
              <w:t>.</w:t>
            </w:r>
          </w:p>
        </w:tc>
      </w:tr>
      <w:tr w:rsidR="00661A28" w:rsidRPr="009A3E39" w14:paraId="0A158280" w14:textId="77777777" w:rsidTr="00BC1C03">
        <w:tc>
          <w:tcPr>
            <w:tcW w:w="621" w:type="dxa"/>
          </w:tcPr>
          <w:p w14:paraId="54C39216"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7.</w:t>
            </w:r>
          </w:p>
        </w:tc>
        <w:tc>
          <w:tcPr>
            <w:tcW w:w="2635" w:type="dxa"/>
          </w:tcPr>
          <w:p w14:paraId="6DC84B07"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1030</w:t>
            </w:r>
          </w:p>
        </w:tc>
        <w:tc>
          <w:tcPr>
            <w:tcW w:w="5244" w:type="dxa"/>
          </w:tcPr>
          <w:p w14:paraId="37F3411B" w14:textId="25356759"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sp</w:t>
            </w:r>
            <w:r w:rsidRPr="009A3E39">
              <w:rPr>
                <w:rFonts w:ascii="Times New Roman" w:hAnsi="Times New Roman" w:cs="Times New Roman"/>
                <w:bCs/>
                <w:color w:val="0D0D0D" w:themeColor="text1" w:themeTint="F2"/>
                <w:sz w:val="24"/>
                <w:szCs w:val="24"/>
                <w:vertAlign w:val="superscript"/>
                <w:lang w:val="en-US"/>
              </w:rPr>
              <w:t>3</w:t>
            </w:r>
            <w:r w:rsidRPr="009A3E39">
              <w:rPr>
                <w:rFonts w:ascii="Times New Roman" w:hAnsi="Times New Roman" w:cs="Times New Roman"/>
                <w:bCs/>
                <w:color w:val="0D0D0D" w:themeColor="text1" w:themeTint="F2"/>
                <w:sz w:val="24"/>
                <w:szCs w:val="24"/>
                <w:lang w:val="en-US"/>
              </w:rPr>
              <w:t xml:space="preserve"> C-O Stretching</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{"citationItems":[{"id":"ITEM-1","itemData":{"DOI":"10.1016/j.electacta.2020.136147","ISSN":"00134686","abstract":"The higher theoretical specific capacity with considerable cell potential, Lithium–Sulfur batteries (LSBs) are considered to be high-energy storage strategies near future. However, the practical realization of LSBs is being hindered owing to low cell capacity risen from poor electronic-conductivity of elemental sulfur. To enhance the electronic-conductivity and thus to improve the specific cell capacity, commonly conducting carbons such as reduced graphene oxide, carbon nanotubes etc. are used as additives in the electrodes. Here, we report a unique in-situ synthesis strategy to prepare a composite of sulfur-functionalized reduced graphene oxide (SFRGO) encapsulating monodisperse sulfur nanoparticles using a low-cost deep eutectic solvent (DES) derived from choline chloride and sodium thiosulfate. The DES serves as an effective reductant as well as dopant. Moreover, during formation of SFRGO, a major fraction of the DES degrades to elemental sulfur. The SFRGO composite has been applied as cathode material in LSBs. The cathode material delivered a maximum specific capacity of 1265 mA h g−1 during initial cycle and retains 903 mA h g−1 after 100 cycles, with a usual capacity decay rate 0.28% each cycle. This facile chemical reduction method is an alternative to the large-scale and cost-effective production of high-quality graphene for energy storage application.","author":[{"dropping-particle":"","family":"Wadekar","given":"Pravin H.","non-dropping-particle":"","parse-names":false,"suffix":""},{"dropping-particle":"","family":"Ghosh","given":"Arnab","non-dropping-particle":"","parse-names":false,"suffix":""},{"dropping-particle":"V.","family":"Khose","given":"Rahul","non-dropping-particle":"","parse-names":false,"suffix":""},{"dropping-particle":"","family":"Pethsangave","given":"Dattatray A.","non-dropping-particle":"","parse-names":false,"suffix":""},{"dropping-particle":"","family":"Mitra","given":"Sagar","non-dropping-particle":"","parse-names":false,"suffix":""},{"dropping-particle":"","family":"Some","given":"Surajit","non-dropping-particle":"","parse-names":false,"suffix":""}],"container-title":"Electrochimica Acta","id":"ITEM-1","issued":{"date-parts":[["2020","6"]]},"page":"136147","title":"A novel chemical reduction/co-precipitation method to prepare sulfur functionalized reduced graphene oxide for lithium-sulfur batteries","type":"article-journal","volume":"344"},"uris":["http://www.mendeley.com/documents/?uuid=4945c3ee-3ad6-4687-bbbc-6ef513d2332c"]}],"mendeley":{"formattedCitation":"[3]","plainTextFormattedCitation":"[3]","previouslyFormattedCitation":"[3]"},"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[3]</w:t>
            </w:r>
            <w:r w:rsidRPr="009A3E39">
              <w:rPr>
                <w:bCs/>
                <w:color w:val="0D0D0D" w:themeColor="text1" w:themeTint="F2"/>
                <w:szCs w:val="24"/>
                <w:lang w:val="en-US"/>
              </w:rPr>
              <w:fldChar w:fldCharType="end"/>
            </w:r>
          </w:p>
        </w:tc>
      </w:tr>
      <w:tr w:rsidR="00661A28" w:rsidRPr="009A3E39" w14:paraId="2DF5F36E" w14:textId="77777777" w:rsidTr="00BC1C03">
        <w:tc>
          <w:tcPr>
            <w:tcW w:w="621" w:type="dxa"/>
          </w:tcPr>
          <w:p w14:paraId="763C2C3B"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8.</w:t>
            </w:r>
          </w:p>
        </w:tc>
        <w:tc>
          <w:tcPr>
            <w:tcW w:w="2635" w:type="dxa"/>
          </w:tcPr>
          <w:p w14:paraId="7D79DB6D"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1114</w:t>
            </w:r>
          </w:p>
        </w:tc>
        <w:tc>
          <w:tcPr>
            <w:tcW w:w="5244" w:type="dxa"/>
          </w:tcPr>
          <w:p w14:paraId="46E3D883" w14:textId="14289039"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 xml:space="preserve">Stretching of C-S bond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{"citationItems":[{"id":"ITEM-1","itemData":{"DOI":"10.1016/j.electacta.2020.136147","ISSN":"00134686","abstract":"The higher theoretical specific capacity with considerable cell potential, Lithium–Sulfur batteries (LSBs) are considered to be high-energy storage strategies near future. However, the practical realization of LSBs is being hindered owing to low cell capacity risen from poor electronic-conductivity of elemental sulfur. To enhance the electronic-conductivity and thus to improve the specific cell capacity, commonly conducting carbons such as reduced graphene oxide, carbon nanotubes etc. are used as additives in the electrodes. Here, we report a unique in-situ synthesis strategy to prepare a composite of sulfur-functionalized reduced graphene oxide (SFRGO) encapsulating monodisperse sulfur nanoparticles using a low-cost deep eutectic solvent (DES) derived from choline chloride and sodium thiosulfate. The DES serves as an effective reductant as well as dopant. Moreover, during formation of SFRGO, a major fraction of the DES degrades to elemental sulfur. The SFRGO composite has been applied as cathode material in LSBs. The cathode material delivered a maximum specific capacity of 1265 mA h g−1 during initial cycle and retains 903 mA h g−1 after 100 cycles, with a usual capacity decay rate 0.28% each cycle. This facile chemical reduction method is an alternative to the large-scale and cost-effective production of high-quality graphene for energy storage application.","author":[{"dropping-particle":"","family":"Wadekar","given":"Pravin H.","non-dropping-particle":"","parse-names":false,"suffix":""},{"dropping-particle":"","family":"Ghosh","given":"Arnab","non-dropping-particle":"","parse-names":false,"suffix":""},{"dropping-particle":"V.","family":"Khose","given":"Rahul","non-dropping-particle":"","parse-names":false,"suffix":""},{"dropping-particle":"","family":"Pethsangave","given":"Dattatray A.","non-dropping-particle":"","parse-names":false,"suffix":""},{"dropping-particle":"","family":"Mitra","given":"Sagar","non-dropping-particle":"","parse-names":false,"suffix":""},{"dropping-particle":"","family":"Some","given":"Surajit","non-dropping-particle":"","parse-names":false,"suffix":""}],"container-title":"Electrochimica Acta","id":"ITEM-1","issued":{"date-parts":[["2020","6"]]},"page":"136147","title":"A novel chemical reduction/co-precipitation method to prepare sulfur functionalized reduced graphene oxide for lithium-sulfur batteries","type":"article-journal","volume":"344"},"uris":["http://www.mendeley.com/documents/?uuid=4945c3ee-3ad6-4687-bbbc-6ef513d2332c"]}],"mendeley":{"formattedCitation":"[3]","plainTextFormattedCitation":"[3]","previouslyFormattedCitation":"[3]"},"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[3]</w:t>
            </w:r>
            <w:r w:rsidRPr="009A3E39">
              <w:rPr>
                <w:bCs/>
                <w:color w:val="0D0D0D" w:themeColor="text1" w:themeTint="F2"/>
                <w:szCs w:val="24"/>
                <w:lang w:val="en-US"/>
              </w:rPr>
              <w:fldChar w:fldCharType="end"/>
            </w:r>
          </w:p>
        </w:tc>
      </w:tr>
      <w:tr w:rsidR="00661A28" w:rsidRPr="009A3E39" w14:paraId="0FD14D81" w14:textId="77777777" w:rsidTr="00BC1C03">
        <w:tc>
          <w:tcPr>
            <w:tcW w:w="621" w:type="dxa"/>
          </w:tcPr>
          <w:p w14:paraId="4F8894A2"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9.</w:t>
            </w:r>
          </w:p>
        </w:tc>
        <w:tc>
          <w:tcPr>
            <w:tcW w:w="2635" w:type="dxa"/>
          </w:tcPr>
          <w:p w14:paraId="45BAE43E"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1409</w:t>
            </w:r>
          </w:p>
        </w:tc>
        <w:tc>
          <w:tcPr>
            <w:tcW w:w="5244" w:type="dxa"/>
          </w:tcPr>
          <w:p w14:paraId="2DD2ECC0" w14:textId="52E3C242" w:rsidR="00661A28" w:rsidRPr="009A3E39" w:rsidRDefault="00661A28" w:rsidP="00BC1C03">
            <w:pPr>
              <w:rPr>
                <w:rFonts w:ascii="Times New Roman" w:hAnsi="Times New Roman" w:cs="Times New Roman"/>
                <w:bCs/>
                <w:color w:val="0D0D0D" w:themeColor="text1" w:themeTint="F2"/>
                <w:sz w:val="24"/>
                <w:szCs w:val="24"/>
                <w:lang w:val="en-US"/>
              </w:rPr>
            </w:pPr>
            <w:r w:rsidRPr="009A3E39">
              <w:rPr>
                <w:rFonts w:ascii="Times New Roman" w:hAnsi="Times New Roman" w:cs="Times New Roman"/>
                <w:bCs/>
                <w:color w:val="0D0D0D" w:themeColor="text1" w:themeTint="F2"/>
                <w:sz w:val="24"/>
                <w:szCs w:val="24"/>
                <w:lang w:val="en-US"/>
              </w:rPr>
              <w:t>C-H bending band</w:t>
            </w:r>
            <w:r w:rsidRPr="00EF502C">
              <w:rPr>
                <w:rFonts w:ascii="Times New Roman" w:hAnsi="Times New Roman" w:cs="Times New Roman"/>
                <w:bCs/>
                <w:color w:val="0D0D0D" w:themeColor="text1" w:themeTint="F2"/>
                <w:sz w:val="24"/>
                <w:szCs w:val="24"/>
                <w:lang w:val="en-US"/>
              </w:rPr>
              <w:t xml:space="preserve">s  </w:t>
            </w:r>
            <w:r w:rsidRPr="00EF502C">
              <w:rPr>
                <w:color w:val="A02B93" w:themeColor="accent5"/>
                <w:szCs w:val="24"/>
              </w:rPr>
              <w:fldChar w:fldCharType="begin" w:fldLock="1"/>
            </w:r>
            <w:r w:rsidR="00EF1AE4">
              <w:rPr>
                <w:rFonts w:ascii="Times New Roman" w:hAnsi="Times New Roman" w:cs="Times New Roman"/>
                <w:color w:val="A02B93" w:themeColor="accent5"/>
                <w:sz w:val="24"/>
                <w:szCs w:val="24"/>
              </w:rPr>
              <w:instrText>ADDIN CSL_CITATION {"citationItems":[{"id":"ITEM-1","itemData":{"DOI":"10.1088/2053-1591/aaee41","ISSN":"20531591","abstract":"In this study, polyvinylpyrrolidone sulfur/reduced graphene oxide (S/rGO@PVP) composite for lithium-sulfur batteries was produced. Reduced graphene oxide is used to improve the conductivity of both ionic and electronic conductivity due to poor sulfur conductivity (5 10-30 S cm-1). Graphene oxide (GO) was synthesized using modified Marcano and Hummer methods. Sulfur (S8) was prepared using the dissolution-crystallization method followed by microwave treatment to reduce the graphene oxide and sulfur impregnation into a graphene oxide reduction structure (rGO). Addition of PVP was varied at 0, 50, 67, and 75 wt% of S/rGO, with variation of microwave time at 10, 20, and 30 min. The x-ray Diffraction (XRD) pattern showed that sulfur and PVP crystals had been formed. Morphological characterization using Scanning Electron Microscopy (SEM) showed a structure of thin layers of the rGO with small layers of PVP, while Transmission Electron Microscopy (TEM) showed black dots that are characteristic of sulfur particles. TEM showed that the sulfur particles had an average size of 12.8 nm. The C-S bond in the FTIR spectrum indicates that there was an S bond in the rGO. The EIS measurement showed a tendency of adding PVP mass, which increased the value of charge transfer resistance (R ct). On the other hand, four-point probe measurements showed that the addition of PVP mass can also decrease the conductivity. Meanwhile, microwave radiation also affects R ct. The addition of microwave radiation time decreases the value of R ct and increases the conductivity of the sample.","author":[{"dropping-particle":"","family":"Iskandar","given":"F.","non-dropping-particle":"","parse-names":false,"suffix":""},{"dropping-particle":"","family":"Setiawan","given":"B.","non-dropping-particle":"","parse-names":false,"suffix":""},{"dropping-particle":"","family":"Mayangsari","given":"T. R.","non-dropping-particle":"","parse-names":false,"suffix":""},{"dropping-particle":"","family":"Maharsi","given":"R.","non-dropping-particle":"","parse-names":false,"suffix":""},{"dropping-particle":"","family":"Purwanto","given":"A.","non-dropping-particle":"","parse-names":false,"suffix":""},{"dropping-particle":"","family":"Aimon","given":"A. H.","non-dropping-particle":"","parse-names":false,"suffix":""}],"container-title":"Materials Research Express","id":"ITEM-1","issue":"2","issued":{"date-parts":[["2019","11","20"]]},"page":"025514","title":"Electrochemical impedance analysis of polyvinylpyrrolidone-coated sulfur/reduced graphene oxide (S/rGO) electrode","type":"article-journal","volume":"6"},"uris":["http://www.mendeley.com/documents/?uuid=64cc7cc4-18a6-4b90-9ef1-4826508d29f1"]},{"id":"ITEM-2","itemData":{"DOI":"10.1016/j.ijhydene.2020.03.059","ISSN":"03603199","abstract":"In this research, carbon nanorods/fibers materials were successfully synthesized from sulphur-reduced graphene oxide (RGO-S) composite by using an improved Hummers' method. Morphological, structural, compositional and textural characterization of the composite material were obtained via scanning electron microscope (SEM), energy dispersive x-ray spectroscopy (EDX), transmission electron microscopy (TEM), X-ray diffraction (XRD), Raman spectroscopy, Fourier transform infrared spectroscopy (FTIR) and X-ray photoelectron spectroscopy (XPS), respectively. The electrochemical performance of the composite sample as a promising supercapacitor electrode revealed a peak specific capacity of 113.8 mAh g−1 at 0.5 A g−1 estimated via GCD curves in 6 M KOH aqueous electrolyte. The half-cell could retain a columbic efficiency of about 98.7% with a corresponding energy efficiency of about 98.5% over 2000 constant charge/discharge cycle at a specific current of 5 A g−1. Remarkably, an assembled hybrid device with carbonized iron cations (C-FP) and the RGO-S composite delivered high energy and power densities of 35.2 Wh kg−1 and 375 W kg−1 at 0.5 A g−1 within a 1.5 V operating potential, respectively. A good cycling stability performance with an energy efficiency of 99% was observed for the device for up to 10,000 cycling at a specific current of 3 A g−1.","author":[{"dropping-particle":"","family":"Tarimo","given":"Delvina Japhet","non-dropping-particle":"","parse-names":false,"suffix":""},{"dropping-particle":"","family":"Oyedotun","given":"Kabir O.","non-dropping-particle":"","parse-names":false,"suffix":""},{"dropping-particle":"","family":"Mirghni","given":"Abdulmajid A.","non-dropping-particle":"","parse-names":false,"suffix":""},{"dropping-particle":"","family":"Manyala","given":"Ncholu","non-dropping-particle":"","parse-names":false,"suffix":""}],"container-title":"International Journal of Hydrogen Energy","id":"ITEM-2","issue":"24","issued":{"date-parts":[["2020","5"]]},"page":"13189-13201","title":"Sulphur-reduced graphene oxide composite with improved electrochemical performance for supercapacitor applications","type":"article-journal","volume":"45"},"uris":["http://www.mendeley.com/documents/?uuid=415b3bdf-12f1-44ec-8421-3234734210f4"]}],"mendeley":{"formattedCitation":"[6,7]","plainTextFormattedCitation":"[6,7]","previouslyFormattedCitation":"[6,7]"},"properties":{"noteIndex":0},"schema":"https://github.com/citation-style-language/schema/raw/master/csl-citation.json"}</w:instrText>
            </w:r>
            <w:r w:rsidRPr="00EF502C">
              <w:rPr>
                <w:color w:val="A02B93" w:themeColor="accent5"/>
                <w:szCs w:val="24"/>
              </w:rPr>
              <w:fldChar w:fldCharType="separate"/>
            </w:r>
            <w:r w:rsidR="0057536F" w:rsidRPr="0057536F">
              <w:rPr>
                <w:rFonts w:ascii="Times New Roman" w:hAnsi="Times New Roman" w:cs="Times New Roman"/>
                <w:noProof/>
                <w:color w:val="A02B93" w:themeColor="accent5"/>
                <w:sz w:val="24"/>
                <w:szCs w:val="24"/>
              </w:rPr>
              <w:t>[6,7]</w:t>
            </w:r>
            <w:r w:rsidRPr="00EF502C">
              <w:rPr>
                <w:color w:val="A02B93" w:themeColor="accent5"/>
                <w:szCs w:val="24"/>
              </w:rPr>
              <w:fldChar w:fldCharType="end"/>
            </w:r>
          </w:p>
        </w:tc>
      </w:tr>
      <w:tr w:rsidR="00661A28" w:rsidRPr="009A3E39" w14:paraId="4E5E8C79" w14:textId="77777777" w:rsidTr="00BC1C03">
        <w:tc>
          <w:tcPr>
            <w:tcW w:w="621" w:type="dxa"/>
          </w:tcPr>
          <w:p w14:paraId="6B9719D7"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10.</w:t>
            </w:r>
          </w:p>
        </w:tc>
        <w:tc>
          <w:tcPr>
            <w:tcW w:w="2635" w:type="dxa"/>
          </w:tcPr>
          <w:p w14:paraId="1EC72DFD"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1527</w:t>
            </w:r>
          </w:p>
        </w:tc>
        <w:tc>
          <w:tcPr>
            <w:tcW w:w="5244" w:type="dxa"/>
          </w:tcPr>
          <w:p w14:paraId="5A3C1781" w14:textId="6181FDC5" w:rsidR="00661A28" w:rsidRPr="009A3E39" w:rsidRDefault="00661A28" w:rsidP="00BC1C03">
            <w:pPr>
              <w:rPr>
                <w:rFonts w:ascii="Times New Roman" w:hAnsi="Times New Roman" w:cs="Times New Roman"/>
                <w:bCs/>
                <w:color w:val="0D0D0D" w:themeColor="text1" w:themeTint="F2"/>
                <w:sz w:val="24"/>
                <w:szCs w:val="24"/>
                <w:lang w:val="en-US"/>
              </w:rPr>
            </w:pPr>
            <w:r w:rsidRPr="009A3E39">
              <w:rPr>
                <w:rFonts w:ascii="Times New Roman" w:hAnsi="Times New Roman" w:cs="Times New Roman"/>
                <w:color w:val="0D0D0D" w:themeColor="text1" w:themeTint="F2"/>
                <w:sz w:val="24"/>
                <w:szCs w:val="24"/>
              </w:rPr>
              <w:t xml:space="preserve">overlapping of triazenes and azo compounds </w:t>
            </w:r>
            <w:r w:rsidRPr="009A3E39">
              <w:rPr>
                <w:color w:val="0D0D0D" w:themeColor="text1" w:themeTint="F2"/>
                <w:szCs w:val="24"/>
              </w:rPr>
              <w:fldChar w:fldCharType="begin" w:fldLock="1"/>
            </w:r>
            <w:r w:rsidR="0057536F">
              <w:rPr>
                <w:rFonts w:ascii="Times New Roman" w:hAnsi="Times New Roman" w:cs="Times New Roman"/>
                <w:color w:val="0D0D0D" w:themeColor="text1" w:themeTint="F2"/>
                <w:sz w:val="24"/>
                <w:szCs w:val="24"/>
              </w:rPr>
              <w:instrText>ADDIN CSL_CITATION {"citationItems":[{"id":"ITEM-1","itemData":{"ISSN":"2349-8242","abstract":"The Amendments generally used for sodic soil reclamation should be source of sulphates viz., Elemental sulphur, Iron pyrite, Mineral gypsum, Phospho gypsum and Marine gypsum. Characterization of sources by ATR-FTIR is rapid and elementary. The peaks of IR spectra obtained from FTIR is compared with Bio-Rad (Know it all) software, to interpret and qualitative analysis of functional groups in mentioned materials. The active peaks of spectra denote the presence of principle compounds of sulphur as well as gypsum. ATR-FTIR is most promising and non destructive method to precisely provide the result without tiresome conventional chemical analysis of characterization. The strong spectra of gypsum held at 668cm-1 , 1130cm-1 , 1630cm-1 and 2200cm-1 range. The OH stretch at 3522cm-1 and 3400cm-1 confirmed the presence of gypsum and sulphate compounds. The SO bending of gypsum observed at 669cm-1 and 597cm-1. The SO stretching and SO bending of sulphates peaks appeared at 1140-1080cm-1 and 680-610cm-1. The alkyl thioketones(-C=S) of sulphur compounds vibrations found at the range of 1240-1050cm-1. This helps to confirm that the sources are suitable for sodic soil reclamation.","author":[{"dropping-particle":"","family":"Gunavathi P","given":"","non-dropping-particle":"","parse-names":false,"suffix":""},{"dropping-particle":"","family":"Janaki D","given":"","non-dropping-particle":"","parse-names":false,"suffix":""},{"dropping-particle":"","family":"Geethanjali S","given":"","non-dropping-particle":"","parse-names":false,"suffix":""},{"dropping-particle":"","family":"Balasubramaniam P","given":"","non-dropping-particle":"","parse-names":false,"suffix":""},{"dropping-particle":"","family":"Alagesan A","given":"","non-dropping-particle":"","parse-names":false,"suffix":""}],"container-title":"~ 80 ~ The Pharma Innovation Journal","id":"ITEM-1","issue":"5","issued":{"date-parts":[["2021"]]},"page":"80-86","title":"Characterization and identification of elemental sulphur, iron pyrite, mineral gypsum, Phospho gypsum and marine gypsum by using ATR-FTIR","type":"article-journal","volume":"10"},"uris":["http://www.mendeley.com/documents/?uuid=7ee1675a-89fd-4600-8858-e8934f50ac0a"]}],"mendeley":{"formattedCitation":"[8]","plainTextFormattedCitation":"[8]","previouslyFormattedCitation":"[8]"},"properties":{"noteIndex":0},"schema":"https://github.com/citation-style-language/schema/raw/master/csl-citation.json"}</w:instrText>
            </w:r>
            <w:r w:rsidRPr="009A3E39">
              <w:rPr>
                <w:color w:val="0D0D0D" w:themeColor="text1" w:themeTint="F2"/>
                <w:szCs w:val="24"/>
              </w:rPr>
              <w:fldChar w:fldCharType="separate"/>
            </w:r>
            <w:r w:rsidR="00F84510" w:rsidRPr="00F84510">
              <w:rPr>
                <w:rFonts w:ascii="Times New Roman" w:hAnsi="Times New Roman" w:cs="Times New Roman"/>
                <w:noProof/>
                <w:color w:val="0D0D0D" w:themeColor="text1" w:themeTint="F2"/>
                <w:sz w:val="24"/>
                <w:szCs w:val="24"/>
              </w:rPr>
              <w:t>[8]</w:t>
            </w:r>
            <w:r w:rsidRPr="009A3E39">
              <w:rPr>
                <w:color w:val="0D0D0D" w:themeColor="text1" w:themeTint="F2"/>
                <w:szCs w:val="24"/>
              </w:rPr>
              <w:fldChar w:fldCharType="end"/>
            </w:r>
          </w:p>
        </w:tc>
      </w:tr>
      <w:tr w:rsidR="00661A28" w:rsidRPr="009A3E39" w14:paraId="0AA9474F" w14:textId="77777777" w:rsidTr="00BC1C03">
        <w:tc>
          <w:tcPr>
            <w:tcW w:w="621" w:type="dxa"/>
          </w:tcPr>
          <w:p w14:paraId="1C3FEB48"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11.</w:t>
            </w:r>
          </w:p>
        </w:tc>
        <w:tc>
          <w:tcPr>
            <w:tcW w:w="2635" w:type="dxa"/>
          </w:tcPr>
          <w:p w14:paraId="5B31DD28"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1530, 1550, 1533</w:t>
            </w:r>
          </w:p>
        </w:tc>
        <w:tc>
          <w:tcPr>
            <w:tcW w:w="5244" w:type="dxa"/>
          </w:tcPr>
          <w:p w14:paraId="22FE239F" w14:textId="526C4881"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 xml:space="preserve">aromatic C=C group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{"citationItems":[{"id":"ITEM-1","itemData":{"DOI":"10.1021/jp107131v","ISSN":"19327447","abstract":"Instead of hydrazine, a series of sulfur-containing compounds such as NaHSO3, Na2SO3, Na2S 2O3, Na2S·9H2O, SOCl 2, and SO2, were used as reducing agents to reduce graphene oxide to graphene. Fourier transform infrared spectrometry, atomic force microscopy, X-ray photoelectron spectroscopy, Raman spectroscopy, elemental analysis, and thermogravimetric analysis confirmed the formation of graphene under chemical reduction at 95 °C. The results reveal that the reducing ability of NaHSO3 is comparable to that of hydrazine. This newly found reducing agent is of low toxicity and nonvolatile, which makes the reduction much safer than hydrazine. A possible mechanism of the reduction has been suggested. The electrical conductivity of the graphene paper prepared using a NaHSO3 reducing agent is found to be 6500 S m-1, while it is observed to be 5100 S m-1 for hydrazine-reduced graphene paper. These studies also confirmed that SOCl2 can be a good candidate as a reducing agent to compete with hydrazine. © 2010 American Chemical Society.","author":[{"dropping-particle":"","family":"Chen","given":"Wufeng","non-dropping-particle":"","parse-names":false,"suffix":""},{"dropping-particle":"","family":"Yan","given":"Lifeng","non-dropping-particle":"","parse-names":false,"suffix":""},{"dropping-particle":"","family":"Bangal","given":"P. R.","non-dropping-particle":"","parse-names":false,"suffix":""}],"container-title":"Journal of Physical Chemistry C","id":"ITEM-1","issue":"47","issued":{"date-parts":[["2010","12","2"]]},"page":"19885-19890","title":"Chemical reduction of graphene oxide to graphene by sulfur-containing compounds","type":"article-journal","volume":"114"},"uris":["http://www.mendeley.com/documents/?uuid=0cb2c4b4-1887-469a-a076-e78de5578427"]}],"mendeley":{"formattedCitation":"[9]","plainTextFormattedCitation":"[9]","previouslyFormattedCitation":"[9]"},"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[9]</w:t>
            </w:r>
            <w:r w:rsidRPr="009A3E39">
              <w:rPr>
                <w:bCs/>
                <w:color w:val="0D0D0D" w:themeColor="text1" w:themeTint="F2"/>
                <w:szCs w:val="24"/>
                <w:lang w:val="en-US"/>
              </w:rPr>
              <w:fldChar w:fldCharType="end"/>
            </w:r>
          </w:p>
        </w:tc>
      </w:tr>
      <w:tr w:rsidR="00661A28" w:rsidRPr="009A3E39" w14:paraId="2CB07526" w14:textId="77777777" w:rsidTr="00BC1C03">
        <w:tc>
          <w:tcPr>
            <w:tcW w:w="621" w:type="dxa"/>
          </w:tcPr>
          <w:p w14:paraId="1B214C30"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12.</w:t>
            </w:r>
          </w:p>
        </w:tc>
        <w:tc>
          <w:tcPr>
            <w:tcW w:w="2635" w:type="dxa"/>
          </w:tcPr>
          <w:p w14:paraId="67748089"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1642, 1639, 1643,1648</w:t>
            </w:r>
          </w:p>
        </w:tc>
        <w:tc>
          <w:tcPr>
            <w:tcW w:w="5244" w:type="dxa"/>
          </w:tcPr>
          <w:p w14:paraId="7B740353" w14:textId="4A3C1EE1" w:rsidR="00661A28" w:rsidRPr="009A3E39" w:rsidRDefault="00661A28" w:rsidP="00BC1C03">
            <w:pPr>
              <w:rPr>
                <w:rFonts w:ascii="Times New Roman" w:hAnsi="Times New Roman" w:cs="Times New Roman"/>
                <w:bCs/>
                <w:color w:val="0D0D0D" w:themeColor="text1" w:themeTint="F2"/>
                <w:sz w:val="24"/>
                <w:szCs w:val="24"/>
                <w:lang w:val="en-US"/>
              </w:rPr>
            </w:pPr>
            <w:r w:rsidRPr="009A3E39">
              <w:rPr>
                <w:rFonts w:ascii="Times New Roman" w:hAnsi="Times New Roman" w:cs="Times New Roman"/>
                <w:bCs/>
                <w:color w:val="0D0D0D" w:themeColor="text1" w:themeTint="F2"/>
                <w:sz w:val="24"/>
                <w:szCs w:val="24"/>
                <w:lang w:val="en-US"/>
              </w:rPr>
              <w:t xml:space="preserve">C=C Stretching vibration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{"citationItems":[{"id":"ITEM-1","itemData":{"DOI":"10.1039/c5cp05475c","ISSN":"14639076","abstract":"A facile hydrothermal strategy to synthesize sulfur-doped reduced graphene oxide (S-RGO) sheets with good conductivity is proposed by using only graphene oxide (GO) sheets and sodium sulphide (Na2S) as precursors through a hydrothermal reaction process at 200 °C in one pot. The introduced Na2S can act as not only a sulfur dopant, but also as a highly efficient reducing agent in the formation of S-RGO sheets, which dramatically improves the electrical conductivities of the resulting S-RGO sheets compared with previous reports. The current reaches about 50.0 mA at an applied bias of 2.0 V for the optimized sample with 2.22 at% sulfur doping. This current value is much higher than that of RGO sheets (</w:instrText>
            </w:r>
            <w:r w:rsidR="0057536F">
              <w:rPr>
                <w:rFonts w:ascii="Cambria Math" w:hAnsi="Cambria Math" w:cs="Cambria Math"/>
                <w:bCs/>
                <w:color w:val="0D0D0D" w:themeColor="text1" w:themeTint="F2"/>
                <w:sz w:val="24"/>
                <w:szCs w:val="24"/>
                <w:lang w:val="en-US"/>
              </w:rPr>
              <w:instrText>∼</w:instrText>
            </w:r>
            <w:r w:rsidR="0057536F">
              <w:rPr>
                <w:rFonts w:ascii="Times New Roman" w:hAnsi="Times New Roman" w:cs="Times New Roman"/>
                <w:bCs/>
                <w:color w:val="0D0D0D" w:themeColor="text1" w:themeTint="F2"/>
                <w:sz w:val="24"/>
                <w:szCs w:val="24"/>
                <w:lang w:val="en-US"/>
              </w:rPr>
              <w:instrText>1.2 mA) annealed at 200 °C, and very close to that of single-layer graphene sheets (</w:instrText>
            </w:r>
            <w:r w:rsidR="0057536F">
              <w:rPr>
                <w:rFonts w:ascii="Cambria Math" w:hAnsi="Cambria Math" w:cs="Cambria Math"/>
                <w:bCs/>
                <w:color w:val="0D0D0D" w:themeColor="text1" w:themeTint="F2"/>
                <w:sz w:val="24"/>
                <w:szCs w:val="24"/>
                <w:lang w:val="en-US"/>
              </w:rPr>
              <w:instrText>∼</w:instrText>
            </w:r>
            <w:r w:rsidR="0057536F">
              <w:rPr>
                <w:rFonts w:ascii="Times New Roman" w:hAnsi="Times New Roman" w:cs="Times New Roman"/>
                <w:bCs/>
                <w:color w:val="0D0D0D" w:themeColor="text1" w:themeTint="F2"/>
                <w:sz w:val="24"/>
                <w:szCs w:val="24"/>
                <w:lang w:val="en-US"/>
              </w:rPr>
              <w:instrText>68.0 mA) prepared using chemical vapor deposition under the same test conditions. The resulting highly conductive S-RGO sheets offer many promising technological applications such as efficient metal-free electrocatalysts in oxygen reduction reactions in fuel cells and as supercapacitor electrode materials for high-performance Li-ion batteries.","author":[{"dropping-particle":"","family":"Tian","given":"Zhengshan","non-dropping-particle":"","parse-names":false,"suffix":""},{"dropping-particle":"","family":"Li","given":"Jitao","non-dropping-particle":"","parse-names":false,"suffix":""},{"dropping-particle":"","family":"Zhu","given":"Gangyi","non-dropping-particle":"","parse-names":false,"suffix":""},{"dropping-particle":"","family":"Lu","given":"Junfeng","non-dropping-particle":"","parse-names":false,"suffix":""},{"dropping-particle":"","family":"Wang","given":"Yueyue","non-dropping-particle":"","parse-names":false,"suffix":""},{"dropping-particle":"","family":"Shi","given":"Zengliang","non-dropping-particle":"","parse-names":false,"suffix":""},{"dropping-particle":"","family":"Xu","given":"Chunxiang","non-dropping-particle":"","parse-names":false,"suffix":""}],"container-title":"Physical Chemistry Chemical Physics","id":"ITEM-1","issue":"2","issued":{"date-parts":[["2015"]]},"page":"1125-1130","title":"Facile synthesis of highly conductive sulfur-doped reduced graphene oxide sheets","type":"article-journal","volume":"18"},"uris":["http://www.mendeley.com/documents/?uuid=9c6d7034-abdf-4130-bd52-0536635fd157"]}],"mendeley":{"formattedCitation":"[10]","plainTextFormattedCitation":"[10]","previouslyFormattedCitation":"[10]"},"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[10]</w:t>
            </w:r>
            <w:r w:rsidRPr="009A3E39">
              <w:rPr>
                <w:bCs/>
                <w:color w:val="0D0D0D" w:themeColor="text1" w:themeTint="F2"/>
                <w:szCs w:val="24"/>
                <w:lang w:val="en-US"/>
              </w:rPr>
              <w:fldChar w:fldCharType="end"/>
            </w:r>
          </w:p>
        </w:tc>
      </w:tr>
      <w:tr w:rsidR="00661A28" w:rsidRPr="009A3E39" w14:paraId="791BFE52" w14:textId="77777777" w:rsidTr="00BC1C03">
        <w:tc>
          <w:tcPr>
            <w:tcW w:w="621" w:type="dxa"/>
          </w:tcPr>
          <w:p w14:paraId="088AFF29"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13.</w:t>
            </w:r>
          </w:p>
        </w:tc>
        <w:tc>
          <w:tcPr>
            <w:tcW w:w="2635" w:type="dxa"/>
          </w:tcPr>
          <w:p w14:paraId="576B7EE4"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1696</w:t>
            </w:r>
          </w:p>
        </w:tc>
        <w:tc>
          <w:tcPr>
            <w:tcW w:w="5244" w:type="dxa"/>
          </w:tcPr>
          <w:p w14:paraId="51EFD71B" w14:textId="040F0ECB" w:rsidR="00661A28" w:rsidRPr="009A3E39" w:rsidRDefault="00661A28" w:rsidP="00BC1C03">
            <w:pPr>
              <w:rPr>
                <w:rFonts w:ascii="Times New Roman" w:hAnsi="Times New Roman" w:cs="Times New Roman"/>
                <w:bCs/>
                <w:color w:val="0D0D0D" w:themeColor="text1" w:themeTint="F2"/>
                <w:sz w:val="24"/>
                <w:szCs w:val="24"/>
                <w:lang w:val="en-US"/>
              </w:rPr>
            </w:pPr>
            <w:r w:rsidRPr="009A3E39">
              <w:rPr>
                <w:rFonts w:ascii="Times New Roman" w:hAnsi="Times New Roman" w:cs="Times New Roman"/>
                <w:color w:val="0D0D0D" w:themeColor="text1" w:themeTint="F2"/>
                <w:sz w:val="24"/>
                <w:szCs w:val="24"/>
              </w:rPr>
              <w:t xml:space="preserve">Stretching vibration at C=O </w:t>
            </w:r>
            <w:r w:rsidRPr="009A3E39">
              <w:rPr>
                <w:color w:val="0D0D0D" w:themeColor="text1" w:themeTint="F2"/>
                <w:szCs w:val="24"/>
              </w:rPr>
              <w:fldChar w:fldCharType="begin" w:fldLock="1"/>
            </w:r>
            <w:r w:rsidR="0057536F">
              <w:rPr>
                <w:rFonts w:ascii="Times New Roman" w:hAnsi="Times New Roman" w:cs="Times New Roman"/>
                <w:color w:val="0D0D0D" w:themeColor="text1" w:themeTint="F2"/>
                <w:sz w:val="24"/>
                <w:szCs w:val="24"/>
              </w:rPr>
              <w:instrText>ADDIN CSL_CITATION {"citationItems":[{"id":"ITEM-1","itemData":{"DOI":"10.1016/j.jaim.2023.100751","ISSN":"09762809","abstract":"Background: Since ancient times, the essential element sulphur has played an important role in different medical fields. It is one of the main materials used in herbo-mineral pharmaceutics in Ayurveda. However, for Ayurvedic pharmaceutical preparations, the purity of sulphur is crucial in avoiding any harmful reactions and to enhance the medicinal quality. Therefore, it is subjected to a process called ‘gandhaka shodhana’ using cow's milk, ghee or occasionally plant extracts. The plant, Eclipta alba (L.) Hassak, containing many bioactive compounds, is one of the extracts known to be used in the ‘shodhana’ process of sulphur. However, in comparison to the laboratory purification method of sulphur neither the effect of this ‘shodhana’ process in removing impurities from sulphur nor its effect on the structure and morphology of sulphur has been evaluated. Objectives: This study identifies physical, morphological, and structural changes that occur in sulphur when it is subjected to the ‘shodhana’ process compared to the changes that occur in sulphur obtained after simple laboratory purification. Methodology: Both samples were characterized using Scanning Electron Microscopy, Energy Dispersive X-ray Spectroscopy, X-ray Diffraction, Differential Scanning Calorimetry, Thermogravimetric Analysis, Fourier Transform Infrared spectroscopy, and Raman spectroscopy. Observed physical changes such as colour, allotropic form, odour, hardness, transparency, and lustre of the samples were also determined using recommended techniques. Results: Although the laboratory purification method separates the sulphur from physical and chemical impurities, Ayurveda ‘shodhana’ process with E. alba converts the sulphur into a more pharmaceutically suitable form by making it more nebulous and introducing higher brittleness, FT-IR data shows removal of chemical impurities from sulphur during ‘shodhana’ process in contrast to laboratory purified sample.","author":[{"dropping-particle":"","family":"Gunaratna","given":"T. A.N.R.","non-dropping-particle":"","parse-names":false,"suffix":""},{"dropping-particle":"","family":"Prajapati","given":"P. K.","non-dropping-particle":"","parse-names":false,"suffix":""},{"dropping-particle":"","family":"Silva","given":"K. M.Nalin","non-dropping-particle":"de","parse-names":false,"suffix":""},{"dropping-particle":"","family":"Silva","given":"W. Rohini M.","non-dropping-particle":"de","parse-names":false,"suffix":""}],"container-title":"Journal of Ayurveda and Integrative Medicine","id":"ITEM-1","issue":"4","issued":{"date-parts":[["2023","7"]]},"page":"100751","title":"Comparision of traditional and laboratory methods of sulphur processing","type":"article-journal","volume":"14"},"uris":["http://www.mendeley.com/documents/?uuid=4863cc2f-1a6d-4d5d-95cc-0ab6cc0b71a5"]}],"mendeley":{"formattedCitation":"[11]","plainTextFormattedCitation":"[11]","previouslyFormattedCitation":"[11]"},"properties":{"noteIndex":0},"schema":"https://github.com/citation-style-language/schema/raw/master/csl-citation.json"}</w:instrText>
            </w:r>
            <w:r w:rsidRPr="009A3E39">
              <w:rPr>
                <w:color w:val="0D0D0D" w:themeColor="text1" w:themeTint="F2"/>
                <w:szCs w:val="24"/>
              </w:rPr>
              <w:fldChar w:fldCharType="separate"/>
            </w:r>
            <w:r w:rsidR="00F84510" w:rsidRPr="00F84510">
              <w:rPr>
                <w:rFonts w:ascii="Times New Roman" w:hAnsi="Times New Roman" w:cs="Times New Roman"/>
                <w:noProof/>
                <w:color w:val="0D0D0D" w:themeColor="text1" w:themeTint="F2"/>
                <w:sz w:val="24"/>
                <w:szCs w:val="24"/>
              </w:rPr>
              <w:t>[11]</w:t>
            </w:r>
            <w:r w:rsidRPr="009A3E39">
              <w:rPr>
                <w:color w:val="0D0D0D" w:themeColor="text1" w:themeTint="F2"/>
                <w:szCs w:val="24"/>
              </w:rPr>
              <w:fldChar w:fldCharType="end"/>
            </w:r>
          </w:p>
        </w:tc>
      </w:tr>
      <w:tr w:rsidR="00661A28" w:rsidRPr="009A3E39" w14:paraId="5CFFF5D2" w14:textId="77777777" w:rsidTr="00BC1C03">
        <w:tc>
          <w:tcPr>
            <w:tcW w:w="621" w:type="dxa"/>
          </w:tcPr>
          <w:p w14:paraId="41F895FC"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14.</w:t>
            </w:r>
          </w:p>
        </w:tc>
        <w:tc>
          <w:tcPr>
            <w:tcW w:w="2635" w:type="dxa"/>
          </w:tcPr>
          <w:p w14:paraId="789ECAAC"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2370</w:t>
            </w:r>
          </w:p>
        </w:tc>
        <w:tc>
          <w:tcPr>
            <w:tcW w:w="5244" w:type="dxa"/>
          </w:tcPr>
          <w:p w14:paraId="7ED2186C" w14:textId="60EE856A"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CO</w:t>
            </w:r>
            <w:r w:rsidRPr="009A3E39">
              <w:rPr>
                <w:rFonts w:ascii="Times New Roman" w:hAnsi="Times New Roman" w:cs="Times New Roman"/>
                <w:bCs/>
                <w:color w:val="0D0D0D" w:themeColor="text1" w:themeTint="F2"/>
                <w:sz w:val="24"/>
                <w:szCs w:val="24"/>
                <w:vertAlign w:val="subscript"/>
                <w:lang w:val="en-US"/>
              </w:rPr>
              <w:t xml:space="preserve">2 </w:t>
            </w:r>
            <w:r w:rsidRPr="009A3E39">
              <w:rPr>
                <w:rFonts w:ascii="Times New Roman" w:hAnsi="Times New Roman" w:cs="Times New Roman"/>
                <w:bCs/>
                <w:color w:val="0D0D0D" w:themeColor="text1" w:themeTint="F2"/>
                <w:sz w:val="24"/>
                <w:szCs w:val="24"/>
                <w:lang w:val="en-US"/>
              </w:rPr>
              <w:t xml:space="preserve">bands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{"citationItems":[{"id":"ITEM-1","itemData":{"DOI":"10.1016/j.ijhydene.2020.03.059","ISSN":"03603199","abstract":"In this research, carbon nanorods/fibers materials were successfully synthesized from sulphur-reduced graphene oxide (RGO-S) composite by using an improved Hummers' method. Morphological, structural, compositional and textural characterization of the composite material were obtained via scanning electron microscope (SEM), energy dispersive x-ray spectroscopy (EDX), transmission electron microscopy (TEM), X-ray diffraction (XRD), Raman spectroscopy, Fourier transform infrared spectroscopy (FTIR) and X-ray photoelectron spectroscopy (XPS), respectively. The electrochemical performance of the composite sample as a promising supercapacitor electrode revealed a peak specific capacity of 113.8 mAh g−1 at 0.5 A g−1 estimated via GCD curves in 6 M KOH aqueous electrolyte. The half-cell could retain a columbic efficiency of about 98.7% with a corresponding energy efficiency of about 98.5% over 2000 constant charge/discharge cycle at a specific current of 5 A g−1. Remarkably, an assembled hybrid device with carbonized iron cations (C-FP) and the RGO-S composite delivered high energy and power densities of 35.2 Wh kg−1 and 375 W kg−1 at 0.5 A g−1 within a 1.5 V operating potential, respectively. A good cycling stability performance with an energy efficiency of 99% was observed for the device for up to 10,000 cycling at a specific current of 3 A g−1.","author":[{"dropping-particle":"","family":"Tarimo","given":"Delvina Japhet","non-dropping-particle":"","parse-names":false,"suffix":""},{"dropping-particle":"","family":"Oyedotun","given":"Kabir O.","non-dropping-particle":"","parse-names":false,"suffix":""},{"dropping-particle":"","family":"Mirghni","given":"Abdulmajid A.","non-dropping-particle":"","parse-names":false,"suffix":""},{"dropping-particle":"","family":"Manyala","given":"Ncholu","non-dropping-particle":"","parse-names":false,"suffix":""}],"container-title":"International Journal of Hydrogen Energy","id":"ITEM-1","issue":"24","issued":{"date-parts":[["2020","5"]]},"page":"13189-13201","title":"Sulphur-reduced graphene oxide composite with improved electrochemical performance for supercapacitor applications","type":"article-journal","volume":"45"},"uris":["http://www.mendeley.com/documents/?uuid=415b3bdf-12f1-44ec-8421-3234734210f4"]}],"mendeley":{"formattedCitation":"[7]","plainTextFormattedCitation":"[7]","previouslyFormattedCitation":"[7]"},"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[7]</w:t>
            </w:r>
            <w:r w:rsidRPr="009A3E39">
              <w:rPr>
                <w:bCs/>
                <w:color w:val="0D0D0D" w:themeColor="text1" w:themeTint="F2"/>
                <w:szCs w:val="24"/>
                <w:lang w:val="en-US"/>
              </w:rPr>
              <w:fldChar w:fldCharType="end"/>
            </w:r>
            <w:r w:rsidRPr="009A3E39">
              <w:rPr>
                <w:rFonts w:ascii="Times New Roman" w:hAnsi="Times New Roman" w:cs="Times New Roman"/>
                <w:bCs/>
                <w:color w:val="0D0D0D" w:themeColor="text1" w:themeTint="F2"/>
                <w:sz w:val="24"/>
                <w:szCs w:val="24"/>
                <w:lang w:val="en-US"/>
              </w:rPr>
              <w:t>.</w:t>
            </w:r>
          </w:p>
        </w:tc>
      </w:tr>
      <w:tr w:rsidR="00661A28" w:rsidRPr="009A3E39" w14:paraId="254C2830" w14:textId="77777777" w:rsidTr="00BC1C03">
        <w:tc>
          <w:tcPr>
            <w:tcW w:w="621" w:type="dxa"/>
          </w:tcPr>
          <w:p w14:paraId="62866C9A"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15.</w:t>
            </w:r>
          </w:p>
        </w:tc>
        <w:tc>
          <w:tcPr>
            <w:tcW w:w="2635" w:type="dxa"/>
          </w:tcPr>
          <w:p w14:paraId="5A013EB0"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2935, 2925</w:t>
            </w:r>
          </w:p>
        </w:tc>
        <w:tc>
          <w:tcPr>
            <w:tcW w:w="5244" w:type="dxa"/>
          </w:tcPr>
          <w:p w14:paraId="7CCED19B" w14:textId="24D98B61"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 xml:space="preserve">C-H Stretching vibration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{"citationItems":[{"id":"ITEM-1","itemData":{"DOI":"10.1039/c5cp05475c","ISSN":"14639076","abstract":"A facile hydrothermal strategy to synthesize sulfur-doped reduced graphene oxide (S-RGO) sheets with good conductivity is proposed by using only graphene oxide (GO) sheets and sodium sulphide (Na2S) as precursors through a hydrothermal reaction process at 200 °C in one pot. The introduced Na2S can act as not only a sulfur dopant, but also as a highly efficient reducing agent in the formation of S-RGO sheets, which dramatically improves the electrical conductivities of the resulting S-RGO sheets compared with previous reports. The current reaches about 50.0 mA at an applied bias of 2.0 V for the optimized sample with 2.22 at% sulfur doping. This current value is much higher than that of RGO sheets (</w:instrText>
            </w:r>
            <w:r w:rsidR="0057536F">
              <w:rPr>
                <w:rFonts w:ascii="Cambria Math" w:hAnsi="Cambria Math" w:cs="Cambria Math"/>
                <w:bCs/>
                <w:color w:val="0D0D0D" w:themeColor="text1" w:themeTint="F2"/>
                <w:sz w:val="24"/>
                <w:szCs w:val="24"/>
                <w:lang w:val="en-US"/>
              </w:rPr>
              <w:instrText>∼</w:instrText>
            </w:r>
            <w:r w:rsidR="0057536F">
              <w:rPr>
                <w:rFonts w:ascii="Times New Roman" w:hAnsi="Times New Roman" w:cs="Times New Roman"/>
                <w:bCs/>
                <w:color w:val="0D0D0D" w:themeColor="text1" w:themeTint="F2"/>
                <w:sz w:val="24"/>
                <w:szCs w:val="24"/>
                <w:lang w:val="en-US"/>
              </w:rPr>
              <w:instrText>1.2 mA) annealed at 200 °C, and very close to that of single-layer graphene sheets (</w:instrText>
            </w:r>
            <w:r w:rsidR="0057536F">
              <w:rPr>
                <w:rFonts w:ascii="Cambria Math" w:hAnsi="Cambria Math" w:cs="Cambria Math"/>
                <w:bCs/>
                <w:color w:val="0D0D0D" w:themeColor="text1" w:themeTint="F2"/>
                <w:sz w:val="24"/>
                <w:szCs w:val="24"/>
                <w:lang w:val="en-US"/>
              </w:rPr>
              <w:instrText>∼</w:instrText>
            </w:r>
            <w:r w:rsidR="0057536F">
              <w:rPr>
                <w:rFonts w:ascii="Times New Roman" w:hAnsi="Times New Roman" w:cs="Times New Roman"/>
                <w:bCs/>
                <w:color w:val="0D0D0D" w:themeColor="text1" w:themeTint="F2"/>
                <w:sz w:val="24"/>
                <w:szCs w:val="24"/>
                <w:lang w:val="en-US"/>
              </w:rPr>
              <w:instrText>68.0 mA) prepared using chemical vapor deposition under the same test conditions. The resulting highly conductive S-RGO sheets offer many promising technological applications such as efficient metal-free electrocatalysts in oxygen reduction reactions in fuel cells and as supercapacitor electrode materials for high-performance Li-ion batteries.","author":[{"dropping-particle":"","family":"Tian","given":"Zhengshan","non-dropping-particle":"","parse-names":false,"suffix":""},{"dropping-particle":"","family":"Li","given":"Jitao","non-dropping-particle":"","parse-names":false,"suffix":""},{"dropping-particle":"","family":"Zhu","given":"Gangyi","non-dropping-particle":"","parse-names":false,"suffix":""},{"dropping-particle":"","family":"Lu","given":"Junfeng","non-dropping-particle":"","parse-names":false,"suffix":""},{"dropping-particle":"","family":"Wang","given":"Yueyue","non-dropping-particle":"","parse-names":false,"suffix":""},{"dropping-particle":"","family":"Shi","given":"Zengliang","non-dropping-particle":"","parse-names":false,"suffix":""},{"dropping-particle":"","family":"Xu","given":"Chunxiang","non-dropping-particle":"","parse-names":false,"suffix":""}],"container-title":"Physical Chemistry Chemical Physics","id":"ITEM-1","issue":"2","issued":{"date-parts":[["2015"]]},"page":"1125-1130","title":"Facile synthesis of highly conductive sulfur-doped reduced graphene oxide sheets","type":"article-journal","volume":"18"},"uris":["http://www.mendeley.com/documents/?uuid=9c6d7034-abdf-4130-bd52-0536635fd157"]}],"mendeley":{"formattedCitation":"[10]","plainTextFormattedCitation":"[10]","previouslyFormattedCitation":"[10]"},"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[10]</w:t>
            </w:r>
            <w:r w:rsidRPr="009A3E39">
              <w:rPr>
                <w:bCs/>
                <w:color w:val="0D0D0D" w:themeColor="text1" w:themeTint="F2"/>
                <w:szCs w:val="24"/>
                <w:lang w:val="en-US"/>
              </w:rPr>
              <w:fldChar w:fldCharType="end"/>
            </w:r>
            <w:r w:rsidRPr="009A3E39">
              <w:rPr>
                <w:rFonts w:ascii="Times New Roman" w:hAnsi="Times New Roman" w:cs="Times New Roman"/>
                <w:bCs/>
                <w:color w:val="0D0D0D" w:themeColor="text1" w:themeTint="F2"/>
                <w:sz w:val="24"/>
                <w:szCs w:val="24"/>
                <w:lang w:val="en-US"/>
              </w:rPr>
              <w:t>.</w:t>
            </w:r>
          </w:p>
        </w:tc>
      </w:tr>
      <w:tr w:rsidR="00661A28" w:rsidRPr="009A3E39" w14:paraId="6CF397B5" w14:textId="77777777" w:rsidTr="00BC1C03">
        <w:tc>
          <w:tcPr>
            <w:tcW w:w="621" w:type="dxa"/>
          </w:tcPr>
          <w:p w14:paraId="75AE7D18"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16.</w:t>
            </w:r>
          </w:p>
        </w:tc>
        <w:tc>
          <w:tcPr>
            <w:tcW w:w="2635" w:type="dxa"/>
          </w:tcPr>
          <w:p w14:paraId="420202BF"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3442</w:t>
            </w:r>
          </w:p>
        </w:tc>
        <w:tc>
          <w:tcPr>
            <w:tcW w:w="5244" w:type="dxa"/>
          </w:tcPr>
          <w:p w14:paraId="62302B22" w14:textId="3B1443E5"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bCs/>
                <w:color w:val="0D0D0D" w:themeColor="text1" w:themeTint="F2"/>
                <w:sz w:val="24"/>
                <w:szCs w:val="24"/>
                <w:lang w:val="en-US"/>
              </w:rPr>
              <w:t xml:space="preserve">O-H bond (hydroxyl group) of alcohols </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{"citationItems":[{"id":"ITEM-1","itemData":{"DOI":"10.1063/1.5005764","ISBN":"9780735415744","ISSN":"15517616","abstract":"Graphene oxide (GO) and reduced graphene oxide (RGO) are known to have superior properties for various applications. This work compares the properties of GO and RGO with graphite. GO was prepared by using Improved Hummer's method whereas the produced GO was subjected to chemical reduction with the use of hydrazine hydrate. Graphite, GO and RGO had different morphologies, quality, functionalized groups, UV-Vis absorption peaks and crystallinity. With the removal of oxygen-containing functional group during reduction for RGO, the quality of samples was decreased due to higher intensity of D band than G band was seen in Raman results. In addition, platelet-like surface can be observed on the surface of graphite as compared to GO and RGO where wrinkled and layered flakes, and crumpled thin sheets were observed on GO and RGO surface respectively. Fourier Transform Infra-Red (FTIR) analysis showed the presence of abundant oxygen-containing functional groups in GO as compared to RGO and graphite. The characteristic peaks at 26.62°, 9.03°and 24.10°for graphite, GO and RGO, respectively, can be detected from X-Ray diffraction (XRD). Furthermore, the reduction also caused red shift at 279nm from 238nm, as obtained from ultraviolet visible (UV-Vis) analysis. The results proved that GO was successfully oxidized from graphite whereas RGO was effectively reduced from GO.","author":[{"dropping-particle":"","family":"Hidayah","given":"N. M.S.","non-dropping-particle":"","parse-names":false,"suffix":""},{"dropping-particle":"","family":"Liu","given":"Wei Wen","non-dropping-particle":"","parse-names":false,"suffix":""},{"dropping-particle":"","family":"Lai","given":"Chin Wei","non-dropping-particle":"","parse-names":false,"suffix":""},{"dropping-particle":"","family":"Noriman","given":"N. Z.","non-dropping-particle":"","parse-names":false,"suffix":""},{"dropping-particle":"","family":"Khe","given":"Cheng Seong","non-dropping-particle":"","parse-names":false,"suffix":""},{"dropping-particle":"","family":"Hashim","given":"U.","non-dropping-particle":"","parse-names":false,"suffix":""},{"dropping-particle":"","family":"Lee","given":"H. Cheun","non-dropping-particle":"","parse-names":false,"suffix":""}],"container-title":"AIP Conference Proceedings","id":"ITEM-1","issued":{"date-parts":[["2017","10","16"]]},"page":"150002","publisher":"American Institute of Physics Inc.","title":"Comparison on graphite, graphene oxide and reduced graphene oxide: Synthesis and characterization","type":"paper-conference","volume":"1892"},"uris":["http://www.mendeley.com/documents/?uuid=dc5d20ea-4b45-4267-9dc6-ce56803afd04"]}],"mendeley":{"formattedCitation":"[4]","plainTextFormattedCitation":"[4]","previouslyFormattedCitation":"[4]"},"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[4]</w:t>
            </w:r>
            <w:r w:rsidRPr="009A3E39">
              <w:rPr>
                <w:bCs/>
                <w:color w:val="0D0D0D" w:themeColor="text1" w:themeTint="F2"/>
                <w:szCs w:val="24"/>
                <w:lang w:val="en-US"/>
              </w:rPr>
              <w:fldChar w:fldCharType="end"/>
            </w:r>
          </w:p>
        </w:tc>
      </w:tr>
      <w:tr w:rsidR="00661A28" w:rsidRPr="009A3E39" w14:paraId="182829B3" w14:textId="77777777" w:rsidTr="00BC1C03">
        <w:tc>
          <w:tcPr>
            <w:tcW w:w="621" w:type="dxa"/>
          </w:tcPr>
          <w:p w14:paraId="580FEB38" w14:textId="77777777" w:rsidR="00661A28" w:rsidRPr="009A3E39" w:rsidRDefault="00661A28" w:rsidP="00BC1C03">
            <w:pPr>
              <w:rPr>
                <w:rFonts w:ascii="Times New Roman" w:hAnsi="Times New Roman" w:cs="Times New Roman"/>
                <w:color w:val="0D0D0D" w:themeColor="text1" w:themeTint="F2"/>
                <w:sz w:val="24"/>
                <w:szCs w:val="24"/>
                <w:lang w:val="en-GB"/>
              </w:rPr>
            </w:pPr>
            <w:r w:rsidRPr="009A3E39">
              <w:rPr>
                <w:rFonts w:ascii="Times New Roman" w:hAnsi="Times New Roman" w:cs="Times New Roman"/>
                <w:color w:val="0D0D0D" w:themeColor="text1" w:themeTint="F2"/>
                <w:sz w:val="24"/>
                <w:szCs w:val="24"/>
                <w:lang w:val="en-GB"/>
              </w:rPr>
              <w:t>17.</w:t>
            </w:r>
          </w:p>
        </w:tc>
        <w:tc>
          <w:tcPr>
            <w:tcW w:w="2635" w:type="dxa"/>
          </w:tcPr>
          <w:p w14:paraId="75BFB5E8" w14:textId="77777777" w:rsidR="00661A28" w:rsidRPr="009A3E39" w:rsidRDefault="00661A28" w:rsidP="00BC1C03">
            <w:pPr>
              <w:rPr>
                <w:rFonts w:ascii="Times New Roman" w:hAnsi="Times New Roman" w:cs="Times New Roman"/>
                <w:bCs/>
                <w:color w:val="0D0D0D" w:themeColor="text1" w:themeTint="F2"/>
                <w:sz w:val="24"/>
                <w:szCs w:val="24"/>
                <w:lang w:val="en-US"/>
              </w:rPr>
            </w:pPr>
            <w:r w:rsidRPr="009A3E39">
              <w:rPr>
                <w:rFonts w:ascii="Times New Roman" w:hAnsi="Times New Roman" w:cs="Times New Roman"/>
                <w:bCs/>
                <w:color w:val="0D0D0D" w:themeColor="text1" w:themeTint="F2"/>
                <w:sz w:val="24"/>
                <w:szCs w:val="24"/>
                <w:lang w:val="en-US"/>
              </w:rPr>
              <w:t>3741, 3744</w:t>
            </w:r>
          </w:p>
        </w:tc>
        <w:tc>
          <w:tcPr>
            <w:tcW w:w="5244" w:type="dxa"/>
          </w:tcPr>
          <w:p w14:paraId="56B27B11" w14:textId="12D6FCA4" w:rsidR="00661A28" w:rsidRPr="009A3E39" w:rsidRDefault="00661A28" w:rsidP="00BC1C03">
            <w:pPr>
              <w:rPr>
                <w:rFonts w:ascii="Times New Roman" w:hAnsi="Times New Roman" w:cs="Times New Roman"/>
                <w:bCs/>
                <w:color w:val="0D0D0D" w:themeColor="text1" w:themeTint="F2"/>
                <w:sz w:val="24"/>
                <w:szCs w:val="24"/>
                <w:lang w:val="en-US"/>
              </w:rPr>
            </w:pPr>
            <w:r w:rsidRPr="009A3E39">
              <w:rPr>
                <w:rFonts w:ascii="Times New Roman" w:hAnsi="Times New Roman" w:cs="Times New Roman"/>
                <w:bCs/>
                <w:color w:val="0D0D0D" w:themeColor="text1" w:themeTint="F2"/>
                <w:sz w:val="24"/>
                <w:szCs w:val="24"/>
                <w:lang w:val="en-US"/>
              </w:rPr>
              <w:t>O-H Stretching of water molecules</w:t>
            </w:r>
            <w:r w:rsidRPr="009A3E39">
              <w:rPr>
                <w:bCs/>
                <w:color w:val="0D0D0D" w:themeColor="text1" w:themeTint="F2"/>
                <w:szCs w:val="24"/>
                <w:lang w:val="en-US"/>
              </w:rPr>
              <w:fldChar w:fldCharType="begin" w:fldLock="1"/>
            </w:r>
            <w:r w:rsidR="0057536F">
              <w:rPr>
                <w:rFonts w:ascii="Times New Roman" w:hAnsi="Times New Roman" w:cs="Times New Roman"/>
                <w:bCs/>
                <w:color w:val="0D0D0D" w:themeColor="text1" w:themeTint="F2"/>
                <w:sz w:val="24"/>
                <w:szCs w:val="24"/>
                <w:lang w:val="en-US"/>
              </w:rPr>
              <w:instrText>ADDIN CSL_CITATION {"citationItems":[{"id":"ITEM-1","itemData":{"DOI":"10.13005/msri/140104","ISSN":"09733469","abstract":"Attempts were made to synthesize high quality graphite oxide (GO) and reduced graphene oxide (rGO) by using successive oxidation-reduction process of high quality vein graphite from Sri Lanka. We report the lowest optimum reduction temperature for converting GO to rGO which has been systematically studied using X-ray diffraction spectroscope (XRD) with the high temperature heating attachment (HTA) for the first time. The effect of particle size of graphite on properties of GO and rGO is also compared using commercially available graphite of particle size of ~111 mm and ball-milled graphite of particle size ~37 mm. The GO and rGO were characterized using XRD, UV-Visible spectroscopy, Fourier Transform Infrared spectroscopy (FTIR) and Scanning Electron Microscopy (SEM). The GO and rGO synthesized from ball-milled graphite showed higher oxidation and reduction properties as verified through the UV-Vis and FTIR analysis. The SEM analysis revealed that the splitting of graphene layers is efficiently taken place in GO from ball-milled graphite. The lowest optimum temperature for thermal reduction of GO to rGO was found to be at 475 °C. FTIR confirmed the removal of most of the functional groups in rGO and according to the BET surface area analysis few layers, supposed to be 2-6 is formed. The efficient oxidation and reduction process of smaller particle size graphite has led to yield highly oxidized GO and high quality rGO which can be used to prepare high quality graphene for future applications.","author":[{"dropping-particle":"","family":"Manoratne","given":"C. H","non-dropping-particle":"","parse-names":false,"suffix":""},{"dropping-particle":"","family":"Rosa","given":"S. R. D.","non-dropping-particle":"","parse-names":false,"suffix":""},{"dropping-particle":"","family":"Kottegoda","given":"I. R. M.","non-dropping-particle":"","parse-names":false,"suffix":""}],"container-title":"Material Science Research India","id":"ITEM-1","issue":"1","issued":{"date-parts":[["2017","6","28"]]},"page":"19-30","title":"XRD-HTA, UV Visible, FTIR and SEM Interpretation of Reduced Graphene Oxide Synthesized from High Purity Vein Graphite","type":"article-journal","volume":"14"},"uris":["http://www.mendeley.com/documents/?uuid=bd82055b-fe84-4513-b4aa-c53c839b66d3"]}],"mendeley":{"formattedCitation":"[12]","plainTextFormattedCitation":"[12]","previouslyFormattedCitation":"[12]"},"properties":{"noteIndex":0},"schema":"https://github.com/citation-style-language/schema/raw/master/csl-citation.json"}</w:instrText>
            </w:r>
            <w:r w:rsidRPr="009A3E39">
              <w:rPr>
                <w:bCs/>
                <w:color w:val="0D0D0D" w:themeColor="text1" w:themeTint="F2"/>
                <w:szCs w:val="24"/>
                <w:lang w:val="en-US"/>
              </w:rPr>
              <w:fldChar w:fldCharType="separate"/>
            </w:r>
            <w:r w:rsidR="00F84510" w:rsidRPr="00F84510">
              <w:rPr>
                <w:rFonts w:ascii="Times New Roman" w:hAnsi="Times New Roman" w:cs="Times New Roman"/>
                <w:bCs/>
                <w:noProof/>
                <w:color w:val="0D0D0D" w:themeColor="text1" w:themeTint="F2"/>
                <w:sz w:val="24"/>
                <w:szCs w:val="24"/>
                <w:lang w:val="en-US"/>
              </w:rPr>
              <w:t>[12]</w:t>
            </w:r>
            <w:r w:rsidRPr="009A3E39">
              <w:rPr>
                <w:bCs/>
                <w:color w:val="0D0D0D" w:themeColor="text1" w:themeTint="F2"/>
                <w:szCs w:val="24"/>
                <w:lang w:val="en-US"/>
              </w:rPr>
              <w:fldChar w:fldCharType="end"/>
            </w:r>
          </w:p>
        </w:tc>
      </w:tr>
    </w:tbl>
    <w:p w14:paraId="468369E3" w14:textId="77777777" w:rsidR="00661A28" w:rsidRPr="00661A28" w:rsidRDefault="00661A28" w:rsidP="00661A28">
      <w:pPr>
        <w:rPr>
          <w:lang w:val="en-GB"/>
        </w:rPr>
      </w:pPr>
    </w:p>
    <w:p w14:paraId="62CD01F0" w14:textId="15F39430" w:rsidR="00661A28" w:rsidRDefault="00661A28" w:rsidP="00661A28">
      <w:pPr>
        <w:pStyle w:val="Heading1"/>
      </w:pPr>
      <w:r>
        <w:t>EDX Studies</w:t>
      </w:r>
    </w:p>
    <w:p w14:paraId="4278AD95" w14:textId="77777777" w:rsidR="00F84510" w:rsidRDefault="00F84510" w:rsidP="00F84510">
      <w:pPr>
        <w:rPr>
          <w:u w:val="single"/>
        </w:rPr>
      </w:pPr>
      <w:r>
        <w:rPr>
          <w:noProof/>
        </w:rPr>
        <w:lastRenderedPageBreak/>
        <w:drawing>
          <wp:inline distT="0" distB="0" distL="0" distR="0" wp14:anchorId="6321EB0A" wp14:editId="2742D612">
            <wp:extent cx="5731510" cy="2656205"/>
            <wp:effectExtent l="0" t="0" r="2540" b="0"/>
            <wp:docPr id="191554924" name="Picture 2"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4924" name="Picture 2" descr="A screen shot of a graph&#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656205"/>
                    </a:xfrm>
                    <a:prstGeom prst="rect">
                      <a:avLst/>
                    </a:prstGeom>
                    <a:noFill/>
                    <a:ln>
                      <a:noFill/>
                    </a:ln>
                  </pic:spPr>
                </pic:pic>
              </a:graphicData>
            </a:graphic>
          </wp:inline>
        </w:drawing>
      </w:r>
    </w:p>
    <w:p w14:paraId="2AA7F9BF" w14:textId="77777777" w:rsidR="00F84510" w:rsidRPr="003D34C7" w:rsidRDefault="00F84510" w:rsidP="00F84510">
      <w:pPr>
        <w:rPr>
          <w:u w:val="single"/>
        </w:rPr>
      </w:pPr>
    </w:p>
    <w:p w14:paraId="0924D0A2" w14:textId="77777777" w:rsidR="00F84510" w:rsidRDefault="00F84510" w:rsidP="00F84510">
      <w:pPr>
        <w:rPr>
          <w:noProof/>
        </w:rPr>
      </w:pPr>
      <w:r w:rsidRPr="00A17A0B">
        <w:rPr>
          <w:noProof/>
        </w:rPr>
        <w:t xml:space="preserve"> </w:t>
      </w:r>
      <w:r>
        <w:rPr>
          <w:noProof/>
        </w:rPr>
        <w:drawing>
          <wp:inline distT="0" distB="0" distL="0" distR="0" wp14:anchorId="4A1B388B" wp14:editId="11551BB1">
            <wp:extent cx="5731510" cy="2599055"/>
            <wp:effectExtent l="0" t="0" r="2540" b="0"/>
            <wp:docPr id="372486352" name="Picture 3"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86352" name="Picture 3" descr="A screen shot of a computer&#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599055"/>
                    </a:xfrm>
                    <a:prstGeom prst="rect">
                      <a:avLst/>
                    </a:prstGeom>
                    <a:noFill/>
                    <a:ln>
                      <a:noFill/>
                    </a:ln>
                  </pic:spPr>
                </pic:pic>
              </a:graphicData>
            </a:graphic>
          </wp:inline>
        </w:drawing>
      </w:r>
      <w:r>
        <w:rPr>
          <w:noProof/>
        </w:rPr>
        <w:t xml:space="preserve"> </w:t>
      </w:r>
    </w:p>
    <w:p w14:paraId="64648BD3" w14:textId="77777777" w:rsidR="00F84510" w:rsidRDefault="00F84510" w:rsidP="00F84510">
      <w:pPr>
        <w:rPr>
          <w:noProof/>
        </w:rPr>
      </w:pPr>
      <w:r>
        <w:rPr>
          <w:noProof/>
        </w:rPr>
        <w:drawing>
          <wp:inline distT="0" distB="0" distL="0" distR="0" wp14:anchorId="09141E0F" wp14:editId="63D1E73C">
            <wp:extent cx="5731510" cy="2660650"/>
            <wp:effectExtent l="0" t="0" r="2540" b="6350"/>
            <wp:docPr id="2106507811" name="Picture 4" descr="A graph with numbers and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07811" name="Picture 4" descr="A graph with numbers and a red lin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660650"/>
                    </a:xfrm>
                    <a:prstGeom prst="rect">
                      <a:avLst/>
                    </a:prstGeom>
                    <a:noFill/>
                    <a:ln>
                      <a:noFill/>
                    </a:ln>
                  </pic:spPr>
                </pic:pic>
              </a:graphicData>
            </a:graphic>
          </wp:inline>
        </w:drawing>
      </w:r>
    </w:p>
    <w:p w14:paraId="0055079B" w14:textId="77777777" w:rsidR="00F84510" w:rsidRDefault="00F84510" w:rsidP="00F84510">
      <w:pPr>
        <w:rPr>
          <w:noProof/>
        </w:rPr>
      </w:pPr>
      <w:r>
        <w:rPr>
          <w:noProof/>
        </w:rPr>
        <w:lastRenderedPageBreak/>
        <w:drawing>
          <wp:inline distT="0" distB="0" distL="0" distR="0" wp14:anchorId="06A0D512" wp14:editId="631AD912">
            <wp:extent cx="5731510" cy="2679700"/>
            <wp:effectExtent l="0" t="0" r="2540" b="6350"/>
            <wp:docPr id="304585556" name="Picture 5"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85556" name="Picture 5" descr="A screen shot of a graph&#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679700"/>
                    </a:xfrm>
                    <a:prstGeom prst="rect">
                      <a:avLst/>
                    </a:prstGeom>
                    <a:noFill/>
                    <a:ln>
                      <a:noFill/>
                    </a:ln>
                  </pic:spPr>
                </pic:pic>
              </a:graphicData>
            </a:graphic>
          </wp:inline>
        </w:drawing>
      </w:r>
    </w:p>
    <w:p w14:paraId="591172A4" w14:textId="77777777" w:rsidR="00F84510" w:rsidRDefault="00F84510" w:rsidP="00F84510">
      <w:pPr>
        <w:rPr>
          <w:noProof/>
        </w:rPr>
      </w:pPr>
      <w:r>
        <w:rPr>
          <w:noProof/>
        </w:rPr>
        <w:drawing>
          <wp:inline distT="0" distB="0" distL="0" distR="0" wp14:anchorId="180676F6" wp14:editId="0451BF8D">
            <wp:extent cx="5731510" cy="2636520"/>
            <wp:effectExtent l="0" t="0" r="2540" b="0"/>
            <wp:docPr id="474501936"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501936" name="Picture 1" descr="A screen shot of a comput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636520"/>
                    </a:xfrm>
                    <a:prstGeom prst="rect">
                      <a:avLst/>
                    </a:prstGeom>
                    <a:noFill/>
                    <a:ln>
                      <a:noFill/>
                    </a:ln>
                  </pic:spPr>
                </pic:pic>
              </a:graphicData>
            </a:graphic>
          </wp:inline>
        </w:drawing>
      </w:r>
      <w:r>
        <w:rPr>
          <w:noProof/>
        </w:rPr>
        <w:t xml:space="preserve"> </w:t>
      </w:r>
    </w:p>
    <w:p w14:paraId="0D67D34D" w14:textId="28D6368E" w:rsidR="00F84510" w:rsidRDefault="00F84510" w:rsidP="00F84510">
      <w:r w:rsidRPr="00A902FA">
        <w:rPr>
          <w:b/>
          <w:bCs/>
        </w:rPr>
        <w:t>Fig. S</w:t>
      </w:r>
      <w:r w:rsidR="001C4814">
        <w:rPr>
          <w:b/>
          <w:bCs/>
        </w:rPr>
        <w:t>4</w:t>
      </w:r>
      <w:r w:rsidRPr="003D34C7">
        <w:t xml:space="preserve"> EDX spec</w:t>
      </w:r>
      <w:r w:rsidR="004464A2">
        <w:t>tra</w:t>
      </w:r>
      <w:r w:rsidRPr="003D34C7">
        <w:t xml:space="preserve"> for (a) rGO, (b) S@rGO-1, (c) S@rGO-2, (d) S@rGO-3 and (e) S@rGO-4.</w:t>
      </w:r>
    </w:p>
    <w:p w14:paraId="28C5AC88" w14:textId="77777777" w:rsidR="00F84510" w:rsidRPr="00F84510" w:rsidRDefault="00F84510" w:rsidP="00F84510">
      <w:pPr>
        <w:rPr>
          <w:lang w:val="en-GB"/>
        </w:rPr>
      </w:pPr>
    </w:p>
    <w:p w14:paraId="51666435" w14:textId="43AB2FF2" w:rsidR="00661A28" w:rsidRPr="009A3E39" w:rsidRDefault="00661A28" w:rsidP="00661A28">
      <w:pPr>
        <w:jc w:val="both"/>
        <w:rPr>
          <w:color w:val="0D0D0D" w:themeColor="text1" w:themeTint="F2"/>
          <w:szCs w:val="24"/>
        </w:rPr>
      </w:pPr>
      <w:r w:rsidRPr="009A3E39">
        <w:rPr>
          <w:b/>
          <w:bCs/>
          <w:color w:val="0D0D0D" w:themeColor="text1" w:themeTint="F2"/>
          <w:szCs w:val="24"/>
        </w:rPr>
        <w:t xml:space="preserve">Table </w:t>
      </w:r>
      <w:r w:rsidR="001C4814">
        <w:rPr>
          <w:b/>
          <w:bCs/>
          <w:color w:val="0D0D0D" w:themeColor="text1" w:themeTint="F2"/>
          <w:szCs w:val="24"/>
        </w:rPr>
        <w:t>S5</w:t>
      </w:r>
      <w:r w:rsidRPr="009A3E39">
        <w:rPr>
          <w:color w:val="0D0D0D" w:themeColor="text1" w:themeTint="F2"/>
          <w:szCs w:val="24"/>
        </w:rPr>
        <w:t xml:space="preserve"> EDX analysis of (a) S@rGO-1, (b) S@rGO-2, (c) S@rGO-3 and (d) S@rGO-4</w:t>
      </w:r>
    </w:p>
    <w:p w14:paraId="601F2D67" w14:textId="77777777" w:rsidR="00661A28" w:rsidRPr="009A3E39" w:rsidRDefault="00661A28" w:rsidP="00661A28">
      <w:pPr>
        <w:jc w:val="both"/>
        <w:rPr>
          <w:b/>
          <w:bCs/>
          <w:color w:val="0D0D0D" w:themeColor="text1" w:themeTint="F2"/>
          <w:szCs w:val="24"/>
          <w:u w:val="single"/>
        </w:rPr>
      </w:pPr>
    </w:p>
    <w:tbl>
      <w:tblPr>
        <w:tblW w:w="9468"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2"/>
        <w:gridCol w:w="1203"/>
        <w:gridCol w:w="1318"/>
        <w:gridCol w:w="1286"/>
        <w:gridCol w:w="1030"/>
        <w:gridCol w:w="876"/>
        <w:gridCol w:w="1080"/>
        <w:gridCol w:w="1133"/>
      </w:tblGrid>
      <w:tr w:rsidR="00661A28" w:rsidRPr="009A3E39" w14:paraId="0532067C" w14:textId="77777777" w:rsidTr="00BC1C03">
        <w:trPr>
          <w:trHeight w:val="420"/>
        </w:trPr>
        <w:tc>
          <w:tcPr>
            <w:tcW w:w="1542" w:type="dxa"/>
          </w:tcPr>
          <w:p w14:paraId="271DB4B1" w14:textId="77777777" w:rsidR="00661A28" w:rsidRPr="009A3E39" w:rsidRDefault="00661A28" w:rsidP="00BC1C03">
            <w:pPr>
              <w:rPr>
                <w:b/>
                <w:bCs/>
                <w:color w:val="0D0D0D" w:themeColor="text1" w:themeTint="F2"/>
                <w:szCs w:val="24"/>
              </w:rPr>
            </w:pPr>
            <w:r w:rsidRPr="009A3E39">
              <w:rPr>
                <w:b/>
                <w:bCs/>
                <w:color w:val="0D0D0D" w:themeColor="text1" w:themeTint="F2"/>
                <w:szCs w:val="24"/>
              </w:rPr>
              <w:t>Element</w:t>
            </w:r>
          </w:p>
        </w:tc>
        <w:tc>
          <w:tcPr>
            <w:tcW w:w="1203" w:type="dxa"/>
          </w:tcPr>
          <w:p w14:paraId="39A9AFD6" w14:textId="77777777" w:rsidR="00661A28" w:rsidRPr="009A3E39" w:rsidRDefault="00661A28" w:rsidP="00BC1C03">
            <w:pPr>
              <w:rPr>
                <w:b/>
                <w:bCs/>
                <w:color w:val="0D0D0D" w:themeColor="text1" w:themeTint="F2"/>
                <w:szCs w:val="24"/>
              </w:rPr>
            </w:pPr>
            <w:r w:rsidRPr="009A3E39">
              <w:rPr>
                <w:b/>
                <w:bCs/>
                <w:color w:val="0D0D0D" w:themeColor="text1" w:themeTint="F2"/>
                <w:szCs w:val="24"/>
              </w:rPr>
              <w:t>Weight%</w:t>
            </w:r>
          </w:p>
        </w:tc>
        <w:tc>
          <w:tcPr>
            <w:tcW w:w="1318" w:type="dxa"/>
          </w:tcPr>
          <w:p w14:paraId="3DCB6DCC" w14:textId="77777777" w:rsidR="00661A28" w:rsidRPr="009A3E39" w:rsidRDefault="00661A28" w:rsidP="00BC1C03">
            <w:pPr>
              <w:rPr>
                <w:b/>
                <w:bCs/>
                <w:color w:val="0D0D0D" w:themeColor="text1" w:themeTint="F2"/>
                <w:szCs w:val="24"/>
              </w:rPr>
            </w:pPr>
            <w:r w:rsidRPr="009A3E39">
              <w:rPr>
                <w:b/>
                <w:bCs/>
                <w:color w:val="0D0D0D" w:themeColor="text1" w:themeTint="F2"/>
                <w:szCs w:val="24"/>
              </w:rPr>
              <w:t>Atomic%</w:t>
            </w:r>
          </w:p>
        </w:tc>
        <w:tc>
          <w:tcPr>
            <w:tcW w:w="1286" w:type="dxa"/>
          </w:tcPr>
          <w:p w14:paraId="404008C5" w14:textId="77777777" w:rsidR="00661A28" w:rsidRPr="009A3E39" w:rsidRDefault="00661A28" w:rsidP="00BC1C03">
            <w:pPr>
              <w:rPr>
                <w:b/>
                <w:bCs/>
                <w:color w:val="0D0D0D" w:themeColor="text1" w:themeTint="F2"/>
                <w:szCs w:val="24"/>
              </w:rPr>
            </w:pPr>
            <w:r w:rsidRPr="009A3E39">
              <w:rPr>
                <w:b/>
                <w:bCs/>
                <w:color w:val="0D0D0D" w:themeColor="text1" w:themeTint="F2"/>
                <w:szCs w:val="24"/>
              </w:rPr>
              <w:t>Error%</w:t>
            </w:r>
          </w:p>
        </w:tc>
        <w:tc>
          <w:tcPr>
            <w:tcW w:w="1030" w:type="dxa"/>
          </w:tcPr>
          <w:p w14:paraId="739D495A" w14:textId="77777777" w:rsidR="00661A28" w:rsidRPr="009A3E39" w:rsidRDefault="00661A28" w:rsidP="00BC1C03">
            <w:pPr>
              <w:rPr>
                <w:b/>
                <w:bCs/>
                <w:color w:val="0D0D0D" w:themeColor="text1" w:themeTint="F2"/>
                <w:szCs w:val="24"/>
              </w:rPr>
            </w:pPr>
            <w:r w:rsidRPr="009A3E39">
              <w:rPr>
                <w:b/>
                <w:bCs/>
                <w:color w:val="0D0D0D" w:themeColor="text1" w:themeTint="F2"/>
                <w:szCs w:val="24"/>
              </w:rPr>
              <w:t>O: S</w:t>
            </w:r>
          </w:p>
          <w:p w14:paraId="7413EF16" w14:textId="77777777" w:rsidR="00661A28" w:rsidRPr="009A3E39" w:rsidRDefault="00661A28" w:rsidP="00BC1C03">
            <w:pPr>
              <w:rPr>
                <w:b/>
                <w:bCs/>
                <w:color w:val="0D0D0D" w:themeColor="text1" w:themeTint="F2"/>
                <w:szCs w:val="24"/>
              </w:rPr>
            </w:pPr>
            <w:r w:rsidRPr="009A3E39">
              <w:rPr>
                <w:b/>
                <w:bCs/>
                <w:color w:val="0D0D0D" w:themeColor="text1" w:themeTint="F2"/>
                <w:szCs w:val="24"/>
              </w:rPr>
              <w:t>fraction</w:t>
            </w:r>
          </w:p>
        </w:tc>
        <w:tc>
          <w:tcPr>
            <w:tcW w:w="876" w:type="dxa"/>
          </w:tcPr>
          <w:p w14:paraId="3BC826B0" w14:textId="77777777" w:rsidR="00661A28" w:rsidRPr="009A3E39" w:rsidRDefault="00661A28" w:rsidP="00BC1C03">
            <w:pPr>
              <w:rPr>
                <w:b/>
                <w:bCs/>
                <w:color w:val="0D0D0D" w:themeColor="text1" w:themeTint="F2"/>
                <w:szCs w:val="24"/>
              </w:rPr>
            </w:pPr>
            <w:r w:rsidRPr="009A3E39">
              <w:rPr>
                <w:b/>
                <w:bCs/>
                <w:color w:val="0D0D0D" w:themeColor="text1" w:themeTint="F2"/>
                <w:szCs w:val="24"/>
              </w:rPr>
              <w:t xml:space="preserve">O/ S </w:t>
            </w:r>
          </w:p>
          <w:p w14:paraId="088105FB" w14:textId="77777777" w:rsidR="00661A28" w:rsidRPr="009A3E39" w:rsidRDefault="00661A28" w:rsidP="00BC1C03">
            <w:pPr>
              <w:rPr>
                <w:b/>
                <w:bCs/>
                <w:color w:val="0D0D0D" w:themeColor="text1" w:themeTint="F2"/>
                <w:szCs w:val="24"/>
              </w:rPr>
            </w:pPr>
            <w:r w:rsidRPr="009A3E39">
              <w:rPr>
                <w:b/>
                <w:bCs/>
                <w:color w:val="0D0D0D" w:themeColor="text1" w:themeTint="F2"/>
                <w:szCs w:val="24"/>
              </w:rPr>
              <w:t>(mole)</w:t>
            </w:r>
          </w:p>
        </w:tc>
        <w:tc>
          <w:tcPr>
            <w:tcW w:w="1080" w:type="dxa"/>
          </w:tcPr>
          <w:p w14:paraId="58CF3211" w14:textId="77777777" w:rsidR="00661A28" w:rsidRPr="009A3E39" w:rsidRDefault="00661A28" w:rsidP="00BC1C03">
            <w:pPr>
              <w:rPr>
                <w:b/>
                <w:bCs/>
                <w:color w:val="0D0D0D" w:themeColor="text1" w:themeTint="F2"/>
                <w:szCs w:val="24"/>
              </w:rPr>
            </w:pPr>
            <w:r w:rsidRPr="009A3E39">
              <w:rPr>
                <w:b/>
                <w:bCs/>
                <w:color w:val="0D0D0D" w:themeColor="text1" w:themeTint="F2"/>
                <w:szCs w:val="24"/>
              </w:rPr>
              <w:t>C/ O</w:t>
            </w:r>
          </w:p>
          <w:p w14:paraId="1FC0A5BF" w14:textId="77777777" w:rsidR="00661A28" w:rsidRPr="009A3E39" w:rsidRDefault="00661A28" w:rsidP="00BC1C03">
            <w:pPr>
              <w:rPr>
                <w:b/>
                <w:bCs/>
                <w:color w:val="0D0D0D" w:themeColor="text1" w:themeTint="F2"/>
                <w:szCs w:val="24"/>
              </w:rPr>
            </w:pPr>
            <w:r w:rsidRPr="009A3E39">
              <w:rPr>
                <w:b/>
                <w:bCs/>
                <w:color w:val="0D0D0D" w:themeColor="text1" w:themeTint="F2"/>
                <w:szCs w:val="24"/>
              </w:rPr>
              <w:t xml:space="preserve">  (mole)</w:t>
            </w:r>
          </w:p>
        </w:tc>
        <w:tc>
          <w:tcPr>
            <w:tcW w:w="1133" w:type="dxa"/>
          </w:tcPr>
          <w:p w14:paraId="3CA3559F" w14:textId="77777777" w:rsidR="00661A28" w:rsidRPr="009A3E39" w:rsidRDefault="00661A28" w:rsidP="00BC1C03">
            <w:pPr>
              <w:rPr>
                <w:b/>
                <w:bCs/>
                <w:color w:val="0D0D0D" w:themeColor="text1" w:themeTint="F2"/>
                <w:szCs w:val="24"/>
              </w:rPr>
            </w:pPr>
            <w:r w:rsidRPr="009A3E39">
              <w:rPr>
                <w:b/>
                <w:bCs/>
                <w:color w:val="0D0D0D" w:themeColor="text1" w:themeTint="F2"/>
                <w:szCs w:val="24"/>
              </w:rPr>
              <w:t>C/ (O+S)</w:t>
            </w:r>
          </w:p>
          <w:p w14:paraId="6118884E" w14:textId="77777777" w:rsidR="00661A28" w:rsidRPr="009A3E39" w:rsidRDefault="00661A28" w:rsidP="00BC1C03">
            <w:pPr>
              <w:rPr>
                <w:b/>
                <w:bCs/>
                <w:color w:val="0D0D0D" w:themeColor="text1" w:themeTint="F2"/>
                <w:szCs w:val="24"/>
              </w:rPr>
            </w:pPr>
            <w:r w:rsidRPr="009A3E39">
              <w:rPr>
                <w:b/>
                <w:bCs/>
                <w:color w:val="0D0D0D" w:themeColor="text1" w:themeTint="F2"/>
                <w:szCs w:val="24"/>
              </w:rPr>
              <w:t xml:space="preserve">   (mole)</w:t>
            </w:r>
          </w:p>
        </w:tc>
      </w:tr>
      <w:tr w:rsidR="00661A28" w:rsidRPr="009A3E39" w14:paraId="3AD0A880" w14:textId="77777777" w:rsidTr="00BC1C03">
        <w:trPr>
          <w:trHeight w:val="315"/>
        </w:trPr>
        <w:tc>
          <w:tcPr>
            <w:tcW w:w="5349" w:type="dxa"/>
            <w:gridSpan w:val="4"/>
          </w:tcPr>
          <w:p w14:paraId="6B2F76F8"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(a) S@rGO-1</w:t>
            </w:r>
          </w:p>
        </w:tc>
        <w:tc>
          <w:tcPr>
            <w:tcW w:w="1030" w:type="dxa"/>
            <w:vMerge w:val="restart"/>
          </w:tcPr>
          <w:p w14:paraId="16F40394" w14:textId="77777777" w:rsidR="00661A28" w:rsidRPr="009A3E39" w:rsidRDefault="00661A28" w:rsidP="00BC1C03">
            <w:pPr>
              <w:rPr>
                <w:b/>
                <w:bCs/>
                <w:color w:val="0D0D0D" w:themeColor="text1" w:themeTint="F2"/>
                <w:szCs w:val="24"/>
              </w:rPr>
            </w:pPr>
            <w:r w:rsidRPr="009A3E39">
              <w:rPr>
                <w:b/>
                <w:bCs/>
                <w:color w:val="0D0D0D" w:themeColor="text1" w:themeTint="F2"/>
                <w:szCs w:val="24"/>
              </w:rPr>
              <w:t>10.25</w:t>
            </w:r>
          </w:p>
        </w:tc>
        <w:tc>
          <w:tcPr>
            <w:tcW w:w="876" w:type="dxa"/>
            <w:vMerge w:val="restart"/>
          </w:tcPr>
          <w:p w14:paraId="2A3A056E" w14:textId="77777777" w:rsidR="00661A28" w:rsidRPr="009A3E39" w:rsidRDefault="00661A28" w:rsidP="00BC1C03">
            <w:pPr>
              <w:rPr>
                <w:b/>
                <w:bCs/>
                <w:color w:val="0D0D0D" w:themeColor="text1" w:themeTint="F2"/>
                <w:szCs w:val="24"/>
              </w:rPr>
            </w:pPr>
            <w:r w:rsidRPr="009A3E39">
              <w:rPr>
                <w:b/>
                <w:bCs/>
                <w:color w:val="0D0D0D" w:themeColor="text1" w:themeTint="F2"/>
                <w:szCs w:val="24"/>
              </w:rPr>
              <w:t>20.5</w:t>
            </w:r>
          </w:p>
        </w:tc>
        <w:tc>
          <w:tcPr>
            <w:tcW w:w="1080" w:type="dxa"/>
            <w:vMerge w:val="restart"/>
          </w:tcPr>
          <w:p w14:paraId="0EEF1D70" w14:textId="77777777" w:rsidR="00661A28" w:rsidRPr="009A3E39" w:rsidRDefault="00661A28" w:rsidP="00BC1C03">
            <w:pPr>
              <w:rPr>
                <w:b/>
                <w:bCs/>
                <w:color w:val="0D0D0D" w:themeColor="text1" w:themeTint="F2"/>
                <w:szCs w:val="24"/>
              </w:rPr>
            </w:pPr>
            <w:r w:rsidRPr="009A3E39">
              <w:rPr>
                <w:b/>
                <w:bCs/>
                <w:color w:val="0D0D0D" w:themeColor="text1" w:themeTint="F2"/>
                <w:szCs w:val="24"/>
              </w:rPr>
              <w:t>31.05</w:t>
            </w:r>
          </w:p>
        </w:tc>
        <w:tc>
          <w:tcPr>
            <w:tcW w:w="1133" w:type="dxa"/>
            <w:vMerge w:val="restart"/>
          </w:tcPr>
          <w:p w14:paraId="06490850" w14:textId="77777777" w:rsidR="00661A28" w:rsidRPr="009A3E39" w:rsidRDefault="00661A28" w:rsidP="00BC1C03">
            <w:pPr>
              <w:rPr>
                <w:b/>
                <w:bCs/>
                <w:color w:val="0D0D0D" w:themeColor="text1" w:themeTint="F2"/>
                <w:szCs w:val="24"/>
              </w:rPr>
            </w:pPr>
            <w:r w:rsidRPr="009A3E39">
              <w:rPr>
                <w:b/>
                <w:bCs/>
                <w:color w:val="0D0D0D" w:themeColor="text1" w:themeTint="F2"/>
                <w:szCs w:val="24"/>
              </w:rPr>
              <w:t>29.611</w:t>
            </w:r>
          </w:p>
        </w:tc>
      </w:tr>
      <w:tr w:rsidR="00661A28" w:rsidRPr="009A3E39" w14:paraId="3C0361C8" w14:textId="77777777" w:rsidTr="00BC1C03">
        <w:trPr>
          <w:trHeight w:val="405"/>
        </w:trPr>
        <w:tc>
          <w:tcPr>
            <w:tcW w:w="1542" w:type="dxa"/>
          </w:tcPr>
          <w:p w14:paraId="71DCFC41"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C</w:t>
            </w:r>
          </w:p>
        </w:tc>
        <w:tc>
          <w:tcPr>
            <w:tcW w:w="1203" w:type="dxa"/>
          </w:tcPr>
          <w:p w14:paraId="45C64DF0"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93.6</w:t>
            </w:r>
          </w:p>
        </w:tc>
        <w:tc>
          <w:tcPr>
            <w:tcW w:w="1318" w:type="dxa"/>
          </w:tcPr>
          <w:p w14:paraId="63A8C1A2"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95.5</w:t>
            </w:r>
          </w:p>
        </w:tc>
        <w:tc>
          <w:tcPr>
            <w:tcW w:w="1286" w:type="dxa"/>
          </w:tcPr>
          <w:p w14:paraId="5C194EB3"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3.3</w:t>
            </w:r>
          </w:p>
        </w:tc>
        <w:tc>
          <w:tcPr>
            <w:tcW w:w="1030" w:type="dxa"/>
            <w:vMerge/>
          </w:tcPr>
          <w:p w14:paraId="51ED039D" w14:textId="77777777" w:rsidR="00661A28" w:rsidRPr="009A3E39" w:rsidRDefault="00661A28" w:rsidP="00BC1C03">
            <w:pPr>
              <w:rPr>
                <w:b/>
                <w:bCs/>
                <w:color w:val="0D0D0D" w:themeColor="text1" w:themeTint="F2"/>
                <w:szCs w:val="24"/>
              </w:rPr>
            </w:pPr>
          </w:p>
        </w:tc>
        <w:tc>
          <w:tcPr>
            <w:tcW w:w="876" w:type="dxa"/>
            <w:vMerge/>
          </w:tcPr>
          <w:p w14:paraId="0CB08F08" w14:textId="77777777" w:rsidR="00661A28" w:rsidRPr="009A3E39" w:rsidRDefault="00661A28" w:rsidP="00BC1C03">
            <w:pPr>
              <w:rPr>
                <w:b/>
                <w:bCs/>
                <w:color w:val="0D0D0D" w:themeColor="text1" w:themeTint="F2"/>
                <w:szCs w:val="24"/>
              </w:rPr>
            </w:pPr>
          </w:p>
        </w:tc>
        <w:tc>
          <w:tcPr>
            <w:tcW w:w="1080" w:type="dxa"/>
            <w:vMerge/>
          </w:tcPr>
          <w:p w14:paraId="6C6BD615" w14:textId="77777777" w:rsidR="00661A28" w:rsidRPr="009A3E39" w:rsidRDefault="00661A28" w:rsidP="00BC1C03">
            <w:pPr>
              <w:rPr>
                <w:b/>
                <w:bCs/>
                <w:color w:val="0D0D0D" w:themeColor="text1" w:themeTint="F2"/>
                <w:szCs w:val="24"/>
              </w:rPr>
            </w:pPr>
          </w:p>
        </w:tc>
        <w:tc>
          <w:tcPr>
            <w:tcW w:w="1133" w:type="dxa"/>
            <w:vMerge/>
          </w:tcPr>
          <w:p w14:paraId="0000DBF8" w14:textId="77777777" w:rsidR="00661A28" w:rsidRPr="009A3E39" w:rsidRDefault="00661A28" w:rsidP="00BC1C03">
            <w:pPr>
              <w:rPr>
                <w:b/>
                <w:bCs/>
                <w:color w:val="0D0D0D" w:themeColor="text1" w:themeTint="F2"/>
                <w:szCs w:val="24"/>
              </w:rPr>
            </w:pPr>
          </w:p>
        </w:tc>
      </w:tr>
      <w:tr w:rsidR="00661A28" w:rsidRPr="009A3E39" w14:paraId="53EEB73F" w14:textId="77777777" w:rsidTr="00BC1C03">
        <w:trPr>
          <w:trHeight w:val="255"/>
        </w:trPr>
        <w:tc>
          <w:tcPr>
            <w:tcW w:w="1542" w:type="dxa"/>
          </w:tcPr>
          <w:p w14:paraId="68CB0155"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O</w:t>
            </w:r>
          </w:p>
        </w:tc>
        <w:tc>
          <w:tcPr>
            <w:tcW w:w="1203" w:type="dxa"/>
          </w:tcPr>
          <w:p w14:paraId="4EFF130A"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5.4</w:t>
            </w:r>
          </w:p>
        </w:tc>
        <w:tc>
          <w:tcPr>
            <w:tcW w:w="1318" w:type="dxa"/>
          </w:tcPr>
          <w:p w14:paraId="2A8A3576"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4.1</w:t>
            </w:r>
          </w:p>
        </w:tc>
        <w:tc>
          <w:tcPr>
            <w:tcW w:w="1286" w:type="dxa"/>
          </w:tcPr>
          <w:p w14:paraId="1331A6A5"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18.3</w:t>
            </w:r>
          </w:p>
        </w:tc>
        <w:tc>
          <w:tcPr>
            <w:tcW w:w="1030" w:type="dxa"/>
            <w:vMerge/>
          </w:tcPr>
          <w:p w14:paraId="72D2B2F3" w14:textId="77777777" w:rsidR="00661A28" w:rsidRPr="009A3E39" w:rsidRDefault="00661A28" w:rsidP="00BC1C03">
            <w:pPr>
              <w:rPr>
                <w:b/>
                <w:bCs/>
                <w:color w:val="0D0D0D" w:themeColor="text1" w:themeTint="F2"/>
                <w:szCs w:val="24"/>
              </w:rPr>
            </w:pPr>
          </w:p>
        </w:tc>
        <w:tc>
          <w:tcPr>
            <w:tcW w:w="876" w:type="dxa"/>
            <w:vMerge/>
          </w:tcPr>
          <w:p w14:paraId="1827F829" w14:textId="77777777" w:rsidR="00661A28" w:rsidRPr="009A3E39" w:rsidRDefault="00661A28" w:rsidP="00BC1C03">
            <w:pPr>
              <w:rPr>
                <w:b/>
                <w:bCs/>
                <w:color w:val="0D0D0D" w:themeColor="text1" w:themeTint="F2"/>
                <w:szCs w:val="24"/>
              </w:rPr>
            </w:pPr>
          </w:p>
        </w:tc>
        <w:tc>
          <w:tcPr>
            <w:tcW w:w="1080" w:type="dxa"/>
            <w:vMerge/>
          </w:tcPr>
          <w:p w14:paraId="5067F551" w14:textId="77777777" w:rsidR="00661A28" w:rsidRPr="009A3E39" w:rsidRDefault="00661A28" w:rsidP="00BC1C03">
            <w:pPr>
              <w:rPr>
                <w:b/>
                <w:bCs/>
                <w:color w:val="0D0D0D" w:themeColor="text1" w:themeTint="F2"/>
                <w:szCs w:val="24"/>
              </w:rPr>
            </w:pPr>
          </w:p>
        </w:tc>
        <w:tc>
          <w:tcPr>
            <w:tcW w:w="1133" w:type="dxa"/>
            <w:vMerge/>
          </w:tcPr>
          <w:p w14:paraId="3F3AF5A6" w14:textId="77777777" w:rsidR="00661A28" w:rsidRPr="009A3E39" w:rsidRDefault="00661A28" w:rsidP="00BC1C03">
            <w:pPr>
              <w:rPr>
                <w:b/>
                <w:bCs/>
                <w:color w:val="0D0D0D" w:themeColor="text1" w:themeTint="F2"/>
                <w:szCs w:val="24"/>
              </w:rPr>
            </w:pPr>
          </w:p>
        </w:tc>
      </w:tr>
      <w:tr w:rsidR="00661A28" w:rsidRPr="009A3E39" w14:paraId="437F2505" w14:textId="77777777" w:rsidTr="00BC1C03">
        <w:trPr>
          <w:trHeight w:val="420"/>
        </w:trPr>
        <w:tc>
          <w:tcPr>
            <w:tcW w:w="1542" w:type="dxa"/>
            <w:tcBorders>
              <w:bottom w:val="single" w:sz="4" w:space="0" w:color="auto"/>
            </w:tcBorders>
          </w:tcPr>
          <w:p w14:paraId="07F8D2D8"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S</w:t>
            </w:r>
          </w:p>
        </w:tc>
        <w:tc>
          <w:tcPr>
            <w:tcW w:w="1203" w:type="dxa"/>
            <w:tcBorders>
              <w:bottom w:val="single" w:sz="4" w:space="0" w:color="auto"/>
            </w:tcBorders>
          </w:tcPr>
          <w:p w14:paraId="6FBD4B9C"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1</w:t>
            </w:r>
          </w:p>
        </w:tc>
        <w:tc>
          <w:tcPr>
            <w:tcW w:w="1318" w:type="dxa"/>
            <w:tcBorders>
              <w:bottom w:val="single" w:sz="4" w:space="0" w:color="auto"/>
            </w:tcBorders>
          </w:tcPr>
          <w:p w14:paraId="4C0A80C7"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0.4</w:t>
            </w:r>
          </w:p>
        </w:tc>
        <w:tc>
          <w:tcPr>
            <w:tcW w:w="1286" w:type="dxa"/>
            <w:tcBorders>
              <w:bottom w:val="single" w:sz="4" w:space="0" w:color="auto"/>
            </w:tcBorders>
          </w:tcPr>
          <w:p w14:paraId="49FB3BB7"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7</w:t>
            </w:r>
          </w:p>
        </w:tc>
        <w:tc>
          <w:tcPr>
            <w:tcW w:w="1030" w:type="dxa"/>
            <w:vMerge/>
          </w:tcPr>
          <w:p w14:paraId="462ECB20" w14:textId="77777777" w:rsidR="00661A28" w:rsidRPr="009A3E39" w:rsidRDefault="00661A28" w:rsidP="00BC1C03">
            <w:pPr>
              <w:rPr>
                <w:b/>
                <w:bCs/>
                <w:color w:val="0D0D0D" w:themeColor="text1" w:themeTint="F2"/>
                <w:szCs w:val="24"/>
              </w:rPr>
            </w:pPr>
          </w:p>
        </w:tc>
        <w:tc>
          <w:tcPr>
            <w:tcW w:w="876" w:type="dxa"/>
            <w:vMerge/>
          </w:tcPr>
          <w:p w14:paraId="0C3356D5" w14:textId="77777777" w:rsidR="00661A28" w:rsidRPr="009A3E39" w:rsidRDefault="00661A28" w:rsidP="00BC1C03">
            <w:pPr>
              <w:rPr>
                <w:b/>
                <w:bCs/>
                <w:color w:val="0D0D0D" w:themeColor="text1" w:themeTint="F2"/>
                <w:szCs w:val="24"/>
              </w:rPr>
            </w:pPr>
          </w:p>
        </w:tc>
        <w:tc>
          <w:tcPr>
            <w:tcW w:w="1080" w:type="dxa"/>
            <w:vMerge/>
          </w:tcPr>
          <w:p w14:paraId="2896D271" w14:textId="77777777" w:rsidR="00661A28" w:rsidRPr="009A3E39" w:rsidRDefault="00661A28" w:rsidP="00BC1C03">
            <w:pPr>
              <w:rPr>
                <w:b/>
                <w:bCs/>
                <w:color w:val="0D0D0D" w:themeColor="text1" w:themeTint="F2"/>
                <w:szCs w:val="24"/>
              </w:rPr>
            </w:pPr>
          </w:p>
        </w:tc>
        <w:tc>
          <w:tcPr>
            <w:tcW w:w="1133" w:type="dxa"/>
            <w:vMerge/>
          </w:tcPr>
          <w:p w14:paraId="3D140135" w14:textId="77777777" w:rsidR="00661A28" w:rsidRPr="009A3E39" w:rsidRDefault="00661A28" w:rsidP="00BC1C03">
            <w:pPr>
              <w:rPr>
                <w:b/>
                <w:bCs/>
                <w:color w:val="0D0D0D" w:themeColor="text1" w:themeTint="F2"/>
                <w:szCs w:val="24"/>
              </w:rPr>
            </w:pPr>
          </w:p>
        </w:tc>
      </w:tr>
      <w:tr w:rsidR="00661A28" w:rsidRPr="009A3E39" w14:paraId="403D1626" w14:textId="77777777" w:rsidTr="00BC1C03">
        <w:trPr>
          <w:trHeight w:val="23"/>
        </w:trPr>
        <w:tc>
          <w:tcPr>
            <w:tcW w:w="5349" w:type="dxa"/>
            <w:gridSpan w:val="4"/>
            <w:tcBorders>
              <w:top w:val="single" w:sz="4" w:space="0" w:color="auto"/>
            </w:tcBorders>
          </w:tcPr>
          <w:p w14:paraId="7FBC17B0"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lastRenderedPageBreak/>
              <w:t>(b) S@rGO-2</w:t>
            </w:r>
          </w:p>
        </w:tc>
        <w:tc>
          <w:tcPr>
            <w:tcW w:w="1030" w:type="dxa"/>
            <w:vMerge w:val="restart"/>
          </w:tcPr>
          <w:p w14:paraId="6DE5CA33" w14:textId="77777777" w:rsidR="00661A28" w:rsidRPr="009A3E39" w:rsidRDefault="00661A28" w:rsidP="00BC1C03">
            <w:pPr>
              <w:rPr>
                <w:b/>
                <w:bCs/>
                <w:color w:val="0D0D0D" w:themeColor="text1" w:themeTint="F2"/>
                <w:szCs w:val="24"/>
              </w:rPr>
            </w:pPr>
            <w:r w:rsidRPr="009A3E39">
              <w:rPr>
                <w:b/>
                <w:bCs/>
                <w:color w:val="0D0D0D" w:themeColor="text1" w:themeTint="F2"/>
                <w:szCs w:val="24"/>
              </w:rPr>
              <w:t>5.81</w:t>
            </w:r>
          </w:p>
        </w:tc>
        <w:tc>
          <w:tcPr>
            <w:tcW w:w="876" w:type="dxa"/>
            <w:vMerge w:val="restart"/>
          </w:tcPr>
          <w:p w14:paraId="238AEBC2" w14:textId="77777777" w:rsidR="00661A28" w:rsidRPr="009A3E39" w:rsidRDefault="00661A28" w:rsidP="00BC1C03">
            <w:pPr>
              <w:rPr>
                <w:b/>
                <w:bCs/>
                <w:color w:val="0D0D0D" w:themeColor="text1" w:themeTint="F2"/>
                <w:szCs w:val="24"/>
              </w:rPr>
            </w:pPr>
            <w:r w:rsidRPr="009A3E39">
              <w:rPr>
                <w:b/>
                <w:bCs/>
                <w:color w:val="0D0D0D" w:themeColor="text1" w:themeTint="F2"/>
                <w:szCs w:val="24"/>
              </w:rPr>
              <w:t>11.625</w:t>
            </w:r>
          </w:p>
        </w:tc>
        <w:tc>
          <w:tcPr>
            <w:tcW w:w="1080" w:type="dxa"/>
            <w:vMerge w:val="restart"/>
          </w:tcPr>
          <w:p w14:paraId="2383343D" w14:textId="77777777" w:rsidR="00661A28" w:rsidRPr="009A3E39" w:rsidRDefault="00661A28" w:rsidP="00BC1C03">
            <w:pPr>
              <w:rPr>
                <w:b/>
                <w:bCs/>
                <w:color w:val="0D0D0D" w:themeColor="text1" w:themeTint="F2"/>
                <w:szCs w:val="24"/>
              </w:rPr>
            </w:pPr>
            <w:r w:rsidRPr="009A3E39">
              <w:rPr>
                <w:b/>
                <w:bCs/>
                <w:color w:val="0D0D0D" w:themeColor="text1" w:themeTint="F2"/>
                <w:szCs w:val="24"/>
              </w:rPr>
              <w:t>12.774</w:t>
            </w:r>
          </w:p>
        </w:tc>
        <w:tc>
          <w:tcPr>
            <w:tcW w:w="1133" w:type="dxa"/>
            <w:vMerge w:val="restart"/>
          </w:tcPr>
          <w:p w14:paraId="7B77DBED" w14:textId="77777777" w:rsidR="00661A28" w:rsidRPr="009A3E39" w:rsidRDefault="00661A28" w:rsidP="00BC1C03">
            <w:pPr>
              <w:rPr>
                <w:b/>
                <w:bCs/>
                <w:color w:val="0D0D0D" w:themeColor="text1" w:themeTint="F2"/>
                <w:szCs w:val="24"/>
              </w:rPr>
            </w:pPr>
            <w:r w:rsidRPr="009A3E39">
              <w:rPr>
                <w:b/>
                <w:bCs/>
                <w:color w:val="0D0D0D" w:themeColor="text1" w:themeTint="F2"/>
                <w:szCs w:val="24"/>
              </w:rPr>
              <w:t>11.762</w:t>
            </w:r>
          </w:p>
        </w:tc>
      </w:tr>
      <w:tr w:rsidR="00661A28" w:rsidRPr="009A3E39" w14:paraId="40653FFA" w14:textId="77777777" w:rsidTr="00BC1C03">
        <w:trPr>
          <w:trHeight w:val="420"/>
        </w:trPr>
        <w:tc>
          <w:tcPr>
            <w:tcW w:w="5349" w:type="dxa"/>
            <w:gridSpan w:val="4"/>
            <w:tcBorders>
              <w:top w:val="single" w:sz="4" w:space="0" w:color="auto"/>
            </w:tcBorders>
          </w:tcPr>
          <w:p w14:paraId="02877DCF" w14:textId="77777777" w:rsidR="00661A28" w:rsidRPr="009A3E39" w:rsidRDefault="00661A28" w:rsidP="00BC1C03">
            <w:pPr>
              <w:jc w:val="both"/>
              <w:rPr>
                <w:b/>
                <w:bCs/>
                <w:color w:val="0D0D0D" w:themeColor="text1" w:themeTint="F2"/>
                <w:szCs w:val="24"/>
              </w:rPr>
            </w:pPr>
          </w:p>
        </w:tc>
        <w:tc>
          <w:tcPr>
            <w:tcW w:w="1030" w:type="dxa"/>
            <w:vMerge/>
          </w:tcPr>
          <w:p w14:paraId="22F2250D" w14:textId="77777777" w:rsidR="00661A28" w:rsidRPr="009A3E39" w:rsidRDefault="00661A28" w:rsidP="00BC1C03">
            <w:pPr>
              <w:rPr>
                <w:b/>
                <w:bCs/>
                <w:color w:val="0D0D0D" w:themeColor="text1" w:themeTint="F2"/>
                <w:szCs w:val="24"/>
              </w:rPr>
            </w:pPr>
          </w:p>
        </w:tc>
        <w:tc>
          <w:tcPr>
            <w:tcW w:w="876" w:type="dxa"/>
            <w:vMerge/>
          </w:tcPr>
          <w:p w14:paraId="3E8415B4" w14:textId="77777777" w:rsidR="00661A28" w:rsidRPr="009A3E39" w:rsidRDefault="00661A28" w:rsidP="00BC1C03">
            <w:pPr>
              <w:rPr>
                <w:b/>
                <w:bCs/>
                <w:color w:val="0D0D0D" w:themeColor="text1" w:themeTint="F2"/>
                <w:szCs w:val="24"/>
              </w:rPr>
            </w:pPr>
          </w:p>
        </w:tc>
        <w:tc>
          <w:tcPr>
            <w:tcW w:w="1080" w:type="dxa"/>
            <w:vMerge/>
          </w:tcPr>
          <w:p w14:paraId="6C416AC9" w14:textId="77777777" w:rsidR="00661A28" w:rsidRPr="009A3E39" w:rsidRDefault="00661A28" w:rsidP="00BC1C03">
            <w:pPr>
              <w:rPr>
                <w:b/>
                <w:bCs/>
                <w:color w:val="0D0D0D" w:themeColor="text1" w:themeTint="F2"/>
                <w:szCs w:val="24"/>
              </w:rPr>
            </w:pPr>
          </w:p>
        </w:tc>
        <w:tc>
          <w:tcPr>
            <w:tcW w:w="1133" w:type="dxa"/>
            <w:vMerge/>
          </w:tcPr>
          <w:p w14:paraId="24AA9D67" w14:textId="77777777" w:rsidR="00661A28" w:rsidRPr="009A3E39" w:rsidRDefault="00661A28" w:rsidP="00BC1C03">
            <w:pPr>
              <w:rPr>
                <w:b/>
                <w:bCs/>
                <w:color w:val="0D0D0D" w:themeColor="text1" w:themeTint="F2"/>
                <w:szCs w:val="24"/>
              </w:rPr>
            </w:pPr>
          </w:p>
        </w:tc>
      </w:tr>
      <w:tr w:rsidR="00661A28" w:rsidRPr="009A3E39" w14:paraId="5F86CFCE" w14:textId="77777777" w:rsidTr="00BC1C03">
        <w:trPr>
          <w:trHeight w:val="255"/>
        </w:trPr>
        <w:tc>
          <w:tcPr>
            <w:tcW w:w="1542" w:type="dxa"/>
          </w:tcPr>
          <w:p w14:paraId="07541F35"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C</w:t>
            </w:r>
          </w:p>
        </w:tc>
        <w:tc>
          <w:tcPr>
            <w:tcW w:w="1203" w:type="dxa"/>
          </w:tcPr>
          <w:p w14:paraId="413DEF5F"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84.2</w:t>
            </w:r>
          </w:p>
        </w:tc>
        <w:tc>
          <w:tcPr>
            <w:tcW w:w="1318" w:type="dxa"/>
          </w:tcPr>
          <w:p w14:paraId="0014F56B"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89.1</w:t>
            </w:r>
          </w:p>
        </w:tc>
        <w:tc>
          <w:tcPr>
            <w:tcW w:w="1286" w:type="dxa"/>
          </w:tcPr>
          <w:p w14:paraId="3F17BE8C"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7.4</w:t>
            </w:r>
          </w:p>
        </w:tc>
        <w:tc>
          <w:tcPr>
            <w:tcW w:w="1030" w:type="dxa"/>
            <w:vMerge/>
          </w:tcPr>
          <w:p w14:paraId="0CF5CEF1" w14:textId="77777777" w:rsidR="00661A28" w:rsidRPr="009A3E39" w:rsidRDefault="00661A28" w:rsidP="00BC1C03">
            <w:pPr>
              <w:rPr>
                <w:b/>
                <w:bCs/>
                <w:color w:val="0D0D0D" w:themeColor="text1" w:themeTint="F2"/>
                <w:szCs w:val="24"/>
              </w:rPr>
            </w:pPr>
          </w:p>
        </w:tc>
        <w:tc>
          <w:tcPr>
            <w:tcW w:w="876" w:type="dxa"/>
            <w:vMerge/>
          </w:tcPr>
          <w:p w14:paraId="4D1098A4" w14:textId="77777777" w:rsidR="00661A28" w:rsidRPr="009A3E39" w:rsidRDefault="00661A28" w:rsidP="00BC1C03">
            <w:pPr>
              <w:rPr>
                <w:b/>
                <w:bCs/>
                <w:color w:val="0D0D0D" w:themeColor="text1" w:themeTint="F2"/>
                <w:szCs w:val="24"/>
              </w:rPr>
            </w:pPr>
          </w:p>
        </w:tc>
        <w:tc>
          <w:tcPr>
            <w:tcW w:w="1080" w:type="dxa"/>
            <w:vMerge/>
          </w:tcPr>
          <w:p w14:paraId="10BCA20C" w14:textId="77777777" w:rsidR="00661A28" w:rsidRPr="009A3E39" w:rsidRDefault="00661A28" w:rsidP="00BC1C03">
            <w:pPr>
              <w:rPr>
                <w:b/>
                <w:bCs/>
                <w:color w:val="0D0D0D" w:themeColor="text1" w:themeTint="F2"/>
                <w:szCs w:val="24"/>
              </w:rPr>
            </w:pPr>
          </w:p>
        </w:tc>
        <w:tc>
          <w:tcPr>
            <w:tcW w:w="1133" w:type="dxa"/>
            <w:vMerge/>
          </w:tcPr>
          <w:p w14:paraId="2FA1715D" w14:textId="77777777" w:rsidR="00661A28" w:rsidRPr="009A3E39" w:rsidRDefault="00661A28" w:rsidP="00BC1C03">
            <w:pPr>
              <w:rPr>
                <w:b/>
                <w:bCs/>
                <w:color w:val="0D0D0D" w:themeColor="text1" w:themeTint="F2"/>
                <w:szCs w:val="24"/>
              </w:rPr>
            </w:pPr>
          </w:p>
        </w:tc>
      </w:tr>
      <w:tr w:rsidR="00661A28" w:rsidRPr="009A3E39" w14:paraId="3C88B472" w14:textId="77777777" w:rsidTr="00BC1C03">
        <w:trPr>
          <w:trHeight w:val="285"/>
        </w:trPr>
        <w:tc>
          <w:tcPr>
            <w:tcW w:w="1542" w:type="dxa"/>
          </w:tcPr>
          <w:p w14:paraId="51DEF591"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O</w:t>
            </w:r>
          </w:p>
        </w:tc>
        <w:tc>
          <w:tcPr>
            <w:tcW w:w="1203" w:type="dxa"/>
          </w:tcPr>
          <w:p w14:paraId="717F8C72"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11.7</w:t>
            </w:r>
          </w:p>
        </w:tc>
        <w:tc>
          <w:tcPr>
            <w:tcW w:w="1318" w:type="dxa"/>
          </w:tcPr>
          <w:p w14:paraId="453BEA46"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9.3</w:t>
            </w:r>
          </w:p>
        </w:tc>
        <w:tc>
          <w:tcPr>
            <w:tcW w:w="1286" w:type="dxa"/>
          </w:tcPr>
          <w:p w14:paraId="269758D2"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22.4</w:t>
            </w:r>
          </w:p>
        </w:tc>
        <w:tc>
          <w:tcPr>
            <w:tcW w:w="1030" w:type="dxa"/>
            <w:vMerge/>
          </w:tcPr>
          <w:p w14:paraId="17373E84" w14:textId="77777777" w:rsidR="00661A28" w:rsidRPr="009A3E39" w:rsidRDefault="00661A28" w:rsidP="00BC1C03">
            <w:pPr>
              <w:rPr>
                <w:b/>
                <w:bCs/>
                <w:color w:val="0D0D0D" w:themeColor="text1" w:themeTint="F2"/>
                <w:szCs w:val="24"/>
              </w:rPr>
            </w:pPr>
          </w:p>
        </w:tc>
        <w:tc>
          <w:tcPr>
            <w:tcW w:w="876" w:type="dxa"/>
            <w:vMerge/>
          </w:tcPr>
          <w:p w14:paraId="3D6619B5" w14:textId="77777777" w:rsidR="00661A28" w:rsidRPr="009A3E39" w:rsidRDefault="00661A28" w:rsidP="00BC1C03">
            <w:pPr>
              <w:rPr>
                <w:b/>
                <w:bCs/>
                <w:color w:val="0D0D0D" w:themeColor="text1" w:themeTint="F2"/>
                <w:szCs w:val="24"/>
              </w:rPr>
            </w:pPr>
          </w:p>
        </w:tc>
        <w:tc>
          <w:tcPr>
            <w:tcW w:w="1080" w:type="dxa"/>
            <w:vMerge/>
          </w:tcPr>
          <w:p w14:paraId="10F500BC" w14:textId="77777777" w:rsidR="00661A28" w:rsidRPr="009A3E39" w:rsidRDefault="00661A28" w:rsidP="00BC1C03">
            <w:pPr>
              <w:rPr>
                <w:b/>
                <w:bCs/>
                <w:color w:val="0D0D0D" w:themeColor="text1" w:themeTint="F2"/>
                <w:szCs w:val="24"/>
              </w:rPr>
            </w:pPr>
          </w:p>
        </w:tc>
        <w:tc>
          <w:tcPr>
            <w:tcW w:w="1133" w:type="dxa"/>
            <w:vMerge/>
          </w:tcPr>
          <w:p w14:paraId="2229E6D1" w14:textId="77777777" w:rsidR="00661A28" w:rsidRPr="009A3E39" w:rsidRDefault="00661A28" w:rsidP="00BC1C03">
            <w:pPr>
              <w:rPr>
                <w:b/>
                <w:bCs/>
                <w:color w:val="0D0D0D" w:themeColor="text1" w:themeTint="F2"/>
                <w:szCs w:val="24"/>
              </w:rPr>
            </w:pPr>
          </w:p>
        </w:tc>
      </w:tr>
      <w:tr w:rsidR="00661A28" w:rsidRPr="009A3E39" w14:paraId="6BA3B39F" w14:textId="77777777" w:rsidTr="00BC1C03">
        <w:trPr>
          <w:trHeight w:val="390"/>
        </w:trPr>
        <w:tc>
          <w:tcPr>
            <w:tcW w:w="1542" w:type="dxa"/>
          </w:tcPr>
          <w:p w14:paraId="637F4F0E"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S</w:t>
            </w:r>
          </w:p>
        </w:tc>
        <w:tc>
          <w:tcPr>
            <w:tcW w:w="1203" w:type="dxa"/>
          </w:tcPr>
          <w:p w14:paraId="2608BD87"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4.1</w:t>
            </w:r>
          </w:p>
        </w:tc>
        <w:tc>
          <w:tcPr>
            <w:tcW w:w="1318" w:type="dxa"/>
          </w:tcPr>
          <w:p w14:paraId="385BBE08"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1.6</w:t>
            </w:r>
          </w:p>
        </w:tc>
        <w:tc>
          <w:tcPr>
            <w:tcW w:w="1286" w:type="dxa"/>
          </w:tcPr>
          <w:p w14:paraId="32961884"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9.2</w:t>
            </w:r>
          </w:p>
        </w:tc>
        <w:tc>
          <w:tcPr>
            <w:tcW w:w="1030" w:type="dxa"/>
            <w:vMerge/>
          </w:tcPr>
          <w:p w14:paraId="4337511A" w14:textId="77777777" w:rsidR="00661A28" w:rsidRPr="009A3E39" w:rsidRDefault="00661A28" w:rsidP="00BC1C03">
            <w:pPr>
              <w:rPr>
                <w:b/>
                <w:bCs/>
                <w:color w:val="0D0D0D" w:themeColor="text1" w:themeTint="F2"/>
                <w:szCs w:val="24"/>
              </w:rPr>
            </w:pPr>
          </w:p>
        </w:tc>
        <w:tc>
          <w:tcPr>
            <w:tcW w:w="876" w:type="dxa"/>
            <w:vMerge/>
          </w:tcPr>
          <w:p w14:paraId="3C2F216C" w14:textId="77777777" w:rsidR="00661A28" w:rsidRPr="009A3E39" w:rsidRDefault="00661A28" w:rsidP="00BC1C03">
            <w:pPr>
              <w:rPr>
                <w:b/>
                <w:bCs/>
                <w:color w:val="0D0D0D" w:themeColor="text1" w:themeTint="F2"/>
                <w:szCs w:val="24"/>
              </w:rPr>
            </w:pPr>
          </w:p>
        </w:tc>
        <w:tc>
          <w:tcPr>
            <w:tcW w:w="1080" w:type="dxa"/>
            <w:vMerge/>
          </w:tcPr>
          <w:p w14:paraId="7721F0F1" w14:textId="77777777" w:rsidR="00661A28" w:rsidRPr="009A3E39" w:rsidRDefault="00661A28" w:rsidP="00BC1C03">
            <w:pPr>
              <w:rPr>
                <w:b/>
                <w:bCs/>
                <w:color w:val="0D0D0D" w:themeColor="text1" w:themeTint="F2"/>
                <w:szCs w:val="24"/>
              </w:rPr>
            </w:pPr>
          </w:p>
        </w:tc>
        <w:tc>
          <w:tcPr>
            <w:tcW w:w="1133" w:type="dxa"/>
            <w:vMerge/>
          </w:tcPr>
          <w:p w14:paraId="6C253D0B" w14:textId="77777777" w:rsidR="00661A28" w:rsidRPr="009A3E39" w:rsidRDefault="00661A28" w:rsidP="00BC1C03">
            <w:pPr>
              <w:rPr>
                <w:b/>
                <w:bCs/>
                <w:color w:val="0D0D0D" w:themeColor="text1" w:themeTint="F2"/>
                <w:szCs w:val="24"/>
              </w:rPr>
            </w:pPr>
          </w:p>
        </w:tc>
      </w:tr>
      <w:tr w:rsidR="00661A28" w:rsidRPr="009A3E39" w14:paraId="304E9219" w14:textId="77777777" w:rsidTr="00BC1C03">
        <w:trPr>
          <w:trHeight w:val="345"/>
        </w:trPr>
        <w:tc>
          <w:tcPr>
            <w:tcW w:w="5349" w:type="dxa"/>
            <w:gridSpan w:val="4"/>
          </w:tcPr>
          <w:p w14:paraId="022ED8DF"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(c) S@rGO-3</w:t>
            </w:r>
          </w:p>
        </w:tc>
        <w:tc>
          <w:tcPr>
            <w:tcW w:w="1030" w:type="dxa"/>
            <w:vMerge w:val="restart"/>
          </w:tcPr>
          <w:p w14:paraId="5A428B19" w14:textId="77777777" w:rsidR="00661A28" w:rsidRPr="009A3E39" w:rsidRDefault="00661A28" w:rsidP="00BC1C03">
            <w:pPr>
              <w:rPr>
                <w:b/>
                <w:bCs/>
                <w:color w:val="0D0D0D" w:themeColor="text1" w:themeTint="F2"/>
                <w:szCs w:val="24"/>
              </w:rPr>
            </w:pPr>
            <w:r w:rsidRPr="009A3E39">
              <w:rPr>
                <w:b/>
                <w:bCs/>
                <w:color w:val="0D0D0D" w:themeColor="text1" w:themeTint="F2"/>
                <w:szCs w:val="24"/>
              </w:rPr>
              <w:t>0.9</w:t>
            </w:r>
          </w:p>
        </w:tc>
        <w:tc>
          <w:tcPr>
            <w:tcW w:w="876" w:type="dxa"/>
            <w:vMerge w:val="restart"/>
          </w:tcPr>
          <w:p w14:paraId="45DF1EBE" w14:textId="77777777" w:rsidR="00661A28" w:rsidRPr="009A3E39" w:rsidRDefault="00661A28" w:rsidP="00BC1C03">
            <w:pPr>
              <w:rPr>
                <w:b/>
                <w:bCs/>
                <w:color w:val="0D0D0D" w:themeColor="text1" w:themeTint="F2"/>
                <w:szCs w:val="24"/>
              </w:rPr>
            </w:pPr>
            <w:r w:rsidRPr="009A3E39">
              <w:rPr>
                <w:b/>
                <w:bCs/>
                <w:color w:val="0D0D0D" w:themeColor="text1" w:themeTint="F2"/>
                <w:szCs w:val="24"/>
              </w:rPr>
              <w:t>3.77</w:t>
            </w:r>
          </w:p>
        </w:tc>
        <w:tc>
          <w:tcPr>
            <w:tcW w:w="1080" w:type="dxa"/>
            <w:vMerge w:val="restart"/>
          </w:tcPr>
          <w:p w14:paraId="1BAB35A5" w14:textId="77777777" w:rsidR="00661A28" w:rsidRPr="009A3E39" w:rsidRDefault="00661A28" w:rsidP="00BC1C03">
            <w:pPr>
              <w:rPr>
                <w:b/>
                <w:bCs/>
                <w:color w:val="0D0D0D" w:themeColor="text1" w:themeTint="F2"/>
                <w:szCs w:val="24"/>
              </w:rPr>
            </w:pPr>
            <w:r w:rsidRPr="009A3E39">
              <w:rPr>
                <w:b/>
                <w:bCs/>
                <w:color w:val="0D0D0D" w:themeColor="text1" w:themeTint="F2"/>
                <w:szCs w:val="24"/>
              </w:rPr>
              <w:t>76.392</w:t>
            </w:r>
          </w:p>
        </w:tc>
        <w:tc>
          <w:tcPr>
            <w:tcW w:w="1133" w:type="dxa"/>
            <w:vMerge w:val="restart"/>
          </w:tcPr>
          <w:p w14:paraId="1235AD85" w14:textId="77777777" w:rsidR="00661A28" w:rsidRPr="009A3E39" w:rsidRDefault="00661A28" w:rsidP="00BC1C03">
            <w:pPr>
              <w:rPr>
                <w:b/>
                <w:bCs/>
                <w:color w:val="0D0D0D" w:themeColor="text1" w:themeTint="F2"/>
                <w:szCs w:val="24"/>
              </w:rPr>
            </w:pPr>
            <w:r w:rsidRPr="009A3E39">
              <w:rPr>
                <w:b/>
                <w:bCs/>
                <w:color w:val="0D0D0D" w:themeColor="text1" w:themeTint="F2"/>
                <w:szCs w:val="24"/>
              </w:rPr>
              <w:t>60.4031</w:t>
            </w:r>
          </w:p>
        </w:tc>
      </w:tr>
      <w:tr w:rsidR="00661A28" w:rsidRPr="009A3E39" w14:paraId="02A389DB" w14:textId="77777777" w:rsidTr="00BC1C03">
        <w:trPr>
          <w:trHeight w:val="435"/>
        </w:trPr>
        <w:tc>
          <w:tcPr>
            <w:tcW w:w="1542" w:type="dxa"/>
          </w:tcPr>
          <w:p w14:paraId="51478732"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C</w:t>
            </w:r>
          </w:p>
        </w:tc>
        <w:tc>
          <w:tcPr>
            <w:tcW w:w="1203" w:type="dxa"/>
          </w:tcPr>
          <w:p w14:paraId="401A7942"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95.4</w:t>
            </w:r>
          </w:p>
        </w:tc>
        <w:tc>
          <w:tcPr>
            <w:tcW w:w="1318" w:type="dxa"/>
          </w:tcPr>
          <w:p w14:paraId="52AAA8A0"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97.4</w:t>
            </w:r>
          </w:p>
        </w:tc>
        <w:tc>
          <w:tcPr>
            <w:tcW w:w="1286" w:type="dxa"/>
          </w:tcPr>
          <w:p w14:paraId="7813DF2F"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4.5</w:t>
            </w:r>
          </w:p>
        </w:tc>
        <w:tc>
          <w:tcPr>
            <w:tcW w:w="1030" w:type="dxa"/>
            <w:vMerge/>
          </w:tcPr>
          <w:p w14:paraId="2D65FED8" w14:textId="77777777" w:rsidR="00661A28" w:rsidRPr="009A3E39" w:rsidRDefault="00661A28" w:rsidP="00BC1C03">
            <w:pPr>
              <w:rPr>
                <w:b/>
                <w:bCs/>
                <w:color w:val="0D0D0D" w:themeColor="text1" w:themeTint="F2"/>
                <w:szCs w:val="24"/>
              </w:rPr>
            </w:pPr>
          </w:p>
        </w:tc>
        <w:tc>
          <w:tcPr>
            <w:tcW w:w="876" w:type="dxa"/>
            <w:vMerge/>
          </w:tcPr>
          <w:p w14:paraId="3CEE662E" w14:textId="77777777" w:rsidR="00661A28" w:rsidRPr="009A3E39" w:rsidRDefault="00661A28" w:rsidP="00BC1C03">
            <w:pPr>
              <w:rPr>
                <w:b/>
                <w:bCs/>
                <w:color w:val="0D0D0D" w:themeColor="text1" w:themeTint="F2"/>
                <w:szCs w:val="24"/>
              </w:rPr>
            </w:pPr>
          </w:p>
        </w:tc>
        <w:tc>
          <w:tcPr>
            <w:tcW w:w="1080" w:type="dxa"/>
            <w:vMerge/>
          </w:tcPr>
          <w:p w14:paraId="20D2D804" w14:textId="77777777" w:rsidR="00661A28" w:rsidRPr="009A3E39" w:rsidRDefault="00661A28" w:rsidP="00BC1C03">
            <w:pPr>
              <w:rPr>
                <w:b/>
                <w:bCs/>
                <w:color w:val="0D0D0D" w:themeColor="text1" w:themeTint="F2"/>
                <w:szCs w:val="24"/>
              </w:rPr>
            </w:pPr>
          </w:p>
        </w:tc>
        <w:tc>
          <w:tcPr>
            <w:tcW w:w="1133" w:type="dxa"/>
            <w:vMerge/>
          </w:tcPr>
          <w:p w14:paraId="53B5DB1B" w14:textId="77777777" w:rsidR="00661A28" w:rsidRPr="009A3E39" w:rsidRDefault="00661A28" w:rsidP="00BC1C03">
            <w:pPr>
              <w:rPr>
                <w:b/>
                <w:bCs/>
                <w:color w:val="0D0D0D" w:themeColor="text1" w:themeTint="F2"/>
                <w:szCs w:val="24"/>
              </w:rPr>
            </w:pPr>
          </w:p>
        </w:tc>
      </w:tr>
      <w:tr w:rsidR="00661A28" w:rsidRPr="009A3E39" w14:paraId="38B053B1" w14:textId="77777777" w:rsidTr="00BC1C03">
        <w:trPr>
          <w:trHeight w:val="255"/>
        </w:trPr>
        <w:tc>
          <w:tcPr>
            <w:tcW w:w="1542" w:type="dxa"/>
          </w:tcPr>
          <w:p w14:paraId="56EC5160"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O</w:t>
            </w:r>
          </w:p>
        </w:tc>
        <w:tc>
          <w:tcPr>
            <w:tcW w:w="1203" w:type="dxa"/>
          </w:tcPr>
          <w:p w14:paraId="42FAC045"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2.2</w:t>
            </w:r>
          </w:p>
        </w:tc>
        <w:tc>
          <w:tcPr>
            <w:tcW w:w="1318" w:type="dxa"/>
          </w:tcPr>
          <w:p w14:paraId="28AEF33B"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1.7</w:t>
            </w:r>
          </w:p>
        </w:tc>
        <w:tc>
          <w:tcPr>
            <w:tcW w:w="1286" w:type="dxa"/>
          </w:tcPr>
          <w:p w14:paraId="5AB5E1F1"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30.4</w:t>
            </w:r>
          </w:p>
        </w:tc>
        <w:tc>
          <w:tcPr>
            <w:tcW w:w="1030" w:type="dxa"/>
            <w:vMerge/>
          </w:tcPr>
          <w:p w14:paraId="0EA9CDA5" w14:textId="77777777" w:rsidR="00661A28" w:rsidRPr="009A3E39" w:rsidRDefault="00661A28" w:rsidP="00BC1C03">
            <w:pPr>
              <w:rPr>
                <w:b/>
                <w:bCs/>
                <w:color w:val="0D0D0D" w:themeColor="text1" w:themeTint="F2"/>
                <w:szCs w:val="24"/>
              </w:rPr>
            </w:pPr>
          </w:p>
        </w:tc>
        <w:tc>
          <w:tcPr>
            <w:tcW w:w="876" w:type="dxa"/>
            <w:vMerge/>
          </w:tcPr>
          <w:p w14:paraId="2342E66B" w14:textId="77777777" w:rsidR="00661A28" w:rsidRPr="009A3E39" w:rsidRDefault="00661A28" w:rsidP="00BC1C03">
            <w:pPr>
              <w:rPr>
                <w:b/>
                <w:bCs/>
                <w:color w:val="0D0D0D" w:themeColor="text1" w:themeTint="F2"/>
                <w:szCs w:val="24"/>
              </w:rPr>
            </w:pPr>
          </w:p>
        </w:tc>
        <w:tc>
          <w:tcPr>
            <w:tcW w:w="1080" w:type="dxa"/>
            <w:vMerge/>
          </w:tcPr>
          <w:p w14:paraId="588E688B" w14:textId="77777777" w:rsidR="00661A28" w:rsidRPr="009A3E39" w:rsidRDefault="00661A28" w:rsidP="00BC1C03">
            <w:pPr>
              <w:rPr>
                <w:b/>
                <w:bCs/>
                <w:color w:val="0D0D0D" w:themeColor="text1" w:themeTint="F2"/>
                <w:szCs w:val="24"/>
              </w:rPr>
            </w:pPr>
          </w:p>
        </w:tc>
        <w:tc>
          <w:tcPr>
            <w:tcW w:w="1133" w:type="dxa"/>
            <w:vMerge/>
          </w:tcPr>
          <w:p w14:paraId="6A4D75E2" w14:textId="77777777" w:rsidR="00661A28" w:rsidRPr="009A3E39" w:rsidRDefault="00661A28" w:rsidP="00BC1C03">
            <w:pPr>
              <w:rPr>
                <w:b/>
                <w:bCs/>
                <w:color w:val="0D0D0D" w:themeColor="text1" w:themeTint="F2"/>
                <w:szCs w:val="24"/>
              </w:rPr>
            </w:pPr>
          </w:p>
        </w:tc>
      </w:tr>
      <w:tr w:rsidR="00661A28" w:rsidRPr="009A3E39" w14:paraId="1E9F7A5A" w14:textId="77777777" w:rsidTr="00BC1C03">
        <w:trPr>
          <w:trHeight w:val="345"/>
        </w:trPr>
        <w:tc>
          <w:tcPr>
            <w:tcW w:w="1542" w:type="dxa"/>
          </w:tcPr>
          <w:p w14:paraId="5F87790D"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S</w:t>
            </w:r>
          </w:p>
        </w:tc>
        <w:tc>
          <w:tcPr>
            <w:tcW w:w="1203" w:type="dxa"/>
          </w:tcPr>
          <w:p w14:paraId="6B3BDA10"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2.3</w:t>
            </w:r>
          </w:p>
        </w:tc>
        <w:tc>
          <w:tcPr>
            <w:tcW w:w="1318" w:type="dxa"/>
          </w:tcPr>
          <w:p w14:paraId="722978B1"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0.9</w:t>
            </w:r>
          </w:p>
        </w:tc>
        <w:tc>
          <w:tcPr>
            <w:tcW w:w="1286" w:type="dxa"/>
          </w:tcPr>
          <w:p w14:paraId="3C081942"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4</w:t>
            </w:r>
          </w:p>
        </w:tc>
        <w:tc>
          <w:tcPr>
            <w:tcW w:w="1030" w:type="dxa"/>
            <w:vMerge/>
          </w:tcPr>
          <w:p w14:paraId="1DBDD5AA" w14:textId="77777777" w:rsidR="00661A28" w:rsidRPr="009A3E39" w:rsidRDefault="00661A28" w:rsidP="00BC1C03">
            <w:pPr>
              <w:rPr>
                <w:b/>
                <w:bCs/>
                <w:color w:val="0D0D0D" w:themeColor="text1" w:themeTint="F2"/>
                <w:szCs w:val="24"/>
              </w:rPr>
            </w:pPr>
          </w:p>
        </w:tc>
        <w:tc>
          <w:tcPr>
            <w:tcW w:w="876" w:type="dxa"/>
            <w:vMerge/>
          </w:tcPr>
          <w:p w14:paraId="16BAA8B0" w14:textId="77777777" w:rsidR="00661A28" w:rsidRPr="009A3E39" w:rsidRDefault="00661A28" w:rsidP="00BC1C03">
            <w:pPr>
              <w:rPr>
                <w:b/>
                <w:bCs/>
                <w:color w:val="0D0D0D" w:themeColor="text1" w:themeTint="F2"/>
                <w:szCs w:val="24"/>
              </w:rPr>
            </w:pPr>
          </w:p>
        </w:tc>
        <w:tc>
          <w:tcPr>
            <w:tcW w:w="1080" w:type="dxa"/>
            <w:vMerge/>
          </w:tcPr>
          <w:p w14:paraId="11E617D2" w14:textId="77777777" w:rsidR="00661A28" w:rsidRPr="009A3E39" w:rsidRDefault="00661A28" w:rsidP="00BC1C03">
            <w:pPr>
              <w:rPr>
                <w:b/>
                <w:bCs/>
                <w:color w:val="0D0D0D" w:themeColor="text1" w:themeTint="F2"/>
                <w:szCs w:val="24"/>
              </w:rPr>
            </w:pPr>
          </w:p>
        </w:tc>
        <w:tc>
          <w:tcPr>
            <w:tcW w:w="1133" w:type="dxa"/>
            <w:vMerge/>
          </w:tcPr>
          <w:p w14:paraId="432C8963" w14:textId="77777777" w:rsidR="00661A28" w:rsidRPr="009A3E39" w:rsidRDefault="00661A28" w:rsidP="00BC1C03">
            <w:pPr>
              <w:rPr>
                <w:b/>
                <w:bCs/>
                <w:color w:val="0D0D0D" w:themeColor="text1" w:themeTint="F2"/>
                <w:szCs w:val="24"/>
              </w:rPr>
            </w:pPr>
          </w:p>
        </w:tc>
      </w:tr>
      <w:tr w:rsidR="00661A28" w:rsidRPr="009A3E39" w14:paraId="23525BCB" w14:textId="77777777" w:rsidTr="00BC1C03">
        <w:trPr>
          <w:trHeight w:val="360"/>
        </w:trPr>
        <w:tc>
          <w:tcPr>
            <w:tcW w:w="5349" w:type="dxa"/>
            <w:gridSpan w:val="4"/>
          </w:tcPr>
          <w:p w14:paraId="67258AF0"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(d) S@rGO-4</w:t>
            </w:r>
          </w:p>
        </w:tc>
        <w:tc>
          <w:tcPr>
            <w:tcW w:w="1030" w:type="dxa"/>
            <w:vMerge w:val="restart"/>
          </w:tcPr>
          <w:p w14:paraId="264FF487" w14:textId="77777777" w:rsidR="00661A28" w:rsidRPr="009A3E39" w:rsidRDefault="00661A28" w:rsidP="00BC1C03">
            <w:pPr>
              <w:rPr>
                <w:b/>
                <w:bCs/>
                <w:color w:val="0D0D0D" w:themeColor="text1" w:themeTint="F2"/>
                <w:szCs w:val="24"/>
              </w:rPr>
            </w:pPr>
            <w:r w:rsidRPr="009A3E39">
              <w:rPr>
                <w:b/>
                <w:bCs/>
                <w:color w:val="0D0D0D" w:themeColor="text1" w:themeTint="F2"/>
                <w:szCs w:val="24"/>
              </w:rPr>
              <w:t>0.66</w:t>
            </w:r>
          </w:p>
        </w:tc>
        <w:tc>
          <w:tcPr>
            <w:tcW w:w="876" w:type="dxa"/>
            <w:vMerge w:val="restart"/>
          </w:tcPr>
          <w:p w14:paraId="6464A2A0" w14:textId="77777777" w:rsidR="00661A28" w:rsidRPr="009A3E39" w:rsidRDefault="00661A28" w:rsidP="00BC1C03">
            <w:pPr>
              <w:rPr>
                <w:b/>
                <w:bCs/>
                <w:color w:val="0D0D0D" w:themeColor="text1" w:themeTint="F2"/>
                <w:szCs w:val="24"/>
              </w:rPr>
            </w:pPr>
            <w:r w:rsidRPr="009A3E39">
              <w:rPr>
                <w:b/>
                <w:bCs/>
                <w:color w:val="0D0D0D" w:themeColor="text1" w:themeTint="F2"/>
                <w:szCs w:val="24"/>
              </w:rPr>
              <w:t>1.33</w:t>
            </w:r>
          </w:p>
        </w:tc>
        <w:tc>
          <w:tcPr>
            <w:tcW w:w="1080" w:type="dxa"/>
            <w:vMerge w:val="restart"/>
          </w:tcPr>
          <w:p w14:paraId="03BFCE30" w14:textId="77777777" w:rsidR="00661A28" w:rsidRPr="009A3E39" w:rsidRDefault="00661A28" w:rsidP="00BC1C03">
            <w:pPr>
              <w:rPr>
                <w:b/>
                <w:bCs/>
                <w:color w:val="0D0D0D" w:themeColor="text1" w:themeTint="F2"/>
                <w:szCs w:val="24"/>
              </w:rPr>
            </w:pPr>
            <w:r w:rsidRPr="009A3E39">
              <w:rPr>
                <w:b/>
                <w:bCs/>
                <w:color w:val="0D0D0D" w:themeColor="text1" w:themeTint="F2"/>
                <w:szCs w:val="24"/>
              </w:rPr>
              <w:t>130</w:t>
            </w:r>
          </w:p>
        </w:tc>
        <w:tc>
          <w:tcPr>
            <w:tcW w:w="1133" w:type="dxa"/>
            <w:vMerge w:val="restart"/>
          </w:tcPr>
          <w:p w14:paraId="7055B6CA" w14:textId="77777777" w:rsidR="00661A28" w:rsidRPr="009A3E39" w:rsidRDefault="00661A28" w:rsidP="00BC1C03">
            <w:pPr>
              <w:rPr>
                <w:b/>
                <w:bCs/>
                <w:color w:val="0D0D0D" w:themeColor="text1" w:themeTint="F2"/>
                <w:szCs w:val="24"/>
              </w:rPr>
            </w:pPr>
            <w:r w:rsidRPr="009A3E39">
              <w:rPr>
                <w:b/>
                <w:bCs/>
                <w:color w:val="0D0D0D" w:themeColor="text1" w:themeTint="F2"/>
                <w:szCs w:val="24"/>
              </w:rPr>
              <w:t>74.285</w:t>
            </w:r>
          </w:p>
        </w:tc>
      </w:tr>
      <w:tr w:rsidR="00661A28" w:rsidRPr="009A3E39" w14:paraId="1A0AAD35" w14:textId="77777777" w:rsidTr="00BC1C03">
        <w:trPr>
          <w:trHeight w:val="285"/>
        </w:trPr>
        <w:tc>
          <w:tcPr>
            <w:tcW w:w="1542" w:type="dxa"/>
          </w:tcPr>
          <w:p w14:paraId="299850B1"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C</w:t>
            </w:r>
          </w:p>
        </w:tc>
        <w:tc>
          <w:tcPr>
            <w:tcW w:w="1203" w:type="dxa"/>
          </w:tcPr>
          <w:p w14:paraId="535C56E3"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94.9</w:t>
            </w:r>
          </w:p>
        </w:tc>
        <w:tc>
          <w:tcPr>
            <w:tcW w:w="1318" w:type="dxa"/>
          </w:tcPr>
          <w:p w14:paraId="187E3256"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97.5</w:t>
            </w:r>
          </w:p>
        </w:tc>
        <w:tc>
          <w:tcPr>
            <w:tcW w:w="1286" w:type="dxa"/>
          </w:tcPr>
          <w:p w14:paraId="3C5DC7FD"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5.8</w:t>
            </w:r>
          </w:p>
        </w:tc>
        <w:tc>
          <w:tcPr>
            <w:tcW w:w="1030" w:type="dxa"/>
            <w:vMerge/>
          </w:tcPr>
          <w:p w14:paraId="74CDF7F8" w14:textId="77777777" w:rsidR="00661A28" w:rsidRPr="009A3E39" w:rsidRDefault="00661A28" w:rsidP="00BC1C03">
            <w:pPr>
              <w:rPr>
                <w:b/>
                <w:bCs/>
                <w:color w:val="0D0D0D" w:themeColor="text1" w:themeTint="F2"/>
                <w:szCs w:val="24"/>
              </w:rPr>
            </w:pPr>
          </w:p>
        </w:tc>
        <w:tc>
          <w:tcPr>
            <w:tcW w:w="876" w:type="dxa"/>
            <w:vMerge/>
          </w:tcPr>
          <w:p w14:paraId="1CAED4BD" w14:textId="77777777" w:rsidR="00661A28" w:rsidRPr="009A3E39" w:rsidRDefault="00661A28" w:rsidP="00BC1C03">
            <w:pPr>
              <w:rPr>
                <w:b/>
                <w:bCs/>
                <w:color w:val="0D0D0D" w:themeColor="text1" w:themeTint="F2"/>
                <w:szCs w:val="24"/>
              </w:rPr>
            </w:pPr>
          </w:p>
        </w:tc>
        <w:tc>
          <w:tcPr>
            <w:tcW w:w="1080" w:type="dxa"/>
            <w:vMerge/>
          </w:tcPr>
          <w:p w14:paraId="7A242302" w14:textId="77777777" w:rsidR="00661A28" w:rsidRPr="009A3E39" w:rsidRDefault="00661A28" w:rsidP="00BC1C03">
            <w:pPr>
              <w:rPr>
                <w:b/>
                <w:bCs/>
                <w:color w:val="0D0D0D" w:themeColor="text1" w:themeTint="F2"/>
                <w:szCs w:val="24"/>
              </w:rPr>
            </w:pPr>
          </w:p>
        </w:tc>
        <w:tc>
          <w:tcPr>
            <w:tcW w:w="1133" w:type="dxa"/>
            <w:vMerge/>
          </w:tcPr>
          <w:p w14:paraId="57600773" w14:textId="77777777" w:rsidR="00661A28" w:rsidRPr="009A3E39" w:rsidRDefault="00661A28" w:rsidP="00BC1C03">
            <w:pPr>
              <w:rPr>
                <w:b/>
                <w:bCs/>
                <w:color w:val="0D0D0D" w:themeColor="text1" w:themeTint="F2"/>
                <w:szCs w:val="24"/>
              </w:rPr>
            </w:pPr>
          </w:p>
        </w:tc>
      </w:tr>
      <w:tr w:rsidR="00661A28" w:rsidRPr="009A3E39" w14:paraId="4834C1B1" w14:textId="77777777" w:rsidTr="00BC1C03">
        <w:trPr>
          <w:trHeight w:val="390"/>
        </w:trPr>
        <w:tc>
          <w:tcPr>
            <w:tcW w:w="1542" w:type="dxa"/>
          </w:tcPr>
          <w:p w14:paraId="26A38958"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O</w:t>
            </w:r>
          </w:p>
        </w:tc>
        <w:tc>
          <w:tcPr>
            <w:tcW w:w="1203" w:type="dxa"/>
          </w:tcPr>
          <w:p w14:paraId="6AD8CC8F"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1.3</w:t>
            </w:r>
          </w:p>
        </w:tc>
        <w:tc>
          <w:tcPr>
            <w:tcW w:w="1318" w:type="dxa"/>
          </w:tcPr>
          <w:p w14:paraId="1A2C70C1"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1</w:t>
            </w:r>
          </w:p>
        </w:tc>
        <w:tc>
          <w:tcPr>
            <w:tcW w:w="1286" w:type="dxa"/>
          </w:tcPr>
          <w:p w14:paraId="35EE57AF"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49.3</w:t>
            </w:r>
          </w:p>
        </w:tc>
        <w:tc>
          <w:tcPr>
            <w:tcW w:w="1030" w:type="dxa"/>
            <w:vMerge/>
          </w:tcPr>
          <w:p w14:paraId="13A69790" w14:textId="77777777" w:rsidR="00661A28" w:rsidRPr="009A3E39" w:rsidRDefault="00661A28" w:rsidP="00BC1C03">
            <w:pPr>
              <w:rPr>
                <w:b/>
                <w:bCs/>
                <w:color w:val="0D0D0D" w:themeColor="text1" w:themeTint="F2"/>
                <w:szCs w:val="24"/>
              </w:rPr>
            </w:pPr>
          </w:p>
        </w:tc>
        <w:tc>
          <w:tcPr>
            <w:tcW w:w="876" w:type="dxa"/>
            <w:vMerge/>
          </w:tcPr>
          <w:p w14:paraId="7911319F" w14:textId="77777777" w:rsidR="00661A28" w:rsidRPr="009A3E39" w:rsidRDefault="00661A28" w:rsidP="00BC1C03">
            <w:pPr>
              <w:rPr>
                <w:b/>
                <w:bCs/>
                <w:color w:val="0D0D0D" w:themeColor="text1" w:themeTint="F2"/>
                <w:szCs w:val="24"/>
              </w:rPr>
            </w:pPr>
          </w:p>
        </w:tc>
        <w:tc>
          <w:tcPr>
            <w:tcW w:w="1080" w:type="dxa"/>
            <w:vMerge/>
          </w:tcPr>
          <w:p w14:paraId="23A99773" w14:textId="77777777" w:rsidR="00661A28" w:rsidRPr="009A3E39" w:rsidRDefault="00661A28" w:rsidP="00BC1C03">
            <w:pPr>
              <w:rPr>
                <w:b/>
                <w:bCs/>
                <w:color w:val="0D0D0D" w:themeColor="text1" w:themeTint="F2"/>
                <w:szCs w:val="24"/>
              </w:rPr>
            </w:pPr>
          </w:p>
        </w:tc>
        <w:tc>
          <w:tcPr>
            <w:tcW w:w="1133" w:type="dxa"/>
            <w:vMerge/>
          </w:tcPr>
          <w:p w14:paraId="3C23E5D4" w14:textId="77777777" w:rsidR="00661A28" w:rsidRPr="009A3E39" w:rsidRDefault="00661A28" w:rsidP="00BC1C03">
            <w:pPr>
              <w:rPr>
                <w:b/>
                <w:bCs/>
                <w:color w:val="0D0D0D" w:themeColor="text1" w:themeTint="F2"/>
                <w:szCs w:val="24"/>
              </w:rPr>
            </w:pPr>
          </w:p>
        </w:tc>
      </w:tr>
      <w:tr w:rsidR="00661A28" w:rsidRPr="009A3E39" w14:paraId="1E61918E" w14:textId="77777777" w:rsidTr="00BC1C03">
        <w:trPr>
          <w:trHeight w:val="360"/>
        </w:trPr>
        <w:tc>
          <w:tcPr>
            <w:tcW w:w="1542" w:type="dxa"/>
          </w:tcPr>
          <w:p w14:paraId="2AF78EAD"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S</w:t>
            </w:r>
          </w:p>
        </w:tc>
        <w:tc>
          <w:tcPr>
            <w:tcW w:w="1203" w:type="dxa"/>
          </w:tcPr>
          <w:p w14:paraId="7629417C"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3.8</w:t>
            </w:r>
          </w:p>
        </w:tc>
        <w:tc>
          <w:tcPr>
            <w:tcW w:w="1318" w:type="dxa"/>
          </w:tcPr>
          <w:p w14:paraId="27C22C8E"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1.5</w:t>
            </w:r>
          </w:p>
        </w:tc>
        <w:tc>
          <w:tcPr>
            <w:tcW w:w="1286" w:type="dxa"/>
          </w:tcPr>
          <w:p w14:paraId="5F341CD3" w14:textId="77777777" w:rsidR="00661A28" w:rsidRPr="009A3E39" w:rsidRDefault="00661A28" w:rsidP="00BC1C03">
            <w:pPr>
              <w:jc w:val="both"/>
              <w:rPr>
                <w:b/>
                <w:bCs/>
                <w:color w:val="0D0D0D" w:themeColor="text1" w:themeTint="F2"/>
                <w:szCs w:val="24"/>
              </w:rPr>
            </w:pPr>
            <w:r w:rsidRPr="009A3E39">
              <w:rPr>
                <w:b/>
                <w:bCs/>
                <w:color w:val="0D0D0D" w:themeColor="text1" w:themeTint="F2"/>
                <w:szCs w:val="24"/>
              </w:rPr>
              <w:t>3.7</w:t>
            </w:r>
          </w:p>
        </w:tc>
        <w:tc>
          <w:tcPr>
            <w:tcW w:w="1030" w:type="dxa"/>
            <w:vMerge/>
          </w:tcPr>
          <w:p w14:paraId="6D42B14D" w14:textId="77777777" w:rsidR="00661A28" w:rsidRPr="009A3E39" w:rsidRDefault="00661A28" w:rsidP="00BC1C03">
            <w:pPr>
              <w:rPr>
                <w:b/>
                <w:bCs/>
                <w:color w:val="0D0D0D" w:themeColor="text1" w:themeTint="F2"/>
                <w:szCs w:val="24"/>
              </w:rPr>
            </w:pPr>
          </w:p>
        </w:tc>
        <w:tc>
          <w:tcPr>
            <w:tcW w:w="876" w:type="dxa"/>
            <w:vMerge/>
          </w:tcPr>
          <w:p w14:paraId="3298D155" w14:textId="77777777" w:rsidR="00661A28" w:rsidRPr="009A3E39" w:rsidRDefault="00661A28" w:rsidP="00BC1C03">
            <w:pPr>
              <w:rPr>
                <w:b/>
                <w:bCs/>
                <w:color w:val="0D0D0D" w:themeColor="text1" w:themeTint="F2"/>
                <w:szCs w:val="24"/>
              </w:rPr>
            </w:pPr>
          </w:p>
        </w:tc>
        <w:tc>
          <w:tcPr>
            <w:tcW w:w="1080" w:type="dxa"/>
            <w:vMerge/>
          </w:tcPr>
          <w:p w14:paraId="2BA3752F" w14:textId="77777777" w:rsidR="00661A28" w:rsidRPr="009A3E39" w:rsidRDefault="00661A28" w:rsidP="00BC1C03">
            <w:pPr>
              <w:rPr>
                <w:b/>
                <w:bCs/>
                <w:color w:val="0D0D0D" w:themeColor="text1" w:themeTint="F2"/>
                <w:szCs w:val="24"/>
              </w:rPr>
            </w:pPr>
          </w:p>
        </w:tc>
        <w:tc>
          <w:tcPr>
            <w:tcW w:w="1133" w:type="dxa"/>
            <w:vMerge/>
          </w:tcPr>
          <w:p w14:paraId="38D3549B" w14:textId="77777777" w:rsidR="00661A28" w:rsidRPr="009A3E39" w:rsidRDefault="00661A28" w:rsidP="00BC1C03">
            <w:pPr>
              <w:rPr>
                <w:b/>
                <w:bCs/>
                <w:color w:val="0D0D0D" w:themeColor="text1" w:themeTint="F2"/>
                <w:szCs w:val="24"/>
              </w:rPr>
            </w:pPr>
          </w:p>
        </w:tc>
      </w:tr>
    </w:tbl>
    <w:p w14:paraId="2019C6DC" w14:textId="77777777" w:rsidR="00661A28" w:rsidRPr="009A3E39" w:rsidRDefault="00661A28" w:rsidP="00661A28">
      <w:pPr>
        <w:jc w:val="both"/>
        <w:rPr>
          <w:color w:val="0D0D0D" w:themeColor="text1" w:themeTint="F2"/>
          <w:szCs w:val="24"/>
        </w:rPr>
      </w:pPr>
    </w:p>
    <w:p w14:paraId="1FDA93E5" w14:textId="77777777" w:rsidR="00E91C3A" w:rsidRDefault="00E91C3A" w:rsidP="00E91C3A">
      <w:pPr>
        <w:pStyle w:val="Heading1"/>
      </w:pPr>
      <w:r>
        <w:t>UV-Vis Studies</w:t>
      </w:r>
    </w:p>
    <w:p w14:paraId="1F16BDF7" w14:textId="77777777" w:rsidR="00E91C3A" w:rsidRPr="009A3E39" w:rsidRDefault="00E91C3A" w:rsidP="00E91C3A">
      <w:pPr>
        <w:jc w:val="both"/>
        <w:rPr>
          <w:color w:val="0D0D0D" w:themeColor="text1" w:themeTint="F2"/>
          <w:szCs w:val="24"/>
        </w:rPr>
      </w:pPr>
      <w:r w:rsidRPr="009A3E39">
        <w:rPr>
          <w:noProof/>
          <w:color w:val="0D0D0D" w:themeColor="text1" w:themeTint="F2"/>
        </w:rPr>
        <w:lastRenderedPageBreak/>
        <w:drawing>
          <wp:inline distT="0" distB="0" distL="0" distR="0" wp14:anchorId="146C4F03" wp14:editId="1A1FEAA7">
            <wp:extent cx="5731510" cy="4674235"/>
            <wp:effectExtent l="0" t="0" r="2540" b="0"/>
            <wp:docPr id="18546102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4674235"/>
                    </a:xfrm>
                    <a:prstGeom prst="rect">
                      <a:avLst/>
                    </a:prstGeom>
                    <a:noFill/>
                    <a:ln>
                      <a:noFill/>
                    </a:ln>
                  </pic:spPr>
                </pic:pic>
              </a:graphicData>
            </a:graphic>
          </wp:inline>
        </w:drawing>
      </w:r>
      <w:r w:rsidRPr="009A3E39">
        <w:rPr>
          <w:color w:val="0D0D0D" w:themeColor="text1" w:themeTint="F2"/>
        </w:rPr>
        <w:t xml:space="preserve"> </w:t>
      </w:r>
      <w:r w:rsidRPr="009A3E39">
        <w:rPr>
          <w:noProof/>
          <w:color w:val="0D0D0D" w:themeColor="text1" w:themeTint="F2"/>
        </w:rPr>
        <w:drawing>
          <wp:inline distT="0" distB="0" distL="0" distR="0" wp14:anchorId="5579C3DC" wp14:editId="3B5BBBCB">
            <wp:extent cx="2990850" cy="2465646"/>
            <wp:effectExtent l="0" t="0" r="0" b="0"/>
            <wp:docPr id="1846595179" name="Picture 2" descr="A graph of energy and a graph of ener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95179" name="Picture 2" descr="A graph of energy and a graph of energy&#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92271" cy="2466817"/>
                    </a:xfrm>
                    <a:prstGeom prst="rect">
                      <a:avLst/>
                    </a:prstGeom>
                    <a:noFill/>
                    <a:ln>
                      <a:noFill/>
                    </a:ln>
                  </pic:spPr>
                </pic:pic>
              </a:graphicData>
            </a:graphic>
          </wp:inline>
        </w:drawing>
      </w:r>
    </w:p>
    <w:p w14:paraId="46826BBF" w14:textId="308C349B" w:rsidR="00E91C3A" w:rsidRPr="009A3E39" w:rsidRDefault="00E91C3A" w:rsidP="00E91C3A">
      <w:pPr>
        <w:rPr>
          <w:color w:val="0D0D0D" w:themeColor="text1" w:themeTint="F2"/>
        </w:rPr>
      </w:pPr>
      <w:r w:rsidRPr="009A3E39">
        <w:rPr>
          <w:b/>
          <w:bCs/>
          <w:color w:val="0D0D0D" w:themeColor="text1" w:themeTint="F2"/>
        </w:rPr>
        <w:t xml:space="preserve">Fig. </w:t>
      </w:r>
      <w:r w:rsidR="001C4814">
        <w:rPr>
          <w:b/>
          <w:bCs/>
          <w:color w:val="0D0D0D" w:themeColor="text1" w:themeTint="F2"/>
        </w:rPr>
        <w:t>S5</w:t>
      </w:r>
      <w:r w:rsidRPr="009A3E39">
        <w:rPr>
          <w:color w:val="0D0D0D" w:themeColor="text1" w:themeTint="F2"/>
        </w:rPr>
        <w:t xml:space="preserve"> Tauc Plot: (αhν)</w:t>
      </w:r>
      <w:r w:rsidRPr="009A3E39">
        <w:rPr>
          <w:color w:val="0D0D0D" w:themeColor="text1" w:themeTint="F2"/>
          <w:vertAlign w:val="superscript"/>
        </w:rPr>
        <w:t>2</w:t>
      </w:r>
      <w:r w:rsidRPr="009A3E39">
        <w:rPr>
          <w:color w:val="0D0D0D" w:themeColor="text1" w:themeTint="F2"/>
        </w:rPr>
        <w:t xml:space="preserve"> vs hν curves for (a) rGO, (b) S@rGO-1, (c) S@rGO-2, (d) S@rGO-3 and (e) S@rGO-4</w:t>
      </w:r>
    </w:p>
    <w:p w14:paraId="34674FDC" w14:textId="77777777" w:rsidR="00B4044A" w:rsidRDefault="00B4044A" w:rsidP="00E91C3A">
      <w:pPr>
        <w:pStyle w:val="Heading1"/>
      </w:pPr>
      <w:r>
        <w:t>Photocatalytic Studies</w:t>
      </w:r>
    </w:p>
    <w:p w14:paraId="384A2029" w14:textId="080F5057" w:rsidR="00F84510" w:rsidRPr="00F84510" w:rsidRDefault="00F84510" w:rsidP="00F84510">
      <w:pPr>
        <w:pStyle w:val="Heading2"/>
        <w:rPr>
          <w:lang w:val="en-GB"/>
        </w:rPr>
      </w:pPr>
      <w:r>
        <w:rPr>
          <w:lang w:val="en-GB"/>
        </w:rPr>
        <w:t>MB Dye</w:t>
      </w:r>
    </w:p>
    <w:p w14:paraId="4BB9648E" w14:textId="77777777" w:rsidR="00F84510" w:rsidRPr="003D34C7" w:rsidRDefault="00F84510" w:rsidP="00F84510"/>
    <w:p w14:paraId="22537C52" w14:textId="77777777" w:rsidR="00F84510" w:rsidRDefault="00F84510" w:rsidP="00F84510">
      <w:r>
        <w:rPr>
          <w:noProof/>
        </w:rPr>
        <w:lastRenderedPageBreak/>
        <w:drawing>
          <wp:inline distT="0" distB="0" distL="0" distR="0" wp14:anchorId="4B853C69" wp14:editId="516B644E">
            <wp:extent cx="5731510" cy="3425825"/>
            <wp:effectExtent l="0" t="0" r="2540" b="3175"/>
            <wp:docPr id="2063127963" name="Picture 1" descr="A collage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127963" name="Picture 1" descr="A collage of different colored lin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425825"/>
                    </a:xfrm>
                    <a:prstGeom prst="rect">
                      <a:avLst/>
                    </a:prstGeom>
                    <a:noFill/>
                    <a:ln>
                      <a:noFill/>
                    </a:ln>
                  </pic:spPr>
                </pic:pic>
              </a:graphicData>
            </a:graphic>
          </wp:inline>
        </w:drawing>
      </w:r>
    </w:p>
    <w:p w14:paraId="77D51C5E" w14:textId="3EB2BA92" w:rsidR="00F84510" w:rsidRDefault="00F84510" w:rsidP="00F84510">
      <w:bookmarkStart w:id="0" w:name="_Hlk185576640"/>
      <w:r w:rsidRPr="00A902FA">
        <w:rPr>
          <w:b/>
          <w:bCs/>
        </w:rPr>
        <w:t>Fig. S</w:t>
      </w:r>
      <w:r w:rsidR="001C4814">
        <w:rPr>
          <w:b/>
          <w:bCs/>
        </w:rPr>
        <w:t>6</w:t>
      </w:r>
      <w:r>
        <w:t xml:space="preserve"> Absorption spectra for (a) Blank MB (b) rGO (c) S@rGO-1 (d) S@rGO-2 (e) S@rGO-3 (f) S@rGO-4. Inset graph illustrates zoomed out view of absorption spectra in the wavelength range - 200 nm to 800 nm.</w:t>
      </w:r>
      <w:r w:rsidRPr="000723C2">
        <w:t xml:space="preserve"> </w:t>
      </w:r>
    </w:p>
    <w:p w14:paraId="2E4E94E0" w14:textId="64FFA718" w:rsidR="008D2C54" w:rsidRDefault="001C4814" w:rsidP="00F84510">
      <w:r>
        <w:rPr>
          <w:noProof/>
        </w:rPr>
        <w:drawing>
          <wp:inline distT="0" distB="0" distL="0" distR="0" wp14:anchorId="3EBA1F22" wp14:editId="73F3D36C">
            <wp:extent cx="5731510" cy="1578610"/>
            <wp:effectExtent l="0" t="0" r="2540" b="2540"/>
            <wp:docPr id="1278742505" name="Picture 7" descr="A graph of 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742505" name="Picture 7" descr="A graph of a graph of a function&#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1578610"/>
                    </a:xfrm>
                    <a:prstGeom prst="rect">
                      <a:avLst/>
                    </a:prstGeom>
                    <a:noFill/>
                    <a:ln>
                      <a:noFill/>
                    </a:ln>
                  </pic:spPr>
                </pic:pic>
              </a:graphicData>
            </a:graphic>
          </wp:inline>
        </w:drawing>
      </w:r>
    </w:p>
    <w:p w14:paraId="5688D61F" w14:textId="77777777" w:rsidR="008D2C54" w:rsidRDefault="008D2C54" w:rsidP="00F84510"/>
    <w:p w14:paraId="7ABFE7FB" w14:textId="37AA7C44" w:rsidR="008D2C54" w:rsidRPr="00AE0DC6" w:rsidRDefault="001C4814" w:rsidP="00F84510">
      <w:r w:rsidRPr="001C4814">
        <w:rPr>
          <w:b/>
          <w:bCs/>
        </w:rPr>
        <w:t>Fig. S7</w:t>
      </w:r>
      <w:r w:rsidR="00AE0DC6" w:rsidRPr="00AE0DC6">
        <w:rPr>
          <w:b/>
          <w:bCs/>
        </w:rPr>
        <w:t xml:space="preserve"> </w:t>
      </w:r>
      <w:r w:rsidR="00370BCC">
        <w:rPr>
          <w:b/>
          <w:bCs/>
        </w:rPr>
        <w:t>(a)</w:t>
      </w:r>
      <w:r w:rsidR="00AE0DC6" w:rsidRPr="00AE0DC6">
        <w:t>Concentration vs. Irradiation time (min) plot (</w:t>
      </w:r>
      <w:r w:rsidR="00370BCC">
        <w:t>b</w:t>
      </w:r>
      <w:r w:rsidR="00AE0DC6" w:rsidRPr="00AE0DC6">
        <w:t>) ln(Co/ C) vs. Irradiation time (min) plot (</w:t>
      </w:r>
      <w:r w:rsidR="00370BCC">
        <w:t>c</w:t>
      </w:r>
      <w:r w:rsidR="00AE0DC6" w:rsidRPr="00AE0DC6">
        <w:t>) (1/C) vs. Irradiation time (min) plot</w:t>
      </w:r>
    </w:p>
    <w:p w14:paraId="5BBEB3CD" w14:textId="77777777" w:rsidR="008D2C54" w:rsidRDefault="008D2C54" w:rsidP="00F84510"/>
    <w:bookmarkEnd w:id="0"/>
    <w:p w14:paraId="45AE4666" w14:textId="451CEAAC" w:rsidR="00F84510" w:rsidRDefault="00F84510" w:rsidP="00F84510">
      <w:pPr>
        <w:rPr>
          <w:noProof/>
        </w:rPr>
      </w:pPr>
      <w:r w:rsidRPr="00A902FA">
        <w:rPr>
          <w:b/>
          <w:bCs/>
          <w:noProof/>
        </w:rPr>
        <w:t>Table S</w:t>
      </w:r>
      <w:r w:rsidR="001C4814">
        <w:rPr>
          <w:b/>
          <w:bCs/>
          <w:noProof/>
        </w:rPr>
        <w:t>6</w:t>
      </w:r>
      <w:r>
        <w:rPr>
          <w:noProof/>
        </w:rPr>
        <w:t xml:space="preserve"> </w:t>
      </w:r>
      <w:r w:rsidRPr="0033617F">
        <w:rPr>
          <w:noProof/>
        </w:rPr>
        <w:t>The values of the pseudo-zero, pseudo - first and pseudo -second-order rate constants, half-lives and the corresponding correlation coefficients for the photocatalytic degradation of MB</w:t>
      </w:r>
      <w:r>
        <w:rPr>
          <w:noProof/>
        </w:rPr>
        <w:t>.</w:t>
      </w:r>
    </w:p>
    <w:tbl>
      <w:tblPr>
        <w:tblW w:w="11755" w:type="dxa"/>
        <w:tblInd w:w="-1286" w:type="dxa"/>
        <w:tblLayout w:type="fixed"/>
        <w:tblLook w:val="04A0" w:firstRow="1" w:lastRow="0" w:firstColumn="1" w:lastColumn="0" w:noHBand="0" w:noVBand="1"/>
      </w:tblPr>
      <w:tblGrid>
        <w:gridCol w:w="432"/>
        <w:gridCol w:w="1300"/>
        <w:gridCol w:w="1153"/>
        <w:gridCol w:w="1153"/>
        <w:gridCol w:w="1010"/>
        <w:gridCol w:w="1034"/>
        <w:gridCol w:w="1014"/>
        <w:gridCol w:w="1049"/>
        <w:gridCol w:w="1153"/>
        <w:gridCol w:w="1153"/>
        <w:gridCol w:w="1304"/>
      </w:tblGrid>
      <w:tr w:rsidR="00F84510" w:rsidRPr="00D202A7" w14:paraId="548EF167" w14:textId="77777777" w:rsidTr="000642F0">
        <w:trPr>
          <w:trHeight w:val="215"/>
        </w:trPr>
        <w:tc>
          <w:tcPr>
            <w:tcW w:w="432" w:type="dxa"/>
            <w:vMerge w:val="restart"/>
            <w:tcBorders>
              <w:top w:val="single" w:sz="8" w:space="0" w:color="auto"/>
              <w:left w:val="single" w:sz="8" w:space="0" w:color="auto"/>
              <w:bottom w:val="single" w:sz="8" w:space="0" w:color="000000"/>
              <w:right w:val="single" w:sz="8" w:space="0" w:color="auto"/>
            </w:tcBorders>
            <w:vAlign w:val="center"/>
            <w:hideMark/>
          </w:tcPr>
          <w:p w14:paraId="5EF82C32" w14:textId="77777777" w:rsidR="00F84510" w:rsidRPr="00D202A7" w:rsidRDefault="00F84510" w:rsidP="000642F0">
            <w:pPr>
              <w:spacing w:after="0" w:line="240" w:lineRule="auto"/>
              <w:jc w:val="both"/>
              <w:rPr>
                <w:rFonts w:eastAsia="Times New Roman"/>
                <w:szCs w:val="24"/>
                <w:lang w:eastAsia="en-IN"/>
              </w:rPr>
            </w:pPr>
            <w:bookmarkStart w:id="1" w:name="_Hlk185576932"/>
            <w:bookmarkStart w:id="2" w:name="_Hlk152859915"/>
            <w:r w:rsidRPr="00D202A7">
              <w:rPr>
                <w:rFonts w:eastAsia="Times New Roman"/>
                <w:szCs w:val="24"/>
                <w:lang w:val="en-GB" w:eastAsia="en-IN"/>
              </w:rPr>
              <w:t>Sr. No.</w:t>
            </w:r>
          </w:p>
        </w:tc>
        <w:tc>
          <w:tcPr>
            <w:tcW w:w="1300" w:type="dxa"/>
            <w:vMerge w:val="restart"/>
            <w:tcBorders>
              <w:top w:val="single" w:sz="8" w:space="0" w:color="auto"/>
              <w:left w:val="single" w:sz="8" w:space="0" w:color="auto"/>
              <w:bottom w:val="single" w:sz="8" w:space="0" w:color="000000"/>
              <w:right w:val="single" w:sz="4" w:space="0" w:color="auto"/>
            </w:tcBorders>
            <w:vAlign w:val="center"/>
            <w:hideMark/>
          </w:tcPr>
          <w:p w14:paraId="71C46E4D"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Sample Name</w:t>
            </w:r>
          </w:p>
        </w:tc>
        <w:tc>
          <w:tcPr>
            <w:tcW w:w="1153" w:type="dxa"/>
            <w:vMerge w:val="restart"/>
            <w:tcBorders>
              <w:top w:val="single" w:sz="8" w:space="0" w:color="auto"/>
              <w:left w:val="single" w:sz="4" w:space="0" w:color="auto"/>
              <w:bottom w:val="single" w:sz="8" w:space="0" w:color="000000"/>
              <w:right w:val="single" w:sz="8" w:space="0" w:color="auto"/>
            </w:tcBorders>
            <w:vAlign w:val="center"/>
            <w:hideMark/>
          </w:tcPr>
          <w:p w14:paraId="17C86EA5" w14:textId="77777777" w:rsidR="00F84510" w:rsidRPr="00A57758"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Rate constant (</w:t>
            </w:r>
            <w:r>
              <w:rPr>
                <w:rFonts w:eastAsia="Times New Roman"/>
                <w:szCs w:val="24"/>
                <w:lang w:val="en-GB" w:eastAsia="en-IN"/>
              </w:rPr>
              <w:t>k</w:t>
            </w:r>
            <w:r w:rsidRPr="00D202A7">
              <w:rPr>
                <w:rFonts w:eastAsia="Times New Roman"/>
                <w:szCs w:val="24"/>
                <w:vertAlign w:val="subscript"/>
                <w:lang w:val="en-GB" w:eastAsia="en-IN"/>
              </w:rPr>
              <w:t>0</w:t>
            </w:r>
            <w:r w:rsidRPr="00D202A7">
              <w:rPr>
                <w:rFonts w:eastAsia="Times New Roman"/>
                <w:szCs w:val="24"/>
                <w:lang w:val="en-GB" w:eastAsia="en-IN"/>
              </w:rPr>
              <w:t>)</w:t>
            </w:r>
            <w:r>
              <w:rPr>
                <w:rFonts w:eastAsia="Times New Roman"/>
                <w:szCs w:val="24"/>
                <w:lang w:val="en-GB" w:eastAsia="en-IN"/>
              </w:rPr>
              <w:t xml:space="preserve"> (M min</w:t>
            </w:r>
            <w:r>
              <w:rPr>
                <w:rFonts w:eastAsia="Times New Roman"/>
                <w:szCs w:val="24"/>
                <w:vertAlign w:val="subscript"/>
                <w:lang w:val="en-GB" w:eastAsia="en-IN"/>
              </w:rPr>
              <w:softHyphen/>
            </w:r>
            <w:r>
              <w:rPr>
                <w:rFonts w:eastAsia="Times New Roman"/>
                <w:szCs w:val="24"/>
                <w:vertAlign w:val="superscript"/>
                <w:lang w:val="en-GB" w:eastAsia="en-IN"/>
              </w:rPr>
              <w:t>-1</w:t>
            </w:r>
            <w:r>
              <w:rPr>
                <w:rFonts w:eastAsia="Times New Roman"/>
                <w:szCs w:val="24"/>
                <w:lang w:val="en-GB" w:eastAsia="en-IN"/>
              </w:rPr>
              <w:t>)</w:t>
            </w:r>
          </w:p>
        </w:tc>
        <w:tc>
          <w:tcPr>
            <w:tcW w:w="1153" w:type="dxa"/>
            <w:vMerge w:val="restart"/>
            <w:tcBorders>
              <w:top w:val="single" w:sz="8" w:space="0" w:color="auto"/>
              <w:left w:val="single" w:sz="8" w:space="0" w:color="auto"/>
              <w:bottom w:val="single" w:sz="8" w:space="0" w:color="000000"/>
              <w:right w:val="single" w:sz="8" w:space="0" w:color="auto"/>
            </w:tcBorders>
            <w:vAlign w:val="center"/>
            <w:hideMark/>
          </w:tcPr>
          <w:p w14:paraId="7F496E5A"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R</w:t>
            </w:r>
            <w:r w:rsidRPr="00D202A7">
              <w:rPr>
                <w:rFonts w:eastAsia="Times New Roman"/>
                <w:szCs w:val="24"/>
                <w:vertAlign w:val="superscript"/>
                <w:lang w:val="en-GB" w:eastAsia="en-IN"/>
              </w:rPr>
              <w:t xml:space="preserve">2 </w:t>
            </w:r>
          </w:p>
        </w:tc>
        <w:tc>
          <w:tcPr>
            <w:tcW w:w="1010" w:type="dxa"/>
            <w:tcBorders>
              <w:top w:val="single" w:sz="8" w:space="0" w:color="auto"/>
              <w:left w:val="nil"/>
              <w:bottom w:val="nil"/>
              <w:right w:val="single" w:sz="8" w:space="0" w:color="auto"/>
            </w:tcBorders>
            <w:vAlign w:val="center"/>
            <w:hideMark/>
          </w:tcPr>
          <w:p w14:paraId="3F1B7EA9"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 xml:space="preserve">Half </w:t>
            </w:r>
          </w:p>
        </w:tc>
        <w:tc>
          <w:tcPr>
            <w:tcW w:w="1034" w:type="dxa"/>
            <w:vMerge w:val="restart"/>
            <w:tcBorders>
              <w:top w:val="single" w:sz="8" w:space="0" w:color="auto"/>
              <w:left w:val="single" w:sz="8" w:space="0" w:color="auto"/>
              <w:bottom w:val="single" w:sz="8" w:space="0" w:color="000000"/>
              <w:right w:val="single" w:sz="8" w:space="0" w:color="auto"/>
            </w:tcBorders>
            <w:vAlign w:val="center"/>
            <w:hideMark/>
          </w:tcPr>
          <w:p w14:paraId="1CD6FEED"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Rate constant (</w:t>
            </w:r>
            <w:r>
              <w:rPr>
                <w:rFonts w:eastAsia="Times New Roman"/>
                <w:szCs w:val="24"/>
                <w:lang w:val="en-GB" w:eastAsia="en-IN"/>
              </w:rPr>
              <w:t>k</w:t>
            </w:r>
            <w:r w:rsidRPr="00D202A7">
              <w:rPr>
                <w:rFonts w:eastAsia="Times New Roman"/>
                <w:szCs w:val="24"/>
                <w:vertAlign w:val="subscript"/>
                <w:lang w:val="en-GB" w:eastAsia="en-IN"/>
              </w:rPr>
              <w:t>1</w:t>
            </w:r>
            <w:r w:rsidRPr="00D202A7">
              <w:rPr>
                <w:rFonts w:eastAsia="Times New Roman"/>
                <w:szCs w:val="24"/>
                <w:lang w:val="en-GB" w:eastAsia="en-IN"/>
              </w:rPr>
              <w:t>)</w:t>
            </w:r>
            <w:r>
              <w:rPr>
                <w:rFonts w:eastAsia="Times New Roman"/>
                <w:szCs w:val="24"/>
                <w:lang w:val="en-GB" w:eastAsia="en-IN"/>
              </w:rPr>
              <w:t xml:space="preserve"> (min</w:t>
            </w:r>
            <w:r>
              <w:rPr>
                <w:rFonts w:eastAsia="Times New Roman"/>
                <w:szCs w:val="24"/>
                <w:vertAlign w:val="subscript"/>
                <w:lang w:val="en-GB" w:eastAsia="en-IN"/>
              </w:rPr>
              <w:softHyphen/>
            </w:r>
            <w:r>
              <w:rPr>
                <w:rFonts w:eastAsia="Times New Roman"/>
                <w:szCs w:val="24"/>
                <w:vertAlign w:val="superscript"/>
                <w:lang w:val="en-GB" w:eastAsia="en-IN"/>
              </w:rPr>
              <w:t>-1</w:t>
            </w:r>
            <w:r>
              <w:rPr>
                <w:rFonts w:eastAsia="Times New Roman"/>
                <w:szCs w:val="24"/>
                <w:lang w:val="en-GB" w:eastAsia="en-IN"/>
              </w:rPr>
              <w:t>)</w:t>
            </w:r>
          </w:p>
        </w:tc>
        <w:tc>
          <w:tcPr>
            <w:tcW w:w="1014" w:type="dxa"/>
            <w:vMerge w:val="restart"/>
            <w:tcBorders>
              <w:top w:val="single" w:sz="8" w:space="0" w:color="auto"/>
              <w:left w:val="single" w:sz="8" w:space="0" w:color="auto"/>
              <w:bottom w:val="single" w:sz="8" w:space="0" w:color="000000"/>
              <w:right w:val="single" w:sz="8" w:space="0" w:color="auto"/>
            </w:tcBorders>
            <w:vAlign w:val="center"/>
            <w:hideMark/>
          </w:tcPr>
          <w:p w14:paraId="7EFE824A"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R</w:t>
            </w:r>
            <w:r w:rsidRPr="00D202A7">
              <w:rPr>
                <w:rFonts w:eastAsia="Times New Roman"/>
                <w:szCs w:val="24"/>
                <w:vertAlign w:val="superscript"/>
                <w:lang w:val="en-GB" w:eastAsia="en-IN"/>
              </w:rPr>
              <w:t>2</w:t>
            </w:r>
          </w:p>
        </w:tc>
        <w:tc>
          <w:tcPr>
            <w:tcW w:w="1049" w:type="dxa"/>
            <w:tcBorders>
              <w:top w:val="single" w:sz="8" w:space="0" w:color="auto"/>
              <w:left w:val="nil"/>
              <w:bottom w:val="nil"/>
              <w:right w:val="single" w:sz="8" w:space="0" w:color="auto"/>
            </w:tcBorders>
            <w:vAlign w:val="center"/>
            <w:hideMark/>
          </w:tcPr>
          <w:p w14:paraId="04D959EE"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Half</w:t>
            </w:r>
          </w:p>
        </w:tc>
        <w:tc>
          <w:tcPr>
            <w:tcW w:w="1153" w:type="dxa"/>
            <w:vMerge w:val="restart"/>
            <w:tcBorders>
              <w:top w:val="single" w:sz="8" w:space="0" w:color="auto"/>
              <w:left w:val="single" w:sz="8" w:space="0" w:color="auto"/>
              <w:bottom w:val="single" w:sz="8" w:space="0" w:color="000000"/>
              <w:right w:val="single" w:sz="8" w:space="0" w:color="auto"/>
            </w:tcBorders>
            <w:vAlign w:val="center"/>
            <w:hideMark/>
          </w:tcPr>
          <w:p w14:paraId="215BBB7B"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Rate constant (</w:t>
            </w:r>
            <w:r>
              <w:rPr>
                <w:rFonts w:eastAsia="Times New Roman"/>
                <w:szCs w:val="24"/>
                <w:lang w:val="en-GB" w:eastAsia="en-IN"/>
              </w:rPr>
              <w:t>k</w:t>
            </w:r>
            <w:r w:rsidRPr="00D202A7">
              <w:rPr>
                <w:rFonts w:eastAsia="Times New Roman"/>
                <w:szCs w:val="24"/>
                <w:vertAlign w:val="subscript"/>
                <w:lang w:val="en-GB" w:eastAsia="en-IN"/>
              </w:rPr>
              <w:t>2</w:t>
            </w:r>
            <w:r w:rsidRPr="00D202A7">
              <w:rPr>
                <w:rFonts w:eastAsia="Times New Roman"/>
                <w:szCs w:val="24"/>
                <w:lang w:val="en-GB" w:eastAsia="en-IN"/>
              </w:rPr>
              <w:t>)</w:t>
            </w:r>
            <w:r>
              <w:rPr>
                <w:rFonts w:eastAsia="Times New Roman"/>
                <w:szCs w:val="24"/>
                <w:lang w:val="en-GB" w:eastAsia="en-IN"/>
              </w:rPr>
              <w:t xml:space="preserve"> (M</w:t>
            </w:r>
            <w:r>
              <w:rPr>
                <w:rFonts w:eastAsia="Times New Roman"/>
                <w:szCs w:val="24"/>
                <w:vertAlign w:val="superscript"/>
                <w:lang w:val="en-GB" w:eastAsia="en-IN"/>
              </w:rPr>
              <w:t>-1</w:t>
            </w:r>
            <w:r>
              <w:rPr>
                <w:rFonts w:eastAsia="Times New Roman"/>
                <w:szCs w:val="24"/>
                <w:lang w:val="en-GB" w:eastAsia="en-IN"/>
              </w:rPr>
              <w:t xml:space="preserve"> min</w:t>
            </w:r>
            <w:r>
              <w:rPr>
                <w:rFonts w:eastAsia="Times New Roman"/>
                <w:szCs w:val="24"/>
                <w:vertAlign w:val="subscript"/>
                <w:lang w:val="en-GB" w:eastAsia="en-IN"/>
              </w:rPr>
              <w:softHyphen/>
            </w:r>
            <w:r>
              <w:rPr>
                <w:rFonts w:eastAsia="Times New Roman"/>
                <w:szCs w:val="24"/>
                <w:vertAlign w:val="superscript"/>
                <w:lang w:val="en-GB" w:eastAsia="en-IN"/>
              </w:rPr>
              <w:t>-1</w:t>
            </w:r>
            <w:r>
              <w:rPr>
                <w:rFonts w:eastAsia="Times New Roman"/>
                <w:szCs w:val="24"/>
                <w:lang w:val="en-GB" w:eastAsia="en-IN"/>
              </w:rPr>
              <w:t>)</w:t>
            </w:r>
          </w:p>
        </w:tc>
        <w:tc>
          <w:tcPr>
            <w:tcW w:w="1153" w:type="dxa"/>
            <w:vMerge w:val="restart"/>
            <w:tcBorders>
              <w:top w:val="single" w:sz="8" w:space="0" w:color="auto"/>
              <w:left w:val="single" w:sz="8" w:space="0" w:color="auto"/>
              <w:bottom w:val="single" w:sz="8" w:space="0" w:color="000000"/>
              <w:right w:val="single" w:sz="8" w:space="0" w:color="auto"/>
            </w:tcBorders>
            <w:vAlign w:val="center"/>
            <w:hideMark/>
          </w:tcPr>
          <w:p w14:paraId="5734241D"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R</w:t>
            </w:r>
            <w:r w:rsidRPr="00D202A7">
              <w:rPr>
                <w:rFonts w:eastAsia="Times New Roman"/>
                <w:szCs w:val="24"/>
                <w:vertAlign w:val="superscript"/>
                <w:lang w:val="en-GB" w:eastAsia="en-IN"/>
              </w:rPr>
              <w:t>2</w:t>
            </w:r>
          </w:p>
        </w:tc>
        <w:tc>
          <w:tcPr>
            <w:tcW w:w="1304" w:type="dxa"/>
            <w:tcBorders>
              <w:top w:val="single" w:sz="8" w:space="0" w:color="auto"/>
              <w:left w:val="nil"/>
              <w:bottom w:val="nil"/>
              <w:right w:val="single" w:sz="8" w:space="0" w:color="auto"/>
            </w:tcBorders>
            <w:vAlign w:val="center"/>
            <w:hideMark/>
          </w:tcPr>
          <w:p w14:paraId="065A62DA"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Half</w:t>
            </w:r>
          </w:p>
        </w:tc>
      </w:tr>
      <w:tr w:rsidR="00F84510" w:rsidRPr="00D202A7" w14:paraId="0D79BC06" w14:textId="77777777" w:rsidTr="000642F0">
        <w:trPr>
          <w:trHeight w:val="286"/>
        </w:trPr>
        <w:tc>
          <w:tcPr>
            <w:tcW w:w="432" w:type="dxa"/>
            <w:vMerge/>
            <w:tcBorders>
              <w:top w:val="single" w:sz="8" w:space="0" w:color="auto"/>
              <w:left w:val="single" w:sz="8" w:space="0" w:color="auto"/>
              <w:bottom w:val="single" w:sz="8" w:space="0" w:color="000000"/>
              <w:right w:val="single" w:sz="8" w:space="0" w:color="auto"/>
            </w:tcBorders>
            <w:vAlign w:val="center"/>
            <w:hideMark/>
          </w:tcPr>
          <w:p w14:paraId="0ACFDCB4" w14:textId="77777777" w:rsidR="00F84510" w:rsidRPr="00D202A7" w:rsidRDefault="00F84510" w:rsidP="000642F0">
            <w:pPr>
              <w:spacing w:after="0" w:line="240" w:lineRule="auto"/>
              <w:rPr>
                <w:rFonts w:eastAsia="Times New Roman"/>
                <w:szCs w:val="24"/>
                <w:lang w:eastAsia="en-IN"/>
              </w:rPr>
            </w:pPr>
          </w:p>
        </w:tc>
        <w:tc>
          <w:tcPr>
            <w:tcW w:w="1300" w:type="dxa"/>
            <w:vMerge/>
            <w:tcBorders>
              <w:top w:val="single" w:sz="8" w:space="0" w:color="auto"/>
              <w:left w:val="single" w:sz="8" w:space="0" w:color="auto"/>
              <w:bottom w:val="single" w:sz="8" w:space="0" w:color="000000"/>
              <w:right w:val="single" w:sz="4" w:space="0" w:color="auto"/>
            </w:tcBorders>
            <w:vAlign w:val="center"/>
            <w:hideMark/>
          </w:tcPr>
          <w:p w14:paraId="6352A886" w14:textId="77777777" w:rsidR="00F84510" w:rsidRPr="00D202A7" w:rsidRDefault="00F84510" w:rsidP="000642F0">
            <w:pPr>
              <w:spacing w:after="0" w:line="240" w:lineRule="auto"/>
              <w:rPr>
                <w:rFonts w:eastAsia="Times New Roman"/>
                <w:szCs w:val="24"/>
                <w:lang w:eastAsia="en-IN"/>
              </w:rPr>
            </w:pPr>
          </w:p>
        </w:tc>
        <w:tc>
          <w:tcPr>
            <w:tcW w:w="1153" w:type="dxa"/>
            <w:vMerge/>
            <w:tcBorders>
              <w:top w:val="single" w:sz="8" w:space="0" w:color="auto"/>
              <w:left w:val="single" w:sz="4" w:space="0" w:color="auto"/>
              <w:bottom w:val="single" w:sz="8" w:space="0" w:color="000000"/>
              <w:right w:val="single" w:sz="8" w:space="0" w:color="auto"/>
            </w:tcBorders>
            <w:vAlign w:val="center"/>
            <w:hideMark/>
          </w:tcPr>
          <w:p w14:paraId="7518134A" w14:textId="77777777" w:rsidR="00F84510" w:rsidRPr="00D202A7" w:rsidRDefault="00F84510" w:rsidP="000642F0">
            <w:pPr>
              <w:spacing w:after="0" w:line="240" w:lineRule="auto"/>
              <w:rPr>
                <w:rFonts w:eastAsia="Times New Roman"/>
                <w:szCs w:val="24"/>
                <w:lang w:eastAsia="en-IN"/>
              </w:rPr>
            </w:pPr>
          </w:p>
        </w:tc>
        <w:tc>
          <w:tcPr>
            <w:tcW w:w="1153" w:type="dxa"/>
            <w:vMerge/>
            <w:tcBorders>
              <w:top w:val="single" w:sz="8" w:space="0" w:color="auto"/>
              <w:left w:val="single" w:sz="8" w:space="0" w:color="auto"/>
              <w:bottom w:val="single" w:sz="8" w:space="0" w:color="000000"/>
              <w:right w:val="single" w:sz="8" w:space="0" w:color="auto"/>
            </w:tcBorders>
            <w:vAlign w:val="center"/>
            <w:hideMark/>
          </w:tcPr>
          <w:p w14:paraId="37A8EC54" w14:textId="77777777" w:rsidR="00F84510" w:rsidRPr="00D202A7" w:rsidRDefault="00F84510" w:rsidP="000642F0">
            <w:pPr>
              <w:spacing w:after="0" w:line="240" w:lineRule="auto"/>
              <w:rPr>
                <w:rFonts w:eastAsia="Times New Roman"/>
                <w:szCs w:val="24"/>
                <w:lang w:eastAsia="en-IN"/>
              </w:rPr>
            </w:pPr>
          </w:p>
        </w:tc>
        <w:tc>
          <w:tcPr>
            <w:tcW w:w="1010" w:type="dxa"/>
            <w:tcBorders>
              <w:top w:val="nil"/>
              <w:left w:val="nil"/>
              <w:bottom w:val="nil"/>
              <w:right w:val="single" w:sz="8" w:space="0" w:color="auto"/>
            </w:tcBorders>
            <w:vAlign w:val="center"/>
            <w:hideMark/>
          </w:tcPr>
          <w:p w14:paraId="667F2276"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Life (C</w:t>
            </w:r>
            <w:r w:rsidRPr="00D202A7">
              <w:rPr>
                <w:rFonts w:eastAsia="Times New Roman"/>
                <w:szCs w:val="24"/>
                <w:vertAlign w:val="subscript"/>
                <w:lang w:val="en-GB" w:eastAsia="en-IN"/>
              </w:rPr>
              <w:t>o</w:t>
            </w:r>
            <w:r w:rsidRPr="00D202A7">
              <w:rPr>
                <w:rFonts w:eastAsia="Times New Roman"/>
                <w:szCs w:val="24"/>
                <w:lang w:val="en-GB" w:eastAsia="en-IN"/>
              </w:rPr>
              <w:t>/2</w:t>
            </w:r>
            <w:r>
              <w:rPr>
                <w:rFonts w:eastAsia="Times New Roman"/>
                <w:szCs w:val="24"/>
                <w:lang w:val="en-GB" w:eastAsia="en-IN"/>
              </w:rPr>
              <w:t>k</w:t>
            </w:r>
            <w:r w:rsidRPr="00D202A7">
              <w:rPr>
                <w:rFonts w:eastAsia="Times New Roman"/>
                <w:szCs w:val="24"/>
                <w:vertAlign w:val="subscript"/>
                <w:lang w:val="en-GB" w:eastAsia="en-IN"/>
              </w:rPr>
              <w:t>0</w:t>
            </w:r>
            <w:r w:rsidRPr="00D202A7">
              <w:rPr>
                <w:rFonts w:eastAsia="Times New Roman"/>
                <w:szCs w:val="24"/>
                <w:lang w:val="en-GB" w:eastAsia="en-IN"/>
              </w:rPr>
              <w:t>)</w:t>
            </w:r>
          </w:p>
        </w:tc>
        <w:tc>
          <w:tcPr>
            <w:tcW w:w="1034" w:type="dxa"/>
            <w:vMerge/>
            <w:tcBorders>
              <w:top w:val="single" w:sz="8" w:space="0" w:color="auto"/>
              <w:left w:val="single" w:sz="8" w:space="0" w:color="auto"/>
              <w:bottom w:val="single" w:sz="8" w:space="0" w:color="000000"/>
              <w:right w:val="single" w:sz="8" w:space="0" w:color="auto"/>
            </w:tcBorders>
            <w:vAlign w:val="center"/>
            <w:hideMark/>
          </w:tcPr>
          <w:p w14:paraId="365A01CD" w14:textId="77777777" w:rsidR="00F84510" w:rsidRPr="00D202A7" w:rsidRDefault="00F84510" w:rsidP="000642F0">
            <w:pPr>
              <w:spacing w:after="0" w:line="240" w:lineRule="auto"/>
              <w:rPr>
                <w:rFonts w:eastAsia="Times New Roman"/>
                <w:szCs w:val="24"/>
                <w:lang w:eastAsia="en-IN"/>
              </w:rPr>
            </w:pPr>
          </w:p>
        </w:tc>
        <w:tc>
          <w:tcPr>
            <w:tcW w:w="1014" w:type="dxa"/>
            <w:vMerge/>
            <w:tcBorders>
              <w:top w:val="single" w:sz="8" w:space="0" w:color="auto"/>
              <w:left w:val="single" w:sz="8" w:space="0" w:color="auto"/>
              <w:bottom w:val="single" w:sz="8" w:space="0" w:color="000000"/>
              <w:right w:val="single" w:sz="8" w:space="0" w:color="auto"/>
            </w:tcBorders>
            <w:vAlign w:val="center"/>
            <w:hideMark/>
          </w:tcPr>
          <w:p w14:paraId="3603F5C2" w14:textId="77777777" w:rsidR="00F84510" w:rsidRPr="00D202A7" w:rsidRDefault="00F84510" w:rsidP="000642F0">
            <w:pPr>
              <w:spacing w:after="0" w:line="240" w:lineRule="auto"/>
              <w:rPr>
                <w:rFonts w:eastAsia="Times New Roman"/>
                <w:szCs w:val="24"/>
                <w:lang w:eastAsia="en-IN"/>
              </w:rPr>
            </w:pPr>
          </w:p>
        </w:tc>
        <w:tc>
          <w:tcPr>
            <w:tcW w:w="1049" w:type="dxa"/>
            <w:tcBorders>
              <w:top w:val="nil"/>
              <w:left w:val="nil"/>
              <w:bottom w:val="nil"/>
              <w:right w:val="single" w:sz="8" w:space="0" w:color="auto"/>
            </w:tcBorders>
            <w:vAlign w:val="center"/>
            <w:hideMark/>
          </w:tcPr>
          <w:p w14:paraId="50F7D69D"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Life</w:t>
            </w:r>
          </w:p>
        </w:tc>
        <w:tc>
          <w:tcPr>
            <w:tcW w:w="1153" w:type="dxa"/>
            <w:vMerge/>
            <w:tcBorders>
              <w:top w:val="single" w:sz="8" w:space="0" w:color="auto"/>
              <w:left w:val="single" w:sz="8" w:space="0" w:color="auto"/>
              <w:bottom w:val="single" w:sz="8" w:space="0" w:color="000000"/>
              <w:right w:val="single" w:sz="8" w:space="0" w:color="auto"/>
            </w:tcBorders>
            <w:vAlign w:val="center"/>
            <w:hideMark/>
          </w:tcPr>
          <w:p w14:paraId="4EF11548" w14:textId="77777777" w:rsidR="00F84510" w:rsidRPr="00D202A7" w:rsidRDefault="00F84510" w:rsidP="000642F0">
            <w:pPr>
              <w:spacing w:after="0" w:line="240" w:lineRule="auto"/>
              <w:rPr>
                <w:rFonts w:eastAsia="Times New Roman"/>
                <w:szCs w:val="24"/>
                <w:lang w:eastAsia="en-IN"/>
              </w:rPr>
            </w:pPr>
          </w:p>
        </w:tc>
        <w:tc>
          <w:tcPr>
            <w:tcW w:w="1153" w:type="dxa"/>
            <w:vMerge/>
            <w:tcBorders>
              <w:top w:val="single" w:sz="8" w:space="0" w:color="auto"/>
              <w:left w:val="single" w:sz="8" w:space="0" w:color="auto"/>
              <w:bottom w:val="single" w:sz="8" w:space="0" w:color="000000"/>
              <w:right w:val="single" w:sz="8" w:space="0" w:color="auto"/>
            </w:tcBorders>
            <w:vAlign w:val="center"/>
            <w:hideMark/>
          </w:tcPr>
          <w:p w14:paraId="11CA599B" w14:textId="77777777" w:rsidR="00F84510" w:rsidRPr="00D202A7" w:rsidRDefault="00F84510" w:rsidP="000642F0">
            <w:pPr>
              <w:spacing w:after="0" w:line="240" w:lineRule="auto"/>
              <w:rPr>
                <w:rFonts w:eastAsia="Times New Roman"/>
                <w:szCs w:val="24"/>
                <w:lang w:eastAsia="en-IN"/>
              </w:rPr>
            </w:pPr>
          </w:p>
        </w:tc>
        <w:tc>
          <w:tcPr>
            <w:tcW w:w="1304" w:type="dxa"/>
            <w:tcBorders>
              <w:top w:val="nil"/>
              <w:left w:val="nil"/>
              <w:bottom w:val="nil"/>
              <w:right w:val="single" w:sz="8" w:space="0" w:color="auto"/>
            </w:tcBorders>
            <w:vAlign w:val="center"/>
            <w:hideMark/>
          </w:tcPr>
          <w:p w14:paraId="1ADC38BF"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Life</w:t>
            </w:r>
          </w:p>
        </w:tc>
      </w:tr>
      <w:tr w:rsidR="00F84510" w:rsidRPr="00D202A7" w14:paraId="65663ED1" w14:textId="77777777" w:rsidTr="000642F0">
        <w:trPr>
          <w:trHeight w:val="471"/>
        </w:trPr>
        <w:tc>
          <w:tcPr>
            <w:tcW w:w="432" w:type="dxa"/>
            <w:vMerge/>
            <w:tcBorders>
              <w:top w:val="single" w:sz="8" w:space="0" w:color="auto"/>
              <w:left w:val="single" w:sz="8" w:space="0" w:color="auto"/>
              <w:bottom w:val="single" w:sz="8" w:space="0" w:color="000000"/>
              <w:right w:val="single" w:sz="8" w:space="0" w:color="auto"/>
            </w:tcBorders>
            <w:vAlign w:val="center"/>
            <w:hideMark/>
          </w:tcPr>
          <w:p w14:paraId="122EF458" w14:textId="77777777" w:rsidR="00F84510" w:rsidRPr="00D202A7" w:rsidRDefault="00F84510" w:rsidP="000642F0">
            <w:pPr>
              <w:spacing w:after="0" w:line="240" w:lineRule="auto"/>
              <w:rPr>
                <w:rFonts w:eastAsia="Times New Roman"/>
                <w:szCs w:val="24"/>
                <w:lang w:eastAsia="en-IN"/>
              </w:rPr>
            </w:pPr>
          </w:p>
        </w:tc>
        <w:tc>
          <w:tcPr>
            <w:tcW w:w="1300" w:type="dxa"/>
            <w:vMerge/>
            <w:tcBorders>
              <w:top w:val="single" w:sz="8" w:space="0" w:color="auto"/>
              <w:left w:val="single" w:sz="8" w:space="0" w:color="auto"/>
              <w:bottom w:val="single" w:sz="8" w:space="0" w:color="000000"/>
              <w:right w:val="single" w:sz="4" w:space="0" w:color="auto"/>
            </w:tcBorders>
            <w:vAlign w:val="center"/>
            <w:hideMark/>
          </w:tcPr>
          <w:p w14:paraId="2E60965B" w14:textId="77777777" w:rsidR="00F84510" w:rsidRPr="00D202A7" w:rsidRDefault="00F84510" w:rsidP="000642F0">
            <w:pPr>
              <w:spacing w:after="0" w:line="240" w:lineRule="auto"/>
              <w:rPr>
                <w:rFonts w:eastAsia="Times New Roman"/>
                <w:szCs w:val="24"/>
                <w:lang w:eastAsia="en-IN"/>
              </w:rPr>
            </w:pPr>
          </w:p>
        </w:tc>
        <w:tc>
          <w:tcPr>
            <w:tcW w:w="1153" w:type="dxa"/>
            <w:vMerge/>
            <w:tcBorders>
              <w:top w:val="single" w:sz="8" w:space="0" w:color="auto"/>
              <w:left w:val="single" w:sz="4" w:space="0" w:color="auto"/>
              <w:bottom w:val="single" w:sz="8" w:space="0" w:color="000000"/>
              <w:right w:val="single" w:sz="8" w:space="0" w:color="auto"/>
            </w:tcBorders>
            <w:vAlign w:val="center"/>
            <w:hideMark/>
          </w:tcPr>
          <w:p w14:paraId="4A74F85A" w14:textId="77777777" w:rsidR="00F84510" w:rsidRPr="00D202A7" w:rsidRDefault="00F84510" w:rsidP="000642F0">
            <w:pPr>
              <w:spacing w:after="0" w:line="240" w:lineRule="auto"/>
              <w:rPr>
                <w:rFonts w:eastAsia="Times New Roman"/>
                <w:szCs w:val="24"/>
                <w:lang w:eastAsia="en-IN"/>
              </w:rPr>
            </w:pPr>
          </w:p>
        </w:tc>
        <w:tc>
          <w:tcPr>
            <w:tcW w:w="1153" w:type="dxa"/>
            <w:vMerge/>
            <w:tcBorders>
              <w:top w:val="single" w:sz="8" w:space="0" w:color="auto"/>
              <w:left w:val="single" w:sz="8" w:space="0" w:color="auto"/>
              <w:bottom w:val="single" w:sz="8" w:space="0" w:color="000000"/>
              <w:right w:val="single" w:sz="8" w:space="0" w:color="auto"/>
            </w:tcBorders>
            <w:vAlign w:val="center"/>
            <w:hideMark/>
          </w:tcPr>
          <w:p w14:paraId="04685FA1" w14:textId="77777777" w:rsidR="00F84510" w:rsidRPr="00D202A7" w:rsidRDefault="00F84510" w:rsidP="000642F0">
            <w:pPr>
              <w:spacing w:after="0" w:line="240" w:lineRule="auto"/>
              <w:rPr>
                <w:rFonts w:eastAsia="Times New Roman"/>
                <w:szCs w:val="24"/>
                <w:lang w:eastAsia="en-IN"/>
              </w:rPr>
            </w:pPr>
          </w:p>
        </w:tc>
        <w:tc>
          <w:tcPr>
            <w:tcW w:w="1010" w:type="dxa"/>
            <w:tcBorders>
              <w:top w:val="nil"/>
              <w:left w:val="nil"/>
              <w:bottom w:val="nil"/>
              <w:right w:val="single" w:sz="8" w:space="0" w:color="auto"/>
            </w:tcBorders>
            <w:hideMark/>
          </w:tcPr>
          <w:p w14:paraId="3329492E" w14:textId="77777777" w:rsidR="00F84510" w:rsidRPr="00D202A7" w:rsidRDefault="00F84510" w:rsidP="000642F0">
            <w:pPr>
              <w:spacing w:after="0" w:line="240" w:lineRule="auto"/>
              <w:rPr>
                <w:rFonts w:eastAsia="Times New Roman"/>
                <w:szCs w:val="24"/>
                <w:lang w:eastAsia="en-IN"/>
              </w:rPr>
            </w:pPr>
            <w:r w:rsidRPr="00D202A7">
              <w:rPr>
                <w:rFonts w:eastAsia="Times New Roman"/>
                <w:szCs w:val="24"/>
                <w:lang w:eastAsia="en-IN"/>
              </w:rPr>
              <w:t> (min)</w:t>
            </w:r>
          </w:p>
        </w:tc>
        <w:tc>
          <w:tcPr>
            <w:tcW w:w="1034" w:type="dxa"/>
            <w:vMerge/>
            <w:tcBorders>
              <w:top w:val="single" w:sz="8" w:space="0" w:color="auto"/>
              <w:left w:val="single" w:sz="8" w:space="0" w:color="auto"/>
              <w:bottom w:val="single" w:sz="8" w:space="0" w:color="000000"/>
              <w:right w:val="single" w:sz="8" w:space="0" w:color="auto"/>
            </w:tcBorders>
            <w:vAlign w:val="center"/>
            <w:hideMark/>
          </w:tcPr>
          <w:p w14:paraId="51E92B33" w14:textId="77777777" w:rsidR="00F84510" w:rsidRPr="00D202A7" w:rsidRDefault="00F84510" w:rsidP="000642F0">
            <w:pPr>
              <w:spacing w:after="0" w:line="240" w:lineRule="auto"/>
              <w:rPr>
                <w:rFonts w:eastAsia="Times New Roman"/>
                <w:szCs w:val="24"/>
                <w:lang w:eastAsia="en-IN"/>
              </w:rPr>
            </w:pPr>
          </w:p>
        </w:tc>
        <w:tc>
          <w:tcPr>
            <w:tcW w:w="1014" w:type="dxa"/>
            <w:vMerge/>
            <w:tcBorders>
              <w:top w:val="single" w:sz="8" w:space="0" w:color="auto"/>
              <w:left w:val="single" w:sz="8" w:space="0" w:color="auto"/>
              <w:bottom w:val="single" w:sz="8" w:space="0" w:color="000000"/>
              <w:right w:val="single" w:sz="8" w:space="0" w:color="auto"/>
            </w:tcBorders>
            <w:vAlign w:val="center"/>
            <w:hideMark/>
          </w:tcPr>
          <w:p w14:paraId="792B13EC" w14:textId="77777777" w:rsidR="00F84510" w:rsidRPr="00D202A7" w:rsidRDefault="00F84510" w:rsidP="000642F0">
            <w:pPr>
              <w:spacing w:after="0" w:line="240" w:lineRule="auto"/>
              <w:rPr>
                <w:rFonts w:eastAsia="Times New Roman"/>
                <w:szCs w:val="24"/>
                <w:lang w:eastAsia="en-IN"/>
              </w:rPr>
            </w:pPr>
          </w:p>
        </w:tc>
        <w:tc>
          <w:tcPr>
            <w:tcW w:w="1049" w:type="dxa"/>
            <w:tcBorders>
              <w:top w:val="nil"/>
              <w:left w:val="nil"/>
              <w:bottom w:val="nil"/>
              <w:right w:val="single" w:sz="8" w:space="0" w:color="auto"/>
            </w:tcBorders>
            <w:vAlign w:val="center"/>
            <w:hideMark/>
          </w:tcPr>
          <w:p w14:paraId="04A8411F"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(0.693/</w:t>
            </w:r>
            <w:r>
              <w:rPr>
                <w:rFonts w:eastAsia="Times New Roman"/>
                <w:szCs w:val="24"/>
                <w:lang w:val="en-GB" w:eastAsia="en-IN"/>
              </w:rPr>
              <w:t>k</w:t>
            </w:r>
            <w:r w:rsidRPr="00D202A7">
              <w:rPr>
                <w:rFonts w:eastAsia="Times New Roman"/>
                <w:szCs w:val="24"/>
                <w:vertAlign w:val="subscript"/>
                <w:lang w:val="en-GB" w:eastAsia="en-IN"/>
              </w:rPr>
              <w:t>1</w:t>
            </w:r>
            <w:r w:rsidRPr="00D202A7">
              <w:rPr>
                <w:rFonts w:eastAsia="Times New Roman"/>
                <w:szCs w:val="24"/>
                <w:lang w:val="en-GB" w:eastAsia="en-IN"/>
              </w:rPr>
              <w:t xml:space="preserve">) </w:t>
            </w:r>
            <w:r w:rsidRPr="00D202A7">
              <w:rPr>
                <w:rFonts w:eastAsia="Times New Roman"/>
                <w:szCs w:val="24"/>
                <w:lang w:eastAsia="en-IN"/>
              </w:rPr>
              <w:t> (min)</w:t>
            </w:r>
          </w:p>
        </w:tc>
        <w:tc>
          <w:tcPr>
            <w:tcW w:w="1153" w:type="dxa"/>
            <w:vMerge/>
            <w:tcBorders>
              <w:top w:val="single" w:sz="8" w:space="0" w:color="auto"/>
              <w:left w:val="single" w:sz="8" w:space="0" w:color="auto"/>
              <w:bottom w:val="single" w:sz="8" w:space="0" w:color="000000"/>
              <w:right w:val="single" w:sz="8" w:space="0" w:color="auto"/>
            </w:tcBorders>
            <w:vAlign w:val="center"/>
            <w:hideMark/>
          </w:tcPr>
          <w:p w14:paraId="45D6E374" w14:textId="77777777" w:rsidR="00F84510" w:rsidRPr="00D202A7" w:rsidRDefault="00F84510" w:rsidP="000642F0">
            <w:pPr>
              <w:spacing w:after="0" w:line="240" w:lineRule="auto"/>
              <w:rPr>
                <w:rFonts w:eastAsia="Times New Roman"/>
                <w:szCs w:val="24"/>
                <w:lang w:eastAsia="en-IN"/>
              </w:rPr>
            </w:pPr>
          </w:p>
        </w:tc>
        <w:tc>
          <w:tcPr>
            <w:tcW w:w="1153" w:type="dxa"/>
            <w:vMerge/>
            <w:tcBorders>
              <w:top w:val="single" w:sz="8" w:space="0" w:color="auto"/>
              <w:left w:val="single" w:sz="8" w:space="0" w:color="auto"/>
              <w:bottom w:val="single" w:sz="8" w:space="0" w:color="000000"/>
              <w:right w:val="single" w:sz="8" w:space="0" w:color="auto"/>
            </w:tcBorders>
            <w:vAlign w:val="center"/>
            <w:hideMark/>
          </w:tcPr>
          <w:p w14:paraId="5FE0C4E3" w14:textId="77777777" w:rsidR="00F84510" w:rsidRPr="00D202A7" w:rsidRDefault="00F84510" w:rsidP="000642F0">
            <w:pPr>
              <w:spacing w:after="0" w:line="240" w:lineRule="auto"/>
              <w:rPr>
                <w:rFonts w:eastAsia="Times New Roman"/>
                <w:szCs w:val="24"/>
                <w:lang w:eastAsia="en-IN"/>
              </w:rPr>
            </w:pPr>
          </w:p>
        </w:tc>
        <w:tc>
          <w:tcPr>
            <w:tcW w:w="1304" w:type="dxa"/>
            <w:tcBorders>
              <w:top w:val="nil"/>
              <w:left w:val="nil"/>
              <w:bottom w:val="nil"/>
              <w:right w:val="single" w:sz="8" w:space="0" w:color="auto"/>
            </w:tcBorders>
            <w:vAlign w:val="center"/>
            <w:hideMark/>
          </w:tcPr>
          <w:p w14:paraId="4CEE19F2"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(1/</w:t>
            </w:r>
            <w:r>
              <w:rPr>
                <w:rFonts w:eastAsia="Times New Roman"/>
                <w:szCs w:val="24"/>
                <w:lang w:val="en-GB" w:eastAsia="en-IN"/>
              </w:rPr>
              <w:t>k</w:t>
            </w:r>
            <w:r w:rsidRPr="00D202A7">
              <w:rPr>
                <w:rFonts w:eastAsia="Times New Roman"/>
                <w:szCs w:val="24"/>
                <w:vertAlign w:val="subscript"/>
                <w:lang w:val="en-GB" w:eastAsia="en-IN"/>
              </w:rPr>
              <w:t>2</w:t>
            </w:r>
            <w:r w:rsidRPr="00D202A7">
              <w:rPr>
                <w:rFonts w:eastAsia="Times New Roman"/>
                <w:szCs w:val="24"/>
                <w:lang w:val="en-GB" w:eastAsia="en-IN"/>
              </w:rPr>
              <w:t>C</w:t>
            </w:r>
            <w:r w:rsidRPr="00D202A7">
              <w:rPr>
                <w:rFonts w:eastAsia="Times New Roman"/>
                <w:szCs w:val="24"/>
                <w:vertAlign w:val="subscript"/>
                <w:lang w:val="en-GB" w:eastAsia="en-IN"/>
              </w:rPr>
              <w:t>o</w:t>
            </w:r>
            <w:r w:rsidRPr="00D202A7">
              <w:rPr>
                <w:rFonts w:eastAsia="Times New Roman"/>
                <w:szCs w:val="24"/>
                <w:lang w:val="en-GB" w:eastAsia="en-IN"/>
              </w:rPr>
              <w:t>)</w:t>
            </w:r>
            <w:r w:rsidRPr="00D202A7">
              <w:rPr>
                <w:rFonts w:eastAsia="Times New Roman"/>
                <w:szCs w:val="24"/>
                <w:lang w:eastAsia="en-IN"/>
              </w:rPr>
              <w:t xml:space="preserve">  </w:t>
            </w:r>
            <w:r>
              <w:rPr>
                <w:rFonts w:eastAsia="Times New Roman"/>
                <w:szCs w:val="24"/>
                <w:lang w:eastAsia="en-IN"/>
              </w:rPr>
              <w:t>(</w:t>
            </w:r>
            <w:r w:rsidRPr="00D202A7">
              <w:rPr>
                <w:rFonts w:eastAsia="Times New Roman"/>
                <w:szCs w:val="24"/>
                <w:lang w:eastAsia="en-IN"/>
              </w:rPr>
              <w:t>min)</w:t>
            </w:r>
          </w:p>
        </w:tc>
      </w:tr>
      <w:tr w:rsidR="00F84510" w:rsidRPr="00D202A7" w14:paraId="49812208" w14:textId="77777777" w:rsidTr="000642F0">
        <w:trPr>
          <w:trHeight w:val="40"/>
        </w:trPr>
        <w:tc>
          <w:tcPr>
            <w:tcW w:w="432" w:type="dxa"/>
            <w:vMerge/>
            <w:tcBorders>
              <w:top w:val="single" w:sz="8" w:space="0" w:color="auto"/>
              <w:left w:val="single" w:sz="8" w:space="0" w:color="auto"/>
              <w:bottom w:val="single" w:sz="8" w:space="0" w:color="000000"/>
              <w:right w:val="single" w:sz="8" w:space="0" w:color="auto"/>
            </w:tcBorders>
            <w:vAlign w:val="center"/>
            <w:hideMark/>
          </w:tcPr>
          <w:p w14:paraId="1E84B2F7" w14:textId="77777777" w:rsidR="00F84510" w:rsidRPr="00D202A7" w:rsidRDefault="00F84510" w:rsidP="000642F0">
            <w:pPr>
              <w:spacing w:after="0" w:line="240" w:lineRule="auto"/>
              <w:rPr>
                <w:rFonts w:eastAsia="Times New Roman"/>
                <w:szCs w:val="24"/>
                <w:lang w:eastAsia="en-IN"/>
              </w:rPr>
            </w:pPr>
          </w:p>
        </w:tc>
        <w:tc>
          <w:tcPr>
            <w:tcW w:w="1300" w:type="dxa"/>
            <w:vMerge/>
            <w:tcBorders>
              <w:top w:val="single" w:sz="8" w:space="0" w:color="auto"/>
              <w:left w:val="single" w:sz="8" w:space="0" w:color="auto"/>
              <w:bottom w:val="single" w:sz="8" w:space="0" w:color="000000"/>
              <w:right w:val="single" w:sz="4" w:space="0" w:color="auto"/>
            </w:tcBorders>
            <w:vAlign w:val="center"/>
            <w:hideMark/>
          </w:tcPr>
          <w:p w14:paraId="63D27BCE" w14:textId="77777777" w:rsidR="00F84510" w:rsidRPr="00D202A7" w:rsidRDefault="00F84510" w:rsidP="000642F0">
            <w:pPr>
              <w:spacing w:after="0" w:line="240" w:lineRule="auto"/>
              <w:rPr>
                <w:rFonts w:eastAsia="Times New Roman"/>
                <w:szCs w:val="24"/>
                <w:lang w:eastAsia="en-IN"/>
              </w:rPr>
            </w:pPr>
          </w:p>
        </w:tc>
        <w:tc>
          <w:tcPr>
            <w:tcW w:w="1153" w:type="dxa"/>
            <w:vMerge/>
            <w:tcBorders>
              <w:top w:val="single" w:sz="8" w:space="0" w:color="auto"/>
              <w:left w:val="single" w:sz="4" w:space="0" w:color="auto"/>
              <w:bottom w:val="single" w:sz="8" w:space="0" w:color="000000"/>
              <w:right w:val="single" w:sz="8" w:space="0" w:color="auto"/>
            </w:tcBorders>
            <w:vAlign w:val="center"/>
            <w:hideMark/>
          </w:tcPr>
          <w:p w14:paraId="1CE47204" w14:textId="77777777" w:rsidR="00F84510" w:rsidRPr="00D202A7" w:rsidRDefault="00F84510" w:rsidP="000642F0">
            <w:pPr>
              <w:spacing w:after="0" w:line="240" w:lineRule="auto"/>
              <w:rPr>
                <w:rFonts w:eastAsia="Times New Roman"/>
                <w:szCs w:val="24"/>
                <w:lang w:eastAsia="en-IN"/>
              </w:rPr>
            </w:pPr>
          </w:p>
        </w:tc>
        <w:tc>
          <w:tcPr>
            <w:tcW w:w="1153" w:type="dxa"/>
            <w:vMerge/>
            <w:tcBorders>
              <w:top w:val="single" w:sz="8" w:space="0" w:color="auto"/>
              <w:left w:val="single" w:sz="8" w:space="0" w:color="auto"/>
              <w:bottom w:val="single" w:sz="8" w:space="0" w:color="000000"/>
              <w:right w:val="single" w:sz="8" w:space="0" w:color="auto"/>
            </w:tcBorders>
            <w:vAlign w:val="center"/>
            <w:hideMark/>
          </w:tcPr>
          <w:p w14:paraId="02F6D7AD" w14:textId="77777777" w:rsidR="00F84510" w:rsidRPr="00D202A7" w:rsidRDefault="00F84510" w:rsidP="000642F0">
            <w:pPr>
              <w:spacing w:after="0" w:line="240" w:lineRule="auto"/>
              <w:rPr>
                <w:rFonts w:eastAsia="Times New Roman"/>
                <w:szCs w:val="24"/>
                <w:lang w:eastAsia="en-IN"/>
              </w:rPr>
            </w:pPr>
          </w:p>
        </w:tc>
        <w:tc>
          <w:tcPr>
            <w:tcW w:w="1010" w:type="dxa"/>
            <w:tcBorders>
              <w:top w:val="nil"/>
              <w:left w:val="nil"/>
              <w:bottom w:val="single" w:sz="8" w:space="0" w:color="auto"/>
              <w:right w:val="single" w:sz="8" w:space="0" w:color="auto"/>
            </w:tcBorders>
            <w:hideMark/>
          </w:tcPr>
          <w:p w14:paraId="52BCC19E" w14:textId="77777777" w:rsidR="00F84510" w:rsidRPr="00D202A7" w:rsidRDefault="00F84510" w:rsidP="000642F0">
            <w:pPr>
              <w:spacing w:after="0" w:line="240" w:lineRule="auto"/>
              <w:rPr>
                <w:rFonts w:ascii="Calibri" w:eastAsia="Times New Roman" w:hAnsi="Calibri" w:cs="Calibri"/>
                <w:sz w:val="22"/>
                <w:lang w:eastAsia="en-IN"/>
              </w:rPr>
            </w:pPr>
            <w:r w:rsidRPr="00D202A7">
              <w:rPr>
                <w:rFonts w:ascii="Calibri" w:eastAsia="Times New Roman" w:hAnsi="Calibri" w:cs="Calibri"/>
                <w:sz w:val="22"/>
                <w:lang w:eastAsia="en-IN"/>
              </w:rPr>
              <w:t> </w:t>
            </w:r>
          </w:p>
        </w:tc>
        <w:tc>
          <w:tcPr>
            <w:tcW w:w="1034" w:type="dxa"/>
            <w:vMerge/>
            <w:tcBorders>
              <w:top w:val="single" w:sz="8" w:space="0" w:color="auto"/>
              <w:left w:val="single" w:sz="8" w:space="0" w:color="auto"/>
              <w:bottom w:val="single" w:sz="8" w:space="0" w:color="000000"/>
              <w:right w:val="single" w:sz="8" w:space="0" w:color="auto"/>
            </w:tcBorders>
            <w:vAlign w:val="center"/>
            <w:hideMark/>
          </w:tcPr>
          <w:p w14:paraId="2E5CA5F7" w14:textId="77777777" w:rsidR="00F84510" w:rsidRPr="00D202A7" w:rsidRDefault="00F84510" w:rsidP="000642F0">
            <w:pPr>
              <w:spacing w:after="0" w:line="240" w:lineRule="auto"/>
              <w:rPr>
                <w:rFonts w:eastAsia="Times New Roman"/>
                <w:szCs w:val="24"/>
                <w:lang w:eastAsia="en-IN"/>
              </w:rPr>
            </w:pPr>
          </w:p>
        </w:tc>
        <w:tc>
          <w:tcPr>
            <w:tcW w:w="1014" w:type="dxa"/>
            <w:vMerge/>
            <w:tcBorders>
              <w:top w:val="single" w:sz="8" w:space="0" w:color="auto"/>
              <w:left w:val="single" w:sz="8" w:space="0" w:color="auto"/>
              <w:bottom w:val="single" w:sz="8" w:space="0" w:color="000000"/>
              <w:right w:val="single" w:sz="8" w:space="0" w:color="auto"/>
            </w:tcBorders>
            <w:vAlign w:val="center"/>
            <w:hideMark/>
          </w:tcPr>
          <w:p w14:paraId="3357BDDD" w14:textId="77777777" w:rsidR="00F84510" w:rsidRPr="00D202A7" w:rsidRDefault="00F84510" w:rsidP="000642F0">
            <w:pPr>
              <w:spacing w:after="0" w:line="240" w:lineRule="auto"/>
              <w:rPr>
                <w:rFonts w:eastAsia="Times New Roman"/>
                <w:szCs w:val="24"/>
                <w:lang w:eastAsia="en-IN"/>
              </w:rPr>
            </w:pPr>
          </w:p>
        </w:tc>
        <w:tc>
          <w:tcPr>
            <w:tcW w:w="1049" w:type="dxa"/>
            <w:tcBorders>
              <w:top w:val="nil"/>
              <w:left w:val="nil"/>
              <w:bottom w:val="single" w:sz="8" w:space="0" w:color="auto"/>
              <w:right w:val="single" w:sz="8" w:space="0" w:color="auto"/>
            </w:tcBorders>
            <w:vAlign w:val="center"/>
            <w:hideMark/>
          </w:tcPr>
          <w:p w14:paraId="481B858D"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 </w:t>
            </w:r>
          </w:p>
        </w:tc>
        <w:tc>
          <w:tcPr>
            <w:tcW w:w="1153" w:type="dxa"/>
            <w:vMerge/>
            <w:tcBorders>
              <w:top w:val="single" w:sz="8" w:space="0" w:color="auto"/>
              <w:left w:val="single" w:sz="8" w:space="0" w:color="auto"/>
              <w:bottom w:val="single" w:sz="8" w:space="0" w:color="000000"/>
              <w:right w:val="single" w:sz="8" w:space="0" w:color="auto"/>
            </w:tcBorders>
            <w:vAlign w:val="center"/>
            <w:hideMark/>
          </w:tcPr>
          <w:p w14:paraId="62DF49E3" w14:textId="77777777" w:rsidR="00F84510" w:rsidRPr="00D202A7" w:rsidRDefault="00F84510" w:rsidP="000642F0">
            <w:pPr>
              <w:spacing w:after="0" w:line="240" w:lineRule="auto"/>
              <w:rPr>
                <w:rFonts w:eastAsia="Times New Roman"/>
                <w:szCs w:val="24"/>
                <w:lang w:eastAsia="en-IN"/>
              </w:rPr>
            </w:pPr>
          </w:p>
        </w:tc>
        <w:tc>
          <w:tcPr>
            <w:tcW w:w="1153" w:type="dxa"/>
            <w:vMerge/>
            <w:tcBorders>
              <w:top w:val="single" w:sz="8" w:space="0" w:color="auto"/>
              <w:left w:val="single" w:sz="8" w:space="0" w:color="auto"/>
              <w:bottom w:val="single" w:sz="8" w:space="0" w:color="000000"/>
              <w:right w:val="single" w:sz="8" w:space="0" w:color="auto"/>
            </w:tcBorders>
            <w:vAlign w:val="center"/>
            <w:hideMark/>
          </w:tcPr>
          <w:p w14:paraId="2B22773D" w14:textId="77777777" w:rsidR="00F84510" w:rsidRPr="00D202A7" w:rsidRDefault="00F84510" w:rsidP="000642F0">
            <w:pPr>
              <w:spacing w:after="0" w:line="240" w:lineRule="auto"/>
              <w:rPr>
                <w:rFonts w:eastAsia="Times New Roman"/>
                <w:szCs w:val="24"/>
                <w:lang w:eastAsia="en-IN"/>
              </w:rPr>
            </w:pPr>
          </w:p>
        </w:tc>
        <w:tc>
          <w:tcPr>
            <w:tcW w:w="1304" w:type="dxa"/>
            <w:tcBorders>
              <w:top w:val="nil"/>
              <w:left w:val="nil"/>
              <w:bottom w:val="single" w:sz="8" w:space="0" w:color="auto"/>
              <w:right w:val="single" w:sz="8" w:space="0" w:color="auto"/>
            </w:tcBorders>
            <w:hideMark/>
          </w:tcPr>
          <w:p w14:paraId="6445169B" w14:textId="77777777" w:rsidR="00F84510" w:rsidRPr="00D202A7" w:rsidRDefault="00F84510" w:rsidP="000642F0">
            <w:pPr>
              <w:spacing w:after="0" w:line="240" w:lineRule="auto"/>
              <w:rPr>
                <w:rFonts w:ascii="Calibri" w:eastAsia="Times New Roman" w:hAnsi="Calibri" w:cs="Calibri"/>
                <w:sz w:val="22"/>
                <w:lang w:eastAsia="en-IN"/>
              </w:rPr>
            </w:pPr>
            <w:r w:rsidRPr="00D202A7">
              <w:rPr>
                <w:rFonts w:ascii="Calibri" w:eastAsia="Times New Roman" w:hAnsi="Calibri" w:cs="Calibri"/>
                <w:sz w:val="22"/>
                <w:lang w:eastAsia="en-IN"/>
              </w:rPr>
              <w:t> </w:t>
            </w:r>
          </w:p>
        </w:tc>
      </w:tr>
      <w:tr w:rsidR="00F84510" w:rsidRPr="00D202A7" w14:paraId="2FADCED3" w14:textId="77777777" w:rsidTr="000642F0">
        <w:trPr>
          <w:trHeight w:val="224"/>
        </w:trPr>
        <w:tc>
          <w:tcPr>
            <w:tcW w:w="432" w:type="dxa"/>
            <w:tcBorders>
              <w:top w:val="nil"/>
              <w:left w:val="single" w:sz="8" w:space="0" w:color="auto"/>
              <w:bottom w:val="single" w:sz="8" w:space="0" w:color="auto"/>
              <w:right w:val="single" w:sz="8" w:space="0" w:color="auto"/>
            </w:tcBorders>
            <w:vAlign w:val="center"/>
            <w:hideMark/>
          </w:tcPr>
          <w:p w14:paraId="7A03720E"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lastRenderedPageBreak/>
              <w:t> </w:t>
            </w:r>
          </w:p>
        </w:tc>
        <w:tc>
          <w:tcPr>
            <w:tcW w:w="1300" w:type="dxa"/>
            <w:tcBorders>
              <w:top w:val="nil"/>
              <w:left w:val="nil"/>
              <w:bottom w:val="single" w:sz="8" w:space="0" w:color="auto"/>
              <w:right w:val="single" w:sz="4" w:space="0" w:color="auto"/>
            </w:tcBorders>
            <w:vAlign w:val="center"/>
            <w:hideMark/>
          </w:tcPr>
          <w:p w14:paraId="713B8B87"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 </w:t>
            </w:r>
          </w:p>
          <w:p w14:paraId="1464B168"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 </w:t>
            </w:r>
          </w:p>
          <w:p w14:paraId="75F6A3E4"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 </w:t>
            </w:r>
          </w:p>
        </w:tc>
        <w:tc>
          <w:tcPr>
            <w:tcW w:w="3316" w:type="dxa"/>
            <w:gridSpan w:val="3"/>
            <w:tcBorders>
              <w:top w:val="nil"/>
              <w:left w:val="single" w:sz="4" w:space="0" w:color="auto"/>
              <w:bottom w:val="single" w:sz="8" w:space="0" w:color="auto"/>
              <w:right w:val="single" w:sz="8" w:space="0" w:color="auto"/>
            </w:tcBorders>
            <w:vAlign w:val="center"/>
          </w:tcPr>
          <w:p w14:paraId="11FA5C1D" w14:textId="77777777" w:rsidR="00F84510" w:rsidRPr="00D202A7" w:rsidRDefault="00F84510" w:rsidP="000642F0">
            <w:pPr>
              <w:jc w:val="center"/>
              <w:rPr>
                <w:rFonts w:eastAsia="Times New Roman"/>
                <w:szCs w:val="24"/>
                <w:lang w:eastAsia="en-IN"/>
              </w:rPr>
            </w:pPr>
            <w:r w:rsidRPr="00D202A7">
              <w:rPr>
                <w:rFonts w:eastAsia="Times New Roman"/>
                <w:szCs w:val="24"/>
                <w:lang w:val="en-GB" w:eastAsia="en-IN"/>
              </w:rPr>
              <w:t>Zero Order</w:t>
            </w:r>
          </w:p>
          <w:p w14:paraId="4CAC88CB" w14:textId="77777777" w:rsidR="00F84510" w:rsidRPr="00D202A7" w:rsidRDefault="00F84510" w:rsidP="000642F0">
            <w:pPr>
              <w:spacing w:after="0" w:line="240" w:lineRule="auto"/>
              <w:jc w:val="both"/>
              <w:rPr>
                <w:rFonts w:eastAsia="Times New Roman"/>
                <w:szCs w:val="24"/>
                <w:lang w:eastAsia="en-IN"/>
              </w:rPr>
            </w:pPr>
          </w:p>
        </w:tc>
        <w:tc>
          <w:tcPr>
            <w:tcW w:w="3097" w:type="dxa"/>
            <w:gridSpan w:val="3"/>
            <w:tcBorders>
              <w:top w:val="single" w:sz="8" w:space="0" w:color="auto"/>
              <w:left w:val="nil"/>
              <w:bottom w:val="single" w:sz="8" w:space="0" w:color="auto"/>
              <w:right w:val="single" w:sz="8" w:space="0" w:color="auto"/>
            </w:tcBorders>
            <w:vAlign w:val="center"/>
            <w:hideMark/>
          </w:tcPr>
          <w:p w14:paraId="1208BFCC" w14:textId="77777777" w:rsidR="00F84510" w:rsidRPr="00D202A7" w:rsidRDefault="00F84510" w:rsidP="000642F0">
            <w:pPr>
              <w:spacing w:after="0" w:line="240" w:lineRule="auto"/>
              <w:jc w:val="center"/>
              <w:rPr>
                <w:rFonts w:eastAsia="Times New Roman"/>
                <w:szCs w:val="24"/>
                <w:lang w:eastAsia="en-IN"/>
              </w:rPr>
            </w:pPr>
            <w:r w:rsidRPr="00D202A7">
              <w:rPr>
                <w:rFonts w:eastAsia="Times New Roman"/>
                <w:szCs w:val="24"/>
                <w:lang w:val="en-GB" w:eastAsia="en-IN"/>
              </w:rPr>
              <w:t>First Order</w:t>
            </w:r>
          </w:p>
          <w:p w14:paraId="74B2A5BC"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 </w:t>
            </w:r>
          </w:p>
        </w:tc>
        <w:tc>
          <w:tcPr>
            <w:tcW w:w="3610" w:type="dxa"/>
            <w:gridSpan w:val="3"/>
            <w:tcBorders>
              <w:top w:val="single" w:sz="8" w:space="0" w:color="auto"/>
              <w:left w:val="nil"/>
              <w:bottom w:val="single" w:sz="8" w:space="0" w:color="auto"/>
              <w:right w:val="single" w:sz="8" w:space="0" w:color="auto"/>
            </w:tcBorders>
            <w:vAlign w:val="center"/>
            <w:hideMark/>
          </w:tcPr>
          <w:p w14:paraId="048D1915" w14:textId="77777777" w:rsidR="00F84510" w:rsidRPr="00D202A7" w:rsidRDefault="00F84510" w:rsidP="000642F0">
            <w:pPr>
              <w:spacing w:after="0" w:line="240" w:lineRule="auto"/>
              <w:jc w:val="center"/>
              <w:rPr>
                <w:rFonts w:eastAsia="Times New Roman"/>
                <w:szCs w:val="24"/>
                <w:lang w:eastAsia="en-IN"/>
              </w:rPr>
            </w:pPr>
            <w:r w:rsidRPr="00D202A7">
              <w:rPr>
                <w:rFonts w:eastAsia="Times New Roman"/>
                <w:szCs w:val="24"/>
                <w:lang w:val="en-GB" w:eastAsia="en-IN"/>
              </w:rPr>
              <w:t>Second Order</w:t>
            </w:r>
          </w:p>
          <w:p w14:paraId="3407F0CE"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val="en-GB" w:eastAsia="en-IN"/>
              </w:rPr>
              <w:t> </w:t>
            </w:r>
          </w:p>
        </w:tc>
      </w:tr>
      <w:tr w:rsidR="00F84510" w:rsidRPr="00D202A7" w14:paraId="564E8E79" w14:textId="77777777" w:rsidTr="000642F0">
        <w:trPr>
          <w:trHeight w:val="481"/>
        </w:trPr>
        <w:tc>
          <w:tcPr>
            <w:tcW w:w="432" w:type="dxa"/>
            <w:tcBorders>
              <w:top w:val="nil"/>
              <w:left w:val="single" w:sz="8" w:space="0" w:color="auto"/>
              <w:bottom w:val="single" w:sz="8" w:space="0" w:color="auto"/>
              <w:right w:val="single" w:sz="8" w:space="0" w:color="auto"/>
            </w:tcBorders>
            <w:vAlign w:val="center"/>
          </w:tcPr>
          <w:p w14:paraId="39E45323"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1.</w:t>
            </w:r>
          </w:p>
        </w:tc>
        <w:tc>
          <w:tcPr>
            <w:tcW w:w="1300" w:type="dxa"/>
            <w:tcBorders>
              <w:top w:val="nil"/>
              <w:left w:val="nil"/>
              <w:bottom w:val="single" w:sz="8" w:space="0" w:color="auto"/>
              <w:right w:val="single" w:sz="8" w:space="0" w:color="auto"/>
            </w:tcBorders>
            <w:vAlign w:val="center"/>
          </w:tcPr>
          <w:p w14:paraId="0756416E"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Blank MB</w:t>
            </w:r>
          </w:p>
        </w:tc>
        <w:tc>
          <w:tcPr>
            <w:tcW w:w="1153" w:type="dxa"/>
            <w:tcBorders>
              <w:top w:val="nil"/>
              <w:left w:val="nil"/>
              <w:bottom w:val="single" w:sz="8" w:space="0" w:color="auto"/>
              <w:right w:val="single" w:sz="8" w:space="0" w:color="auto"/>
            </w:tcBorders>
            <w:vAlign w:val="center"/>
          </w:tcPr>
          <w:p w14:paraId="1318D907"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-0.00178</w:t>
            </w:r>
          </w:p>
        </w:tc>
        <w:tc>
          <w:tcPr>
            <w:tcW w:w="1153" w:type="dxa"/>
            <w:tcBorders>
              <w:top w:val="nil"/>
              <w:left w:val="nil"/>
              <w:bottom w:val="single" w:sz="8" w:space="0" w:color="auto"/>
              <w:right w:val="single" w:sz="8" w:space="0" w:color="auto"/>
            </w:tcBorders>
            <w:vAlign w:val="center"/>
          </w:tcPr>
          <w:p w14:paraId="3B4AA0A2"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0.96968</w:t>
            </w:r>
          </w:p>
        </w:tc>
        <w:tc>
          <w:tcPr>
            <w:tcW w:w="1010" w:type="dxa"/>
            <w:tcBorders>
              <w:top w:val="nil"/>
              <w:left w:val="nil"/>
              <w:bottom w:val="single" w:sz="8" w:space="0" w:color="auto"/>
              <w:right w:val="single" w:sz="8" w:space="0" w:color="auto"/>
            </w:tcBorders>
            <w:vAlign w:val="center"/>
          </w:tcPr>
          <w:p w14:paraId="39013E72"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eastAsia="en-IN"/>
              </w:rPr>
              <w:t>145.17</w:t>
            </w:r>
          </w:p>
        </w:tc>
        <w:tc>
          <w:tcPr>
            <w:tcW w:w="1034" w:type="dxa"/>
            <w:tcBorders>
              <w:top w:val="nil"/>
              <w:left w:val="nil"/>
              <w:bottom w:val="single" w:sz="8" w:space="0" w:color="auto"/>
              <w:right w:val="single" w:sz="8" w:space="0" w:color="auto"/>
            </w:tcBorders>
            <w:vAlign w:val="center"/>
          </w:tcPr>
          <w:p w14:paraId="7FC55BD9" w14:textId="77777777" w:rsidR="00F84510" w:rsidRPr="00D202A7" w:rsidRDefault="00F84510" w:rsidP="000642F0">
            <w:pPr>
              <w:spacing w:after="0" w:line="240" w:lineRule="auto"/>
              <w:jc w:val="both"/>
              <w:rPr>
                <w:rFonts w:eastAsia="Times New Roman"/>
                <w:szCs w:val="24"/>
                <w:vertAlign w:val="superscript"/>
                <w:lang w:val="en-GB" w:eastAsia="en-IN"/>
              </w:rPr>
            </w:pPr>
            <w:r w:rsidRPr="00D202A7">
              <w:rPr>
                <w:rFonts w:eastAsia="Times New Roman"/>
                <w:szCs w:val="24"/>
                <w:lang w:val="en-GB" w:eastAsia="en-IN"/>
              </w:rPr>
              <w:t xml:space="preserve">0.00418 </w:t>
            </w:r>
          </w:p>
        </w:tc>
        <w:tc>
          <w:tcPr>
            <w:tcW w:w="1014" w:type="dxa"/>
            <w:tcBorders>
              <w:top w:val="nil"/>
              <w:left w:val="nil"/>
              <w:bottom w:val="single" w:sz="8" w:space="0" w:color="auto"/>
              <w:right w:val="single" w:sz="8" w:space="0" w:color="auto"/>
            </w:tcBorders>
            <w:vAlign w:val="center"/>
          </w:tcPr>
          <w:p w14:paraId="51619C20"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0.97713</w:t>
            </w:r>
          </w:p>
        </w:tc>
        <w:tc>
          <w:tcPr>
            <w:tcW w:w="1049" w:type="dxa"/>
            <w:tcBorders>
              <w:top w:val="nil"/>
              <w:left w:val="nil"/>
              <w:bottom w:val="single" w:sz="8" w:space="0" w:color="auto"/>
              <w:right w:val="single" w:sz="8" w:space="0" w:color="auto"/>
            </w:tcBorders>
            <w:vAlign w:val="center"/>
          </w:tcPr>
          <w:p w14:paraId="28AF610D"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165.55</w:t>
            </w:r>
          </w:p>
        </w:tc>
        <w:tc>
          <w:tcPr>
            <w:tcW w:w="1153" w:type="dxa"/>
            <w:tcBorders>
              <w:top w:val="nil"/>
              <w:left w:val="nil"/>
              <w:bottom w:val="single" w:sz="8" w:space="0" w:color="auto"/>
              <w:right w:val="single" w:sz="8" w:space="0" w:color="auto"/>
            </w:tcBorders>
            <w:vAlign w:val="center"/>
          </w:tcPr>
          <w:p w14:paraId="6B2AF900"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0.00989</w:t>
            </w:r>
          </w:p>
        </w:tc>
        <w:tc>
          <w:tcPr>
            <w:tcW w:w="1153" w:type="dxa"/>
            <w:tcBorders>
              <w:top w:val="nil"/>
              <w:left w:val="nil"/>
              <w:bottom w:val="single" w:sz="8" w:space="0" w:color="auto"/>
              <w:right w:val="single" w:sz="8" w:space="0" w:color="auto"/>
            </w:tcBorders>
            <w:vAlign w:val="center"/>
          </w:tcPr>
          <w:p w14:paraId="6A9F6790"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0.98068</w:t>
            </w:r>
          </w:p>
        </w:tc>
        <w:tc>
          <w:tcPr>
            <w:tcW w:w="1304" w:type="dxa"/>
            <w:tcBorders>
              <w:top w:val="nil"/>
              <w:left w:val="nil"/>
              <w:bottom w:val="single" w:sz="8" w:space="0" w:color="auto"/>
              <w:right w:val="single" w:sz="8" w:space="0" w:color="auto"/>
            </w:tcBorders>
            <w:vAlign w:val="center"/>
          </w:tcPr>
          <w:p w14:paraId="0054F52E"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195.65</w:t>
            </w:r>
          </w:p>
        </w:tc>
      </w:tr>
      <w:tr w:rsidR="00F84510" w:rsidRPr="00D202A7" w14:paraId="5CCD2C95" w14:textId="77777777" w:rsidTr="000642F0">
        <w:trPr>
          <w:trHeight w:val="481"/>
        </w:trPr>
        <w:tc>
          <w:tcPr>
            <w:tcW w:w="432" w:type="dxa"/>
            <w:tcBorders>
              <w:top w:val="nil"/>
              <w:left w:val="single" w:sz="8" w:space="0" w:color="auto"/>
              <w:bottom w:val="single" w:sz="8" w:space="0" w:color="auto"/>
              <w:right w:val="single" w:sz="8" w:space="0" w:color="auto"/>
            </w:tcBorders>
            <w:vAlign w:val="center"/>
          </w:tcPr>
          <w:p w14:paraId="1EBC8A9B"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2.</w:t>
            </w:r>
          </w:p>
        </w:tc>
        <w:tc>
          <w:tcPr>
            <w:tcW w:w="1300" w:type="dxa"/>
            <w:tcBorders>
              <w:top w:val="nil"/>
              <w:left w:val="nil"/>
              <w:bottom w:val="single" w:sz="8" w:space="0" w:color="auto"/>
              <w:right w:val="single" w:sz="8" w:space="0" w:color="auto"/>
            </w:tcBorders>
            <w:vAlign w:val="center"/>
          </w:tcPr>
          <w:p w14:paraId="421E2B95" w14:textId="77777777" w:rsidR="00F84510" w:rsidRPr="00D202A7" w:rsidRDefault="00F84510" w:rsidP="000642F0">
            <w:pPr>
              <w:spacing w:after="0" w:line="240" w:lineRule="auto"/>
              <w:jc w:val="both"/>
              <w:rPr>
                <w:rFonts w:eastAsia="Times New Roman"/>
                <w:szCs w:val="24"/>
                <w:lang w:val="en-GB" w:eastAsia="en-IN"/>
              </w:rPr>
            </w:pPr>
            <w:r>
              <w:rPr>
                <w:rFonts w:eastAsia="Times New Roman"/>
                <w:szCs w:val="24"/>
                <w:lang w:val="en-GB" w:eastAsia="en-IN"/>
              </w:rPr>
              <w:t>rGO</w:t>
            </w:r>
          </w:p>
        </w:tc>
        <w:tc>
          <w:tcPr>
            <w:tcW w:w="1153" w:type="dxa"/>
            <w:tcBorders>
              <w:top w:val="nil"/>
              <w:left w:val="nil"/>
              <w:bottom w:val="single" w:sz="8" w:space="0" w:color="auto"/>
              <w:right w:val="single" w:sz="8" w:space="0" w:color="auto"/>
            </w:tcBorders>
            <w:vAlign w:val="center"/>
          </w:tcPr>
          <w:p w14:paraId="1A7AD3B7"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-0.00362</w:t>
            </w:r>
          </w:p>
        </w:tc>
        <w:tc>
          <w:tcPr>
            <w:tcW w:w="1153" w:type="dxa"/>
            <w:tcBorders>
              <w:top w:val="nil"/>
              <w:left w:val="nil"/>
              <w:bottom w:val="single" w:sz="8" w:space="0" w:color="auto"/>
              <w:right w:val="single" w:sz="8" w:space="0" w:color="auto"/>
            </w:tcBorders>
            <w:vAlign w:val="center"/>
          </w:tcPr>
          <w:p w14:paraId="7518CC20"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0.98887</w:t>
            </w:r>
          </w:p>
        </w:tc>
        <w:tc>
          <w:tcPr>
            <w:tcW w:w="1010" w:type="dxa"/>
            <w:tcBorders>
              <w:top w:val="nil"/>
              <w:left w:val="nil"/>
              <w:bottom w:val="single" w:sz="8" w:space="0" w:color="auto"/>
              <w:right w:val="single" w:sz="8" w:space="0" w:color="auto"/>
            </w:tcBorders>
            <w:vAlign w:val="center"/>
          </w:tcPr>
          <w:p w14:paraId="535BCDC0"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eastAsia="en-IN"/>
              </w:rPr>
              <w:t>138.78</w:t>
            </w:r>
          </w:p>
        </w:tc>
        <w:tc>
          <w:tcPr>
            <w:tcW w:w="1034" w:type="dxa"/>
            <w:tcBorders>
              <w:top w:val="nil"/>
              <w:left w:val="nil"/>
              <w:bottom w:val="single" w:sz="8" w:space="0" w:color="auto"/>
              <w:right w:val="single" w:sz="8" w:space="0" w:color="auto"/>
            </w:tcBorders>
            <w:vAlign w:val="center"/>
          </w:tcPr>
          <w:p w14:paraId="03F12EC6" w14:textId="77777777" w:rsidR="00F84510" w:rsidRPr="00D202A7" w:rsidRDefault="00F84510" w:rsidP="000642F0">
            <w:pPr>
              <w:spacing w:after="0" w:line="240" w:lineRule="auto"/>
              <w:jc w:val="both"/>
              <w:rPr>
                <w:rFonts w:eastAsia="Times New Roman"/>
                <w:szCs w:val="24"/>
                <w:vertAlign w:val="superscript"/>
                <w:lang w:val="en-GB" w:eastAsia="en-IN"/>
              </w:rPr>
            </w:pPr>
            <w:r w:rsidRPr="00D202A7">
              <w:rPr>
                <w:rFonts w:eastAsia="Times New Roman"/>
                <w:szCs w:val="24"/>
                <w:lang w:val="en-GB" w:eastAsia="en-IN"/>
              </w:rPr>
              <w:t xml:space="preserve">0.0044 </w:t>
            </w:r>
          </w:p>
        </w:tc>
        <w:tc>
          <w:tcPr>
            <w:tcW w:w="1014" w:type="dxa"/>
            <w:tcBorders>
              <w:top w:val="nil"/>
              <w:left w:val="nil"/>
              <w:bottom w:val="single" w:sz="8" w:space="0" w:color="auto"/>
              <w:right w:val="single" w:sz="8" w:space="0" w:color="auto"/>
            </w:tcBorders>
            <w:vAlign w:val="center"/>
          </w:tcPr>
          <w:p w14:paraId="569C043F"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0.99337</w:t>
            </w:r>
          </w:p>
        </w:tc>
        <w:tc>
          <w:tcPr>
            <w:tcW w:w="1049" w:type="dxa"/>
            <w:tcBorders>
              <w:top w:val="nil"/>
              <w:left w:val="nil"/>
              <w:bottom w:val="single" w:sz="8" w:space="0" w:color="auto"/>
              <w:right w:val="single" w:sz="8" w:space="0" w:color="auto"/>
            </w:tcBorders>
            <w:vAlign w:val="center"/>
          </w:tcPr>
          <w:p w14:paraId="3A5BC612"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157.5</w:t>
            </w:r>
          </w:p>
        </w:tc>
        <w:tc>
          <w:tcPr>
            <w:tcW w:w="1153" w:type="dxa"/>
            <w:tcBorders>
              <w:top w:val="nil"/>
              <w:left w:val="nil"/>
              <w:bottom w:val="single" w:sz="8" w:space="0" w:color="auto"/>
              <w:right w:val="single" w:sz="8" w:space="0" w:color="auto"/>
            </w:tcBorders>
            <w:vAlign w:val="center"/>
          </w:tcPr>
          <w:p w14:paraId="6DCA6A91"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0.00541</w:t>
            </w:r>
          </w:p>
        </w:tc>
        <w:tc>
          <w:tcPr>
            <w:tcW w:w="1153" w:type="dxa"/>
            <w:tcBorders>
              <w:top w:val="nil"/>
              <w:left w:val="nil"/>
              <w:bottom w:val="single" w:sz="8" w:space="0" w:color="auto"/>
              <w:right w:val="single" w:sz="8" w:space="0" w:color="auto"/>
            </w:tcBorders>
            <w:vAlign w:val="center"/>
          </w:tcPr>
          <w:p w14:paraId="09672834"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0.99134</w:t>
            </w:r>
          </w:p>
        </w:tc>
        <w:tc>
          <w:tcPr>
            <w:tcW w:w="1304" w:type="dxa"/>
            <w:tcBorders>
              <w:top w:val="nil"/>
              <w:left w:val="nil"/>
              <w:bottom w:val="single" w:sz="8" w:space="0" w:color="auto"/>
              <w:right w:val="single" w:sz="8" w:space="0" w:color="auto"/>
            </w:tcBorders>
            <w:vAlign w:val="center"/>
          </w:tcPr>
          <w:p w14:paraId="557DF92E"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183.95</w:t>
            </w:r>
          </w:p>
        </w:tc>
      </w:tr>
      <w:tr w:rsidR="00F84510" w:rsidRPr="00D202A7" w14:paraId="1A9FA3CC" w14:textId="77777777" w:rsidTr="000642F0">
        <w:trPr>
          <w:trHeight w:val="481"/>
        </w:trPr>
        <w:tc>
          <w:tcPr>
            <w:tcW w:w="432" w:type="dxa"/>
            <w:tcBorders>
              <w:top w:val="nil"/>
              <w:left w:val="single" w:sz="8" w:space="0" w:color="auto"/>
              <w:bottom w:val="single" w:sz="8" w:space="0" w:color="auto"/>
              <w:right w:val="single" w:sz="8" w:space="0" w:color="auto"/>
            </w:tcBorders>
            <w:vAlign w:val="center"/>
          </w:tcPr>
          <w:p w14:paraId="463425EC"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3.</w:t>
            </w:r>
          </w:p>
        </w:tc>
        <w:tc>
          <w:tcPr>
            <w:tcW w:w="1300" w:type="dxa"/>
            <w:tcBorders>
              <w:top w:val="nil"/>
              <w:left w:val="nil"/>
              <w:bottom w:val="single" w:sz="8" w:space="0" w:color="auto"/>
              <w:right w:val="single" w:sz="8" w:space="0" w:color="auto"/>
            </w:tcBorders>
            <w:vAlign w:val="center"/>
          </w:tcPr>
          <w:p w14:paraId="599FA7BF" w14:textId="77777777" w:rsidR="00F84510" w:rsidRPr="00D202A7" w:rsidRDefault="00F84510" w:rsidP="000642F0">
            <w:pPr>
              <w:spacing w:after="0" w:line="240" w:lineRule="auto"/>
              <w:jc w:val="both"/>
              <w:rPr>
                <w:rFonts w:eastAsia="Times New Roman"/>
                <w:szCs w:val="24"/>
                <w:lang w:val="en-GB" w:eastAsia="en-IN"/>
              </w:rPr>
            </w:pPr>
            <w:r>
              <w:rPr>
                <w:rFonts w:eastAsia="Times New Roman"/>
                <w:szCs w:val="24"/>
                <w:lang w:val="en-GB" w:eastAsia="en-IN"/>
              </w:rPr>
              <w:t>S@rGO-1</w:t>
            </w:r>
          </w:p>
        </w:tc>
        <w:tc>
          <w:tcPr>
            <w:tcW w:w="1153" w:type="dxa"/>
            <w:tcBorders>
              <w:top w:val="nil"/>
              <w:left w:val="nil"/>
              <w:bottom w:val="single" w:sz="8" w:space="0" w:color="auto"/>
              <w:right w:val="single" w:sz="8" w:space="0" w:color="auto"/>
            </w:tcBorders>
            <w:vAlign w:val="center"/>
          </w:tcPr>
          <w:p w14:paraId="5CF3427F"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-0.00564</w:t>
            </w:r>
          </w:p>
        </w:tc>
        <w:tc>
          <w:tcPr>
            <w:tcW w:w="1153" w:type="dxa"/>
            <w:tcBorders>
              <w:top w:val="nil"/>
              <w:left w:val="nil"/>
              <w:bottom w:val="single" w:sz="8" w:space="0" w:color="auto"/>
              <w:right w:val="single" w:sz="8" w:space="0" w:color="auto"/>
            </w:tcBorders>
            <w:vAlign w:val="center"/>
          </w:tcPr>
          <w:p w14:paraId="7B4AE27E"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0.98458</w:t>
            </w:r>
          </w:p>
        </w:tc>
        <w:tc>
          <w:tcPr>
            <w:tcW w:w="1010" w:type="dxa"/>
            <w:tcBorders>
              <w:top w:val="nil"/>
              <w:left w:val="nil"/>
              <w:bottom w:val="single" w:sz="8" w:space="0" w:color="auto"/>
              <w:right w:val="single" w:sz="8" w:space="0" w:color="auto"/>
            </w:tcBorders>
            <w:vAlign w:val="center"/>
          </w:tcPr>
          <w:p w14:paraId="02DFEC3F"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eastAsia="en-IN"/>
              </w:rPr>
              <w:t>108.80</w:t>
            </w:r>
          </w:p>
        </w:tc>
        <w:tc>
          <w:tcPr>
            <w:tcW w:w="1034" w:type="dxa"/>
            <w:tcBorders>
              <w:top w:val="nil"/>
              <w:left w:val="nil"/>
              <w:bottom w:val="single" w:sz="8" w:space="0" w:color="auto"/>
              <w:right w:val="single" w:sz="8" w:space="0" w:color="auto"/>
            </w:tcBorders>
            <w:vAlign w:val="center"/>
          </w:tcPr>
          <w:p w14:paraId="6376D2B9"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0.00614</w:t>
            </w:r>
          </w:p>
        </w:tc>
        <w:tc>
          <w:tcPr>
            <w:tcW w:w="1014" w:type="dxa"/>
            <w:tcBorders>
              <w:top w:val="nil"/>
              <w:left w:val="nil"/>
              <w:bottom w:val="single" w:sz="8" w:space="0" w:color="auto"/>
              <w:right w:val="single" w:sz="8" w:space="0" w:color="auto"/>
            </w:tcBorders>
            <w:vAlign w:val="center"/>
          </w:tcPr>
          <w:p w14:paraId="607EF8FF"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0.99001</w:t>
            </w:r>
          </w:p>
        </w:tc>
        <w:tc>
          <w:tcPr>
            <w:tcW w:w="1049" w:type="dxa"/>
            <w:tcBorders>
              <w:top w:val="nil"/>
              <w:left w:val="nil"/>
              <w:bottom w:val="single" w:sz="8" w:space="0" w:color="auto"/>
              <w:right w:val="single" w:sz="8" w:space="0" w:color="auto"/>
            </w:tcBorders>
            <w:vAlign w:val="center"/>
          </w:tcPr>
          <w:p w14:paraId="02232DCD"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112.87</w:t>
            </w:r>
          </w:p>
        </w:tc>
        <w:tc>
          <w:tcPr>
            <w:tcW w:w="1153" w:type="dxa"/>
            <w:tcBorders>
              <w:top w:val="nil"/>
              <w:left w:val="nil"/>
              <w:bottom w:val="single" w:sz="8" w:space="0" w:color="auto"/>
              <w:right w:val="single" w:sz="8" w:space="0" w:color="auto"/>
            </w:tcBorders>
            <w:vAlign w:val="center"/>
          </w:tcPr>
          <w:p w14:paraId="1AA0B8D0"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0.00684</w:t>
            </w:r>
          </w:p>
        </w:tc>
        <w:tc>
          <w:tcPr>
            <w:tcW w:w="1153" w:type="dxa"/>
            <w:tcBorders>
              <w:top w:val="nil"/>
              <w:left w:val="nil"/>
              <w:bottom w:val="single" w:sz="8" w:space="0" w:color="auto"/>
              <w:right w:val="single" w:sz="8" w:space="0" w:color="auto"/>
            </w:tcBorders>
            <w:vAlign w:val="center"/>
          </w:tcPr>
          <w:p w14:paraId="22DEC4E8"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0.98069</w:t>
            </w:r>
          </w:p>
        </w:tc>
        <w:tc>
          <w:tcPr>
            <w:tcW w:w="1304" w:type="dxa"/>
            <w:tcBorders>
              <w:top w:val="nil"/>
              <w:left w:val="nil"/>
              <w:bottom w:val="single" w:sz="8" w:space="0" w:color="auto"/>
              <w:right w:val="single" w:sz="8" w:space="0" w:color="auto"/>
            </w:tcBorders>
            <w:vAlign w:val="center"/>
          </w:tcPr>
          <w:p w14:paraId="5734AB62"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119.12</w:t>
            </w:r>
          </w:p>
        </w:tc>
      </w:tr>
      <w:tr w:rsidR="00F84510" w:rsidRPr="00D202A7" w14:paraId="4F426FC6" w14:textId="77777777" w:rsidTr="000642F0">
        <w:trPr>
          <w:trHeight w:val="481"/>
        </w:trPr>
        <w:tc>
          <w:tcPr>
            <w:tcW w:w="432" w:type="dxa"/>
            <w:tcBorders>
              <w:top w:val="nil"/>
              <w:left w:val="single" w:sz="8" w:space="0" w:color="auto"/>
              <w:bottom w:val="single" w:sz="8" w:space="0" w:color="auto"/>
              <w:right w:val="single" w:sz="8" w:space="0" w:color="auto"/>
            </w:tcBorders>
            <w:vAlign w:val="center"/>
          </w:tcPr>
          <w:p w14:paraId="795B90BD"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4.</w:t>
            </w:r>
          </w:p>
        </w:tc>
        <w:tc>
          <w:tcPr>
            <w:tcW w:w="1300" w:type="dxa"/>
            <w:tcBorders>
              <w:top w:val="nil"/>
              <w:left w:val="nil"/>
              <w:bottom w:val="single" w:sz="8" w:space="0" w:color="auto"/>
              <w:right w:val="single" w:sz="8" w:space="0" w:color="auto"/>
            </w:tcBorders>
            <w:vAlign w:val="center"/>
          </w:tcPr>
          <w:p w14:paraId="48CC9560" w14:textId="77777777" w:rsidR="00F84510" w:rsidRPr="00D202A7" w:rsidRDefault="00F84510" w:rsidP="000642F0">
            <w:pPr>
              <w:spacing w:after="0" w:line="240" w:lineRule="auto"/>
              <w:jc w:val="both"/>
              <w:rPr>
                <w:rFonts w:eastAsia="Times New Roman"/>
                <w:szCs w:val="24"/>
                <w:lang w:val="en-GB" w:eastAsia="en-IN"/>
              </w:rPr>
            </w:pPr>
            <w:r>
              <w:rPr>
                <w:rFonts w:eastAsia="Times New Roman"/>
                <w:szCs w:val="24"/>
                <w:lang w:val="en-GB" w:eastAsia="en-IN"/>
              </w:rPr>
              <w:t>S@rGO-2</w:t>
            </w:r>
          </w:p>
        </w:tc>
        <w:tc>
          <w:tcPr>
            <w:tcW w:w="1153" w:type="dxa"/>
            <w:tcBorders>
              <w:top w:val="nil"/>
              <w:left w:val="nil"/>
              <w:bottom w:val="single" w:sz="8" w:space="0" w:color="auto"/>
              <w:right w:val="single" w:sz="8" w:space="0" w:color="auto"/>
            </w:tcBorders>
            <w:vAlign w:val="center"/>
          </w:tcPr>
          <w:p w14:paraId="6B8B614F"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-0.00566</w:t>
            </w:r>
          </w:p>
        </w:tc>
        <w:tc>
          <w:tcPr>
            <w:tcW w:w="1153" w:type="dxa"/>
            <w:tcBorders>
              <w:top w:val="nil"/>
              <w:left w:val="nil"/>
              <w:bottom w:val="single" w:sz="8" w:space="0" w:color="auto"/>
              <w:right w:val="single" w:sz="8" w:space="0" w:color="auto"/>
            </w:tcBorders>
            <w:vAlign w:val="center"/>
          </w:tcPr>
          <w:p w14:paraId="5D2100F1"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0.98537</w:t>
            </w:r>
          </w:p>
        </w:tc>
        <w:tc>
          <w:tcPr>
            <w:tcW w:w="1010" w:type="dxa"/>
            <w:tcBorders>
              <w:top w:val="nil"/>
              <w:left w:val="nil"/>
              <w:bottom w:val="single" w:sz="8" w:space="0" w:color="auto"/>
              <w:right w:val="single" w:sz="8" w:space="0" w:color="auto"/>
            </w:tcBorders>
            <w:vAlign w:val="center"/>
          </w:tcPr>
          <w:p w14:paraId="562E1775"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eastAsia="en-IN"/>
              </w:rPr>
              <w:t>108.94</w:t>
            </w:r>
          </w:p>
        </w:tc>
        <w:tc>
          <w:tcPr>
            <w:tcW w:w="1034" w:type="dxa"/>
            <w:tcBorders>
              <w:top w:val="nil"/>
              <w:left w:val="nil"/>
              <w:bottom w:val="single" w:sz="8" w:space="0" w:color="auto"/>
              <w:right w:val="single" w:sz="8" w:space="0" w:color="auto"/>
            </w:tcBorders>
            <w:vAlign w:val="center"/>
          </w:tcPr>
          <w:p w14:paraId="4146D1A6"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0.00637</w:t>
            </w:r>
          </w:p>
        </w:tc>
        <w:tc>
          <w:tcPr>
            <w:tcW w:w="1014" w:type="dxa"/>
            <w:tcBorders>
              <w:top w:val="nil"/>
              <w:left w:val="nil"/>
              <w:bottom w:val="single" w:sz="8" w:space="0" w:color="auto"/>
              <w:right w:val="single" w:sz="8" w:space="0" w:color="auto"/>
            </w:tcBorders>
            <w:vAlign w:val="center"/>
          </w:tcPr>
          <w:p w14:paraId="54E5A798"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0.99106</w:t>
            </w:r>
          </w:p>
        </w:tc>
        <w:tc>
          <w:tcPr>
            <w:tcW w:w="1049" w:type="dxa"/>
            <w:tcBorders>
              <w:top w:val="nil"/>
              <w:left w:val="nil"/>
              <w:bottom w:val="single" w:sz="8" w:space="0" w:color="auto"/>
              <w:right w:val="single" w:sz="8" w:space="0" w:color="auto"/>
            </w:tcBorders>
            <w:vAlign w:val="center"/>
          </w:tcPr>
          <w:p w14:paraId="095B4757"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108.79</w:t>
            </w:r>
          </w:p>
        </w:tc>
        <w:tc>
          <w:tcPr>
            <w:tcW w:w="1153" w:type="dxa"/>
            <w:tcBorders>
              <w:top w:val="nil"/>
              <w:left w:val="nil"/>
              <w:bottom w:val="single" w:sz="8" w:space="0" w:color="auto"/>
              <w:right w:val="single" w:sz="8" w:space="0" w:color="auto"/>
            </w:tcBorders>
            <w:vAlign w:val="center"/>
          </w:tcPr>
          <w:p w14:paraId="0DCC9546"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0.00736</w:t>
            </w:r>
          </w:p>
        </w:tc>
        <w:tc>
          <w:tcPr>
            <w:tcW w:w="1153" w:type="dxa"/>
            <w:tcBorders>
              <w:top w:val="nil"/>
              <w:left w:val="nil"/>
              <w:bottom w:val="single" w:sz="8" w:space="0" w:color="auto"/>
              <w:right w:val="single" w:sz="8" w:space="0" w:color="auto"/>
            </w:tcBorders>
            <w:vAlign w:val="center"/>
          </w:tcPr>
          <w:p w14:paraId="7C874889"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0.97628</w:t>
            </w:r>
          </w:p>
        </w:tc>
        <w:tc>
          <w:tcPr>
            <w:tcW w:w="1304" w:type="dxa"/>
            <w:tcBorders>
              <w:top w:val="nil"/>
              <w:left w:val="nil"/>
              <w:bottom w:val="single" w:sz="8" w:space="0" w:color="auto"/>
              <w:right w:val="single" w:sz="8" w:space="0" w:color="auto"/>
            </w:tcBorders>
            <w:vAlign w:val="center"/>
          </w:tcPr>
          <w:p w14:paraId="6CF6B31E"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110.17</w:t>
            </w:r>
          </w:p>
        </w:tc>
      </w:tr>
      <w:tr w:rsidR="00F84510" w:rsidRPr="00D202A7" w14:paraId="1323B19F" w14:textId="77777777" w:rsidTr="000642F0">
        <w:trPr>
          <w:trHeight w:val="481"/>
        </w:trPr>
        <w:tc>
          <w:tcPr>
            <w:tcW w:w="432" w:type="dxa"/>
            <w:tcBorders>
              <w:top w:val="nil"/>
              <w:left w:val="single" w:sz="8" w:space="0" w:color="auto"/>
              <w:bottom w:val="single" w:sz="8" w:space="0" w:color="auto"/>
              <w:right w:val="single" w:sz="8" w:space="0" w:color="auto"/>
            </w:tcBorders>
            <w:vAlign w:val="center"/>
          </w:tcPr>
          <w:p w14:paraId="42C6CBBB"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5.</w:t>
            </w:r>
          </w:p>
        </w:tc>
        <w:tc>
          <w:tcPr>
            <w:tcW w:w="1300" w:type="dxa"/>
            <w:tcBorders>
              <w:top w:val="nil"/>
              <w:left w:val="nil"/>
              <w:bottom w:val="single" w:sz="8" w:space="0" w:color="auto"/>
              <w:right w:val="single" w:sz="8" w:space="0" w:color="auto"/>
            </w:tcBorders>
            <w:vAlign w:val="center"/>
          </w:tcPr>
          <w:p w14:paraId="5F82A5BD" w14:textId="77777777" w:rsidR="00F84510" w:rsidRPr="00D202A7" w:rsidRDefault="00F84510" w:rsidP="000642F0">
            <w:pPr>
              <w:spacing w:after="0" w:line="240" w:lineRule="auto"/>
              <w:jc w:val="both"/>
              <w:rPr>
                <w:rFonts w:eastAsia="Times New Roman"/>
                <w:szCs w:val="24"/>
                <w:lang w:val="en-GB" w:eastAsia="en-IN"/>
              </w:rPr>
            </w:pPr>
            <w:r>
              <w:rPr>
                <w:rFonts w:eastAsia="Times New Roman"/>
                <w:szCs w:val="24"/>
                <w:lang w:val="en-GB" w:eastAsia="en-IN"/>
              </w:rPr>
              <w:t>S@rGO-3</w:t>
            </w:r>
          </w:p>
        </w:tc>
        <w:tc>
          <w:tcPr>
            <w:tcW w:w="1153" w:type="dxa"/>
            <w:tcBorders>
              <w:top w:val="nil"/>
              <w:left w:val="nil"/>
              <w:bottom w:val="single" w:sz="8" w:space="0" w:color="auto"/>
              <w:right w:val="single" w:sz="8" w:space="0" w:color="auto"/>
            </w:tcBorders>
            <w:vAlign w:val="center"/>
          </w:tcPr>
          <w:p w14:paraId="321D3793"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-0.00722</w:t>
            </w:r>
          </w:p>
        </w:tc>
        <w:tc>
          <w:tcPr>
            <w:tcW w:w="1153" w:type="dxa"/>
            <w:tcBorders>
              <w:top w:val="nil"/>
              <w:left w:val="nil"/>
              <w:bottom w:val="single" w:sz="8" w:space="0" w:color="auto"/>
              <w:right w:val="single" w:sz="8" w:space="0" w:color="auto"/>
            </w:tcBorders>
            <w:vAlign w:val="center"/>
          </w:tcPr>
          <w:p w14:paraId="25E9DC2B"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0.99728</w:t>
            </w:r>
          </w:p>
        </w:tc>
        <w:tc>
          <w:tcPr>
            <w:tcW w:w="1010" w:type="dxa"/>
            <w:tcBorders>
              <w:top w:val="nil"/>
              <w:left w:val="nil"/>
              <w:bottom w:val="single" w:sz="8" w:space="0" w:color="auto"/>
              <w:right w:val="single" w:sz="8" w:space="0" w:color="auto"/>
            </w:tcBorders>
            <w:vAlign w:val="center"/>
          </w:tcPr>
          <w:p w14:paraId="17B02854"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eastAsia="en-IN"/>
              </w:rPr>
              <w:t>91.41</w:t>
            </w:r>
          </w:p>
        </w:tc>
        <w:tc>
          <w:tcPr>
            <w:tcW w:w="1034" w:type="dxa"/>
            <w:tcBorders>
              <w:top w:val="nil"/>
              <w:left w:val="nil"/>
              <w:bottom w:val="single" w:sz="8" w:space="0" w:color="auto"/>
              <w:right w:val="single" w:sz="8" w:space="0" w:color="auto"/>
            </w:tcBorders>
            <w:vAlign w:val="center"/>
          </w:tcPr>
          <w:p w14:paraId="5C07D5A9"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0.00778</w:t>
            </w:r>
          </w:p>
        </w:tc>
        <w:tc>
          <w:tcPr>
            <w:tcW w:w="1014" w:type="dxa"/>
            <w:tcBorders>
              <w:top w:val="nil"/>
              <w:left w:val="nil"/>
              <w:bottom w:val="single" w:sz="8" w:space="0" w:color="auto"/>
              <w:right w:val="single" w:sz="8" w:space="0" w:color="auto"/>
            </w:tcBorders>
            <w:vAlign w:val="center"/>
          </w:tcPr>
          <w:p w14:paraId="339CA89C"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0.98562</w:t>
            </w:r>
          </w:p>
        </w:tc>
        <w:tc>
          <w:tcPr>
            <w:tcW w:w="1049" w:type="dxa"/>
            <w:tcBorders>
              <w:top w:val="nil"/>
              <w:left w:val="nil"/>
              <w:bottom w:val="single" w:sz="8" w:space="0" w:color="auto"/>
              <w:right w:val="single" w:sz="8" w:space="0" w:color="auto"/>
            </w:tcBorders>
            <w:vAlign w:val="center"/>
          </w:tcPr>
          <w:p w14:paraId="1BFD37F3"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89.07</w:t>
            </w:r>
          </w:p>
        </w:tc>
        <w:tc>
          <w:tcPr>
            <w:tcW w:w="1153" w:type="dxa"/>
            <w:tcBorders>
              <w:top w:val="nil"/>
              <w:left w:val="nil"/>
              <w:bottom w:val="single" w:sz="8" w:space="0" w:color="auto"/>
              <w:right w:val="single" w:sz="8" w:space="0" w:color="auto"/>
            </w:tcBorders>
            <w:vAlign w:val="center"/>
          </w:tcPr>
          <w:p w14:paraId="5C581F7F"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0.00868</w:t>
            </w:r>
          </w:p>
        </w:tc>
        <w:tc>
          <w:tcPr>
            <w:tcW w:w="1153" w:type="dxa"/>
            <w:tcBorders>
              <w:top w:val="nil"/>
              <w:left w:val="nil"/>
              <w:bottom w:val="single" w:sz="8" w:space="0" w:color="auto"/>
              <w:right w:val="single" w:sz="8" w:space="0" w:color="auto"/>
            </w:tcBorders>
            <w:vAlign w:val="center"/>
          </w:tcPr>
          <w:p w14:paraId="3BBD2A25"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0.95566</w:t>
            </w:r>
          </w:p>
        </w:tc>
        <w:tc>
          <w:tcPr>
            <w:tcW w:w="1304" w:type="dxa"/>
            <w:tcBorders>
              <w:top w:val="nil"/>
              <w:left w:val="nil"/>
              <w:bottom w:val="single" w:sz="8" w:space="0" w:color="auto"/>
              <w:right w:val="single" w:sz="8" w:space="0" w:color="auto"/>
            </w:tcBorders>
            <w:vAlign w:val="center"/>
          </w:tcPr>
          <w:p w14:paraId="6306B391"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87.28</w:t>
            </w:r>
          </w:p>
        </w:tc>
      </w:tr>
      <w:tr w:rsidR="00F84510" w:rsidRPr="00D202A7" w14:paraId="26F71173" w14:textId="77777777" w:rsidTr="000642F0">
        <w:trPr>
          <w:trHeight w:val="481"/>
        </w:trPr>
        <w:tc>
          <w:tcPr>
            <w:tcW w:w="432" w:type="dxa"/>
            <w:tcBorders>
              <w:top w:val="nil"/>
              <w:left w:val="single" w:sz="8" w:space="0" w:color="auto"/>
              <w:bottom w:val="single" w:sz="8" w:space="0" w:color="auto"/>
              <w:right w:val="single" w:sz="8" w:space="0" w:color="auto"/>
            </w:tcBorders>
            <w:vAlign w:val="center"/>
          </w:tcPr>
          <w:p w14:paraId="5B61E279"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6.</w:t>
            </w:r>
          </w:p>
        </w:tc>
        <w:tc>
          <w:tcPr>
            <w:tcW w:w="1300" w:type="dxa"/>
            <w:tcBorders>
              <w:top w:val="nil"/>
              <w:left w:val="nil"/>
              <w:bottom w:val="single" w:sz="8" w:space="0" w:color="auto"/>
              <w:right w:val="single" w:sz="8" w:space="0" w:color="auto"/>
            </w:tcBorders>
            <w:vAlign w:val="center"/>
          </w:tcPr>
          <w:p w14:paraId="553A2142" w14:textId="77777777" w:rsidR="00F84510" w:rsidRPr="00D202A7" w:rsidRDefault="00F84510" w:rsidP="000642F0">
            <w:pPr>
              <w:spacing w:after="0" w:line="240" w:lineRule="auto"/>
              <w:jc w:val="both"/>
              <w:rPr>
                <w:rFonts w:eastAsia="Times New Roman"/>
                <w:szCs w:val="24"/>
                <w:lang w:val="en-GB" w:eastAsia="en-IN"/>
              </w:rPr>
            </w:pPr>
            <w:r>
              <w:rPr>
                <w:rFonts w:eastAsia="Times New Roman"/>
                <w:szCs w:val="24"/>
                <w:lang w:val="en-GB" w:eastAsia="en-IN"/>
              </w:rPr>
              <w:t>S@rGO-4</w:t>
            </w:r>
          </w:p>
        </w:tc>
        <w:tc>
          <w:tcPr>
            <w:tcW w:w="1153" w:type="dxa"/>
            <w:tcBorders>
              <w:top w:val="nil"/>
              <w:left w:val="nil"/>
              <w:bottom w:val="single" w:sz="8" w:space="0" w:color="auto"/>
              <w:right w:val="single" w:sz="8" w:space="0" w:color="auto"/>
            </w:tcBorders>
            <w:vAlign w:val="center"/>
          </w:tcPr>
          <w:p w14:paraId="321AD0FF"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-0.00829</w:t>
            </w:r>
          </w:p>
        </w:tc>
        <w:tc>
          <w:tcPr>
            <w:tcW w:w="1153" w:type="dxa"/>
            <w:tcBorders>
              <w:top w:val="nil"/>
              <w:left w:val="nil"/>
              <w:bottom w:val="single" w:sz="8" w:space="0" w:color="auto"/>
              <w:right w:val="single" w:sz="8" w:space="0" w:color="auto"/>
            </w:tcBorders>
            <w:vAlign w:val="center"/>
          </w:tcPr>
          <w:p w14:paraId="49D08F51"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0.99101</w:t>
            </w:r>
          </w:p>
        </w:tc>
        <w:tc>
          <w:tcPr>
            <w:tcW w:w="1010" w:type="dxa"/>
            <w:tcBorders>
              <w:top w:val="nil"/>
              <w:left w:val="nil"/>
              <w:bottom w:val="single" w:sz="8" w:space="0" w:color="auto"/>
              <w:right w:val="single" w:sz="8" w:space="0" w:color="auto"/>
            </w:tcBorders>
            <w:vAlign w:val="center"/>
          </w:tcPr>
          <w:p w14:paraId="6116F79B" w14:textId="77777777" w:rsidR="00F84510" w:rsidRPr="00D202A7" w:rsidRDefault="00F84510" w:rsidP="000642F0">
            <w:pPr>
              <w:spacing w:after="0" w:line="240" w:lineRule="auto"/>
              <w:jc w:val="both"/>
              <w:rPr>
                <w:rFonts w:eastAsia="Times New Roman"/>
                <w:szCs w:val="24"/>
                <w:lang w:eastAsia="en-IN"/>
              </w:rPr>
            </w:pPr>
            <w:r w:rsidRPr="00D202A7">
              <w:rPr>
                <w:rFonts w:eastAsia="Times New Roman"/>
                <w:szCs w:val="24"/>
                <w:lang w:eastAsia="en-IN"/>
              </w:rPr>
              <w:t>82.71</w:t>
            </w:r>
          </w:p>
        </w:tc>
        <w:tc>
          <w:tcPr>
            <w:tcW w:w="1034" w:type="dxa"/>
            <w:tcBorders>
              <w:top w:val="nil"/>
              <w:left w:val="nil"/>
              <w:bottom w:val="single" w:sz="8" w:space="0" w:color="auto"/>
              <w:right w:val="single" w:sz="8" w:space="0" w:color="auto"/>
            </w:tcBorders>
            <w:vAlign w:val="center"/>
          </w:tcPr>
          <w:p w14:paraId="4925E5B3"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0.00921</w:t>
            </w:r>
          </w:p>
        </w:tc>
        <w:tc>
          <w:tcPr>
            <w:tcW w:w="1014" w:type="dxa"/>
            <w:tcBorders>
              <w:top w:val="nil"/>
              <w:left w:val="nil"/>
              <w:bottom w:val="single" w:sz="8" w:space="0" w:color="auto"/>
              <w:right w:val="single" w:sz="8" w:space="0" w:color="auto"/>
            </w:tcBorders>
            <w:vAlign w:val="center"/>
          </w:tcPr>
          <w:p w14:paraId="4DE9EF8D"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0.95119</w:t>
            </w:r>
          </w:p>
        </w:tc>
        <w:tc>
          <w:tcPr>
            <w:tcW w:w="1049" w:type="dxa"/>
            <w:tcBorders>
              <w:top w:val="nil"/>
              <w:left w:val="nil"/>
              <w:bottom w:val="single" w:sz="8" w:space="0" w:color="auto"/>
              <w:right w:val="single" w:sz="8" w:space="0" w:color="auto"/>
            </w:tcBorders>
            <w:vAlign w:val="center"/>
          </w:tcPr>
          <w:p w14:paraId="2297C0CD"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75.24</w:t>
            </w:r>
          </w:p>
        </w:tc>
        <w:tc>
          <w:tcPr>
            <w:tcW w:w="1153" w:type="dxa"/>
            <w:tcBorders>
              <w:top w:val="nil"/>
              <w:left w:val="nil"/>
              <w:bottom w:val="single" w:sz="8" w:space="0" w:color="auto"/>
              <w:right w:val="single" w:sz="8" w:space="0" w:color="auto"/>
            </w:tcBorders>
            <w:vAlign w:val="center"/>
          </w:tcPr>
          <w:p w14:paraId="32CC4460"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0.01084</w:t>
            </w:r>
          </w:p>
        </w:tc>
        <w:tc>
          <w:tcPr>
            <w:tcW w:w="1153" w:type="dxa"/>
            <w:tcBorders>
              <w:top w:val="nil"/>
              <w:left w:val="nil"/>
              <w:bottom w:val="single" w:sz="8" w:space="0" w:color="auto"/>
              <w:right w:val="single" w:sz="8" w:space="0" w:color="auto"/>
            </w:tcBorders>
            <w:vAlign w:val="center"/>
          </w:tcPr>
          <w:p w14:paraId="6167F0CA"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0.87697</w:t>
            </w:r>
          </w:p>
        </w:tc>
        <w:tc>
          <w:tcPr>
            <w:tcW w:w="1304" w:type="dxa"/>
            <w:tcBorders>
              <w:top w:val="nil"/>
              <w:left w:val="nil"/>
              <w:bottom w:val="single" w:sz="8" w:space="0" w:color="auto"/>
              <w:right w:val="single" w:sz="8" w:space="0" w:color="auto"/>
            </w:tcBorders>
            <w:vAlign w:val="center"/>
          </w:tcPr>
          <w:p w14:paraId="6B8D4E05" w14:textId="77777777" w:rsidR="00F84510" w:rsidRPr="00D202A7" w:rsidRDefault="00F84510" w:rsidP="000642F0">
            <w:pPr>
              <w:spacing w:after="0" w:line="240" w:lineRule="auto"/>
              <w:jc w:val="both"/>
              <w:rPr>
                <w:rFonts w:eastAsia="Times New Roman"/>
                <w:szCs w:val="24"/>
                <w:lang w:val="en-GB" w:eastAsia="en-IN"/>
              </w:rPr>
            </w:pPr>
            <w:r w:rsidRPr="00D202A7">
              <w:rPr>
                <w:rFonts w:eastAsia="Times New Roman"/>
                <w:szCs w:val="24"/>
                <w:lang w:val="en-GB" w:eastAsia="en-IN"/>
              </w:rPr>
              <w:t>67.27</w:t>
            </w:r>
          </w:p>
        </w:tc>
      </w:tr>
      <w:bookmarkEnd w:id="1"/>
      <w:tr w:rsidR="00F84510" w:rsidRPr="00D202A7" w14:paraId="2D01BB8D" w14:textId="77777777" w:rsidTr="000642F0">
        <w:trPr>
          <w:trHeight w:val="204"/>
        </w:trPr>
        <w:tc>
          <w:tcPr>
            <w:tcW w:w="432" w:type="dxa"/>
            <w:tcBorders>
              <w:top w:val="nil"/>
              <w:left w:val="nil"/>
              <w:bottom w:val="nil"/>
              <w:right w:val="nil"/>
            </w:tcBorders>
            <w:noWrap/>
            <w:vAlign w:val="bottom"/>
            <w:hideMark/>
          </w:tcPr>
          <w:p w14:paraId="6F653786" w14:textId="77777777" w:rsidR="00F84510" w:rsidRPr="00D202A7" w:rsidRDefault="00F84510" w:rsidP="000642F0">
            <w:pPr>
              <w:spacing w:after="0" w:line="240" w:lineRule="auto"/>
              <w:jc w:val="both"/>
              <w:rPr>
                <w:rFonts w:eastAsia="Times New Roman"/>
                <w:szCs w:val="24"/>
                <w:lang w:eastAsia="en-IN"/>
              </w:rPr>
            </w:pPr>
          </w:p>
        </w:tc>
        <w:tc>
          <w:tcPr>
            <w:tcW w:w="1300" w:type="dxa"/>
            <w:tcBorders>
              <w:top w:val="nil"/>
              <w:left w:val="nil"/>
              <w:bottom w:val="nil"/>
              <w:right w:val="nil"/>
            </w:tcBorders>
            <w:noWrap/>
            <w:vAlign w:val="bottom"/>
            <w:hideMark/>
          </w:tcPr>
          <w:p w14:paraId="19100C37" w14:textId="77777777" w:rsidR="00F84510" w:rsidRPr="00D202A7" w:rsidRDefault="00F84510" w:rsidP="000642F0">
            <w:pPr>
              <w:spacing w:after="0" w:line="240" w:lineRule="auto"/>
              <w:rPr>
                <w:rFonts w:eastAsia="Times New Roman"/>
                <w:sz w:val="20"/>
                <w:szCs w:val="20"/>
                <w:lang w:eastAsia="en-IN"/>
              </w:rPr>
            </w:pPr>
          </w:p>
        </w:tc>
        <w:tc>
          <w:tcPr>
            <w:tcW w:w="1153" w:type="dxa"/>
            <w:tcBorders>
              <w:top w:val="nil"/>
              <w:left w:val="nil"/>
              <w:bottom w:val="nil"/>
              <w:right w:val="nil"/>
            </w:tcBorders>
            <w:noWrap/>
            <w:vAlign w:val="bottom"/>
            <w:hideMark/>
          </w:tcPr>
          <w:p w14:paraId="17B14943" w14:textId="77777777" w:rsidR="00F84510" w:rsidRPr="00D202A7" w:rsidRDefault="00F84510" w:rsidP="000642F0">
            <w:pPr>
              <w:spacing w:after="0" w:line="240" w:lineRule="auto"/>
              <w:rPr>
                <w:rFonts w:eastAsia="Times New Roman"/>
                <w:sz w:val="20"/>
                <w:szCs w:val="20"/>
                <w:lang w:eastAsia="en-IN"/>
              </w:rPr>
            </w:pPr>
          </w:p>
        </w:tc>
        <w:tc>
          <w:tcPr>
            <w:tcW w:w="1153" w:type="dxa"/>
            <w:tcBorders>
              <w:top w:val="nil"/>
              <w:left w:val="nil"/>
              <w:bottom w:val="nil"/>
              <w:right w:val="nil"/>
            </w:tcBorders>
            <w:noWrap/>
            <w:vAlign w:val="bottom"/>
            <w:hideMark/>
          </w:tcPr>
          <w:p w14:paraId="07545A6C" w14:textId="77777777" w:rsidR="00F84510" w:rsidRPr="00D202A7" w:rsidRDefault="00F84510" w:rsidP="000642F0">
            <w:pPr>
              <w:spacing w:after="0" w:line="240" w:lineRule="auto"/>
              <w:rPr>
                <w:rFonts w:eastAsia="Times New Roman"/>
                <w:sz w:val="20"/>
                <w:szCs w:val="20"/>
                <w:lang w:eastAsia="en-IN"/>
              </w:rPr>
            </w:pPr>
          </w:p>
        </w:tc>
        <w:tc>
          <w:tcPr>
            <w:tcW w:w="1010" w:type="dxa"/>
            <w:tcBorders>
              <w:top w:val="nil"/>
              <w:left w:val="nil"/>
              <w:bottom w:val="nil"/>
              <w:right w:val="nil"/>
            </w:tcBorders>
            <w:noWrap/>
            <w:vAlign w:val="bottom"/>
            <w:hideMark/>
          </w:tcPr>
          <w:p w14:paraId="4A1D94DC" w14:textId="77777777" w:rsidR="00F84510" w:rsidRPr="00D202A7" w:rsidRDefault="00F84510" w:rsidP="000642F0">
            <w:pPr>
              <w:spacing w:after="0" w:line="240" w:lineRule="auto"/>
              <w:rPr>
                <w:rFonts w:eastAsia="Times New Roman"/>
                <w:sz w:val="20"/>
                <w:szCs w:val="20"/>
                <w:lang w:eastAsia="en-IN"/>
              </w:rPr>
            </w:pPr>
          </w:p>
        </w:tc>
        <w:tc>
          <w:tcPr>
            <w:tcW w:w="1034" w:type="dxa"/>
            <w:tcBorders>
              <w:top w:val="nil"/>
              <w:left w:val="nil"/>
              <w:bottom w:val="nil"/>
              <w:right w:val="nil"/>
            </w:tcBorders>
            <w:noWrap/>
            <w:vAlign w:val="bottom"/>
            <w:hideMark/>
          </w:tcPr>
          <w:p w14:paraId="6BE49B87" w14:textId="77777777" w:rsidR="00F84510" w:rsidRPr="00D202A7" w:rsidRDefault="00F84510" w:rsidP="000642F0">
            <w:pPr>
              <w:spacing w:after="0" w:line="240" w:lineRule="auto"/>
              <w:rPr>
                <w:rFonts w:eastAsia="Times New Roman"/>
                <w:sz w:val="20"/>
                <w:szCs w:val="20"/>
                <w:lang w:eastAsia="en-IN"/>
              </w:rPr>
            </w:pPr>
          </w:p>
        </w:tc>
        <w:tc>
          <w:tcPr>
            <w:tcW w:w="1014" w:type="dxa"/>
            <w:tcBorders>
              <w:top w:val="nil"/>
              <w:left w:val="nil"/>
              <w:bottom w:val="nil"/>
              <w:right w:val="nil"/>
            </w:tcBorders>
            <w:noWrap/>
            <w:vAlign w:val="bottom"/>
            <w:hideMark/>
          </w:tcPr>
          <w:p w14:paraId="3C2F818E" w14:textId="77777777" w:rsidR="00F84510" w:rsidRPr="00D202A7" w:rsidRDefault="00F84510" w:rsidP="000642F0">
            <w:pPr>
              <w:spacing w:after="0" w:line="240" w:lineRule="auto"/>
              <w:rPr>
                <w:rFonts w:eastAsia="Times New Roman"/>
                <w:sz w:val="20"/>
                <w:szCs w:val="20"/>
                <w:lang w:eastAsia="en-IN"/>
              </w:rPr>
            </w:pPr>
          </w:p>
        </w:tc>
        <w:tc>
          <w:tcPr>
            <w:tcW w:w="1049" w:type="dxa"/>
            <w:tcBorders>
              <w:top w:val="nil"/>
              <w:left w:val="nil"/>
              <w:bottom w:val="nil"/>
              <w:right w:val="nil"/>
            </w:tcBorders>
            <w:noWrap/>
            <w:vAlign w:val="bottom"/>
            <w:hideMark/>
          </w:tcPr>
          <w:p w14:paraId="0589F3A4" w14:textId="77777777" w:rsidR="00F84510" w:rsidRPr="00D202A7" w:rsidRDefault="00F84510" w:rsidP="000642F0">
            <w:pPr>
              <w:spacing w:after="0" w:line="240" w:lineRule="auto"/>
              <w:rPr>
                <w:rFonts w:eastAsia="Times New Roman"/>
                <w:sz w:val="20"/>
                <w:szCs w:val="20"/>
                <w:lang w:eastAsia="en-IN"/>
              </w:rPr>
            </w:pPr>
          </w:p>
        </w:tc>
        <w:tc>
          <w:tcPr>
            <w:tcW w:w="1153" w:type="dxa"/>
            <w:tcBorders>
              <w:top w:val="nil"/>
              <w:left w:val="nil"/>
              <w:bottom w:val="nil"/>
              <w:right w:val="nil"/>
            </w:tcBorders>
            <w:noWrap/>
            <w:vAlign w:val="bottom"/>
            <w:hideMark/>
          </w:tcPr>
          <w:p w14:paraId="18547FE5" w14:textId="77777777" w:rsidR="00F84510" w:rsidRPr="00D202A7" w:rsidRDefault="00F84510" w:rsidP="000642F0">
            <w:pPr>
              <w:spacing w:after="0" w:line="240" w:lineRule="auto"/>
              <w:rPr>
                <w:rFonts w:eastAsia="Times New Roman"/>
                <w:sz w:val="20"/>
                <w:szCs w:val="20"/>
                <w:lang w:eastAsia="en-IN"/>
              </w:rPr>
            </w:pPr>
          </w:p>
        </w:tc>
        <w:tc>
          <w:tcPr>
            <w:tcW w:w="1153" w:type="dxa"/>
            <w:tcBorders>
              <w:top w:val="nil"/>
              <w:left w:val="nil"/>
              <w:bottom w:val="nil"/>
              <w:right w:val="nil"/>
            </w:tcBorders>
            <w:noWrap/>
            <w:vAlign w:val="bottom"/>
            <w:hideMark/>
          </w:tcPr>
          <w:p w14:paraId="7CBB3932" w14:textId="77777777" w:rsidR="00F84510" w:rsidRPr="00D202A7" w:rsidRDefault="00F84510" w:rsidP="000642F0">
            <w:pPr>
              <w:spacing w:after="0" w:line="240" w:lineRule="auto"/>
              <w:rPr>
                <w:rFonts w:eastAsia="Times New Roman"/>
                <w:sz w:val="20"/>
                <w:szCs w:val="20"/>
                <w:lang w:eastAsia="en-IN"/>
              </w:rPr>
            </w:pPr>
          </w:p>
        </w:tc>
        <w:tc>
          <w:tcPr>
            <w:tcW w:w="1304" w:type="dxa"/>
            <w:tcBorders>
              <w:top w:val="nil"/>
              <w:left w:val="nil"/>
              <w:bottom w:val="nil"/>
              <w:right w:val="nil"/>
            </w:tcBorders>
            <w:noWrap/>
            <w:vAlign w:val="bottom"/>
            <w:hideMark/>
          </w:tcPr>
          <w:p w14:paraId="358E3E88" w14:textId="77777777" w:rsidR="00F84510" w:rsidRPr="00D202A7" w:rsidRDefault="00F84510" w:rsidP="000642F0">
            <w:pPr>
              <w:spacing w:after="0" w:line="240" w:lineRule="auto"/>
              <w:rPr>
                <w:rFonts w:eastAsia="Times New Roman"/>
                <w:sz w:val="20"/>
                <w:szCs w:val="20"/>
                <w:lang w:eastAsia="en-IN"/>
              </w:rPr>
            </w:pPr>
          </w:p>
        </w:tc>
      </w:tr>
      <w:bookmarkEnd w:id="2"/>
    </w:tbl>
    <w:p w14:paraId="3684E963" w14:textId="77777777" w:rsidR="00F84510" w:rsidRDefault="00F84510" w:rsidP="00F84510"/>
    <w:p w14:paraId="23FA5AA6" w14:textId="77777777" w:rsidR="00F84510" w:rsidRPr="009F0C4A" w:rsidRDefault="00F84510" w:rsidP="00F84510">
      <w:pPr>
        <w:pStyle w:val="Heading2"/>
      </w:pPr>
      <w:r w:rsidRPr="009F0C4A">
        <w:t>Study of Methylene blue Degradation using FTIR</w:t>
      </w:r>
    </w:p>
    <w:p w14:paraId="56746A6B" w14:textId="77777777" w:rsidR="00F84510" w:rsidRDefault="00F84510" w:rsidP="00F84510">
      <w:pPr>
        <w:jc w:val="both"/>
      </w:pPr>
    </w:p>
    <w:p w14:paraId="4B237C16" w14:textId="77777777" w:rsidR="00F84510" w:rsidRDefault="00F84510" w:rsidP="00F84510">
      <w:pPr>
        <w:jc w:val="both"/>
      </w:pPr>
      <w:r>
        <w:rPr>
          <w:noProof/>
        </w:rPr>
        <w:drawing>
          <wp:inline distT="0" distB="0" distL="0" distR="0" wp14:anchorId="1FF3EE36" wp14:editId="6C065A57">
            <wp:extent cx="5731510" cy="2463800"/>
            <wp:effectExtent l="0" t="0" r="2540" b="0"/>
            <wp:docPr id="18172346" name="Picture 15" descr="A graph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346" name="Picture 15" descr="A graph of different colors&#10;&#10;Description automatically generated with medium confiden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5731510" cy="2463800"/>
                    </a:xfrm>
                    <a:prstGeom prst="rect">
                      <a:avLst/>
                    </a:prstGeom>
                    <a:noFill/>
                    <a:ln>
                      <a:noFill/>
                    </a:ln>
                    <a:extLst>
                      <a:ext uri="{53640926-AAD7-44D8-BBD7-CCE9431645EC}">
                        <a14:shadowObscured xmlns:a14="http://schemas.microsoft.com/office/drawing/2010/main"/>
                      </a:ext>
                    </a:extLst>
                  </pic:spPr>
                </pic:pic>
              </a:graphicData>
            </a:graphic>
          </wp:inline>
        </w:drawing>
      </w:r>
    </w:p>
    <w:p w14:paraId="2B5C4371" w14:textId="77777777" w:rsidR="00F84510" w:rsidRDefault="00F84510" w:rsidP="00F84510">
      <w:pPr>
        <w:jc w:val="both"/>
      </w:pPr>
    </w:p>
    <w:p w14:paraId="0D940BAA" w14:textId="2FACFD5C" w:rsidR="00F84510" w:rsidRDefault="00F84510" w:rsidP="00F84510">
      <w:r w:rsidRPr="00A902FA">
        <w:rPr>
          <w:b/>
          <w:bCs/>
        </w:rPr>
        <w:t>Fig. S</w:t>
      </w:r>
      <w:r w:rsidR="001C4814">
        <w:rPr>
          <w:b/>
          <w:bCs/>
        </w:rPr>
        <w:t>8</w:t>
      </w:r>
      <w:r>
        <w:t xml:space="preserve"> (a) FT-IR spectra of methylene blue solution before and after photodegradation using rGO catalyst at 0 min, 40 min and 90 min. (b) FT-IR spectra of methylene blue solution before and after photodegradation using S@rGO-2 catalyst at 0 min and 50 min.</w:t>
      </w:r>
    </w:p>
    <w:p w14:paraId="0390226C" w14:textId="39CC908B" w:rsidR="00F84510" w:rsidRDefault="00F84510" w:rsidP="00F84510">
      <w:pPr>
        <w:jc w:val="both"/>
      </w:pPr>
      <w:r>
        <w:t>In Figure S</w:t>
      </w:r>
      <w:r w:rsidR="00370BCC">
        <w:t>8</w:t>
      </w:r>
      <w:r>
        <w:t xml:space="preserve"> (a), the transmittance peak observed at 3338 cm</w:t>
      </w:r>
      <w:r>
        <w:rPr>
          <w:vertAlign w:val="superscript"/>
        </w:rPr>
        <w:t>-1</w:t>
      </w:r>
      <w:r>
        <w:t xml:space="preserve"> assigned to </w:t>
      </w:r>
      <w:r w:rsidRPr="00B76EC6">
        <w:t>–OH hydroxyl groups</w:t>
      </w:r>
      <w:r>
        <w:t xml:space="preserve"> </w:t>
      </w:r>
      <w:r>
        <w:fldChar w:fldCharType="begin" w:fldLock="1"/>
      </w:r>
      <w:r w:rsidR="0057536F">
        <w:instrText>ADDIN CSL_CITATION {"citationItems":[{"id":"ITEM-1","itemData":{"DOI":"10.3390/catal12091073","ISSN":"20734344","abstract":"Hydrothermally assisted magnetic ZnO/Carbon nanocomposites were prepared using the selective biowaste of pomelo orange. Initially, the carbon aerogel (CA) was prepared hydrothermally followed by a freeze-drying method. Furthermore, the iron oxide nanoparticles were deposited onto the surface of carbon using the co-precipitation method and we obtained magnetic carbon nanocomposite, i.e., Fe3O4/C (MNC). Moreover, the ZnO photocatalysts were incorporated onto the surface of MNC composites using a hydrothermal process, and we obtained ZnO/MNC composites. The ZnO/MNC (55%), ZnO/MNC (65%) and ZnO/MNC (75%) composites were prepared by a similar experimental method in order to change the weight ratio of ZnO NPs. Using a similar synthetic procedure, the standard ZnO and Fe3O4 nanoparticles were prepared without the addition of CA. The experimental results were derived from several analytical techniques, such as: X-ray diffraction (XRD), Fourier-transform infrared spectroscopy (FTIR), scanning electron microscopy (SEM), transmission electron microscopy (TEM), Raman and diffuse reflectance spectroscopy (DRS-UV). The synthesized carbon, ZnO, Fe3O4, ZnO/MNC (55%), ZnO/MNC (65%) and ZnO/MNC (75%) composites were examined through the photocatalytic degradation of methylene blue (MB) under visible-light irradiation (VLI). The obtained results revealed that the composites were more active than carbon, ZnO and Fe3O4. In particular, the ZnO/MNC (75%) composites showed more activity than the rest of the composites. Furthermore, the recycling abilities of the prepared ZnO/MNC (75%) composites were examined through the degradation of MB under identical conditions and the activity remained constant up to the fifth cycle. The synthetic procedure and practical applications proposed here can be used in chemical industries, biomedical fields and energy applications.","author":[{"dropping-particle":"","family":"Ngullie","given":"Renathung C.","non-dropping-particle":"","parse-names":false,"suffix":""},{"dropping-particle":"","family":"Bhuvaneswari","given":"K.","non-dropping-particle":"","parse-names":false,"suffix":""},{"dropping-particle":"","family":"Shanmugam","given":"Paramasivam","non-dropping-particle":"","parse-names":false,"suffix":""},{"dropping-particle":"","family":"Boonyuen","given":"Supakorn","non-dropping-particle":"","parse-names":false,"suffix":""},{"dropping-particle":"","family":"Smith","given":"Siwaporn Meejoo","non-dropping-particle":"","parse-names":false,"suffix":""},{"dropping-particle":"","family":"Sathishkumar","given":"Munusamy","non-dropping-particle":"","parse-names":false,"suffix":""}],"container-title":"Catalysts","id":"ITEM-1","issue":"9","issued":{"date-parts":[["2022","9","19"]]},"page":"1073","title":"Magnetically Recoverable Biomass-Derived Carbon-Aerogel Supported ZnO (ZnO/MNC) Composites for the Photodegradation of Methylene Blue","type":"article-journal","volume":"12"},"uris":["http://www.mendeley.com/documents/?uuid=a5705c14-b1ed-43c1-b78e-784ec0bf008d"]}],"mendeley":{"formattedCitation":"[13]","plainTextFormattedCitation":"[13]","previouslyFormattedCitation":"[13]"},"properties":{"noteIndex":0},"schema":"https://github.com/citation-style-language/schema/raw/master/csl-citation.json"}</w:instrText>
      </w:r>
      <w:r>
        <w:fldChar w:fldCharType="separate"/>
      </w:r>
      <w:r w:rsidRPr="00F84510">
        <w:rPr>
          <w:noProof/>
        </w:rPr>
        <w:t>[13]</w:t>
      </w:r>
      <w:r>
        <w:fldChar w:fldCharType="end"/>
      </w:r>
      <w:r>
        <w:t>. The peak at 2923 cm</w:t>
      </w:r>
      <w:r>
        <w:rPr>
          <w:vertAlign w:val="superscript"/>
        </w:rPr>
        <w:t>-1</w:t>
      </w:r>
      <w:r>
        <w:t xml:space="preserve"> in Figure S</w:t>
      </w:r>
      <w:r w:rsidR="00370BCC">
        <w:t>8</w:t>
      </w:r>
      <w:r>
        <w:t>(a) and S</w:t>
      </w:r>
      <w:r w:rsidR="00370BCC">
        <w:t>8</w:t>
      </w:r>
      <w:r>
        <w:t xml:space="preserve">(b) are associated to vibration obtained from CH groups </w:t>
      </w:r>
      <w:r>
        <w:fldChar w:fldCharType="begin" w:fldLock="1"/>
      </w:r>
      <w:r w:rsidR="0057536F">
        <w:instrText>ADDIN CSL_CITATION {"citationItems":[{"id":"ITEM-1","itemData":{"DOI":"10.1155/2022/3181963","ISSN":"16878078","abstract":"A multiscale investigation including computational chemistry calculations and experimental studies was performed to elucidate and understand the methylene blue (MB) adsorption on polyaniline (PANI) from an aqueous solution. Static DFT and DFT-based ab initio molecular dynamics were used to characterize the intermolecular interactions of this dye molecule with nondoped and doped PANI. Experimental adsorption studies at different operating conditions were performed to complement the mechanism analysis of this adsorption system. Infrared spectroscopy studies and ab initio calculations showed the important role of π-π stacking and van der Waals interactions for the dye adsorption on PANI. Experimental results of MB adsorption on the PANI surface indicated that alkaline conditions were more favorable than acidic conditions where the MB adsorption capacity ranged from 9.91 mg/g at pH 1.8 to 23.16 mg/g at pH 10.9. Equilibrium adsorption studies with nondoped PANI revealed a fast removal of the dye molecules where the equilibrium adsorption was reached after 45 minutes. The kinetic parameters were calculated with the pseudo-second and pseudo-first order models, while the adsorption mechanism was analyzed using the intraparticle diffusion, Boyd, and Elovich models. Dye adsorption equilibrium was studied at pH 8 and 30 °C where Temkin, Freundlich, Langmuir, and Dubinin-Radushkevich (D-R) isotherm models as well as a statistical physics monolayer model were employed in data analysis. The saturation dye adsorption capacity was 40.2 mg/g where an inclined adsorption orientation of dye molecules on the PANI surface could be expected with an adsorption energy of 14.0 kJ/mol. This interaction energy clearly indicated that only physical interactions were involved in the MB dye adsorption mechanism, which was also confirmed by the calculations with the D-R isotherm model. These theoretical and experimental results are important to understand the dye adsorption properties of conductive polymers and to consolidate their application in the synthesis of new adsorbents and composites for water treatment.","author":[{"dropping-particle":"","family":"Djellali","given":"Souad","non-dropping-particle":"","parse-names":false,"suffix":""},{"dropping-particle":"","family":"Touati","given":"Amani","non-dropping-particle":"","parse-names":false,"suffix":""},{"dropping-particle":"","family":"Semmeq","given":"Abderrahmane","non-dropping-particle":"","parse-names":false,"suffix":""},{"dropping-particle":"","family":"Kebaili","given":"Maya","non-dropping-particle":"","parse-names":false,"suffix":""},{"dropping-particle":"","family":"Badawi","given":"Michael","non-dropping-particle":"","parse-names":false,"suffix":""},{"dropping-particle":"","family":"Bonilla-Petriciolet","given":"Adrián","non-dropping-particle":"","parse-names":false,"suffix":""}],"container-title":"International Journal of Chemical Engineering","editor":[{"dropping-particle":"","family":"Ponnusamy","given":"Senthil Kumar","non-dropping-particle":"","parse-names":false,"suffix":""}],"id":"ITEM-1","issued":{"date-parts":[["2022","9","28"]]},"page":"1-18","title":"Unravelling the Methylene Blue Adsorption Mechanism on Doped and Nondoped Polyaniline: A Combined Molecular Modeling and Experimental Investigation","type":"article-journal","volume":"2022"},"uris":["http://www.mendeley.com/documents/?uuid=e542716d-a2ac-4ea7-a215-63d6e4d60d1f"]}],"mendeley":{"formattedCitation":"[14]","plainTextFormattedCitation":"[14]","previouslyFormattedCitation":"[14]"},"properties":{"noteIndex":0},"schema":"https://github.com/citation-style-language/schema/raw/master/csl-citation.json"}</w:instrText>
      </w:r>
      <w:r>
        <w:fldChar w:fldCharType="separate"/>
      </w:r>
      <w:r w:rsidRPr="00F84510">
        <w:rPr>
          <w:noProof/>
        </w:rPr>
        <w:t>[14]</w:t>
      </w:r>
      <w:r>
        <w:fldChar w:fldCharType="end"/>
      </w:r>
      <w:r>
        <w:t xml:space="preserve">. In Figure </w:t>
      </w:r>
      <w:r w:rsidR="00370BCC">
        <w:t>8</w:t>
      </w:r>
      <w:r>
        <w:t>(a), peak at 1537 cm</w:t>
      </w:r>
      <w:r>
        <w:rPr>
          <w:vertAlign w:val="superscript"/>
        </w:rPr>
        <w:t>-1</w:t>
      </w:r>
      <w:r>
        <w:t xml:space="preserve"> and in Figure S</w:t>
      </w:r>
      <w:r w:rsidR="00370BCC">
        <w:t>8</w:t>
      </w:r>
      <w:r>
        <w:t>(b), peak at 1533 cm</w:t>
      </w:r>
      <w:r>
        <w:rPr>
          <w:vertAlign w:val="superscript"/>
        </w:rPr>
        <w:t>-1</w:t>
      </w:r>
      <w:r>
        <w:t xml:space="preserve"> is associated to C=C and C=N vibrations of methylene blue </w:t>
      </w:r>
      <w:r>
        <w:fldChar w:fldCharType="begin" w:fldLock="1"/>
      </w:r>
      <w:r w:rsidR="0057536F">
        <w:instrText>ADDIN CSL_CITATION {"citationItems":[{"id":"ITEM-1","itemData":{"DOI":"10.1515/rput-2017-0012","ISSN":"1338-0532","abstract":"The degradation of the environment which is due to the discharge of polluting wastewater from industrial sources poses a real problem in several countries. Textile industries use large volumes of water in their operations, discharging thus large volume of wastewater into the environment, most of which is untreated. The wastewater contains a variety of chemicals from various stages of process operations, including desizing, scouring, bleaching and dyeing. The main purpose of this paper is to introduce Infrared Spectrometry with Fourier transformation as a non-destructive method for study, identifation and rapid determination of selected representatives of cationic (Methylene Blue), azo (Congo Red, Eriochrome Black T) and nitroso (Naphthol Green B) dyes. In conjunction with the ATR technique, FTIR offers a reliable detection method of dyes without extraction by other dangerous substances.Spectral interpretation of dye spectra revealed valuable information about the identification and characterization of each group of dyes.","author":[{"dropping-particle":"","family":"Bartošová","given":"Alica","non-dropping-particle":"","parse-names":false,"suffix":""},{"dropping-particle":"","family":"Blinová","given":"Lenka","non-dropping-particle":"","parse-names":false,"suffix":""},{"dropping-particle":"","family":"Sirotiak","given":"Maroš","non-dropping-particle":"","parse-names":false,"suffix":""},{"dropping-particle":"","family":"Michalíková","given":"Anna","non-dropping-particle":"","parse-names":false,"suffix":""}],"container-title":"Research Papers Faculty of Materials Science and Technology Slovak University of Technology","id":"ITEM-1","issue":"40","issued":{"date-parts":[["2017","6","1"]]},"page":"103-111","title":"Usage of FTIR-ATR as Non-Destructive Analysis of Selected Toxic Dyes","type":"article-journal","volume":"25"},"uris":["http://www.mendeley.com/documents/?uuid=228156ad-23a4-49a9-9170-6bc9c06cd31e"]}],"mendeley":{"formattedCitation":"[15]","plainTextFormattedCitation":"[15]","previouslyFormattedCitation":"[15]"},"properties":{"noteIndex":0},"schema":"https://github.com/citation-style-language/schema/raw/master/csl-citation.json"}</w:instrText>
      </w:r>
      <w:r>
        <w:fldChar w:fldCharType="separate"/>
      </w:r>
      <w:r w:rsidRPr="00F84510">
        <w:rPr>
          <w:noProof/>
        </w:rPr>
        <w:t>[15]</w:t>
      </w:r>
      <w:r>
        <w:fldChar w:fldCharType="end"/>
      </w:r>
      <w:r>
        <w:t>. In Figure S</w:t>
      </w:r>
      <w:r w:rsidR="00370BCC">
        <w:t>8</w:t>
      </w:r>
      <w:r>
        <w:t>(a), the slight broadness of peak 3338 cm</w:t>
      </w:r>
      <w:r>
        <w:rPr>
          <w:vertAlign w:val="superscript"/>
        </w:rPr>
        <w:t>-1</w:t>
      </w:r>
      <w:r>
        <w:t xml:space="preserve"> suggests that OH vibrations or water molecules have ameliorated, which substantiates that slight degradation has occurred and water ions have generated. </w:t>
      </w:r>
    </w:p>
    <w:p w14:paraId="4BF4D37C" w14:textId="77777777" w:rsidR="00370BCC" w:rsidRPr="00520FB1" w:rsidRDefault="00370BCC" w:rsidP="00F84510">
      <w:pPr>
        <w:jc w:val="both"/>
      </w:pPr>
    </w:p>
    <w:p w14:paraId="11F49A8B" w14:textId="5E6734AB" w:rsidR="00B4044A" w:rsidRPr="00F84510" w:rsidRDefault="00F84510" w:rsidP="00F84510">
      <w:pPr>
        <w:pStyle w:val="Heading2"/>
      </w:pPr>
      <w:r w:rsidRPr="00F84510">
        <w:lastRenderedPageBreak/>
        <w:t>MO Dye</w:t>
      </w:r>
    </w:p>
    <w:p w14:paraId="46F71637" w14:textId="77777777" w:rsidR="00A902FA" w:rsidRDefault="00A902FA" w:rsidP="00A902FA">
      <w:bookmarkStart w:id="3" w:name="_Hlk185575048"/>
    </w:p>
    <w:bookmarkEnd w:id="3"/>
    <w:p w14:paraId="3D0CEDE3" w14:textId="77777777" w:rsidR="003D34C7" w:rsidRDefault="003D34C7" w:rsidP="003D34C7">
      <w:r>
        <w:rPr>
          <w:noProof/>
        </w:rPr>
        <w:drawing>
          <wp:inline distT="0" distB="0" distL="0" distR="0" wp14:anchorId="39C2A495" wp14:editId="7B30BC92">
            <wp:extent cx="5731510" cy="3547745"/>
            <wp:effectExtent l="0" t="0" r="2540" b="0"/>
            <wp:docPr id="30590662" name="Picture 6" descr="A collage of different types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0662" name="Picture 6" descr="A collage of different types of graph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547745"/>
                    </a:xfrm>
                    <a:prstGeom prst="rect">
                      <a:avLst/>
                    </a:prstGeom>
                    <a:noFill/>
                    <a:ln>
                      <a:noFill/>
                    </a:ln>
                  </pic:spPr>
                </pic:pic>
              </a:graphicData>
            </a:graphic>
          </wp:inline>
        </w:drawing>
      </w:r>
    </w:p>
    <w:p w14:paraId="340EE060" w14:textId="7FD855BF" w:rsidR="003D34C7" w:rsidRDefault="003D34C7" w:rsidP="00F84510">
      <w:bookmarkStart w:id="4" w:name="_Hlk185577409"/>
      <w:r w:rsidRPr="00A902FA">
        <w:rPr>
          <w:b/>
          <w:bCs/>
        </w:rPr>
        <w:t>Fig. S</w:t>
      </w:r>
      <w:r w:rsidR="001C4814">
        <w:rPr>
          <w:b/>
          <w:bCs/>
        </w:rPr>
        <w:t>9</w:t>
      </w:r>
      <w:r>
        <w:t xml:space="preserve"> Absorption spectra for (a) Blank MO (b) rGO (c) S@rGO-1 (d) S@rGO-2 (e) S@rGO-3 (f) S@rGO-4. </w:t>
      </w:r>
    </w:p>
    <w:bookmarkEnd w:id="4"/>
    <w:p w14:paraId="11B3EA37" w14:textId="635769FB" w:rsidR="003D34C7" w:rsidRDefault="001C4814" w:rsidP="003D34C7">
      <w:pPr>
        <w:jc w:val="both"/>
      </w:pPr>
      <w:r>
        <w:rPr>
          <w:noProof/>
        </w:rPr>
        <w:drawing>
          <wp:inline distT="0" distB="0" distL="0" distR="0" wp14:anchorId="2B89A8D6" wp14:editId="28B87F90">
            <wp:extent cx="5731510" cy="1506855"/>
            <wp:effectExtent l="0" t="0" r="2540" b="0"/>
            <wp:docPr id="1939033801" name="Picture 8" descr="A graph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033801" name="Picture 8" descr="A graph of a number of number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1506855"/>
                    </a:xfrm>
                    <a:prstGeom prst="rect">
                      <a:avLst/>
                    </a:prstGeom>
                    <a:noFill/>
                    <a:ln>
                      <a:noFill/>
                    </a:ln>
                  </pic:spPr>
                </pic:pic>
              </a:graphicData>
            </a:graphic>
          </wp:inline>
        </w:drawing>
      </w:r>
    </w:p>
    <w:p w14:paraId="2786A90D" w14:textId="0A62252D" w:rsidR="001C4814" w:rsidRPr="00AE0DC6" w:rsidRDefault="001C4814" w:rsidP="003D34C7">
      <w:pPr>
        <w:jc w:val="both"/>
      </w:pPr>
      <w:r w:rsidRPr="001C4814">
        <w:rPr>
          <w:b/>
          <w:bCs/>
        </w:rPr>
        <w:t>Fig. S10</w:t>
      </w:r>
      <w:r w:rsidR="00AE0DC6">
        <w:rPr>
          <w:b/>
          <w:bCs/>
        </w:rPr>
        <w:t xml:space="preserve"> </w:t>
      </w:r>
      <w:r w:rsidR="00AE0DC6" w:rsidRPr="00AE0DC6">
        <w:rPr>
          <w:b/>
          <w:bCs/>
        </w:rPr>
        <w:t>(</w:t>
      </w:r>
      <w:r w:rsidR="00AE0DC6">
        <w:rPr>
          <w:b/>
          <w:bCs/>
        </w:rPr>
        <w:t>a</w:t>
      </w:r>
      <w:r w:rsidR="00AE0DC6" w:rsidRPr="00AE0DC6">
        <w:rPr>
          <w:b/>
          <w:bCs/>
        </w:rPr>
        <w:t xml:space="preserve">) </w:t>
      </w:r>
      <w:r w:rsidR="00AE0DC6" w:rsidRPr="00AE0DC6">
        <w:t>Concentration vs. Irradiation time (min) plot (</w:t>
      </w:r>
      <w:r w:rsidR="00AE0DC6">
        <w:t>b</w:t>
      </w:r>
      <w:r w:rsidR="00AE0DC6" w:rsidRPr="00AE0DC6">
        <w:t>) ln(Co/ C) vs. Irradiation time (min) plot (</w:t>
      </w:r>
      <w:r w:rsidR="00AE0DC6">
        <w:t>c</w:t>
      </w:r>
      <w:r w:rsidR="00370BCC">
        <w:t>)</w:t>
      </w:r>
      <w:r w:rsidR="00AE0DC6" w:rsidRPr="00AE0DC6">
        <w:t xml:space="preserve"> (1/C) vs. Irradiation time (min) plot</w:t>
      </w:r>
    </w:p>
    <w:p w14:paraId="3E2CEA17" w14:textId="77777777" w:rsidR="003D34C7" w:rsidRDefault="003D34C7" w:rsidP="003D34C7">
      <w:r>
        <w:rPr>
          <w:noProof/>
        </w:rPr>
        <w:lastRenderedPageBreak/>
        <w:drawing>
          <wp:inline distT="0" distB="0" distL="0" distR="0" wp14:anchorId="48CDE2AE" wp14:editId="1D7E1A29">
            <wp:extent cx="4562475" cy="3300288"/>
            <wp:effectExtent l="0" t="0" r="0" b="0"/>
            <wp:docPr id="1079092994" name="Picture 10" descr="A graph of a number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92994" name="Picture 10" descr="A graph of a number of different colored lines&#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64294" cy="3301604"/>
                    </a:xfrm>
                    <a:prstGeom prst="rect">
                      <a:avLst/>
                    </a:prstGeom>
                    <a:noFill/>
                    <a:ln>
                      <a:noFill/>
                    </a:ln>
                  </pic:spPr>
                </pic:pic>
              </a:graphicData>
            </a:graphic>
          </wp:inline>
        </w:drawing>
      </w:r>
    </w:p>
    <w:p w14:paraId="5C1D5157" w14:textId="0D98D5C6" w:rsidR="003D34C7" w:rsidRDefault="003D34C7" w:rsidP="00F84510">
      <w:bookmarkStart w:id="5" w:name="_Hlk185577546"/>
      <w:r w:rsidRPr="00A902FA">
        <w:rPr>
          <w:b/>
          <w:bCs/>
        </w:rPr>
        <w:t>Fig. S</w:t>
      </w:r>
      <w:r w:rsidR="001C4814">
        <w:rPr>
          <w:b/>
          <w:bCs/>
        </w:rPr>
        <w:t>11</w:t>
      </w:r>
      <w:r>
        <w:t xml:space="preserve"> FT-IR spectra of methyl orange solution before and after photodegradation using S@rGO-2 catalyst at 0 min, 50 min and 80 min.</w:t>
      </w:r>
    </w:p>
    <w:p w14:paraId="44344F00" w14:textId="7A19EA78" w:rsidR="00F3677A" w:rsidRPr="00F3677A" w:rsidRDefault="00F3677A" w:rsidP="00F3677A">
      <w:r w:rsidRPr="009A3E39">
        <w:rPr>
          <w:noProof/>
          <w:color w:val="0D0D0D" w:themeColor="text1" w:themeTint="F2"/>
        </w:rPr>
        <w:t xml:space="preserve">Methyl orange solution catalyzed using </w:t>
      </w:r>
      <w:r w:rsidRPr="009A3E39">
        <w:rPr>
          <w:color w:val="0D0D0D" w:themeColor="text1" w:themeTint="F2"/>
        </w:rPr>
        <w:t>S@rGO-2 catalyst depicts minimal changes in FT-IR spectra, unveiling that degradation is very less (Fig. S</w:t>
      </w:r>
      <w:r w:rsidR="00370BCC">
        <w:rPr>
          <w:color w:val="0D0D0D" w:themeColor="text1" w:themeTint="F2"/>
        </w:rPr>
        <w:t>11</w:t>
      </w:r>
      <w:r w:rsidRPr="009A3E39">
        <w:rPr>
          <w:noProof/>
          <w:color w:val="0D0D0D" w:themeColor="text1" w:themeTint="F2"/>
        </w:rPr>
        <w:t>, Supplementary file</w:t>
      </w:r>
      <w:r w:rsidRPr="009A3E39">
        <w:rPr>
          <w:color w:val="0D0D0D" w:themeColor="text1" w:themeTint="F2"/>
        </w:rPr>
        <w:t>).</w:t>
      </w:r>
    </w:p>
    <w:p w14:paraId="6BC66067" w14:textId="65882522" w:rsidR="003D34C7" w:rsidRDefault="003D34C7" w:rsidP="00F84510">
      <w:pPr>
        <w:rPr>
          <w:noProof/>
        </w:rPr>
      </w:pPr>
      <w:bookmarkStart w:id="6" w:name="_Hlk185577604"/>
      <w:bookmarkEnd w:id="5"/>
      <w:r w:rsidRPr="00A902FA">
        <w:rPr>
          <w:b/>
          <w:bCs/>
          <w:noProof/>
        </w:rPr>
        <w:t>Table S</w:t>
      </w:r>
      <w:r w:rsidR="001C4814">
        <w:rPr>
          <w:b/>
          <w:bCs/>
          <w:noProof/>
        </w:rPr>
        <w:t>7</w:t>
      </w:r>
      <w:r>
        <w:rPr>
          <w:noProof/>
        </w:rPr>
        <w:t xml:space="preserve"> </w:t>
      </w:r>
      <w:r w:rsidRPr="0033617F">
        <w:rPr>
          <w:noProof/>
        </w:rPr>
        <w:t>The values of the pseudo-zero, pseudo - first and pseudo -second-order rate constants, half-lives and the corresponding correlation coefficients for the photocatalytic degradation of M</w:t>
      </w:r>
      <w:r>
        <w:rPr>
          <w:noProof/>
        </w:rPr>
        <w:t>O.</w:t>
      </w:r>
    </w:p>
    <w:bookmarkEnd w:id="6"/>
    <w:p w14:paraId="346D3B8A" w14:textId="77777777" w:rsidR="003D34C7" w:rsidRDefault="003D34C7" w:rsidP="003D34C7"/>
    <w:tbl>
      <w:tblPr>
        <w:tblW w:w="11660" w:type="dxa"/>
        <w:tblInd w:w="-1286" w:type="dxa"/>
        <w:tblLayout w:type="fixed"/>
        <w:tblLook w:val="04A0" w:firstRow="1" w:lastRow="0" w:firstColumn="1" w:lastColumn="0" w:noHBand="0" w:noVBand="1"/>
      </w:tblPr>
      <w:tblGrid>
        <w:gridCol w:w="429"/>
        <w:gridCol w:w="1414"/>
        <w:gridCol w:w="1021"/>
        <w:gridCol w:w="1145"/>
        <w:gridCol w:w="999"/>
        <w:gridCol w:w="1026"/>
        <w:gridCol w:w="1006"/>
        <w:gridCol w:w="1040"/>
        <w:gridCol w:w="1145"/>
        <w:gridCol w:w="1145"/>
        <w:gridCol w:w="1290"/>
      </w:tblGrid>
      <w:tr w:rsidR="003D34C7" w:rsidRPr="005F043F" w14:paraId="7B123A1A" w14:textId="77777777" w:rsidTr="00D25FF2">
        <w:trPr>
          <w:trHeight w:val="249"/>
        </w:trPr>
        <w:tc>
          <w:tcPr>
            <w:tcW w:w="429" w:type="dxa"/>
            <w:vMerge w:val="restart"/>
            <w:tcBorders>
              <w:top w:val="single" w:sz="8" w:space="0" w:color="auto"/>
              <w:left w:val="single" w:sz="8" w:space="0" w:color="auto"/>
              <w:bottom w:val="single" w:sz="8" w:space="0" w:color="000000"/>
              <w:right w:val="single" w:sz="8" w:space="0" w:color="auto"/>
            </w:tcBorders>
            <w:vAlign w:val="center"/>
            <w:hideMark/>
          </w:tcPr>
          <w:p w14:paraId="5D91FB2B" w14:textId="77777777" w:rsidR="003D34C7" w:rsidRPr="005F043F" w:rsidRDefault="003D34C7" w:rsidP="00D25FF2">
            <w:pPr>
              <w:spacing w:after="0" w:line="240" w:lineRule="auto"/>
              <w:jc w:val="both"/>
              <w:rPr>
                <w:rFonts w:eastAsia="Times New Roman"/>
                <w:szCs w:val="24"/>
                <w:lang w:eastAsia="en-IN"/>
              </w:rPr>
            </w:pPr>
            <w:bookmarkStart w:id="7" w:name="_Hlk185577627"/>
            <w:bookmarkStart w:id="8" w:name="_Hlk185577778"/>
            <w:r w:rsidRPr="005F043F">
              <w:rPr>
                <w:rFonts w:eastAsia="Times New Roman"/>
                <w:szCs w:val="24"/>
                <w:lang w:val="en-GB" w:eastAsia="en-IN"/>
              </w:rPr>
              <w:t>Sr. No.</w:t>
            </w:r>
          </w:p>
        </w:tc>
        <w:tc>
          <w:tcPr>
            <w:tcW w:w="1414" w:type="dxa"/>
            <w:vMerge w:val="restart"/>
            <w:tcBorders>
              <w:top w:val="single" w:sz="8" w:space="0" w:color="auto"/>
              <w:left w:val="single" w:sz="8" w:space="0" w:color="auto"/>
              <w:bottom w:val="single" w:sz="8" w:space="0" w:color="000000"/>
              <w:right w:val="single" w:sz="4" w:space="0" w:color="auto"/>
            </w:tcBorders>
            <w:vAlign w:val="center"/>
            <w:hideMark/>
          </w:tcPr>
          <w:p w14:paraId="445D78E3"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Sample Name</w:t>
            </w:r>
          </w:p>
        </w:tc>
        <w:tc>
          <w:tcPr>
            <w:tcW w:w="1021" w:type="dxa"/>
            <w:vMerge w:val="restart"/>
            <w:tcBorders>
              <w:top w:val="single" w:sz="8" w:space="0" w:color="auto"/>
              <w:left w:val="single" w:sz="4" w:space="0" w:color="auto"/>
              <w:bottom w:val="single" w:sz="8" w:space="0" w:color="000000"/>
              <w:right w:val="single" w:sz="8" w:space="0" w:color="auto"/>
            </w:tcBorders>
            <w:vAlign w:val="center"/>
            <w:hideMark/>
          </w:tcPr>
          <w:p w14:paraId="50F37541" w14:textId="77777777" w:rsidR="003D34C7" w:rsidRPr="00CF62A4"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Rate constant (</w:t>
            </w:r>
            <w:r>
              <w:rPr>
                <w:rFonts w:eastAsia="Times New Roman"/>
                <w:szCs w:val="24"/>
                <w:lang w:val="en-GB" w:eastAsia="en-IN"/>
              </w:rPr>
              <w:t>k</w:t>
            </w:r>
            <w:r w:rsidRPr="005F043F">
              <w:rPr>
                <w:rFonts w:eastAsia="Times New Roman"/>
                <w:szCs w:val="24"/>
                <w:vertAlign w:val="subscript"/>
                <w:lang w:val="en-GB" w:eastAsia="en-IN"/>
              </w:rPr>
              <w:t>0</w:t>
            </w:r>
            <w:r w:rsidRPr="005F043F">
              <w:rPr>
                <w:rFonts w:eastAsia="Times New Roman"/>
                <w:szCs w:val="24"/>
                <w:lang w:val="en-GB" w:eastAsia="en-IN"/>
              </w:rPr>
              <w:t>)</w:t>
            </w:r>
            <w:r>
              <w:rPr>
                <w:rFonts w:eastAsia="Times New Roman"/>
                <w:szCs w:val="24"/>
                <w:lang w:val="en-GB" w:eastAsia="en-IN"/>
              </w:rPr>
              <w:t xml:space="preserve"> (M min</w:t>
            </w:r>
            <w:r>
              <w:rPr>
                <w:rFonts w:eastAsia="Times New Roman"/>
                <w:szCs w:val="24"/>
                <w:vertAlign w:val="superscript"/>
                <w:lang w:val="en-GB" w:eastAsia="en-IN"/>
              </w:rPr>
              <w:t>-1</w:t>
            </w:r>
            <w:r>
              <w:rPr>
                <w:rFonts w:eastAsia="Times New Roman"/>
                <w:szCs w:val="24"/>
                <w:lang w:val="en-GB" w:eastAsia="en-IN"/>
              </w:rPr>
              <w:t>)</w:t>
            </w:r>
          </w:p>
        </w:tc>
        <w:tc>
          <w:tcPr>
            <w:tcW w:w="1145" w:type="dxa"/>
            <w:vMerge w:val="restart"/>
            <w:tcBorders>
              <w:top w:val="single" w:sz="8" w:space="0" w:color="auto"/>
              <w:left w:val="single" w:sz="8" w:space="0" w:color="auto"/>
              <w:bottom w:val="single" w:sz="8" w:space="0" w:color="000000"/>
              <w:right w:val="single" w:sz="8" w:space="0" w:color="auto"/>
            </w:tcBorders>
            <w:vAlign w:val="center"/>
            <w:hideMark/>
          </w:tcPr>
          <w:p w14:paraId="26E621D2"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R</w:t>
            </w:r>
            <w:r w:rsidRPr="005F043F">
              <w:rPr>
                <w:rFonts w:eastAsia="Times New Roman"/>
                <w:szCs w:val="24"/>
                <w:vertAlign w:val="superscript"/>
                <w:lang w:val="en-GB" w:eastAsia="en-IN"/>
              </w:rPr>
              <w:t xml:space="preserve">2 </w:t>
            </w:r>
          </w:p>
        </w:tc>
        <w:tc>
          <w:tcPr>
            <w:tcW w:w="999" w:type="dxa"/>
            <w:tcBorders>
              <w:top w:val="single" w:sz="8" w:space="0" w:color="auto"/>
              <w:left w:val="nil"/>
              <w:bottom w:val="nil"/>
              <w:right w:val="single" w:sz="8" w:space="0" w:color="auto"/>
            </w:tcBorders>
            <w:vAlign w:val="center"/>
            <w:hideMark/>
          </w:tcPr>
          <w:p w14:paraId="65AC3BA5"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 xml:space="preserve">Half </w:t>
            </w:r>
          </w:p>
        </w:tc>
        <w:tc>
          <w:tcPr>
            <w:tcW w:w="1026" w:type="dxa"/>
            <w:vMerge w:val="restart"/>
            <w:tcBorders>
              <w:top w:val="single" w:sz="8" w:space="0" w:color="auto"/>
              <w:left w:val="single" w:sz="8" w:space="0" w:color="auto"/>
              <w:bottom w:val="single" w:sz="8" w:space="0" w:color="000000"/>
              <w:right w:val="single" w:sz="8" w:space="0" w:color="auto"/>
            </w:tcBorders>
            <w:vAlign w:val="center"/>
            <w:hideMark/>
          </w:tcPr>
          <w:p w14:paraId="1B79184A" w14:textId="77777777" w:rsidR="003D34C7" w:rsidRPr="00CF62A4"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Rate constant (</w:t>
            </w:r>
            <w:r>
              <w:rPr>
                <w:rFonts w:eastAsia="Times New Roman"/>
                <w:szCs w:val="24"/>
                <w:lang w:val="en-GB" w:eastAsia="en-IN"/>
              </w:rPr>
              <w:t>k</w:t>
            </w:r>
            <w:r w:rsidRPr="005F043F">
              <w:rPr>
                <w:rFonts w:eastAsia="Times New Roman"/>
                <w:szCs w:val="24"/>
                <w:vertAlign w:val="subscript"/>
                <w:lang w:val="en-GB" w:eastAsia="en-IN"/>
              </w:rPr>
              <w:t>1</w:t>
            </w:r>
            <w:r w:rsidRPr="005F043F">
              <w:rPr>
                <w:rFonts w:eastAsia="Times New Roman"/>
                <w:szCs w:val="24"/>
                <w:lang w:val="en-GB" w:eastAsia="en-IN"/>
              </w:rPr>
              <w:t>)</w:t>
            </w:r>
            <w:r>
              <w:rPr>
                <w:rFonts w:eastAsia="Times New Roman"/>
                <w:szCs w:val="24"/>
                <w:lang w:val="en-GB" w:eastAsia="en-IN"/>
              </w:rPr>
              <w:t xml:space="preserve"> (min</w:t>
            </w:r>
            <w:r>
              <w:rPr>
                <w:rFonts w:eastAsia="Times New Roman"/>
                <w:szCs w:val="24"/>
                <w:vertAlign w:val="superscript"/>
                <w:lang w:val="en-GB" w:eastAsia="en-IN"/>
              </w:rPr>
              <w:t>-1</w:t>
            </w:r>
            <w:r>
              <w:rPr>
                <w:rFonts w:eastAsia="Times New Roman"/>
                <w:szCs w:val="24"/>
                <w:lang w:val="en-GB" w:eastAsia="en-IN"/>
              </w:rPr>
              <w:t>)</w:t>
            </w:r>
          </w:p>
        </w:tc>
        <w:tc>
          <w:tcPr>
            <w:tcW w:w="1006" w:type="dxa"/>
            <w:vMerge w:val="restart"/>
            <w:tcBorders>
              <w:top w:val="single" w:sz="8" w:space="0" w:color="auto"/>
              <w:left w:val="single" w:sz="8" w:space="0" w:color="auto"/>
              <w:bottom w:val="single" w:sz="8" w:space="0" w:color="000000"/>
              <w:right w:val="single" w:sz="8" w:space="0" w:color="auto"/>
            </w:tcBorders>
            <w:vAlign w:val="center"/>
            <w:hideMark/>
          </w:tcPr>
          <w:p w14:paraId="0FA57F37"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R</w:t>
            </w:r>
            <w:r w:rsidRPr="005F043F">
              <w:rPr>
                <w:rFonts w:eastAsia="Times New Roman"/>
                <w:szCs w:val="24"/>
                <w:vertAlign w:val="superscript"/>
                <w:lang w:val="en-GB" w:eastAsia="en-IN"/>
              </w:rPr>
              <w:t>2</w:t>
            </w:r>
          </w:p>
        </w:tc>
        <w:tc>
          <w:tcPr>
            <w:tcW w:w="1040" w:type="dxa"/>
            <w:tcBorders>
              <w:top w:val="single" w:sz="8" w:space="0" w:color="auto"/>
              <w:left w:val="nil"/>
              <w:bottom w:val="nil"/>
              <w:right w:val="single" w:sz="8" w:space="0" w:color="auto"/>
            </w:tcBorders>
            <w:vAlign w:val="center"/>
            <w:hideMark/>
          </w:tcPr>
          <w:p w14:paraId="5B0E1A86"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Half</w:t>
            </w:r>
          </w:p>
        </w:tc>
        <w:tc>
          <w:tcPr>
            <w:tcW w:w="1145" w:type="dxa"/>
            <w:vMerge w:val="restart"/>
            <w:tcBorders>
              <w:top w:val="single" w:sz="8" w:space="0" w:color="auto"/>
              <w:left w:val="single" w:sz="8" w:space="0" w:color="auto"/>
              <w:bottom w:val="single" w:sz="8" w:space="0" w:color="000000"/>
              <w:right w:val="single" w:sz="8" w:space="0" w:color="auto"/>
            </w:tcBorders>
            <w:vAlign w:val="center"/>
            <w:hideMark/>
          </w:tcPr>
          <w:p w14:paraId="471C73B3" w14:textId="77777777" w:rsidR="003D34C7" w:rsidRPr="00CF62A4"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Rate constant (K</w:t>
            </w:r>
            <w:r w:rsidRPr="005F043F">
              <w:rPr>
                <w:rFonts w:eastAsia="Times New Roman"/>
                <w:szCs w:val="24"/>
                <w:vertAlign w:val="subscript"/>
                <w:lang w:val="en-GB" w:eastAsia="en-IN"/>
              </w:rPr>
              <w:t>2</w:t>
            </w:r>
            <w:r w:rsidRPr="005F043F">
              <w:rPr>
                <w:rFonts w:eastAsia="Times New Roman"/>
                <w:szCs w:val="24"/>
                <w:lang w:val="en-GB" w:eastAsia="en-IN"/>
              </w:rPr>
              <w:t>)</w:t>
            </w:r>
            <w:r>
              <w:rPr>
                <w:rFonts w:eastAsia="Times New Roman"/>
                <w:szCs w:val="24"/>
                <w:lang w:val="en-GB" w:eastAsia="en-IN"/>
              </w:rPr>
              <w:t xml:space="preserve"> (M</w:t>
            </w:r>
            <w:r>
              <w:rPr>
                <w:rFonts w:eastAsia="Times New Roman"/>
                <w:szCs w:val="24"/>
                <w:vertAlign w:val="superscript"/>
                <w:lang w:val="en-GB" w:eastAsia="en-IN"/>
              </w:rPr>
              <w:t>-1</w:t>
            </w:r>
            <w:r>
              <w:rPr>
                <w:rFonts w:eastAsia="Times New Roman"/>
                <w:szCs w:val="24"/>
                <w:lang w:val="en-GB" w:eastAsia="en-IN"/>
              </w:rPr>
              <w:t xml:space="preserve"> min</w:t>
            </w:r>
            <w:r>
              <w:rPr>
                <w:rFonts w:eastAsia="Times New Roman"/>
                <w:szCs w:val="24"/>
                <w:vertAlign w:val="superscript"/>
                <w:lang w:val="en-GB" w:eastAsia="en-IN"/>
              </w:rPr>
              <w:t>-1</w:t>
            </w:r>
            <w:r>
              <w:rPr>
                <w:rFonts w:eastAsia="Times New Roman"/>
                <w:szCs w:val="24"/>
                <w:lang w:val="en-GB" w:eastAsia="en-IN"/>
              </w:rPr>
              <w:t>)</w:t>
            </w:r>
          </w:p>
        </w:tc>
        <w:tc>
          <w:tcPr>
            <w:tcW w:w="1145" w:type="dxa"/>
            <w:vMerge w:val="restart"/>
            <w:tcBorders>
              <w:top w:val="single" w:sz="8" w:space="0" w:color="auto"/>
              <w:left w:val="single" w:sz="8" w:space="0" w:color="auto"/>
              <w:bottom w:val="single" w:sz="8" w:space="0" w:color="000000"/>
              <w:right w:val="single" w:sz="8" w:space="0" w:color="auto"/>
            </w:tcBorders>
            <w:vAlign w:val="center"/>
            <w:hideMark/>
          </w:tcPr>
          <w:p w14:paraId="298F7EE2"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R</w:t>
            </w:r>
            <w:r w:rsidRPr="005F043F">
              <w:rPr>
                <w:rFonts w:eastAsia="Times New Roman"/>
                <w:szCs w:val="24"/>
                <w:vertAlign w:val="superscript"/>
                <w:lang w:val="en-GB" w:eastAsia="en-IN"/>
              </w:rPr>
              <w:t>2</w:t>
            </w:r>
          </w:p>
        </w:tc>
        <w:tc>
          <w:tcPr>
            <w:tcW w:w="1290" w:type="dxa"/>
            <w:tcBorders>
              <w:top w:val="single" w:sz="8" w:space="0" w:color="auto"/>
              <w:left w:val="nil"/>
              <w:bottom w:val="nil"/>
              <w:right w:val="single" w:sz="8" w:space="0" w:color="auto"/>
            </w:tcBorders>
            <w:vAlign w:val="center"/>
            <w:hideMark/>
          </w:tcPr>
          <w:p w14:paraId="01036A50"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Half</w:t>
            </w:r>
          </w:p>
        </w:tc>
      </w:tr>
      <w:tr w:rsidR="003D34C7" w:rsidRPr="005F043F" w14:paraId="63BCEDD0" w14:textId="77777777" w:rsidTr="00D25FF2">
        <w:trPr>
          <w:trHeight w:val="332"/>
        </w:trPr>
        <w:tc>
          <w:tcPr>
            <w:tcW w:w="429" w:type="dxa"/>
            <w:vMerge/>
            <w:tcBorders>
              <w:top w:val="single" w:sz="8" w:space="0" w:color="auto"/>
              <w:left w:val="single" w:sz="8" w:space="0" w:color="auto"/>
              <w:bottom w:val="single" w:sz="8" w:space="0" w:color="000000"/>
              <w:right w:val="single" w:sz="8" w:space="0" w:color="auto"/>
            </w:tcBorders>
            <w:vAlign w:val="center"/>
            <w:hideMark/>
          </w:tcPr>
          <w:p w14:paraId="054BFCBF" w14:textId="77777777" w:rsidR="003D34C7" w:rsidRPr="005F043F" w:rsidRDefault="003D34C7" w:rsidP="00D25FF2">
            <w:pPr>
              <w:spacing w:after="0" w:line="240" w:lineRule="auto"/>
              <w:rPr>
                <w:rFonts w:eastAsia="Times New Roman"/>
                <w:szCs w:val="24"/>
                <w:lang w:eastAsia="en-IN"/>
              </w:rPr>
            </w:pPr>
          </w:p>
        </w:tc>
        <w:tc>
          <w:tcPr>
            <w:tcW w:w="1414" w:type="dxa"/>
            <w:vMerge/>
            <w:tcBorders>
              <w:top w:val="single" w:sz="8" w:space="0" w:color="auto"/>
              <w:left w:val="single" w:sz="8" w:space="0" w:color="auto"/>
              <w:bottom w:val="single" w:sz="8" w:space="0" w:color="000000"/>
              <w:right w:val="single" w:sz="4" w:space="0" w:color="auto"/>
            </w:tcBorders>
            <w:vAlign w:val="center"/>
            <w:hideMark/>
          </w:tcPr>
          <w:p w14:paraId="4F2BEFCC" w14:textId="77777777" w:rsidR="003D34C7" w:rsidRPr="005F043F" w:rsidRDefault="003D34C7" w:rsidP="00D25FF2">
            <w:pPr>
              <w:spacing w:after="0" w:line="240" w:lineRule="auto"/>
              <w:rPr>
                <w:rFonts w:eastAsia="Times New Roman"/>
                <w:szCs w:val="24"/>
                <w:lang w:eastAsia="en-IN"/>
              </w:rPr>
            </w:pPr>
          </w:p>
        </w:tc>
        <w:tc>
          <w:tcPr>
            <w:tcW w:w="1021" w:type="dxa"/>
            <w:vMerge/>
            <w:tcBorders>
              <w:top w:val="single" w:sz="8" w:space="0" w:color="auto"/>
              <w:left w:val="single" w:sz="4" w:space="0" w:color="auto"/>
              <w:bottom w:val="single" w:sz="8" w:space="0" w:color="000000"/>
              <w:right w:val="single" w:sz="8" w:space="0" w:color="auto"/>
            </w:tcBorders>
            <w:vAlign w:val="center"/>
            <w:hideMark/>
          </w:tcPr>
          <w:p w14:paraId="639B38BA" w14:textId="77777777" w:rsidR="003D34C7" w:rsidRPr="005F043F" w:rsidRDefault="003D34C7" w:rsidP="00D25FF2">
            <w:pPr>
              <w:spacing w:after="0" w:line="240" w:lineRule="auto"/>
              <w:rPr>
                <w:rFonts w:eastAsia="Times New Roman"/>
                <w:szCs w:val="24"/>
                <w:lang w:eastAsia="en-IN"/>
              </w:rPr>
            </w:pPr>
          </w:p>
        </w:tc>
        <w:tc>
          <w:tcPr>
            <w:tcW w:w="1145" w:type="dxa"/>
            <w:vMerge/>
            <w:tcBorders>
              <w:top w:val="single" w:sz="8" w:space="0" w:color="auto"/>
              <w:left w:val="single" w:sz="8" w:space="0" w:color="auto"/>
              <w:bottom w:val="single" w:sz="8" w:space="0" w:color="000000"/>
              <w:right w:val="single" w:sz="8" w:space="0" w:color="auto"/>
            </w:tcBorders>
            <w:vAlign w:val="center"/>
            <w:hideMark/>
          </w:tcPr>
          <w:p w14:paraId="54DC2CAF" w14:textId="77777777" w:rsidR="003D34C7" w:rsidRPr="005F043F" w:rsidRDefault="003D34C7" w:rsidP="00D25FF2">
            <w:pPr>
              <w:spacing w:after="0" w:line="240" w:lineRule="auto"/>
              <w:rPr>
                <w:rFonts w:eastAsia="Times New Roman"/>
                <w:szCs w:val="24"/>
                <w:lang w:eastAsia="en-IN"/>
              </w:rPr>
            </w:pPr>
          </w:p>
        </w:tc>
        <w:tc>
          <w:tcPr>
            <w:tcW w:w="999" w:type="dxa"/>
            <w:tcBorders>
              <w:top w:val="nil"/>
              <w:left w:val="nil"/>
              <w:bottom w:val="nil"/>
              <w:right w:val="single" w:sz="8" w:space="0" w:color="auto"/>
            </w:tcBorders>
            <w:vAlign w:val="center"/>
            <w:hideMark/>
          </w:tcPr>
          <w:p w14:paraId="1DAB0BBF"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Life (C</w:t>
            </w:r>
            <w:r w:rsidRPr="005F043F">
              <w:rPr>
                <w:rFonts w:eastAsia="Times New Roman"/>
                <w:szCs w:val="24"/>
                <w:vertAlign w:val="subscript"/>
                <w:lang w:val="en-GB" w:eastAsia="en-IN"/>
              </w:rPr>
              <w:t>o</w:t>
            </w:r>
            <w:r w:rsidRPr="005F043F">
              <w:rPr>
                <w:rFonts w:eastAsia="Times New Roman"/>
                <w:szCs w:val="24"/>
                <w:lang w:val="en-GB" w:eastAsia="en-IN"/>
              </w:rPr>
              <w:t>/2</w:t>
            </w:r>
            <w:r>
              <w:rPr>
                <w:rFonts w:eastAsia="Times New Roman"/>
                <w:szCs w:val="24"/>
                <w:lang w:val="en-GB" w:eastAsia="en-IN"/>
              </w:rPr>
              <w:t>k</w:t>
            </w:r>
            <w:r w:rsidRPr="005F043F">
              <w:rPr>
                <w:rFonts w:eastAsia="Times New Roman"/>
                <w:szCs w:val="24"/>
                <w:vertAlign w:val="subscript"/>
                <w:lang w:val="en-GB" w:eastAsia="en-IN"/>
              </w:rPr>
              <w:t>0</w:t>
            </w:r>
            <w:r w:rsidRPr="005F043F">
              <w:rPr>
                <w:rFonts w:eastAsia="Times New Roman"/>
                <w:szCs w:val="24"/>
                <w:lang w:val="en-GB" w:eastAsia="en-IN"/>
              </w:rPr>
              <w:t>)</w:t>
            </w:r>
          </w:p>
        </w:tc>
        <w:tc>
          <w:tcPr>
            <w:tcW w:w="1026" w:type="dxa"/>
            <w:vMerge/>
            <w:tcBorders>
              <w:top w:val="single" w:sz="8" w:space="0" w:color="auto"/>
              <w:left w:val="single" w:sz="8" w:space="0" w:color="auto"/>
              <w:bottom w:val="single" w:sz="8" w:space="0" w:color="000000"/>
              <w:right w:val="single" w:sz="8" w:space="0" w:color="auto"/>
            </w:tcBorders>
            <w:vAlign w:val="center"/>
            <w:hideMark/>
          </w:tcPr>
          <w:p w14:paraId="45EE4D84" w14:textId="77777777" w:rsidR="003D34C7" w:rsidRPr="005F043F" w:rsidRDefault="003D34C7" w:rsidP="00D25FF2">
            <w:pPr>
              <w:spacing w:after="0" w:line="240" w:lineRule="auto"/>
              <w:rPr>
                <w:rFonts w:eastAsia="Times New Roman"/>
                <w:szCs w:val="24"/>
                <w:lang w:eastAsia="en-IN"/>
              </w:rPr>
            </w:pPr>
          </w:p>
        </w:tc>
        <w:tc>
          <w:tcPr>
            <w:tcW w:w="1006" w:type="dxa"/>
            <w:vMerge/>
            <w:tcBorders>
              <w:top w:val="single" w:sz="8" w:space="0" w:color="auto"/>
              <w:left w:val="single" w:sz="8" w:space="0" w:color="auto"/>
              <w:bottom w:val="single" w:sz="8" w:space="0" w:color="000000"/>
              <w:right w:val="single" w:sz="8" w:space="0" w:color="auto"/>
            </w:tcBorders>
            <w:vAlign w:val="center"/>
            <w:hideMark/>
          </w:tcPr>
          <w:p w14:paraId="6220A475" w14:textId="77777777" w:rsidR="003D34C7" w:rsidRPr="005F043F" w:rsidRDefault="003D34C7" w:rsidP="00D25FF2">
            <w:pPr>
              <w:spacing w:after="0" w:line="240" w:lineRule="auto"/>
              <w:rPr>
                <w:rFonts w:eastAsia="Times New Roman"/>
                <w:szCs w:val="24"/>
                <w:lang w:eastAsia="en-IN"/>
              </w:rPr>
            </w:pPr>
          </w:p>
        </w:tc>
        <w:tc>
          <w:tcPr>
            <w:tcW w:w="1040" w:type="dxa"/>
            <w:tcBorders>
              <w:top w:val="nil"/>
              <w:left w:val="nil"/>
              <w:bottom w:val="nil"/>
              <w:right w:val="single" w:sz="8" w:space="0" w:color="auto"/>
            </w:tcBorders>
            <w:vAlign w:val="center"/>
            <w:hideMark/>
          </w:tcPr>
          <w:p w14:paraId="1951FEBD"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Life</w:t>
            </w:r>
          </w:p>
        </w:tc>
        <w:tc>
          <w:tcPr>
            <w:tcW w:w="1145" w:type="dxa"/>
            <w:vMerge/>
            <w:tcBorders>
              <w:top w:val="single" w:sz="8" w:space="0" w:color="auto"/>
              <w:left w:val="single" w:sz="8" w:space="0" w:color="auto"/>
              <w:bottom w:val="single" w:sz="8" w:space="0" w:color="000000"/>
              <w:right w:val="single" w:sz="8" w:space="0" w:color="auto"/>
            </w:tcBorders>
            <w:vAlign w:val="center"/>
            <w:hideMark/>
          </w:tcPr>
          <w:p w14:paraId="79A65127" w14:textId="77777777" w:rsidR="003D34C7" w:rsidRPr="005F043F" w:rsidRDefault="003D34C7" w:rsidP="00D25FF2">
            <w:pPr>
              <w:spacing w:after="0" w:line="240" w:lineRule="auto"/>
              <w:rPr>
                <w:rFonts w:eastAsia="Times New Roman"/>
                <w:szCs w:val="24"/>
                <w:lang w:eastAsia="en-IN"/>
              </w:rPr>
            </w:pPr>
          </w:p>
        </w:tc>
        <w:tc>
          <w:tcPr>
            <w:tcW w:w="1145" w:type="dxa"/>
            <w:vMerge/>
            <w:tcBorders>
              <w:top w:val="single" w:sz="8" w:space="0" w:color="auto"/>
              <w:left w:val="single" w:sz="8" w:space="0" w:color="auto"/>
              <w:bottom w:val="single" w:sz="8" w:space="0" w:color="000000"/>
              <w:right w:val="single" w:sz="8" w:space="0" w:color="auto"/>
            </w:tcBorders>
            <w:vAlign w:val="center"/>
            <w:hideMark/>
          </w:tcPr>
          <w:p w14:paraId="7C8443B8" w14:textId="77777777" w:rsidR="003D34C7" w:rsidRPr="005F043F" w:rsidRDefault="003D34C7" w:rsidP="00D25FF2">
            <w:pPr>
              <w:spacing w:after="0" w:line="240" w:lineRule="auto"/>
              <w:rPr>
                <w:rFonts w:eastAsia="Times New Roman"/>
                <w:szCs w:val="24"/>
                <w:lang w:eastAsia="en-IN"/>
              </w:rPr>
            </w:pPr>
          </w:p>
        </w:tc>
        <w:tc>
          <w:tcPr>
            <w:tcW w:w="1290" w:type="dxa"/>
            <w:tcBorders>
              <w:top w:val="nil"/>
              <w:left w:val="nil"/>
              <w:bottom w:val="nil"/>
              <w:right w:val="single" w:sz="8" w:space="0" w:color="auto"/>
            </w:tcBorders>
            <w:vAlign w:val="center"/>
            <w:hideMark/>
          </w:tcPr>
          <w:p w14:paraId="7926E21A"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Life</w:t>
            </w:r>
          </w:p>
        </w:tc>
      </w:tr>
      <w:tr w:rsidR="003D34C7" w:rsidRPr="005F043F" w14:paraId="1459ED8D" w14:textId="77777777" w:rsidTr="00D25FF2">
        <w:trPr>
          <w:trHeight w:val="545"/>
        </w:trPr>
        <w:tc>
          <w:tcPr>
            <w:tcW w:w="429" w:type="dxa"/>
            <w:vMerge/>
            <w:tcBorders>
              <w:top w:val="single" w:sz="8" w:space="0" w:color="auto"/>
              <w:left w:val="single" w:sz="8" w:space="0" w:color="auto"/>
              <w:bottom w:val="single" w:sz="8" w:space="0" w:color="000000"/>
              <w:right w:val="single" w:sz="8" w:space="0" w:color="auto"/>
            </w:tcBorders>
            <w:vAlign w:val="center"/>
            <w:hideMark/>
          </w:tcPr>
          <w:p w14:paraId="61FC33D4" w14:textId="77777777" w:rsidR="003D34C7" w:rsidRPr="005F043F" w:rsidRDefault="003D34C7" w:rsidP="00D25FF2">
            <w:pPr>
              <w:spacing w:after="0" w:line="240" w:lineRule="auto"/>
              <w:rPr>
                <w:rFonts w:eastAsia="Times New Roman"/>
                <w:szCs w:val="24"/>
                <w:lang w:eastAsia="en-IN"/>
              </w:rPr>
            </w:pPr>
          </w:p>
        </w:tc>
        <w:tc>
          <w:tcPr>
            <w:tcW w:w="1414" w:type="dxa"/>
            <w:vMerge/>
            <w:tcBorders>
              <w:top w:val="single" w:sz="8" w:space="0" w:color="auto"/>
              <w:left w:val="single" w:sz="8" w:space="0" w:color="auto"/>
              <w:bottom w:val="single" w:sz="8" w:space="0" w:color="000000"/>
              <w:right w:val="single" w:sz="4" w:space="0" w:color="auto"/>
            </w:tcBorders>
            <w:vAlign w:val="center"/>
            <w:hideMark/>
          </w:tcPr>
          <w:p w14:paraId="235D421B" w14:textId="77777777" w:rsidR="003D34C7" w:rsidRPr="005F043F" w:rsidRDefault="003D34C7" w:rsidP="00D25FF2">
            <w:pPr>
              <w:spacing w:after="0" w:line="240" w:lineRule="auto"/>
              <w:rPr>
                <w:rFonts w:eastAsia="Times New Roman"/>
                <w:szCs w:val="24"/>
                <w:lang w:eastAsia="en-IN"/>
              </w:rPr>
            </w:pPr>
          </w:p>
        </w:tc>
        <w:tc>
          <w:tcPr>
            <w:tcW w:w="1021" w:type="dxa"/>
            <w:vMerge/>
            <w:tcBorders>
              <w:top w:val="single" w:sz="8" w:space="0" w:color="auto"/>
              <w:left w:val="single" w:sz="4" w:space="0" w:color="auto"/>
              <w:bottom w:val="single" w:sz="8" w:space="0" w:color="000000"/>
              <w:right w:val="single" w:sz="8" w:space="0" w:color="auto"/>
            </w:tcBorders>
            <w:vAlign w:val="center"/>
            <w:hideMark/>
          </w:tcPr>
          <w:p w14:paraId="4BBDC379" w14:textId="77777777" w:rsidR="003D34C7" w:rsidRPr="005F043F" w:rsidRDefault="003D34C7" w:rsidP="00D25FF2">
            <w:pPr>
              <w:spacing w:after="0" w:line="240" w:lineRule="auto"/>
              <w:rPr>
                <w:rFonts w:eastAsia="Times New Roman"/>
                <w:szCs w:val="24"/>
                <w:lang w:eastAsia="en-IN"/>
              </w:rPr>
            </w:pPr>
          </w:p>
        </w:tc>
        <w:tc>
          <w:tcPr>
            <w:tcW w:w="1145" w:type="dxa"/>
            <w:vMerge/>
            <w:tcBorders>
              <w:top w:val="single" w:sz="8" w:space="0" w:color="auto"/>
              <w:left w:val="single" w:sz="8" w:space="0" w:color="auto"/>
              <w:bottom w:val="single" w:sz="8" w:space="0" w:color="000000"/>
              <w:right w:val="single" w:sz="8" w:space="0" w:color="auto"/>
            </w:tcBorders>
            <w:vAlign w:val="center"/>
            <w:hideMark/>
          </w:tcPr>
          <w:p w14:paraId="4A00E59A" w14:textId="77777777" w:rsidR="003D34C7" w:rsidRPr="005F043F" w:rsidRDefault="003D34C7" w:rsidP="00D25FF2">
            <w:pPr>
              <w:spacing w:after="0" w:line="240" w:lineRule="auto"/>
              <w:rPr>
                <w:rFonts w:eastAsia="Times New Roman"/>
                <w:szCs w:val="24"/>
                <w:lang w:eastAsia="en-IN"/>
              </w:rPr>
            </w:pPr>
          </w:p>
        </w:tc>
        <w:tc>
          <w:tcPr>
            <w:tcW w:w="999" w:type="dxa"/>
            <w:tcBorders>
              <w:top w:val="nil"/>
              <w:left w:val="nil"/>
              <w:bottom w:val="nil"/>
              <w:right w:val="single" w:sz="8" w:space="0" w:color="auto"/>
            </w:tcBorders>
            <w:hideMark/>
          </w:tcPr>
          <w:p w14:paraId="1F752D53" w14:textId="77777777" w:rsidR="003D34C7" w:rsidRPr="005F043F" w:rsidRDefault="003D34C7" w:rsidP="00D25FF2">
            <w:pPr>
              <w:spacing w:after="0" w:line="240" w:lineRule="auto"/>
              <w:rPr>
                <w:rFonts w:eastAsia="Times New Roman"/>
                <w:szCs w:val="24"/>
                <w:lang w:eastAsia="en-IN"/>
              </w:rPr>
            </w:pPr>
            <w:r w:rsidRPr="005F043F">
              <w:rPr>
                <w:rFonts w:eastAsia="Times New Roman"/>
                <w:szCs w:val="24"/>
                <w:lang w:eastAsia="en-IN"/>
              </w:rPr>
              <w:t> (min)</w:t>
            </w:r>
          </w:p>
        </w:tc>
        <w:tc>
          <w:tcPr>
            <w:tcW w:w="1026" w:type="dxa"/>
            <w:vMerge/>
            <w:tcBorders>
              <w:top w:val="single" w:sz="8" w:space="0" w:color="auto"/>
              <w:left w:val="single" w:sz="8" w:space="0" w:color="auto"/>
              <w:bottom w:val="single" w:sz="8" w:space="0" w:color="000000"/>
              <w:right w:val="single" w:sz="8" w:space="0" w:color="auto"/>
            </w:tcBorders>
            <w:vAlign w:val="center"/>
            <w:hideMark/>
          </w:tcPr>
          <w:p w14:paraId="6D587D9A" w14:textId="77777777" w:rsidR="003D34C7" w:rsidRPr="005F043F" w:rsidRDefault="003D34C7" w:rsidP="00D25FF2">
            <w:pPr>
              <w:spacing w:after="0" w:line="240" w:lineRule="auto"/>
              <w:rPr>
                <w:rFonts w:eastAsia="Times New Roman"/>
                <w:szCs w:val="24"/>
                <w:lang w:eastAsia="en-IN"/>
              </w:rPr>
            </w:pPr>
          </w:p>
        </w:tc>
        <w:tc>
          <w:tcPr>
            <w:tcW w:w="1006" w:type="dxa"/>
            <w:vMerge/>
            <w:tcBorders>
              <w:top w:val="single" w:sz="8" w:space="0" w:color="auto"/>
              <w:left w:val="single" w:sz="8" w:space="0" w:color="auto"/>
              <w:bottom w:val="single" w:sz="8" w:space="0" w:color="000000"/>
              <w:right w:val="single" w:sz="8" w:space="0" w:color="auto"/>
            </w:tcBorders>
            <w:vAlign w:val="center"/>
            <w:hideMark/>
          </w:tcPr>
          <w:p w14:paraId="76D75C7A" w14:textId="77777777" w:rsidR="003D34C7" w:rsidRPr="005F043F" w:rsidRDefault="003D34C7" w:rsidP="00D25FF2">
            <w:pPr>
              <w:spacing w:after="0" w:line="240" w:lineRule="auto"/>
              <w:rPr>
                <w:rFonts w:eastAsia="Times New Roman"/>
                <w:szCs w:val="24"/>
                <w:lang w:eastAsia="en-IN"/>
              </w:rPr>
            </w:pPr>
          </w:p>
        </w:tc>
        <w:tc>
          <w:tcPr>
            <w:tcW w:w="1040" w:type="dxa"/>
            <w:tcBorders>
              <w:top w:val="nil"/>
              <w:left w:val="nil"/>
              <w:bottom w:val="nil"/>
              <w:right w:val="single" w:sz="8" w:space="0" w:color="auto"/>
            </w:tcBorders>
            <w:vAlign w:val="center"/>
            <w:hideMark/>
          </w:tcPr>
          <w:p w14:paraId="3F03A4F0"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(0.693/</w:t>
            </w:r>
            <w:r>
              <w:rPr>
                <w:rFonts w:eastAsia="Times New Roman"/>
                <w:szCs w:val="24"/>
                <w:lang w:val="en-GB" w:eastAsia="en-IN"/>
              </w:rPr>
              <w:t>k</w:t>
            </w:r>
            <w:r w:rsidRPr="005F043F">
              <w:rPr>
                <w:rFonts w:eastAsia="Times New Roman"/>
                <w:szCs w:val="24"/>
                <w:vertAlign w:val="subscript"/>
                <w:lang w:val="en-GB" w:eastAsia="en-IN"/>
              </w:rPr>
              <w:t>1</w:t>
            </w:r>
            <w:r w:rsidRPr="005F043F">
              <w:rPr>
                <w:rFonts w:eastAsia="Times New Roman"/>
                <w:szCs w:val="24"/>
                <w:lang w:val="en-GB" w:eastAsia="en-IN"/>
              </w:rPr>
              <w:t xml:space="preserve">) </w:t>
            </w:r>
            <w:r w:rsidRPr="005F043F">
              <w:rPr>
                <w:rFonts w:eastAsia="Times New Roman"/>
                <w:szCs w:val="24"/>
                <w:lang w:eastAsia="en-IN"/>
              </w:rPr>
              <w:t> ( min)</w:t>
            </w:r>
          </w:p>
        </w:tc>
        <w:tc>
          <w:tcPr>
            <w:tcW w:w="1145" w:type="dxa"/>
            <w:vMerge/>
            <w:tcBorders>
              <w:top w:val="single" w:sz="8" w:space="0" w:color="auto"/>
              <w:left w:val="single" w:sz="8" w:space="0" w:color="auto"/>
              <w:bottom w:val="single" w:sz="8" w:space="0" w:color="000000"/>
              <w:right w:val="single" w:sz="8" w:space="0" w:color="auto"/>
            </w:tcBorders>
            <w:vAlign w:val="center"/>
            <w:hideMark/>
          </w:tcPr>
          <w:p w14:paraId="09DB6554" w14:textId="77777777" w:rsidR="003D34C7" w:rsidRPr="005F043F" w:rsidRDefault="003D34C7" w:rsidP="00D25FF2">
            <w:pPr>
              <w:spacing w:after="0" w:line="240" w:lineRule="auto"/>
              <w:rPr>
                <w:rFonts w:eastAsia="Times New Roman"/>
                <w:szCs w:val="24"/>
                <w:lang w:eastAsia="en-IN"/>
              </w:rPr>
            </w:pPr>
          </w:p>
        </w:tc>
        <w:tc>
          <w:tcPr>
            <w:tcW w:w="1145" w:type="dxa"/>
            <w:vMerge/>
            <w:tcBorders>
              <w:top w:val="single" w:sz="8" w:space="0" w:color="auto"/>
              <w:left w:val="single" w:sz="8" w:space="0" w:color="auto"/>
              <w:bottom w:val="single" w:sz="8" w:space="0" w:color="000000"/>
              <w:right w:val="single" w:sz="8" w:space="0" w:color="auto"/>
            </w:tcBorders>
            <w:vAlign w:val="center"/>
            <w:hideMark/>
          </w:tcPr>
          <w:p w14:paraId="40CB0EB3" w14:textId="77777777" w:rsidR="003D34C7" w:rsidRPr="005F043F" w:rsidRDefault="003D34C7" w:rsidP="00D25FF2">
            <w:pPr>
              <w:spacing w:after="0" w:line="240" w:lineRule="auto"/>
              <w:rPr>
                <w:rFonts w:eastAsia="Times New Roman"/>
                <w:szCs w:val="24"/>
                <w:lang w:eastAsia="en-IN"/>
              </w:rPr>
            </w:pPr>
          </w:p>
        </w:tc>
        <w:tc>
          <w:tcPr>
            <w:tcW w:w="1290" w:type="dxa"/>
            <w:tcBorders>
              <w:top w:val="nil"/>
              <w:left w:val="nil"/>
              <w:bottom w:val="nil"/>
              <w:right w:val="single" w:sz="8" w:space="0" w:color="auto"/>
            </w:tcBorders>
            <w:vAlign w:val="center"/>
            <w:hideMark/>
          </w:tcPr>
          <w:p w14:paraId="48FFB1EF"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(1/</w:t>
            </w:r>
            <w:r>
              <w:rPr>
                <w:rFonts w:eastAsia="Times New Roman"/>
                <w:szCs w:val="24"/>
                <w:lang w:val="en-GB" w:eastAsia="en-IN"/>
              </w:rPr>
              <w:t>k</w:t>
            </w:r>
            <w:r w:rsidRPr="005F043F">
              <w:rPr>
                <w:rFonts w:eastAsia="Times New Roman"/>
                <w:szCs w:val="24"/>
                <w:vertAlign w:val="subscript"/>
                <w:lang w:val="en-GB" w:eastAsia="en-IN"/>
              </w:rPr>
              <w:t>2</w:t>
            </w:r>
            <w:r w:rsidRPr="005F043F">
              <w:rPr>
                <w:rFonts w:eastAsia="Times New Roman"/>
                <w:szCs w:val="24"/>
                <w:lang w:val="en-GB" w:eastAsia="en-IN"/>
              </w:rPr>
              <w:t>C</w:t>
            </w:r>
            <w:r w:rsidRPr="005F043F">
              <w:rPr>
                <w:rFonts w:eastAsia="Times New Roman"/>
                <w:szCs w:val="24"/>
                <w:vertAlign w:val="subscript"/>
                <w:lang w:val="en-GB" w:eastAsia="en-IN"/>
              </w:rPr>
              <w:t>o</w:t>
            </w:r>
            <w:r w:rsidRPr="005F043F">
              <w:rPr>
                <w:rFonts w:eastAsia="Times New Roman"/>
                <w:szCs w:val="24"/>
                <w:lang w:val="en-GB" w:eastAsia="en-IN"/>
              </w:rPr>
              <w:t>)</w:t>
            </w:r>
            <w:r w:rsidRPr="005F043F">
              <w:rPr>
                <w:rFonts w:eastAsia="Times New Roman"/>
                <w:szCs w:val="24"/>
                <w:lang w:eastAsia="en-IN"/>
              </w:rPr>
              <w:t xml:space="preserve">  (min)</w:t>
            </w:r>
          </w:p>
        </w:tc>
      </w:tr>
      <w:tr w:rsidR="003D34C7" w:rsidRPr="005F043F" w14:paraId="415451E4" w14:textId="77777777" w:rsidTr="00D25FF2">
        <w:trPr>
          <w:trHeight w:val="47"/>
        </w:trPr>
        <w:tc>
          <w:tcPr>
            <w:tcW w:w="429" w:type="dxa"/>
            <w:vMerge/>
            <w:tcBorders>
              <w:top w:val="single" w:sz="8" w:space="0" w:color="auto"/>
              <w:left w:val="single" w:sz="8" w:space="0" w:color="auto"/>
              <w:bottom w:val="single" w:sz="8" w:space="0" w:color="000000"/>
              <w:right w:val="single" w:sz="8" w:space="0" w:color="auto"/>
            </w:tcBorders>
            <w:vAlign w:val="center"/>
            <w:hideMark/>
          </w:tcPr>
          <w:p w14:paraId="58FAF7E3" w14:textId="77777777" w:rsidR="003D34C7" w:rsidRPr="005F043F" w:rsidRDefault="003D34C7" w:rsidP="00D25FF2">
            <w:pPr>
              <w:spacing w:after="0" w:line="240" w:lineRule="auto"/>
              <w:rPr>
                <w:rFonts w:eastAsia="Times New Roman"/>
                <w:szCs w:val="24"/>
                <w:lang w:eastAsia="en-IN"/>
              </w:rPr>
            </w:pPr>
          </w:p>
        </w:tc>
        <w:tc>
          <w:tcPr>
            <w:tcW w:w="1414" w:type="dxa"/>
            <w:vMerge/>
            <w:tcBorders>
              <w:top w:val="single" w:sz="8" w:space="0" w:color="auto"/>
              <w:left w:val="single" w:sz="8" w:space="0" w:color="auto"/>
              <w:bottom w:val="single" w:sz="8" w:space="0" w:color="000000"/>
              <w:right w:val="single" w:sz="4" w:space="0" w:color="auto"/>
            </w:tcBorders>
            <w:vAlign w:val="center"/>
            <w:hideMark/>
          </w:tcPr>
          <w:p w14:paraId="2F04AC1D" w14:textId="77777777" w:rsidR="003D34C7" w:rsidRPr="005F043F" w:rsidRDefault="003D34C7" w:rsidP="00D25FF2">
            <w:pPr>
              <w:spacing w:after="0" w:line="240" w:lineRule="auto"/>
              <w:rPr>
                <w:rFonts w:eastAsia="Times New Roman"/>
                <w:szCs w:val="24"/>
                <w:lang w:eastAsia="en-IN"/>
              </w:rPr>
            </w:pPr>
          </w:p>
        </w:tc>
        <w:tc>
          <w:tcPr>
            <w:tcW w:w="1021" w:type="dxa"/>
            <w:vMerge/>
            <w:tcBorders>
              <w:top w:val="single" w:sz="8" w:space="0" w:color="auto"/>
              <w:left w:val="single" w:sz="4" w:space="0" w:color="auto"/>
              <w:bottom w:val="single" w:sz="8" w:space="0" w:color="000000"/>
              <w:right w:val="single" w:sz="8" w:space="0" w:color="auto"/>
            </w:tcBorders>
            <w:vAlign w:val="center"/>
            <w:hideMark/>
          </w:tcPr>
          <w:p w14:paraId="614B968C" w14:textId="77777777" w:rsidR="003D34C7" w:rsidRPr="005F043F" w:rsidRDefault="003D34C7" w:rsidP="00D25FF2">
            <w:pPr>
              <w:spacing w:after="0" w:line="240" w:lineRule="auto"/>
              <w:rPr>
                <w:rFonts w:eastAsia="Times New Roman"/>
                <w:szCs w:val="24"/>
                <w:lang w:eastAsia="en-IN"/>
              </w:rPr>
            </w:pPr>
          </w:p>
        </w:tc>
        <w:tc>
          <w:tcPr>
            <w:tcW w:w="1145" w:type="dxa"/>
            <w:vMerge/>
            <w:tcBorders>
              <w:top w:val="single" w:sz="8" w:space="0" w:color="auto"/>
              <w:left w:val="single" w:sz="8" w:space="0" w:color="auto"/>
              <w:bottom w:val="single" w:sz="8" w:space="0" w:color="000000"/>
              <w:right w:val="single" w:sz="8" w:space="0" w:color="auto"/>
            </w:tcBorders>
            <w:vAlign w:val="center"/>
            <w:hideMark/>
          </w:tcPr>
          <w:p w14:paraId="2BDB53AD" w14:textId="77777777" w:rsidR="003D34C7" w:rsidRPr="005F043F" w:rsidRDefault="003D34C7" w:rsidP="00D25FF2">
            <w:pPr>
              <w:spacing w:after="0" w:line="240" w:lineRule="auto"/>
              <w:rPr>
                <w:rFonts w:eastAsia="Times New Roman"/>
                <w:szCs w:val="24"/>
                <w:lang w:eastAsia="en-IN"/>
              </w:rPr>
            </w:pPr>
          </w:p>
        </w:tc>
        <w:tc>
          <w:tcPr>
            <w:tcW w:w="999" w:type="dxa"/>
            <w:tcBorders>
              <w:top w:val="nil"/>
              <w:left w:val="nil"/>
              <w:bottom w:val="single" w:sz="8" w:space="0" w:color="auto"/>
              <w:right w:val="single" w:sz="8" w:space="0" w:color="auto"/>
            </w:tcBorders>
            <w:hideMark/>
          </w:tcPr>
          <w:p w14:paraId="1825CD05" w14:textId="77777777" w:rsidR="003D34C7" w:rsidRPr="005F043F" w:rsidRDefault="003D34C7" w:rsidP="00D25FF2">
            <w:pPr>
              <w:spacing w:after="0" w:line="240" w:lineRule="auto"/>
              <w:rPr>
                <w:rFonts w:ascii="Calibri" w:eastAsia="Times New Roman" w:hAnsi="Calibri" w:cs="Calibri"/>
                <w:sz w:val="22"/>
                <w:lang w:eastAsia="en-IN"/>
              </w:rPr>
            </w:pPr>
            <w:r w:rsidRPr="005F043F">
              <w:rPr>
                <w:rFonts w:ascii="Calibri" w:eastAsia="Times New Roman" w:hAnsi="Calibri" w:cs="Calibri"/>
                <w:sz w:val="22"/>
                <w:lang w:eastAsia="en-IN"/>
              </w:rPr>
              <w:t> </w:t>
            </w:r>
          </w:p>
        </w:tc>
        <w:tc>
          <w:tcPr>
            <w:tcW w:w="1026" w:type="dxa"/>
            <w:vMerge/>
            <w:tcBorders>
              <w:top w:val="single" w:sz="8" w:space="0" w:color="auto"/>
              <w:left w:val="single" w:sz="8" w:space="0" w:color="auto"/>
              <w:bottom w:val="single" w:sz="8" w:space="0" w:color="000000"/>
              <w:right w:val="single" w:sz="8" w:space="0" w:color="auto"/>
            </w:tcBorders>
            <w:vAlign w:val="center"/>
            <w:hideMark/>
          </w:tcPr>
          <w:p w14:paraId="7D3702FE" w14:textId="77777777" w:rsidR="003D34C7" w:rsidRPr="005F043F" w:rsidRDefault="003D34C7" w:rsidP="00D25FF2">
            <w:pPr>
              <w:spacing w:after="0" w:line="240" w:lineRule="auto"/>
              <w:rPr>
                <w:rFonts w:eastAsia="Times New Roman"/>
                <w:szCs w:val="24"/>
                <w:lang w:eastAsia="en-IN"/>
              </w:rPr>
            </w:pPr>
          </w:p>
        </w:tc>
        <w:tc>
          <w:tcPr>
            <w:tcW w:w="1006" w:type="dxa"/>
            <w:vMerge/>
            <w:tcBorders>
              <w:top w:val="single" w:sz="8" w:space="0" w:color="auto"/>
              <w:left w:val="single" w:sz="8" w:space="0" w:color="auto"/>
              <w:bottom w:val="single" w:sz="8" w:space="0" w:color="000000"/>
              <w:right w:val="single" w:sz="8" w:space="0" w:color="auto"/>
            </w:tcBorders>
            <w:vAlign w:val="center"/>
            <w:hideMark/>
          </w:tcPr>
          <w:p w14:paraId="427AC3BB" w14:textId="77777777" w:rsidR="003D34C7" w:rsidRPr="005F043F" w:rsidRDefault="003D34C7" w:rsidP="00D25FF2">
            <w:pPr>
              <w:spacing w:after="0" w:line="240" w:lineRule="auto"/>
              <w:rPr>
                <w:rFonts w:eastAsia="Times New Roman"/>
                <w:szCs w:val="24"/>
                <w:lang w:eastAsia="en-IN"/>
              </w:rPr>
            </w:pPr>
          </w:p>
        </w:tc>
        <w:tc>
          <w:tcPr>
            <w:tcW w:w="1040" w:type="dxa"/>
            <w:tcBorders>
              <w:top w:val="nil"/>
              <w:left w:val="nil"/>
              <w:bottom w:val="single" w:sz="8" w:space="0" w:color="auto"/>
              <w:right w:val="single" w:sz="8" w:space="0" w:color="auto"/>
            </w:tcBorders>
            <w:vAlign w:val="center"/>
            <w:hideMark/>
          </w:tcPr>
          <w:p w14:paraId="7AB3C7B4"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 </w:t>
            </w:r>
          </w:p>
        </w:tc>
        <w:tc>
          <w:tcPr>
            <w:tcW w:w="1145" w:type="dxa"/>
            <w:vMerge/>
            <w:tcBorders>
              <w:top w:val="single" w:sz="8" w:space="0" w:color="auto"/>
              <w:left w:val="single" w:sz="8" w:space="0" w:color="auto"/>
              <w:bottom w:val="single" w:sz="8" w:space="0" w:color="000000"/>
              <w:right w:val="single" w:sz="8" w:space="0" w:color="auto"/>
            </w:tcBorders>
            <w:vAlign w:val="center"/>
            <w:hideMark/>
          </w:tcPr>
          <w:p w14:paraId="5E013E5F" w14:textId="77777777" w:rsidR="003D34C7" w:rsidRPr="005F043F" w:rsidRDefault="003D34C7" w:rsidP="00D25FF2">
            <w:pPr>
              <w:spacing w:after="0" w:line="240" w:lineRule="auto"/>
              <w:rPr>
                <w:rFonts w:eastAsia="Times New Roman"/>
                <w:szCs w:val="24"/>
                <w:lang w:eastAsia="en-IN"/>
              </w:rPr>
            </w:pPr>
          </w:p>
        </w:tc>
        <w:tc>
          <w:tcPr>
            <w:tcW w:w="1145" w:type="dxa"/>
            <w:vMerge/>
            <w:tcBorders>
              <w:top w:val="single" w:sz="8" w:space="0" w:color="auto"/>
              <w:left w:val="single" w:sz="8" w:space="0" w:color="auto"/>
              <w:bottom w:val="single" w:sz="8" w:space="0" w:color="000000"/>
              <w:right w:val="single" w:sz="8" w:space="0" w:color="auto"/>
            </w:tcBorders>
            <w:vAlign w:val="center"/>
            <w:hideMark/>
          </w:tcPr>
          <w:p w14:paraId="70C2B79F" w14:textId="77777777" w:rsidR="003D34C7" w:rsidRPr="005F043F" w:rsidRDefault="003D34C7" w:rsidP="00D25FF2">
            <w:pPr>
              <w:spacing w:after="0" w:line="240" w:lineRule="auto"/>
              <w:rPr>
                <w:rFonts w:eastAsia="Times New Roman"/>
                <w:szCs w:val="24"/>
                <w:lang w:eastAsia="en-IN"/>
              </w:rPr>
            </w:pPr>
          </w:p>
        </w:tc>
        <w:tc>
          <w:tcPr>
            <w:tcW w:w="1290" w:type="dxa"/>
            <w:tcBorders>
              <w:top w:val="nil"/>
              <w:left w:val="nil"/>
              <w:bottom w:val="single" w:sz="8" w:space="0" w:color="auto"/>
              <w:right w:val="single" w:sz="8" w:space="0" w:color="auto"/>
            </w:tcBorders>
            <w:hideMark/>
          </w:tcPr>
          <w:p w14:paraId="790B4B4A" w14:textId="77777777" w:rsidR="003D34C7" w:rsidRPr="005F043F" w:rsidRDefault="003D34C7" w:rsidP="00D25FF2">
            <w:pPr>
              <w:spacing w:after="0" w:line="240" w:lineRule="auto"/>
              <w:rPr>
                <w:rFonts w:ascii="Calibri" w:eastAsia="Times New Roman" w:hAnsi="Calibri" w:cs="Calibri"/>
                <w:sz w:val="22"/>
                <w:lang w:eastAsia="en-IN"/>
              </w:rPr>
            </w:pPr>
            <w:r w:rsidRPr="005F043F">
              <w:rPr>
                <w:rFonts w:ascii="Calibri" w:eastAsia="Times New Roman" w:hAnsi="Calibri" w:cs="Calibri"/>
                <w:sz w:val="22"/>
                <w:lang w:eastAsia="en-IN"/>
              </w:rPr>
              <w:t> </w:t>
            </w:r>
          </w:p>
        </w:tc>
      </w:tr>
      <w:tr w:rsidR="003D34C7" w:rsidRPr="005F043F" w14:paraId="2EC4C2B2" w14:textId="77777777" w:rsidTr="00D25FF2">
        <w:trPr>
          <w:trHeight w:val="260"/>
        </w:trPr>
        <w:tc>
          <w:tcPr>
            <w:tcW w:w="429" w:type="dxa"/>
            <w:tcBorders>
              <w:top w:val="nil"/>
              <w:left w:val="single" w:sz="8" w:space="0" w:color="auto"/>
              <w:bottom w:val="single" w:sz="8" w:space="0" w:color="auto"/>
              <w:right w:val="single" w:sz="8" w:space="0" w:color="auto"/>
            </w:tcBorders>
            <w:vAlign w:val="center"/>
            <w:hideMark/>
          </w:tcPr>
          <w:p w14:paraId="5AD662FB"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 </w:t>
            </w:r>
          </w:p>
        </w:tc>
        <w:tc>
          <w:tcPr>
            <w:tcW w:w="1414" w:type="dxa"/>
            <w:tcBorders>
              <w:top w:val="nil"/>
              <w:left w:val="nil"/>
              <w:bottom w:val="single" w:sz="8" w:space="0" w:color="auto"/>
              <w:right w:val="single" w:sz="4" w:space="0" w:color="auto"/>
            </w:tcBorders>
            <w:vAlign w:val="center"/>
            <w:hideMark/>
          </w:tcPr>
          <w:p w14:paraId="6DA01823"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 </w:t>
            </w:r>
          </w:p>
          <w:p w14:paraId="31CAF891"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 </w:t>
            </w:r>
          </w:p>
          <w:p w14:paraId="52AEA446"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 </w:t>
            </w:r>
          </w:p>
        </w:tc>
        <w:tc>
          <w:tcPr>
            <w:tcW w:w="3165" w:type="dxa"/>
            <w:gridSpan w:val="3"/>
            <w:tcBorders>
              <w:top w:val="nil"/>
              <w:left w:val="single" w:sz="4" w:space="0" w:color="auto"/>
              <w:bottom w:val="single" w:sz="8" w:space="0" w:color="auto"/>
              <w:right w:val="single" w:sz="8" w:space="0" w:color="auto"/>
            </w:tcBorders>
            <w:vAlign w:val="center"/>
          </w:tcPr>
          <w:p w14:paraId="10E0E3DB" w14:textId="77777777" w:rsidR="003D34C7" w:rsidRPr="005F043F" w:rsidRDefault="003D34C7" w:rsidP="00D25FF2">
            <w:pPr>
              <w:jc w:val="center"/>
              <w:rPr>
                <w:rFonts w:eastAsia="Times New Roman"/>
                <w:szCs w:val="24"/>
                <w:lang w:eastAsia="en-IN"/>
              </w:rPr>
            </w:pPr>
            <w:r w:rsidRPr="005F043F">
              <w:rPr>
                <w:rFonts w:eastAsia="Times New Roman"/>
                <w:szCs w:val="24"/>
                <w:lang w:val="en-GB" w:eastAsia="en-IN"/>
              </w:rPr>
              <w:t>Zero Order</w:t>
            </w:r>
          </w:p>
          <w:p w14:paraId="1E91F48B" w14:textId="77777777" w:rsidR="003D34C7" w:rsidRPr="005F043F" w:rsidRDefault="003D34C7" w:rsidP="00D25FF2">
            <w:pPr>
              <w:spacing w:after="0" w:line="240" w:lineRule="auto"/>
              <w:jc w:val="both"/>
              <w:rPr>
                <w:rFonts w:eastAsia="Times New Roman"/>
                <w:szCs w:val="24"/>
                <w:lang w:eastAsia="en-IN"/>
              </w:rPr>
            </w:pPr>
          </w:p>
        </w:tc>
        <w:tc>
          <w:tcPr>
            <w:tcW w:w="3072" w:type="dxa"/>
            <w:gridSpan w:val="3"/>
            <w:tcBorders>
              <w:top w:val="single" w:sz="8" w:space="0" w:color="auto"/>
              <w:left w:val="nil"/>
              <w:bottom w:val="single" w:sz="8" w:space="0" w:color="auto"/>
              <w:right w:val="single" w:sz="8" w:space="0" w:color="auto"/>
            </w:tcBorders>
            <w:vAlign w:val="center"/>
            <w:hideMark/>
          </w:tcPr>
          <w:p w14:paraId="605F43DF" w14:textId="77777777" w:rsidR="003D34C7" w:rsidRPr="005F043F" w:rsidRDefault="003D34C7" w:rsidP="00D25FF2">
            <w:pPr>
              <w:spacing w:after="0" w:line="240" w:lineRule="auto"/>
              <w:jc w:val="center"/>
              <w:rPr>
                <w:rFonts w:eastAsia="Times New Roman"/>
                <w:szCs w:val="24"/>
                <w:lang w:eastAsia="en-IN"/>
              </w:rPr>
            </w:pPr>
            <w:r w:rsidRPr="005F043F">
              <w:rPr>
                <w:rFonts w:eastAsia="Times New Roman"/>
                <w:szCs w:val="24"/>
                <w:lang w:val="en-GB" w:eastAsia="en-IN"/>
              </w:rPr>
              <w:t>First Order</w:t>
            </w:r>
          </w:p>
          <w:p w14:paraId="41BBB7E0"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 </w:t>
            </w:r>
          </w:p>
        </w:tc>
        <w:tc>
          <w:tcPr>
            <w:tcW w:w="3580" w:type="dxa"/>
            <w:gridSpan w:val="3"/>
            <w:tcBorders>
              <w:top w:val="single" w:sz="8" w:space="0" w:color="auto"/>
              <w:left w:val="nil"/>
              <w:bottom w:val="single" w:sz="8" w:space="0" w:color="auto"/>
              <w:right w:val="single" w:sz="8" w:space="0" w:color="auto"/>
            </w:tcBorders>
            <w:vAlign w:val="center"/>
            <w:hideMark/>
          </w:tcPr>
          <w:p w14:paraId="5989DB7F" w14:textId="77777777" w:rsidR="003D34C7" w:rsidRPr="005F043F" w:rsidRDefault="003D34C7" w:rsidP="00D25FF2">
            <w:pPr>
              <w:spacing w:after="0" w:line="240" w:lineRule="auto"/>
              <w:jc w:val="center"/>
              <w:rPr>
                <w:rFonts w:eastAsia="Times New Roman"/>
                <w:szCs w:val="24"/>
                <w:lang w:eastAsia="en-IN"/>
              </w:rPr>
            </w:pPr>
            <w:r w:rsidRPr="005F043F">
              <w:rPr>
                <w:rFonts w:eastAsia="Times New Roman"/>
                <w:szCs w:val="24"/>
                <w:lang w:val="en-GB" w:eastAsia="en-IN"/>
              </w:rPr>
              <w:t>Second Order</w:t>
            </w:r>
          </w:p>
          <w:p w14:paraId="18B69026"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val="en-GB" w:eastAsia="en-IN"/>
              </w:rPr>
              <w:t> </w:t>
            </w:r>
          </w:p>
        </w:tc>
      </w:tr>
      <w:tr w:rsidR="003D34C7" w:rsidRPr="005F043F" w14:paraId="5C3B3169" w14:textId="77777777" w:rsidTr="00D25FF2">
        <w:trPr>
          <w:trHeight w:val="557"/>
        </w:trPr>
        <w:tc>
          <w:tcPr>
            <w:tcW w:w="429" w:type="dxa"/>
            <w:tcBorders>
              <w:top w:val="nil"/>
              <w:left w:val="single" w:sz="8" w:space="0" w:color="auto"/>
              <w:bottom w:val="single" w:sz="8" w:space="0" w:color="auto"/>
              <w:right w:val="single" w:sz="8" w:space="0" w:color="auto"/>
            </w:tcBorders>
            <w:vAlign w:val="center"/>
          </w:tcPr>
          <w:p w14:paraId="4D6DE5AE"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1.</w:t>
            </w:r>
          </w:p>
        </w:tc>
        <w:tc>
          <w:tcPr>
            <w:tcW w:w="1414" w:type="dxa"/>
            <w:tcBorders>
              <w:top w:val="nil"/>
              <w:left w:val="nil"/>
              <w:bottom w:val="single" w:sz="8" w:space="0" w:color="auto"/>
              <w:right w:val="single" w:sz="8" w:space="0" w:color="auto"/>
            </w:tcBorders>
            <w:vAlign w:val="center"/>
          </w:tcPr>
          <w:p w14:paraId="0C1114D6"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Blank MO</w:t>
            </w:r>
          </w:p>
        </w:tc>
        <w:tc>
          <w:tcPr>
            <w:tcW w:w="1021" w:type="dxa"/>
            <w:tcBorders>
              <w:top w:val="nil"/>
              <w:left w:val="nil"/>
              <w:bottom w:val="single" w:sz="8" w:space="0" w:color="auto"/>
              <w:right w:val="single" w:sz="8" w:space="0" w:color="auto"/>
            </w:tcBorders>
            <w:vAlign w:val="center"/>
          </w:tcPr>
          <w:p w14:paraId="06591A4E"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-0.0001</w:t>
            </w:r>
            <w:r>
              <w:rPr>
                <w:rFonts w:eastAsia="Times New Roman"/>
                <w:szCs w:val="24"/>
                <w:lang w:val="en-GB" w:eastAsia="en-IN"/>
              </w:rPr>
              <w:t>3</w:t>
            </w:r>
            <w:r w:rsidRPr="005F043F">
              <w:rPr>
                <w:rFonts w:eastAsia="Times New Roman"/>
                <w:szCs w:val="24"/>
                <w:lang w:val="en-GB" w:eastAsia="en-IN"/>
              </w:rPr>
              <w:t>9273</w:t>
            </w:r>
          </w:p>
        </w:tc>
        <w:tc>
          <w:tcPr>
            <w:tcW w:w="1145" w:type="dxa"/>
            <w:tcBorders>
              <w:top w:val="nil"/>
              <w:left w:val="nil"/>
              <w:bottom w:val="single" w:sz="8" w:space="0" w:color="auto"/>
              <w:right w:val="single" w:sz="8" w:space="0" w:color="auto"/>
            </w:tcBorders>
            <w:vAlign w:val="center"/>
          </w:tcPr>
          <w:p w14:paraId="2352DD88"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w:t>
            </w:r>
            <w:r>
              <w:rPr>
                <w:rFonts w:eastAsia="Times New Roman"/>
                <w:szCs w:val="24"/>
                <w:lang w:val="en-GB" w:eastAsia="en-IN"/>
              </w:rPr>
              <w:t>99434</w:t>
            </w:r>
          </w:p>
        </w:tc>
        <w:tc>
          <w:tcPr>
            <w:tcW w:w="999" w:type="dxa"/>
            <w:tcBorders>
              <w:top w:val="nil"/>
              <w:left w:val="nil"/>
              <w:bottom w:val="single" w:sz="8" w:space="0" w:color="auto"/>
              <w:right w:val="single" w:sz="8" w:space="0" w:color="auto"/>
            </w:tcBorders>
            <w:vAlign w:val="center"/>
          </w:tcPr>
          <w:p w14:paraId="3D0970EA"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eastAsia="en-IN"/>
              </w:rPr>
              <w:t>1846.01</w:t>
            </w:r>
          </w:p>
        </w:tc>
        <w:tc>
          <w:tcPr>
            <w:tcW w:w="1026" w:type="dxa"/>
            <w:tcBorders>
              <w:top w:val="nil"/>
              <w:left w:val="nil"/>
              <w:bottom w:val="single" w:sz="8" w:space="0" w:color="auto"/>
              <w:right w:val="single" w:sz="8" w:space="0" w:color="auto"/>
            </w:tcBorders>
            <w:vAlign w:val="center"/>
          </w:tcPr>
          <w:p w14:paraId="2E3D97ED" w14:textId="77777777" w:rsidR="003D34C7" w:rsidRPr="005F043F" w:rsidRDefault="003D34C7" w:rsidP="00D25FF2">
            <w:pPr>
              <w:spacing w:after="0" w:line="240" w:lineRule="auto"/>
              <w:jc w:val="both"/>
              <w:rPr>
                <w:rFonts w:eastAsia="Times New Roman"/>
                <w:szCs w:val="24"/>
                <w:vertAlign w:val="superscript"/>
                <w:lang w:val="en-GB" w:eastAsia="en-IN"/>
              </w:rPr>
            </w:pPr>
            <w:r w:rsidRPr="005F043F">
              <w:rPr>
                <w:rFonts w:eastAsia="Times New Roman"/>
                <w:szCs w:val="24"/>
                <w:lang w:val="en-GB" w:eastAsia="en-IN"/>
              </w:rPr>
              <w:t>0.00027489</w:t>
            </w:r>
          </w:p>
        </w:tc>
        <w:tc>
          <w:tcPr>
            <w:tcW w:w="1006" w:type="dxa"/>
            <w:tcBorders>
              <w:top w:val="nil"/>
              <w:left w:val="nil"/>
              <w:bottom w:val="single" w:sz="8" w:space="0" w:color="auto"/>
              <w:right w:val="single" w:sz="8" w:space="0" w:color="auto"/>
            </w:tcBorders>
            <w:vAlign w:val="center"/>
          </w:tcPr>
          <w:p w14:paraId="0BFA2D8D"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0.99473</w:t>
            </w:r>
          </w:p>
        </w:tc>
        <w:tc>
          <w:tcPr>
            <w:tcW w:w="1040" w:type="dxa"/>
            <w:tcBorders>
              <w:top w:val="nil"/>
              <w:left w:val="nil"/>
              <w:bottom w:val="single" w:sz="8" w:space="0" w:color="auto"/>
              <w:right w:val="single" w:sz="8" w:space="0" w:color="auto"/>
            </w:tcBorders>
            <w:vAlign w:val="center"/>
          </w:tcPr>
          <w:p w14:paraId="17B23485"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2521.01</w:t>
            </w:r>
          </w:p>
        </w:tc>
        <w:tc>
          <w:tcPr>
            <w:tcW w:w="1145" w:type="dxa"/>
            <w:tcBorders>
              <w:top w:val="nil"/>
              <w:left w:val="nil"/>
              <w:bottom w:val="single" w:sz="8" w:space="0" w:color="auto"/>
              <w:right w:val="single" w:sz="8" w:space="0" w:color="auto"/>
            </w:tcBorders>
            <w:vAlign w:val="center"/>
          </w:tcPr>
          <w:p w14:paraId="2A9591EF"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0.000542577</w:t>
            </w:r>
          </w:p>
        </w:tc>
        <w:tc>
          <w:tcPr>
            <w:tcW w:w="1145" w:type="dxa"/>
            <w:tcBorders>
              <w:top w:val="nil"/>
              <w:left w:val="nil"/>
              <w:bottom w:val="single" w:sz="8" w:space="0" w:color="auto"/>
              <w:right w:val="single" w:sz="8" w:space="0" w:color="auto"/>
            </w:tcBorders>
            <w:vAlign w:val="center"/>
          </w:tcPr>
          <w:p w14:paraId="470C3978"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0.99508</w:t>
            </w:r>
          </w:p>
        </w:tc>
        <w:tc>
          <w:tcPr>
            <w:tcW w:w="1290" w:type="dxa"/>
            <w:tcBorders>
              <w:top w:val="nil"/>
              <w:left w:val="nil"/>
              <w:bottom w:val="single" w:sz="8" w:space="0" w:color="auto"/>
              <w:right w:val="single" w:sz="8" w:space="0" w:color="auto"/>
            </w:tcBorders>
            <w:vAlign w:val="center"/>
          </w:tcPr>
          <w:p w14:paraId="3B057A8C"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3584.32</w:t>
            </w:r>
          </w:p>
        </w:tc>
      </w:tr>
      <w:tr w:rsidR="003D34C7" w:rsidRPr="005F043F" w14:paraId="2E699119" w14:textId="77777777" w:rsidTr="00D25FF2">
        <w:trPr>
          <w:trHeight w:val="557"/>
        </w:trPr>
        <w:tc>
          <w:tcPr>
            <w:tcW w:w="429" w:type="dxa"/>
            <w:tcBorders>
              <w:top w:val="nil"/>
              <w:left w:val="single" w:sz="8" w:space="0" w:color="auto"/>
              <w:bottom w:val="single" w:sz="8" w:space="0" w:color="auto"/>
              <w:right w:val="single" w:sz="8" w:space="0" w:color="auto"/>
            </w:tcBorders>
            <w:vAlign w:val="center"/>
          </w:tcPr>
          <w:p w14:paraId="65E38034"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2.</w:t>
            </w:r>
          </w:p>
        </w:tc>
        <w:tc>
          <w:tcPr>
            <w:tcW w:w="1414" w:type="dxa"/>
            <w:tcBorders>
              <w:top w:val="nil"/>
              <w:left w:val="nil"/>
              <w:bottom w:val="single" w:sz="8" w:space="0" w:color="auto"/>
              <w:right w:val="single" w:sz="8" w:space="0" w:color="auto"/>
            </w:tcBorders>
            <w:vAlign w:val="center"/>
          </w:tcPr>
          <w:p w14:paraId="63BA3CC8"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rGO</w:t>
            </w:r>
          </w:p>
        </w:tc>
        <w:tc>
          <w:tcPr>
            <w:tcW w:w="1021" w:type="dxa"/>
            <w:tcBorders>
              <w:top w:val="nil"/>
              <w:left w:val="nil"/>
              <w:bottom w:val="single" w:sz="8" w:space="0" w:color="auto"/>
              <w:right w:val="single" w:sz="8" w:space="0" w:color="auto"/>
            </w:tcBorders>
            <w:vAlign w:val="center"/>
          </w:tcPr>
          <w:p w14:paraId="7ABAA217"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-0.000389636</w:t>
            </w:r>
          </w:p>
        </w:tc>
        <w:tc>
          <w:tcPr>
            <w:tcW w:w="1145" w:type="dxa"/>
            <w:tcBorders>
              <w:top w:val="nil"/>
              <w:left w:val="nil"/>
              <w:bottom w:val="single" w:sz="8" w:space="0" w:color="auto"/>
              <w:right w:val="single" w:sz="8" w:space="0" w:color="auto"/>
            </w:tcBorders>
            <w:vAlign w:val="center"/>
          </w:tcPr>
          <w:p w14:paraId="64E93999"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0.96037</w:t>
            </w:r>
          </w:p>
        </w:tc>
        <w:tc>
          <w:tcPr>
            <w:tcW w:w="999" w:type="dxa"/>
            <w:tcBorders>
              <w:top w:val="nil"/>
              <w:left w:val="nil"/>
              <w:bottom w:val="single" w:sz="8" w:space="0" w:color="auto"/>
              <w:right w:val="single" w:sz="8" w:space="0" w:color="auto"/>
            </w:tcBorders>
            <w:vAlign w:val="center"/>
          </w:tcPr>
          <w:p w14:paraId="62539C7D"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eastAsia="en-IN"/>
              </w:rPr>
              <w:t>587.73</w:t>
            </w:r>
          </w:p>
        </w:tc>
        <w:tc>
          <w:tcPr>
            <w:tcW w:w="1026" w:type="dxa"/>
            <w:tcBorders>
              <w:top w:val="nil"/>
              <w:left w:val="nil"/>
              <w:bottom w:val="single" w:sz="8" w:space="0" w:color="auto"/>
              <w:right w:val="single" w:sz="8" w:space="0" w:color="auto"/>
            </w:tcBorders>
            <w:vAlign w:val="center"/>
          </w:tcPr>
          <w:p w14:paraId="3CA7558E" w14:textId="77777777" w:rsidR="003D34C7" w:rsidRPr="005F043F" w:rsidRDefault="003D34C7" w:rsidP="00D25FF2">
            <w:pPr>
              <w:spacing w:after="0" w:line="240" w:lineRule="auto"/>
              <w:jc w:val="both"/>
              <w:rPr>
                <w:rFonts w:eastAsia="Times New Roman"/>
                <w:szCs w:val="24"/>
                <w:vertAlign w:val="superscript"/>
                <w:lang w:val="en-GB" w:eastAsia="en-IN"/>
              </w:rPr>
            </w:pPr>
            <w:r w:rsidRPr="005F043F">
              <w:rPr>
                <w:rFonts w:eastAsia="Times New Roman"/>
                <w:szCs w:val="24"/>
                <w:lang w:val="en-GB" w:eastAsia="en-IN"/>
              </w:rPr>
              <w:t>0.00089831</w:t>
            </w:r>
          </w:p>
        </w:tc>
        <w:tc>
          <w:tcPr>
            <w:tcW w:w="1006" w:type="dxa"/>
            <w:tcBorders>
              <w:top w:val="nil"/>
              <w:left w:val="nil"/>
              <w:bottom w:val="single" w:sz="8" w:space="0" w:color="auto"/>
              <w:right w:val="single" w:sz="8" w:space="0" w:color="auto"/>
            </w:tcBorders>
            <w:vAlign w:val="center"/>
          </w:tcPr>
          <w:p w14:paraId="7A8A02DF"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0.96515</w:t>
            </w:r>
          </w:p>
        </w:tc>
        <w:tc>
          <w:tcPr>
            <w:tcW w:w="1040" w:type="dxa"/>
            <w:tcBorders>
              <w:top w:val="nil"/>
              <w:left w:val="nil"/>
              <w:bottom w:val="single" w:sz="8" w:space="0" w:color="auto"/>
              <w:right w:val="single" w:sz="8" w:space="0" w:color="auto"/>
            </w:tcBorders>
            <w:vAlign w:val="center"/>
          </w:tcPr>
          <w:p w14:paraId="1B9D207F"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771.45</w:t>
            </w:r>
          </w:p>
        </w:tc>
        <w:tc>
          <w:tcPr>
            <w:tcW w:w="1145" w:type="dxa"/>
            <w:tcBorders>
              <w:top w:val="nil"/>
              <w:left w:val="nil"/>
              <w:bottom w:val="single" w:sz="8" w:space="0" w:color="auto"/>
              <w:right w:val="single" w:sz="8" w:space="0" w:color="auto"/>
            </w:tcBorders>
            <w:vAlign w:val="center"/>
          </w:tcPr>
          <w:p w14:paraId="75F468CC"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0.00207</w:t>
            </w:r>
          </w:p>
        </w:tc>
        <w:tc>
          <w:tcPr>
            <w:tcW w:w="1145" w:type="dxa"/>
            <w:tcBorders>
              <w:top w:val="nil"/>
              <w:left w:val="nil"/>
              <w:bottom w:val="single" w:sz="8" w:space="0" w:color="auto"/>
              <w:right w:val="single" w:sz="8" w:space="0" w:color="auto"/>
            </w:tcBorders>
            <w:vAlign w:val="center"/>
          </w:tcPr>
          <w:p w14:paraId="3C6550F2"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0.96945</w:t>
            </w:r>
          </w:p>
        </w:tc>
        <w:tc>
          <w:tcPr>
            <w:tcW w:w="1290" w:type="dxa"/>
            <w:tcBorders>
              <w:top w:val="nil"/>
              <w:left w:val="nil"/>
              <w:bottom w:val="single" w:sz="8" w:space="0" w:color="auto"/>
              <w:right w:val="single" w:sz="8" w:space="0" w:color="auto"/>
            </w:tcBorders>
            <w:vAlign w:val="center"/>
          </w:tcPr>
          <w:p w14:paraId="15DF310E"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1054.79</w:t>
            </w:r>
          </w:p>
        </w:tc>
      </w:tr>
      <w:tr w:rsidR="003D34C7" w:rsidRPr="005F043F" w14:paraId="7F9F569B" w14:textId="77777777" w:rsidTr="00D25FF2">
        <w:trPr>
          <w:trHeight w:val="557"/>
        </w:trPr>
        <w:tc>
          <w:tcPr>
            <w:tcW w:w="429" w:type="dxa"/>
            <w:tcBorders>
              <w:top w:val="nil"/>
              <w:left w:val="single" w:sz="8" w:space="0" w:color="auto"/>
              <w:bottom w:val="single" w:sz="8" w:space="0" w:color="auto"/>
              <w:right w:val="single" w:sz="8" w:space="0" w:color="auto"/>
            </w:tcBorders>
            <w:vAlign w:val="center"/>
          </w:tcPr>
          <w:p w14:paraId="22F0299A"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lastRenderedPageBreak/>
              <w:t>3.</w:t>
            </w:r>
          </w:p>
        </w:tc>
        <w:tc>
          <w:tcPr>
            <w:tcW w:w="1414" w:type="dxa"/>
            <w:tcBorders>
              <w:top w:val="nil"/>
              <w:left w:val="nil"/>
              <w:bottom w:val="single" w:sz="8" w:space="0" w:color="auto"/>
              <w:right w:val="single" w:sz="8" w:space="0" w:color="auto"/>
            </w:tcBorders>
            <w:vAlign w:val="center"/>
          </w:tcPr>
          <w:p w14:paraId="7278B14A" w14:textId="77777777" w:rsidR="003D34C7" w:rsidRPr="005F043F" w:rsidRDefault="003D34C7" w:rsidP="00D25FF2">
            <w:pPr>
              <w:spacing w:after="0" w:line="240" w:lineRule="auto"/>
              <w:jc w:val="both"/>
              <w:rPr>
                <w:rFonts w:eastAsia="Times New Roman"/>
                <w:szCs w:val="24"/>
                <w:lang w:val="en-GB" w:eastAsia="en-IN"/>
              </w:rPr>
            </w:pPr>
            <w:r>
              <w:rPr>
                <w:rFonts w:eastAsia="Times New Roman"/>
                <w:szCs w:val="24"/>
                <w:lang w:val="en-GB" w:eastAsia="en-IN"/>
              </w:rPr>
              <w:t>S@rGO-1</w:t>
            </w:r>
          </w:p>
        </w:tc>
        <w:tc>
          <w:tcPr>
            <w:tcW w:w="1021" w:type="dxa"/>
            <w:tcBorders>
              <w:top w:val="nil"/>
              <w:left w:val="nil"/>
              <w:bottom w:val="single" w:sz="8" w:space="0" w:color="auto"/>
              <w:right w:val="single" w:sz="8" w:space="0" w:color="auto"/>
            </w:tcBorders>
            <w:vAlign w:val="center"/>
          </w:tcPr>
          <w:p w14:paraId="1B365481"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-0.000581818</w:t>
            </w:r>
          </w:p>
        </w:tc>
        <w:tc>
          <w:tcPr>
            <w:tcW w:w="1145" w:type="dxa"/>
            <w:tcBorders>
              <w:top w:val="nil"/>
              <w:left w:val="nil"/>
              <w:bottom w:val="single" w:sz="8" w:space="0" w:color="auto"/>
              <w:right w:val="single" w:sz="8" w:space="0" w:color="auto"/>
            </w:tcBorders>
            <w:vAlign w:val="center"/>
          </w:tcPr>
          <w:p w14:paraId="0E548CA4"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0.98314</w:t>
            </w:r>
          </w:p>
        </w:tc>
        <w:tc>
          <w:tcPr>
            <w:tcW w:w="999" w:type="dxa"/>
            <w:tcBorders>
              <w:top w:val="nil"/>
              <w:left w:val="nil"/>
              <w:bottom w:val="single" w:sz="8" w:space="0" w:color="auto"/>
              <w:right w:val="single" w:sz="8" w:space="0" w:color="auto"/>
            </w:tcBorders>
            <w:vAlign w:val="center"/>
          </w:tcPr>
          <w:p w14:paraId="5CA436C2"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eastAsia="en-IN"/>
              </w:rPr>
              <w:t>335.16</w:t>
            </w:r>
          </w:p>
        </w:tc>
        <w:tc>
          <w:tcPr>
            <w:tcW w:w="1026" w:type="dxa"/>
            <w:tcBorders>
              <w:top w:val="nil"/>
              <w:left w:val="nil"/>
              <w:bottom w:val="single" w:sz="8" w:space="0" w:color="auto"/>
              <w:right w:val="single" w:sz="8" w:space="0" w:color="auto"/>
            </w:tcBorders>
            <w:vAlign w:val="center"/>
          </w:tcPr>
          <w:p w14:paraId="22D59FBF"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0.00163</w:t>
            </w:r>
          </w:p>
        </w:tc>
        <w:tc>
          <w:tcPr>
            <w:tcW w:w="1006" w:type="dxa"/>
            <w:tcBorders>
              <w:top w:val="nil"/>
              <w:left w:val="nil"/>
              <w:bottom w:val="single" w:sz="8" w:space="0" w:color="auto"/>
              <w:right w:val="single" w:sz="8" w:space="0" w:color="auto"/>
            </w:tcBorders>
            <w:vAlign w:val="center"/>
          </w:tcPr>
          <w:p w14:paraId="785E321B"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0.98411</w:t>
            </w:r>
          </w:p>
        </w:tc>
        <w:tc>
          <w:tcPr>
            <w:tcW w:w="1040" w:type="dxa"/>
            <w:tcBorders>
              <w:top w:val="nil"/>
              <w:left w:val="nil"/>
              <w:bottom w:val="single" w:sz="8" w:space="0" w:color="auto"/>
              <w:right w:val="single" w:sz="8" w:space="0" w:color="auto"/>
            </w:tcBorders>
            <w:vAlign w:val="center"/>
          </w:tcPr>
          <w:p w14:paraId="50B54033"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425.15</w:t>
            </w:r>
          </w:p>
        </w:tc>
        <w:tc>
          <w:tcPr>
            <w:tcW w:w="1145" w:type="dxa"/>
            <w:tcBorders>
              <w:top w:val="nil"/>
              <w:left w:val="nil"/>
              <w:bottom w:val="single" w:sz="8" w:space="0" w:color="auto"/>
              <w:right w:val="single" w:sz="8" w:space="0" w:color="auto"/>
            </w:tcBorders>
            <w:vAlign w:val="center"/>
          </w:tcPr>
          <w:p w14:paraId="546CD13F"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0.0046</w:t>
            </w:r>
          </w:p>
        </w:tc>
        <w:tc>
          <w:tcPr>
            <w:tcW w:w="1145" w:type="dxa"/>
            <w:tcBorders>
              <w:top w:val="nil"/>
              <w:left w:val="nil"/>
              <w:bottom w:val="single" w:sz="8" w:space="0" w:color="auto"/>
              <w:right w:val="single" w:sz="8" w:space="0" w:color="auto"/>
            </w:tcBorders>
            <w:vAlign w:val="center"/>
          </w:tcPr>
          <w:p w14:paraId="6DA44D3A"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0.98326</w:t>
            </w:r>
          </w:p>
        </w:tc>
        <w:tc>
          <w:tcPr>
            <w:tcW w:w="1290" w:type="dxa"/>
            <w:tcBorders>
              <w:top w:val="nil"/>
              <w:left w:val="nil"/>
              <w:bottom w:val="single" w:sz="8" w:space="0" w:color="auto"/>
              <w:right w:val="single" w:sz="8" w:space="0" w:color="auto"/>
            </w:tcBorders>
            <w:vAlign w:val="center"/>
          </w:tcPr>
          <w:p w14:paraId="5333A720"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557.41</w:t>
            </w:r>
          </w:p>
        </w:tc>
      </w:tr>
      <w:bookmarkEnd w:id="7"/>
      <w:tr w:rsidR="003D34C7" w:rsidRPr="005F043F" w14:paraId="2E2A4092" w14:textId="77777777" w:rsidTr="00D25FF2">
        <w:trPr>
          <w:trHeight w:val="557"/>
        </w:trPr>
        <w:tc>
          <w:tcPr>
            <w:tcW w:w="429" w:type="dxa"/>
            <w:tcBorders>
              <w:top w:val="nil"/>
              <w:left w:val="single" w:sz="8" w:space="0" w:color="auto"/>
              <w:bottom w:val="single" w:sz="8" w:space="0" w:color="auto"/>
              <w:right w:val="single" w:sz="8" w:space="0" w:color="auto"/>
            </w:tcBorders>
            <w:vAlign w:val="center"/>
          </w:tcPr>
          <w:p w14:paraId="1ECA6C4D"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4.</w:t>
            </w:r>
          </w:p>
        </w:tc>
        <w:tc>
          <w:tcPr>
            <w:tcW w:w="1414" w:type="dxa"/>
            <w:tcBorders>
              <w:top w:val="nil"/>
              <w:left w:val="nil"/>
              <w:bottom w:val="single" w:sz="8" w:space="0" w:color="auto"/>
              <w:right w:val="single" w:sz="8" w:space="0" w:color="auto"/>
            </w:tcBorders>
            <w:vAlign w:val="center"/>
          </w:tcPr>
          <w:p w14:paraId="56A98057" w14:textId="77777777" w:rsidR="003D34C7" w:rsidRPr="005F043F" w:rsidRDefault="003D34C7" w:rsidP="00D25FF2">
            <w:pPr>
              <w:spacing w:after="0" w:line="240" w:lineRule="auto"/>
              <w:jc w:val="both"/>
              <w:rPr>
                <w:rFonts w:eastAsia="Times New Roman"/>
                <w:szCs w:val="24"/>
                <w:lang w:val="en-GB" w:eastAsia="en-IN"/>
              </w:rPr>
            </w:pPr>
            <w:r>
              <w:rPr>
                <w:rFonts w:eastAsia="Times New Roman"/>
                <w:szCs w:val="24"/>
                <w:lang w:val="en-GB" w:eastAsia="en-IN"/>
              </w:rPr>
              <w:t>S@rGO-2</w:t>
            </w:r>
          </w:p>
        </w:tc>
        <w:tc>
          <w:tcPr>
            <w:tcW w:w="1021" w:type="dxa"/>
            <w:tcBorders>
              <w:top w:val="nil"/>
              <w:left w:val="nil"/>
              <w:bottom w:val="single" w:sz="8" w:space="0" w:color="auto"/>
              <w:right w:val="single" w:sz="8" w:space="0" w:color="auto"/>
            </w:tcBorders>
            <w:vAlign w:val="center"/>
          </w:tcPr>
          <w:p w14:paraId="3FAD768D"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-0.000793545</w:t>
            </w:r>
          </w:p>
        </w:tc>
        <w:tc>
          <w:tcPr>
            <w:tcW w:w="1145" w:type="dxa"/>
            <w:tcBorders>
              <w:top w:val="nil"/>
              <w:left w:val="nil"/>
              <w:bottom w:val="single" w:sz="8" w:space="0" w:color="auto"/>
              <w:right w:val="single" w:sz="8" w:space="0" w:color="auto"/>
            </w:tcBorders>
            <w:vAlign w:val="center"/>
          </w:tcPr>
          <w:p w14:paraId="7CA9DD1B"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0.99184</w:t>
            </w:r>
          </w:p>
        </w:tc>
        <w:tc>
          <w:tcPr>
            <w:tcW w:w="999" w:type="dxa"/>
            <w:tcBorders>
              <w:top w:val="nil"/>
              <w:left w:val="nil"/>
              <w:bottom w:val="single" w:sz="8" w:space="0" w:color="auto"/>
              <w:right w:val="single" w:sz="8" w:space="0" w:color="auto"/>
            </w:tcBorders>
            <w:vAlign w:val="center"/>
          </w:tcPr>
          <w:p w14:paraId="1B944581"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eastAsia="en-IN"/>
              </w:rPr>
              <w:t>266.53</w:t>
            </w:r>
          </w:p>
        </w:tc>
        <w:tc>
          <w:tcPr>
            <w:tcW w:w="1026" w:type="dxa"/>
            <w:tcBorders>
              <w:top w:val="nil"/>
              <w:left w:val="nil"/>
              <w:bottom w:val="single" w:sz="8" w:space="0" w:color="auto"/>
              <w:right w:val="single" w:sz="8" w:space="0" w:color="auto"/>
            </w:tcBorders>
            <w:vAlign w:val="center"/>
          </w:tcPr>
          <w:p w14:paraId="223B2089"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0.00207</w:t>
            </w:r>
          </w:p>
        </w:tc>
        <w:tc>
          <w:tcPr>
            <w:tcW w:w="1006" w:type="dxa"/>
            <w:tcBorders>
              <w:top w:val="nil"/>
              <w:left w:val="nil"/>
              <w:bottom w:val="single" w:sz="8" w:space="0" w:color="auto"/>
              <w:right w:val="single" w:sz="8" w:space="0" w:color="auto"/>
            </w:tcBorders>
            <w:vAlign w:val="center"/>
          </w:tcPr>
          <w:p w14:paraId="515BE3DC"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0.98959</w:t>
            </w:r>
          </w:p>
        </w:tc>
        <w:tc>
          <w:tcPr>
            <w:tcW w:w="1040" w:type="dxa"/>
            <w:tcBorders>
              <w:top w:val="nil"/>
              <w:left w:val="nil"/>
              <w:bottom w:val="single" w:sz="8" w:space="0" w:color="auto"/>
              <w:right w:val="single" w:sz="8" w:space="0" w:color="auto"/>
            </w:tcBorders>
            <w:vAlign w:val="center"/>
          </w:tcPr>
          <w:p w14:paraId="4D4162B0"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334.78</w:t>
            </w:r>
          </w:p>
        </w:tc>
        <w:tc>
          <w:tcPr>
            <w:tcW w:w="1145" w:type="dxa"/>
            <w:tcBorders>
              <w:top w:val="nil"/>
              <w:left w:val="nil"/>
              <w:bottom w:val="single" w:sz="8" w:space="0" w:color="auto"/>
              <w:right w:val="single" w:sz="8" w:space="0" w:color="auto"/>
            </w:tcBorders>
            <w:vAlign w:val="center"/>
          </w:tcPr>
          <w:p w14:paraId="6073C5C3"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0.00543</w:t>
            </w:r>
          </w:p>
        </w:tc>
        <w:tc>
          <w:tcPr>
            <w:tcW w:w="1145" w:type="dxa"/>
            <w:tcBorders>
              <w:top w:val="nil"/>
              <w:left w:val="nil"/>
              <w:bottom w:val="single" w:sz="8" w:space="0" w:color="auto"/>
              <w:right w:val="single" w:sz="8" w:space="0" w:color="auto"/>
            </w:tcBorders>
            <w:vAlign w:val="center"/>
          </w:tcPr>
          <w:p w14:paraId="5476C326"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0.98605</w:t>
            </w:r>
          </w:p>
        </w:tc>
        <w:tc>
          <w:tcPr>
            <w:tcW w:w="1290" w:type="dxa"/>
            <w:tcBorders>
              <w:top w:val="nil"/>
              <w:left w:val="nil"/>
              <w:bottom w:val="single" w:sz="8" w:space="0" w:color="auto"/>
              <w:right w:val="single" w:sz="8" w:space="0" w:color="auto"/>
            </w:tcBorders>
            <w:vAlign w:val="center"/>
          </w:tcPr>
          <w:p w14:paraId="6B296590"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435.37</w:t>
            </w:r>
          </w:p>
        </w:tc>
      </w:tr>
      <w:tr w:rsidR="003D34C7" w:rsidRPr="005F043F" w14:paraId="021592AB" w14:textId="77777777" w:rsidTr="00D25FF2">
        <w:trPr>
          <w:trHeight w:val="557"/>
        </w:trPr>
        <w:tc>
          <w:tcPr>
            <w:tcW w:w="429" w:type="dxa"/>
            <w:tcBorders>
              <w:top w:val="nil"/>
              <w:left w:val="single" w:sz="8" w:space="0" w:color="auto"/>
              <w:bottom w:val="single" w:sz="8" w:space="0" w:color="auto"/>
              <w:right w:val="single" w:sz="8" w:space="0" w:color="auto"/>
            </w:tcBorders>
            <w:vAlign w:val="center"/>
          </w:tcPr>
          <w:p w14:paraId="25FBF33D"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5.</w:t>
            </w:r>
          </w:p>
        </w:tc>
        <w:tc>
          <w:tcPr>
            <w:tcW w:w="1414" w:type="dxa"/>
            <w:tcBorders>
              <w:top w:val="nil"/>
              <w:left w:val="nil"/>
              <w:bottom w:val="single" w:sz="8" w:space="0" w:color="auto"/>
              <w:right w:val="single" w:sz="8" w:space="0" w:color="auto"/>
            </w:tcBorders>
            <w:vAlign w:val="center"/>
          </w:tcPr>
          <w:p w14:paraId="4DAF289A" w14:textId="77777777" w:rsidR="003D34C7" w:rsidRPr="005F043F" w:rsidRDefault="003D34C7" w:rsidP="00D25FF2">
            <w:pPr>
              <w:spacing w:after="0" w:line="240" w:lineRule="auto"/>
              <w:jc w:val="both"/>
              <w:rPr>
                <w:rFonts w:eastAsia="Times New Roman"/>
                <w:szCs w:val="24"/>
                <w:lang w:val="en-GB" w:eastAsia="en-IN"/>
              </w:rPr>
            </w:pPr>
            <w:r>
              <w:rPr>
                <w:rFonts w:eastAsia="Times New Roman"/>
                <w:szCs w:val="24"/>
                <w:lang w:val="en-GB" w:eastAsia="en-IN"/>
              </w:rPr>
              <w:t>S@rGO-3</w:t>
            </w:r>
          </w:p>
        </w:tc>
        <w:tc>
          <w:tcPr>
            <w:tcW w:w="1021" w:type="dxa"/>
            <w:tcBorders>
              <w:top w:val="nil"/>
              <w:left w:val="nil"/>
              <w:bottom w:val="single" w:sz="8" w:space="0" w:color="auto"/>
              <w:right w:val="single" w:sz="8" w:space="0" w:color="auto"/>
            </w:tcBorders>
            <w:vAlign w:val="center"/>
          </w:tcPr>
          <w:p w14:paraId="53B573AF"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-0.00106</w:t>
            </w:r>
          </w:p>
        </w:tc>
        <w:tc>
          <w:tcPr>
            <w:tcW w:w="1145" w:type="dxa"/>
            <w:tcBorders>
              <w:top w:val="nil"/>
              <w:left w:val="nil"/>
              <w:bottom w:val="single" w:sz="8" w:space="0" w:color="auto"/>
              <w:right w:val="single" w:sz="8" w:space="0" w:color="auto"/>
            </w:tcBorders>
            <w:vAlign w:val="center"/>
          </w:tcPr>
          <w:p w14:paraId="7323F54F"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0.99345</w:t>
            </w:r>
          </w:p>
        </w:tc>
        <w:tc>
          <w:tcPr>
            <w:tcW w:w="999" w:type="dxa"/>
            <w:tcBorders>
              <w:top w:val="nil"/>
              <w:left w:val="nil"/>
              <w:bottom w:val="single" w:sz="8" w:space="0" w:color="auto"/>
              <w:right w:val="single" w:sz="8" w:space="0" w:color="auto"/>
            </w:tcBorders>
            <w:vAlign w:val="center"/>
          </w:tcPr>
          <w:p w14:paraId="4586D7C0"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eastAsia="en-IN"/>
              </w:rPr>
              <w:t>215.85</w:t>
            </w:r>
          </w:p>
        </w:tc>
        <w:tc>
          <w:tcPr>
            <w:tcW w:w="1026" w:type="dxa"/>
            <w:tcBorders>
              <w:top w:val="nil"/>
              <w:left w:val="nil"/>
              <w:bottom w:val="single" w:sz="8" w:space="0" w:color="auto"/>
              <w:right w:val="single" w:sz="8" w:space="0" w:color="auto"/>
            </w:tcBorders>
            <w:vAlign w:val="center"/>
          </w:tcPr>
          <w:p w14:paraId="610FCAEC"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0.00265</w:t>
            </w:r>
          </w:p>
        </w:tc>
        <w:tc>
          <w:tcPr>
            <w:tcW w:w="1006" w:type="dxa"/>
            <w:tcBorders>
              <w:top w:val="nil"/>
              <w:left w:val="nil"/>
              <w:bottom w:val="single" w:sz="8" w:space="0" w:color="auto"/>
              <w:right w:val="single" w:sz="8" w:space="0" w:color="auto"/>
            </w:tcBorders>
            <w:vAlign w:val="center"/>
          </w:tcPr>
          <w:p w14:paraId="35E8A856"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0.98916</w:t>
            </w:r>
          </w:p>
        </w:tc>
        <w:tc>
          <w:tcPr>
            <w:tcW w:w="1040" w:type="dxa"/>
            <w:tcBorders>
              <w:top w:val="nil"/>
              <w:left w:val="nil"/>
              <w:bottom w:val="single" w:sz="8" w:space="0" w:color="auto"/>
              <w:right w:val="single" w:sz="8" w:space="0" w:color="auto"/>
            </w:tcBorders>
            <w:vAlign w:val="center"/>
          </w:tcPr>
          <w:p w14:paraId="398EB499"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261.51</w:t>
            </w:r>
          </w:p>
        </w:tc>
        <w:tc>
          <w:tcPr>
            <w:tcW w:w="1145" w:type="dxa"/>
            <w:tcBorders>
              <w:top w:val="nil"/>
              <w:left w:val="nil"/>
              <w:bottom w:val="single" w:sz="8" w:space="0" w:color="auto"/>
              <w:right w:val="single" w:sz="8" w:space="0" w:color="auto"/>
            </w:tcBorders>
            <w:vAlign w:val="center"/>
          </w:tcPr>
          <w:p w14:paraId="32B324C1"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0.00665</w:t>
            </w:r>
          </w:p>
        </w:tc>
        <w:tc>
          <w:tcPr>
            <w:tcW w:w="1145" w:type="dxa"/>
            <w:tcBorders>
              <w:top w:val="nil"/>
              <w:left w:val="nil"/>
              <w:bottom w:val="single" w:sz="8" w:space="0" w:color="auto"/>
              <w:right w:val="single" w:sz="8" w:space="0" w:color="auto"/>
            </w:tcBorders>
            <w:vAlign w:val="center"/>
          </w:tcPr>
          <w:p w14:paraId="1D95CB6B"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0.98206</w:t>
            </w:r>
          </w:p>
        </w:tc>
        <w:tc>
          <w:tcPr>
            <w:tcW w:w="1290" w:type="dxa"/>
            <w:tcBorders>
              <w:top w:val="nil"/>
              <w:left w:val="nil"/>
              <w:bottom w:val="single" w:sz="8" w:space="0" w:color="auto"/>
              <w:right w:val="single" w:sz="8" w:space="0" w:color="auto"/>
            </w:tcBorders>
            <w:vAlign w:val="center"/>
          </w:tcPr>
          <w:p w14:paraId="16A99068"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328.62</w:t>
            </w:r>
          </w:p>
        </w:tc>
      </w:tr>
      <w:tr w:rsidR="003D34C7" w:rsidRPr="005F043F" w14:paraId="48770672" w14:textId="77777777" w:rsidTr="00D25FF2">
        <w:trPr>
          <w:trHeight w:val="557"/>
        </w:trPr>
        <w:tc>
          <w:tcPr>
            <w:tcW w:w="429" w:type="dxa"/>
            <w:tcBorders>
              <w:top w:val="nil"/>
              <w:left w:val="single" w:sz="8" w:space="0" w:color="auto"/>
              <w:bottom w:val="single" w:sz="8" w:space="0" w:color="auto"/>
              <w:right w:val="single" w:sz="8" w:space="0" w:color="auto"/>
            </w:tcBorders>
            <w:vAlign w:val="center"/>
          </w:tcPr>
          <w:p w14:paraId="10A85608"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6.</w:t>
            </w:r>
          </w:p>
        </w:tc>
        <w:tc>
          <w:tcPr>
            <w:tcW w:w="1414" w:type="dxa"/>
            <w:tcBorders>
              <w:top w:val="nil"/>
              <w:left w:val="nil"/>
              <w:bottom w:val="single" w:sz="8" w:space="0" w:color="auto"/>
              <w:right w:val="single" w:sz="8" w:space="0" w:color="auto"/>
            </w:tcBorders>
            <w:vAlign w:val="center"/>
          </w:tcPr>
          <w:p w14:paraId="24F93552" w14:textId="77777777" w:rsidR="003D34C7" w:rsidRPr="005F043F" w:rsidRDefault="003D34C7" w:rsidP="00D25FF2">
            <w:pPr>
              <w:spacing w:after="0" w:line="240" w:lineRule="auto"/>
              <w:jc w:val="both"/>
              <w:rPr>
                <w:rFonts w:eastAsia="Times New Roman"/>
                <w:szCs w:val="24"/>
                <w:lang w:val="en-GB" w:eastAsia="en-IN"/>
              </w:rPr>
            </w:pPr>
            <w:r>
              <w:rPr>
                <w:rFonts w:eastAsia="Times New Roman"/>
                <w:szCs w:val="24"/>
                <w:lang w:val="en-GB" w:eastAsia="en-IN"/>
              </w:rPr>
              <w:t>S@rGO-4</w:t>
            </w:r>
          </w:p>
        </w:tc>
        <w:tc>
          <w:tcPr>
            <w:tcW w:w="1021" w:type="dxa"/>
            <w:tcBorders>
              <w:top w:val="nil"/>
              <w:left w:val="nil"/>
              <w:bottom w:val="single" w:sz="8" w:space="0" w:color="auto"/>
              <w:right w:val="single" w:sz="8" w:space="0" w:color="auto"/>
            </w:tcBorders>
            <w:vAlign w:val="center"/>
          </w:tcPr>
          <w:p w14:paraId="077F4F0D"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-0.000730909</w:t>
            </w:r>
          </w:p>
        </w:tc>
        <w:tc>
          <w:tcPr>
            <w:tcW w:w="1145" w:type="dxa"/>
            <w:tcBorders>
              <w:top w:val="nil"/>
              <w:left w:val="nil"/>
              <w:bottom w:val="single" w:sz="8" w:space="0" w:color="auto"/>
              <w:right w:val="single" w:sz="8" w:space="0" w:color="auto"/>
            </w:tcBorders>
            <w:vAlign w:val="center"/>
          </w:tcPr>
          <w:p w14:paraId="3A086B68"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0.98562</w:t>
            </w:r>
          </w:p>
        </w:tc>
        <w:tc>
          <w:tcPr>
            <w:tcW w:w="999" w:type="dxa"/>
            <w:tcBorders>
              <w:top w:val="nil"/>
              <w:left w:val="nil"/>
              <w:bottom w:val="single" w:sz="8" w:space="0" w:color="auto"/>
              <w:right w:val="single" w:sz="8" w:space="0" w:color="auto"/>
            </w:tcBorders>
            <w:vAlign w:val="center"/>
          </w:tcPr>
          <w:p w14:paraId="700D4BC5" w14:textId="77777777" w:rsidR="003D34C7" w:rsidRPr="005F043F" w:rsidRDefault="003D34C7" w:rsidP="00D25FF2">
            <w:pPr>
              <w:spacing w:after="0" w:line="240" w:lineRule="auto"/>
              <w:jc w:val="both"/>
              <w:rPr>
                <w:rFonts w:eastAsia="Times New Roman"/>
                <w:szCs w:val="24"/>
                <w:lang w:eastAsia="en-IN"/>
              </w:rPr>
            </w:pPr>
            <w:r w:rsidRPr="005F043F">
              <w:rPr>
                <w:rFonts w:eastAsia="Times New Roman"/>
                <w:szCs w:val="24"/>
                <w:lang w:eastAsia="en-IN"/>
              </w:rPr>
              <w:t>219.11</w:t>
            </w:r>
          </w:p>
        </w:tc>
        <w:tc>
          <w:tcPr>
            <w:tcW w:w="1026" w:type="dxa"/>
            <w:tcBorders>
              <w:top w:val="nil"/>
              <w:left w:val="nil"/>
              <w:bottom w:val="single" w:sz="8" w:space="0" w:color="auto"/>
              <w:right w:val="single" w:sz="8" w:space="0" w:color="auto"/>
            </w:tcBorders>
            <w:vAlign w:val="center"/>
          </w:tcPr>
          <w:p w14:paraId="4920C059"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0.00262</w:t>
            </w:r>
          </w:p>
        </w:tc>
        <w:tc>
          <w:tcPr>
            <w:tcW w:w="1006" w:type="dxa"/>
            <w:tcBorders>
              <w:top w:val="nil"/>
              <w:left w:val="nil"/>
              <w:bottom w:val="single" w:sz="8" w:space="0" w:color="auto"/>
              <w:right w:val="single" w:sz="8" w:space="0" w:color="auto"/>
            </w:tcBorders>
            <w:vAlign w:val="center"/>
          </w:tcPr>
          <w:p w14:paraId="087FF2DF"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0.97960</w:t>
            </w:r>
          </w:p>
        </w:tc>
        <w:tc>
          <w:tcPr>
            <w:tcW w:w="1040" w:type="dxa"/>
            <w:tcBorders>
              <w:top w:val="nil"/>
              <w:left w:val="nil"/>
              <w:bottom w:val="single" w:sz="8" w:space="0" w:color="auto"/>
              <w:right w:val="single" w:sz="8" w:space="0" w:color="auto"/>
            </w:tcBorders>
            <w:vAlign w:val="center"/>
          </w:tcPr>
          <w:p w14:paraId="2F951500"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264.50</w:t>
            </w:r>
          </w:p>
        </w:tc>
        <w:tc>
          <w:tcPr>
            <w:tcW w:w="1145" w:type="dxa"/>
            <w:tcBorders>
              <w:top w:val="nil"/>
              <w:left w:val="nil"/>
              <w:bottom w:val="single" w:sz="8" w:space="0" w:color="auto"/>
              <w:right w:val="single" w:sz="8" w:space="0" w:color="auto"/>
            </w:tcBorders>
            <w:vAlign w:val="center"/>
          </w:tcPr>
          <w:p w14:paraId="05537F7D"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0.00942</w:t>
            </w:r>
          </w:p>
        </w:tc>
        <w:tc>
          <w:tcPr>
            <w:tcW w:w="1145" w:type="dxa"/>
            <w:tcBorders>
              <w:top w:val="nil"/>
              <w:left w:val="nil"/>
              <w:bottom w:val="single" w:sz="8" w:space="0" w:color="auto"/>
              <w:right w:val="single" w:sz="8" w:space="0" w:color="auto"/>
            </w:tcBorders>
            <w:vAlign w:val="center"/>
          </w:tcPr>
          <w:p w14:paraId="6F4E93C2"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0.96958</w:t>
            </w:r>
          </w:p>
        </w:tc>
        <w:tc>
          <w:tcPr>
            <w:tcW w:w="1290" w:type="dxa"/>
            <w:tcBorders>
              <w:top w:val="nil"/>
              <w:left w:val="nil"/>
              <w:bottom w:val="single" w:sz="8" w:space="0" w:color="auto"/>
              <w:right w:val="single" w:sz="8" w:space="0" w:color="auto"/>
            </w:tcBorders>
            <w:vAlign w:val="center"/>
          </w:tcPr>
          <w:p w14:paraId="34875FE8" w14:textId="77777777" w:rsidR="003D34C7" w:rsidRPr="005F043F" w:rsidRDefault="003D34C7" w:rsidP="00D25FF2">
            <w:pPr>
              <w:spacing w:after="0" w:line="240" w:lineRule="auto"/>
              <w:jc w:val="both"/>
              <w:rPr>
                <w:rFonts w:eastAsia="Times New Roman"/>
                <w:szCs w:val="24"/>
                <w:lang w:val="en-GB" w:eastAsia="en-IN"/>
              </w:rPr>
            </w:pPr>
            <w:r w:rsidRPr="005F043F">
              <w:rPr>
                <w:rFonts w:eastAsia="Times New Roman"/>
                <w:szCs w:val="24"/>
                <w:lang w:val="en-GB" w:eastAsia="en-IN"/>
              </w:rPr>
              <w:t>331.43</w:t>
            </w:r>
          </w:p>
        </w:tc>
      </w:tr>
      <w:bookmarkEnd w:id="8"/>
    </w:tbl>
    <w:p w14:paraId="56941D54" w14:textId="77777777" w:rsidR="00C37E1A" w:rsidRDefault="00C37E1A" w:rsidP="00EF1AE4">
      <w:pPr>
        <w:pStyle w:val="Heading1"/>
        <w:jc w:val="both"/>
      </w:pPr>
    </w:p>
    <w:p w14:paraId="229EB3DC" w14:textId="7536E8F6" w:rsidR="003D34C7" w:rsidRDefault="00D733AC" w:rsidP="00EF1AE4">
      <w:pPr>
        <w:pStyle w:val="Heading1"/>
        <w:jc w:val="both"/>
      </w:pPr>
      <w:r w:rsidRPr="009F3E6E">
        <w:t>References</w:t>
      </w:r>
    </w:p>
    <w:p w14:paraId="1E9E4614" w14:textId="37C387F3" w:rsidR="00EF1AE4" w:rsidRPr="00EF1AE4" w:rsidRDefault="00F84510" w:rsidP="00EF1AE4">
      <w:pPr>
        <w:widowControl w:val="0"/>
        <w:autoSpaceDE w:val="0"/>
        <w:autoSpaceDN w:val="0"/>
        <w:adjustRightInd w:val="0"/>
        <w:spacing w:line="240" w:lineRule="auto"/>
        <w:jc w:val="both"/>
        <w:rPr>
          <w:noProof/>
        </w:rPr>
      </w:pPr>
      <w:r>
        <w:rPr>
          <w:b/>
          <w:bCs/>
          <w:szCs w:val="24"/>
          <w:lang w:val="en-GB"/>
        </w:rPr>
        <w:fldChar w:fldCharType="begin" w:fldLock="1"/>
      </w:r>
      <w:r>
        <w:rPr>
          <w:b/>
          <w:bCs/>
          <w:szCs w:val="24"/>
          <w:lang w:val="en-GB"/>
        </w:rPr>
        <w:instrText xml:space="preserve">ADDIN Mendeley Bibliography CSL_BIBLIOGRAPHY </w:instrText>
      </w:r>
      <w:r>
        <w:rPr>
          <w:b/>
          <w:bCs/>
          <w:szCs w:val="24"/>
          <w:lang w:val="en-GB"/>
        </w:rPr>
        <w:fldChar w:fldCharType="separate"/>
      </w:r>
      <w:r w:rsidR="00EF1AE4" w:rsidRPr="00EF1AE4">
        <w:rPr>
          <w:noProof/>
        </w:rPr>
        <w:t>1. Karikalan N, Karthik R, Chen SM, Karuppiah C, Elangovan A. Sonochemical Synthesis of Sulfur Doped Reduced Graphene Oxide Supported CuS Nanoparticles for the Non-Enzymatic Glucose Sensor Applications. Sci Rep. 2017;7(1):2494. https://doi.org/10.1038/s41598-017-02479-5</w:t>
      </w:r>
    </w:p>
    <w:p w14:paraId="38F32B28"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2. Korucu H, Şimşek B, Kocakerim MM, Karakaş IH. Effective reduction of graphene oxide using sulfur dioxide-containing chemical compounds. Int J Environ Sci Technol. 2019;16(12):8329–42. https://doi.org/10.1007/s13762-019-02419-y</w:t>
      </w:r>
    </w:p>
    <w:p w14:paraId="63CB78B8"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3. Wadekar PH, Ghosh A, Khose R V., Pethsangave DA, Mitra S, Some S. A novel chemical reduction/co-precipitation method to prepare sulfur functionalized reduced graphene oxide for lithium-sulfur batteries. Electrochim Acta. 2020;344:136147. https://doi.org/10.1016/j.electacta.2020.136147</w:t>
      </w:r>
    </w:p>
    <w:p w14:paraId="0FE306DC"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4. Hidayah NMS, Liu WW, Lai CW, Noriman NZ, Khe CS, Hashim U, et al. Comparison on graphite, graphene oxide and reduced graphene oxide: Synthesis and characterization. AIP Conf Proc. American Institute of Physics Inc.; 2017. p. 150002. https://doi.org/10.1063/1.5005764</w:t>
      </w:r>
    </w:p>
    <w:p w14:paraId="138ADB80"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5. Witjaksono G, Junaid M, Khir MH, Ullah Z, Tansu N, Saheed MSBM, et al. Effect of nitrogen doping on the optical bandgap and electrical conductivity of nitrogen-doped reduced graphene oxide. Molecules. 2021;26(21):6424. https://doi.org/10.3390/molecules26216424</w:t>
      </w:r>
    </w:p>
    <w:p w14:paraId="51136C1B"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6. Iskandar F, Setiawan B, Mayangsari TR, Maharsi R, Purwanto A, Aimon AH. Electrochemical impedance analysis of polyvinylpyrrolidone-coated sulfur/reduced graphene oxide (S/rGO) electrode. Mater Res Express. 2019;6(2):025514. https://doi.org/10.1088/2053-1591/aaee41</w:t>
      </w:r>
    </w:p>
    <w:p w14:paraId="712720E5"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7. Tarimo DJ, Oyedotun KO, Mirghni AA, Manyala N. Sulphur-reduced graphene oxide composite with improved electrochemical performance for supercapacitor applications. Int J Hydrogen Energy. 2020;45(24):13189–201. https://doi.org/10.1016/j.ijhydene.2020.03.059</w:t>
      </w:r>
    </w:p>
    <w:p w14:paraId="0525F046"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 xml:space="preserve">8. Gunavathi P, Janaki D, Geethanjali S, Balasubramaniam P, Alagesan A. Characterization and identification of elemental sulphur, iron pyrite, mineral gypsum, Phospho gypsum and marine gypsum by using ATR-FTIR. ~ 80 ~ Pharma Innov J. 2021;10(5):80–6. </w:t>
      </w:r>
    </w:p>
    <w:p w14:paraId="1B7F634E"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 xml:space="preserve">9. Chen W, Yan L, Bangal PR. Chemical reduction of graphene oxide to graphene by sulfur-containing compounds. J Phys Chem C. 2010;114(47):19885–90. </w:t>
      </w:r>
      <w:r w:rsidRPr="00EF1AE4">
        <w:rPr>
          <w:noProof/>
        </w:rPr>
        <w:lastRenderedPageBreak/>
        <w:t>https://doi.org/10.1021/jp107131v</w:t>
      </w:r>
    </w:p>
    <w:p w14:paraId="011171D2"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10. Tian Z, Li J, Zhu G, Lu J, Wang Y, Shi Z, et al. Facile synthesis of highly conductive sulfur-doped reduced graphene oxide sheets. Phys Chem Chem Phys. 2015;18(2):1125–30. https://doi.org/10.1039/c5cp05475c</w:t>
      </w:r>
    </w:p>
    <w:p w14:paraId="15482789"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11. Gunaratna TANR, Prajapati PK, de Silva KMN, de Silva WRM. Comparision of traditional and laboratory methods of sulphur processing. J Ayurveda Integr Med. 2023;14(4):100751. https://doi.org/10.1016/j.jaim.2023.100751</w:t>
      </w:r>
    </w:p>
    <w:p w14:paraId="0C2166A0"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12. Manoratne CH, Rosa SRD, Kottegoda IRM. XRD-HTA, UV Visible, FTIR and SEM Interpretation of Reduced Graphene Oxide Synthesized from High Purity Vein Graphite. Mater Sci Res India. 2017;14(1):19–30. https://doi.org/10.13005/msri/140104</w:t>
      </w:r>
    </w:p>
    <w:p w14:paraId="786ABB69"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13. Ngullie RC, Bhuvaneswari K, Shanmugam P, Boonyuen S, Smith SM, Sathishkumar M. Magnetically Recoverable Biomass-Derived Carbon-Aerogel Supported ZnO (ZnO/MNC) Composites for the Photodegradation of Methylene Blue. Catalysts. 2022;12(9):1073. https://doi.org/10.3390/catal12091073</w:t>
      </w:r>
    </w:p>
    <w:p w14:paraId="31A4A4F1"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14. Djellali S, Touati A, Semmeq A, Kebaili M, Badawi M, Bonilla-Petriciolet A. Unravelling the Methylene Blue Adsorption Mechanism on Doped and Nondoped Polyaniline: A Combined Molecular Modeling and Experimental Investigation. Ponnusamy SK, editor. Int J Chem Eng. 2022;2022:1–18. https://doi.org/10.1155/2022/3181963</w:t>
      </w:r>
    </w:p>
    <w:p w14:paraId="1458821A" w14:textId="77777777" w:rsidR="00EF1AE4" w:rsidRPr="00EF1AE4" w:rsidRDefault="00EF1AE4" w:rsidP="00EF1AE4">
      <w:pPr>
        <w:widowControl w:val="0"/>
        <w:autoSpaceDE w:val="0"/>
        <w:autoSpaceDN w:val="0"/>
        <w:adjustRightInd w:val="0"/>
        <w:spacing w:line="240" w:lineRule="auto"/>
        <w:jc w:val="both"/>
        <w:rPr>
          <w:noProof/>
        </w:rPr>
      </w:pPr>
      <w:r w:rsidRPr="00EF1AE4">
        <w:rPr>
          <w:noProof/>
        </w:rPr>
        <w:t>15. Bartošová A, Blinová L, Sirotiak M, Michalíková A. Usage of FTIR-ATR as Non-Destructive Analysis of Selected Toxic Dyes. Res Pap Fac Mater Sci Technol Slovak Univ Technol. 2017;25(40):103–11. https://doi.org/10.1515/rput-2017-0012</w:t>
      </w:r>
    </w:p>
    <w:p w14:paraId="5AE162C0" w14:textId="39DC760F" w:rsidR="00D733AC" w:rsidRPr="009F3E6E" w:rsidRDefault="00F84510" w:rsidP="00EF1AE4">
      <w:pPr>
        <w:jc w:val="both"/>
        <w:rPr>
          <w:b/>
          <w:bCs/>
          <w:szCs w:val="24"/>
          <w:lang w:val="en-GB"/>
        </w:rPr>
      </w:pPr>
      <w:r>
        <w:rPr>
          <w:b/>
          <w:bCs/>
          <w:szCs w:val="24"/>
          <w:lang w:val="en-GB"/>
        </w:rPr>
        <w:fldChar w:fldCharType="end"/>
      </w:r>
    </w:p>
    <w:sectPr w:rsidR="00D733AC" w:rsidRPr="009F3E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0BE"/>
    <w:rsid w:val="0006573F"/>
    <w:rsid w:val="00066CA9"/>
    <w:rsid w:val="001C4814"/>
    <w:rsid w:val="001C5204"/>
    <w:rsid w:val="001F1A91"/>
    <w:rsid w:val="00226D3E"/>
    <w:rsid w:val="00324FEE"/>
    <w:rsid w:val="00370BCC"/>
    <w:rsid w:val="00381554"/>
    <w:rsid w:val="003D34C7"/>
    <w:rsid w:val="004464A2"/>
    <w:rsid w:val="00462500"/>
    <w:rsid w:val="00494C4D"/>
    <w:rsid w:val="004A67D4"/>
    <w:rsid w:val="004B2575"/>
    <w:rsid w:val="004C08A5"/>
    <w:rsid w:val="00502E45"/>
    <w:rsid w:val="00520FB1"/>
    <w:rsid w:val="0057536F"/>
    <w:rsid w:val="005B3951"/>
    <w:rsid w:val="00610313"/>
    <w:rsid w:val="00661A28"/>
    <w:rsid w:val="006B1D25"/>
    <w:rsid w:val="006E1E08"/>
    <w:rsid w:val="00777DD3"/>
    <w:rsid w:val="00795E27"/>
    <w:rsid w:val="007C7AA0"/>
    <w:rsid w:val="007E7E44"/>
    <w:rsid w:val="008224ED"/>
    <w:rsid w:val="00834316"/>
    <w:rsid w:val="008639EF"/>
    <w:rsid w:val="008D2C54"/>
    <w:rsid w:val="009F0C4A"/>
    <w:rsid w:val="009F3E6E"/>
    <w:rsid w:val="00A05452"/>
    <w:rsid w:val="00A17A0B"/>
    <w:rsid w:val="00A902FA"/>
    <w:rsid w:val="00AD3F15"/>
    <w:rsid w:val="00AE0DC6"/>
    <w:rsid w:val="00AE14BB"/>
    <w:rsid w:val="00B26D57"/>
    <w:rsid w:val="00B27AF3"/>
    <w:rsid w:val="00B4044A"/>
    <w:rsid w:val="00B701AE"/>
    <w:rsid w:val="00C012B4"/>
    <w:rsid w:val="00C37E1A"/>
    <w:rsid w:val="00C612E9"/>
    <w:rsid w:val="00C704B3"/>
    <w:rsid w:val="00C938F6"/>
    <w:rsid w:val="00CD3110"/>
    <w:rsid w:val="00CD6FEA"/>
    <w:rsid w:val="00CD73E5"/>
    <w:rsid w:val="00D733AC"/>
    <w:rsid w:val="00DF0649"/>
    <w:rsid w:val="00DF30BE"/>
    <w:rsid w:val="00DF4711"/>
    <w:rsid w:val="00E91C3A"/>
    <w:rsid w:val="00EC5B29"/>
    <w:rsid w:val="00EE3F02"/>
    <w:rsid w:val="00EF1AE4"/>
    <w:rsid w:val="00EF64A0"/>
    <w:rsid w:val="00F3677A"/>
    <w:rsid w:val="00F65E6C"/>
    <w:rsid w:val="00F65F8D"/>
    <w:rsid w:val="00F845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9DD66"/>
  <w15:chartTrackingRefBased/>
  <w15:docId w15:val="{7623141F-1872-4728-B2DD-AEA2C4C7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4C7"/>
  </w:style>
  <w:style w:type="paragraph" w:styleId="Heading1">
    <w:name w:val="heading 1"/>
    <w:basedOn w:val="Normal"/>
    <w:next w:val="Normal"/>
    <w:link w:val="Heading1Char"/>
    <w:uiPriority w:val="9"/>
    <w:qFormat/>
    <w:rsid w:val="00661A28"/>
    <w:pPr>
      <w:outlineLvl w:val="0"/>
    </w:pPr>
    <w:rPr>
      <w:sz w:val="28"/>
      <w:szCs w:val="24"/>
      <w:u w:val="single"/>
      <w:lang w:val="en-GB"/>
    </w:rPr>
  </w:style>
  <w:style w:type="paragraph" w:styleId="Heading2">
    <w:name w:val="heading 2"/>
    <w:basedOn w:val="Normal"/>
    <w:next w:val="Normal"/>
    <w:link w:val="Heading2Char"/>
    <w:uiPriority w:val="9"/>
    <w:unhideWhenUsed/>
    <w:qFormat/>
    <w:rsid w:val="00F84510"/>
    <w:pPr>
      <w:outlineLvl w:val="1"/>
    </w:pPr>
    <w:rPr>
      <w:u w:val="single"/>
    </w:rPr>
  </w:style>
  <w:style w:type="paragraph" w:styleId="Heading3">
    <w:name w:val="heading 3"/>
    <w:basedOn w:val="Normal"/>
    <w:next w:val="Normal"/>
    <w:link w:val="Heading3Char"/>
    <w:uiPriority w:val="9"/>
    <w:semiHidden/>
    <w:unhideWhenUsed/>
    <w:qFormat/>
    <w:rsid w:val="00DF30B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0B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F30B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F30B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F30B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F30B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F30B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A28"/>
    <w:rPr>
      <w:sz w:val="28"/>
      <w:szCs w:val="24"/>
      <w:u w:val="single"/>
      <w:lang w:val="en-GB"/>
    </w:rPr>
  </w:style>
  <w:style w:type="character" w:customStyle="1" w:styleId="Heading2Char">
    <w:name w:val="Heading 2 Char"/>
    <w:basedOn w:val="DefaultParagraphFont"/>
    <w:link w:val="Heading2"/>
    <w:uiPriority w:val="9"/>
    <w:rsid w:val="00F84510"/>
    <w:rPr>
      <w:u w:val="single"/>
    </w:rPr>
  </w:style>
  <w:style w:type="character" w:customStyle="1" w:styleId="Heading3Char">
    <w:name w:val="Heading 3 Char"/>
    <w:basedOn w:val="DefaultParagraphFont"/>
    <w:link w:val="Heading3"/>
    <w:uiPriority w:val="9"/>
    <w:semiHidden/>
    <w:rsid w:val="00DF30B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0B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F30B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F30B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30B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30B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30B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30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0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0B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0B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F30BE"/>
    <w:pPr>
      <w:spacing w:before="160"/>
      <w:jc w:val="center"/>
    </w:pPr>
    <w:rPr>
      <w:i/>
      <w:iCs/>
      <w:color w:val="404040" w:themeColor="text1" w:themeTint="BF"/>
    </w:rPr>
  </w:style>
  <w:style w:type="character" w:customStyle="1" w:styleId="QuoteChar">
    <w:name w:val="Quote Char"/>
    <w:basedOn w:val="DefaultParagraphFont"/>
    <w:link w:val="Quote"/>
    <w:uiPriority w:val="29"/>
    <w:rsid w:val="00DF30BE"/>
    <w:rPr>
      <w:i/>
      <w:iCs/>
      <w:color w:val="404040" w:themeColor="text1" w:themeTint="BF"/>
    </w:rPr>
  </w:style>
  <w:style w:type="paragraph" w:styleId="ListParagraph">
    <w:name w:val="List Paragraph"/>
    <w:basedOn w:val="Normal"/>
    <w:uiPriority w:val="34"/>
    <w:qFormat/>
    <w:rsid w:val="00DF30BE"/>
    <w:pPr>
      <w:ind w:left="720"/>
      <w:contextualSpacing/>
    </w:pPr>
  </w:style>
  <w:style w:type="character" w:styleId="IntenseEmphasis">
    <w:name w:val="Intense Emphasis"/>
    <w:basedOn w:val="DefaultParagraphFont"/>
    <w:uiPriority w:val="21"/>
    <w:qFormat/>
    <w:rsid w:val="00DF30BE"/>
    <w:rPr>
      <w:i/>
      <w:iCs/>
      <w:color w:val="0F4761" w:themeColor="accent1" w:themeShade="BF"/>
    </w:rPr>
  </w:style>
  <w:style w:type="paragraph" w:styleId="IntenseQuote">
    <w:name w:val="Intense Quote"/>
    <w:basedOn w:val="Normal"/>
    <w:next w:val="Normal"/>
    <w:link w:val="IntenseQuoteChar"/>
    <w:uiPriority w:val="30"/>
    <w:qFormat/>
    <w:rsid w:val="00DF30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0BE"/>
    <w:rPr>
      <w:i/>
      <w:iCs/>
      <w:color w:val="0F4761" w:themeColor="accent1" w:themeShade="BF"/>
    </w:rPr>
  </w:style>
  <w:style w:type="character" w:styleId="IntenseReference">
    <w:name w:val="Intense Reference"/>
    <w:basedOn w:val="DefaultParagraphFont"/>
    <w:uiPriority w:val="32"/>
    <w:qFormat/>
    <w:rsid w:val="00DF30BE"/>
    <w:rPr>
      <w:b/>
      <w:bCs/>
      <w:smallCaps/>
      <w:color w:val="0F4761" w:themeColor="accent1" w:themeShade="BF"/>
      <w:spacing w:val="5"/>
    </w:rPr>
  </w:style>
  <w:style w:type="paragraph" w:customStyle="1" w:styleId="Els-Affiliation">
    <w:name w:val="Els-Affiliation"/>
    <w:next w:val="Normal"/>
    <w:rsid w:val="003D34C7"/>
    <w:pPr>
      <w:suppressAutoHyphens/>
      <w:spacing w:after="0" w:line="200" w:lineRule="exact"/>
      <w:jc w:val="center"/>
    </w:pPr>
    <w:rPr>
      <w:rFonts w:eastAsia="SimSun"/>
      <w:i/>
      <w:noProof/>
      <w:sz w:val="16"/>
      <w:szCs w:val="20"/>
      <w:lang w:val="en-US"/>
    </w:rPr>
  </w:style>
  <w:style w:type="table" w:styleId="TableGrid">
    <w:name w:val="Table Grid"/>
    <w:basedOn w:val="TableNormal"/>
    <w:uiPriority w:val="39"/>
    <w:rsid w:val="003D34C7"/>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34C7"/>
    <w:rPr>
      <w:color w:val="467886" w:themeColor="hyperlink"/>
      <w:u w:val="single"/>
    </w:rPr>
  </w:style>
  <w:style w:type="character" w:styleId="UnresolvedMention">
    <w:name w:val="Unresolved Mention"/>
    <w:basedOn w:val="DefaultParagraphFont"/>
    <w:uiPriority w:val="99"/>
    <w:semiHidden/>
    <w:unhideWhenUsed/>
    <w:rsid w:val="003D3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3.tiff"/><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styles" Target="styles.xml"/><Relationship Id="rId16" Type="http://schemas.openxmlformats.org/officeDocument/2006/relationships/image" Target="media/image11.tiff"/><Relationship Id="rId20" Type="http://schemas.openxmlformats.org/officeDocument/2006/relationships/image" Target="media/image15.tif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tiff"/><Relationship Id="rId5" Type="http://schemas.openxmlformats.org/officeDocument/2006/relationships/hyperlink" Target="mailto:*sushilkumar.jain@jaipur.manipal.edu" TargetMode="Externa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tiff"/><Relationship Id="rId19" Type="http://schemas.openxmlformats.org/officeDocument/2006/relationships/image" Target="media/image14.tiff"/><Relationship Id="rId4" Type="http://schemas.openxmlformats.org/officeDocument/2006/relationships/webSettings" Target="webSettings.xml"/><Relationship Id="rId9" Type="http://schemas.openxmlformats.org/officeDocument/2006/relationships/image" Target="media/image4.tiff"/><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DB5F90-9FE9-4EE9-881D-017123767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14</Pages>
  <Words>10506</Words>
  <Characters>59887</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Karishma Jain [Ph.D (SBS) - 2022]</dc:creator>
  <cp:keywords/>
  <dc:description/>
  <cp:lastModifiedBy>Karishma Jain [Ph.D (SBS) - 2022]</cp:lastModifiedBy>
  <cp:revision>40</cp:revision>
  <dcterms:created xsi:type="dcterms:W3CDTF">2025-03-09T18:46:00Z</dcterms:created>
  <dcterms:modified xsi:type="dcterms:W3CDTF">2025-08-07T22:19:00Z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http://www.zotero.org/styles/carbon</vt:lpwstr>
  </property>
  <property fmtid="{D5CDD505-2E9C-101B-9397-08002B2CF9AE}" pid="5" name="Mendeley Recent Style Name 1_1">
    <vt:lpwstr>Carbon</vt:lpwstr>
  </property>
  <property fmtid="{D5CDD505-2E9C-101B-9397-08002B2CF9AE}" pid="6" name="Mendeley Recent Style Id 2_1">
    <vt:lpwstr>http://www.zotero.org/styles/ceramics-international</vt:lpwstr>
  </property>
  <property fmtid="{D5CDD505-2E9C-101B-9397-08002B2CF9AE}" pid="7" name="Mendeley Recent Style Name 2_1">
    <vt:lpwstr>Ceramics International</vt:lpwstr>
  </property>
  <property fmtid="{D5CDD505-2E9C-101B-9397-08002B2CF9AE}" pid="8" name="Mendeley Recent Style Id 3_1">
    <vt:lpwstr>http://www.zotero.org/styles/discover-food</vt:lpwstr>
  </property>
  <property fmtid="{D5CDD505-2E9C-101B-9397-08002B2CF9AE}" pid="9" name="Mendeley Recent Style Name 3_1">
    <vt:lpwstr>Discover Food</vt:lpwstr>
  </property>
  <property fmtid="{D5CDD505-2E9C-101B-9397-08002B2CF9AE}" pid="10" name="Mendeley Recent Style Id 4_1">
    <vt:lpwstr>http://www.zotero.org/styles/environmental-science-and-pollution-research</vt:lpwstr>
  </property>
  <property fmtid="{D5CDD505-2E9C-101B-9397-08002B2CF9AE}" pid="11" name="Mendeley Recent Style Name 4_1">
    <vt:lpwstr>Environmental Science and Pollution Research</vt:lpwstr>
  </property>
  <property fmtid="{D5CDD505-2E9C-101B-9397-08002B2CF9AE}" pid="12" name="Mendeley Recent Style Id 5_1">
    <vt:lpwstr>http://www.zotero.org/styles/environmental-sciences-europe</vt:lpwstr>
  </property>
  <property fmtid="{D5CDD505-2E9C-101B-9397-08002B2CF9AE}" pid="13" name="Mendeley Recent Style Name 5_1">
    <vt:lpwstr>Environmental Sciences Europe</vt:lpwstr>
  </property>
  <property fmtid="{D5CDD505-2E9C-101B-9397-08002B2CF9AE}" pid="14" name="Mendeley Recent Style Id 6_1">
    <vt:lpwstr>http://www.zotero.org/styles/european-journal-of-physics</vt:lpwstr>
  </property>
  <property fmtid="{D5CDD505-2E9C-101B-9397-08002B2CF9AE}" pid="15" name="Mendeley Recent Style Name 6_1">
    <vt:lpwstr>European Journal of Physics</vt:lpwstr>
  </property>
  <property fmtid="{D5CDD505-2E9C-101B-9397-08002B2CF9AE}" pid="16" name="Mendeley Recent Style Id 7_1">
    <vt:lpwstr>http://www.zotero.org/styles/inorganic-chemistry-communications</vt:lpwstr>
  </property>
  <property fmtid="{D5CDD505-2E9C-101B-9397-08002B2CF9AE}" pid="17" name="Mendeley Recent Style Name 7_1">
    <vt:lpwstr>Inorganic Chemistry Communications</vt:lpwstr>
  </property>
  <property fmtid="{D5CDD505-2E9C-101B-9397-08002B2CF9AE}" pid="18" name="Mendeley Recent Style Id 8_1">
    <vt:lpwstr>http://www.zotero.org/styles/journal-of-luminescence</vt:lpwstr>
  </property>
  <property fmtid="{D5CDD505-2E9C-101B-9397-08002B2CF9AE}" pid="19" name="Mendeley Recent Style Name 8_1">
    <vt:lpwstr>Journal of Luminescence</vt:lpwstr>
  </property>
  <property fmtid="{D5CDD505-2E9C-101B-9397-08002B2CF9AE}" pid="20" name="Mendeley Recent Style Id 9_1">
    <vt:lpwstr>http://www.zotero.org/styles/multidisciplinary-digital-publishing-institute</vt:lpwstr>
  </property>
  <property fmtid="{D5CDD505-2E9C-101B-9397-08002B2CF9AE}" pid="21" name="Mendeley Recent Style Name 9_1">
    <vt:lpwstr>Multidisciplinary Digital Publishing Institute</vt:lpwstr>
  </property>
  <property fmtid="{D5CDD505-2E9C-101B-9397-08002B2CF9AE}" pid="22" name="Mendeley Document_1">
    <vt:lpwstr>True</vt:lpwstr>
  </property>
  <property fmtid="{D5CDD505-2E9C-101B-9397-08002B2CF9AE}" pid="23" name="Mendeley Unique User Id_1">
    <vt:lpwstr>d683587c-429b-3271-a697-7336cbbb2e04</vt:lpwstr>
  </property>
  <property fmtid="{D5CDD505-2E9C-101B-9397-08002B2CF9AE}" pid="24" name="Mendeley Citation Style_1">
    <vt:lpwstr>http://www.zotero.org/styles/discover-food</vt:lpwstr>
  </property>
</Properties>
</file>