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8C4C" w14:textId="77777777" w:rsidR="00AD2242" w:rsidRPr="008575D9" w:rsidRDefault="00AD2242" w:rsidP="00AD2242">
      <w:pPr>
        <w:pStyle w:val="MDPI12title"/>
        <w:rPr>
          <w:rFonts w:ascii="Times New Roman" w:hAnsi="Times New Roman"/>
          <w:sz w:val="32"/>
          <w:szCs w:val="32"/>
        </w:rPr>
      </w:pPr>
      <w:r w:rsidRPr="008575D9">
        <w:rPr>
          <w:rFonts w:ascii="Times New Roman" w:hAnsi="Times New Roman"/>
          <w:sz w:val="32"/>
          <w:szCs w:val="32"/>
        </w:rPr>
        <w:t>Supplementary Material</w:t>
      </w:r>
    </w:p>
    <w:p w14:paraId="293C4CD4" w14:textId="0D7DF6A9" w:rsidR="00CA5ACF" w:rsidRPr="008575D9" w:rsidRDefault="00CA5ACF" w:rsidP="00AD2242">
      <w:pPr>
        <w:pStyle w:val="MDPI13authornames"/>
        <w:rPr>
          <w:rFonts w:ascii="Times New Roman" w:hAnsi="Times New Roman"/>
          <w:snapToGrid w:val="0"/>
          <w:sz w:val="32"/>
          <w:szCs w:val="32"/>
        </w:rPr>
      </w:pPr>
      <w:r w:rsidRPr="008575D9">
        <w:rPr>
          <w:rFonts w:ascii="Times New Roman" w:hAnsi="Times New Roman"/>
          <w:snapToGrid w:val="0"/>
          <w:sz w:val="32"/>
          <w:szCs w:val="32"/>
        </w:rPr>
        <w:t xml:space="preserve">Synthesis of Sulfur based Graphene nanoplatelets composites </w:t>
      </w:r>
      <w:r w:rsidR="004D0C04" w:rsidRPr="008575D9">
        <w:rPr>
          <w:rFonts w:ascii="Times New Roman" w:hAnsi="Times New Roman"/>
          <w:snapToGrid w:val="0"/>
          <w:sz w:val="32"/>
          <w:szCs w:val="32"/>
        </w:rPr>
        <w:t>for</w:t>
      </w:r>
      <w:r w:rsidRPr="008575D9">
        <w:rPr>
          <w:rFonts w:ascii="Times New Roman" w:hAnsi="Times New Roman"/>
          <w:snapToGrid w:val="0"/>
          <w:sz w:val="32"/>
          <w:szCs w:val="32"/>
        </w:rPr>
        <w:t xml:space="preserve"> efficient Photodegradation of Dyes</w:t>
      </w:r>
    </w:p>
    <w:p w14:paraId="75941280" w14:textId="012C8AD3" w:rsidR="00AD2242" w:rsidRPr="00F92B46" w:rsidRDefault="00AD2242" w:rsidP="00AD2242">
      <w:pPr>
        <w:pStyle w:val="MDPI13authornames"/>
        <w:rPr>
          <w:rFonts w:ascii="Times New Roman" w:hAnsi="Times New Roman"/>
          <w:sz w:val="24"/>
          <w:szCs w:val="24"/>
        </w:rPr>
      </w:pPr>
      <w:r w:rsidRPr="00F92B46">
        <w:rPr>
          <w:rFonts w:ascii="Times New Roman" w:hAnsi="Times New Roman"/>
          <w:sz w:val="24"/>
          <w:szCs w:val="24"/>
        </w:rPr>
        <w:t xml:space="preserve">Karishma Jain </w:t>
      </w:r>
      <w:r w:rsidRPr="00F92B46">
        <w:rPr>
          <w:rFonts w:ascii="Times New Roman" w:hAnsi="Times New Roman"/>
          <w:sz w:val="24"/>
          <w:szCs w:val="24"/>
          <w:vertAlign w:val="superscript"/>
        </w:rPr>
        <w:t>1</w:t>
      </w:r>
      <w:r w:rsidRPr="00F92B46">
        <w:rPr>
          <w:rFonts w:ascii="Times New Roman" w:hAnsi="Times New Roman"/>
          <w:sz w:val="24"/>
          <w:szCs w:val="24"/>
        </w:rPr>
        <w:t xml:space="preserve">, Deepika Maan </w:t>
      </w:r>
      <w:r w:rsidRPr="00F92B46">
        <w:rPr>
          <w:rFonts w:ascii="Times New Roman" w:hAnsi="Times New Roman"/>
          <w:sz w:val="24"/>
          <w:szCs w:val="24"/>
          <w:vertAlign w:val="superscript"/>
        </w:rPr>
        <w:t>1</w:t>
      </w:r>
      <w:r w:rsidRPr="00F92B46">
        <w:rPr>
          <w:rFonts w:ascii="Times New Roman" w:hAnsi="Times New Roman"/>
          <w:sz w:val="24"/>
          <w:szCs w:val="24"/>
        </w:rPr>
        <w:t xml:space="preserve">, Ashish Kumar </w:t>
      </w:r>
      <w:r w:rsidRPr="00F92B46">
        <w:rPr>
          <w:rFonts w:ascii="Times New Roman" w:hAnsi="Times New Roman"/>
          <w:sz w:val="24"/>
          <w:szCs w:val="24"/>
          <w:vertAlign w:val="superscript"/>
        </w:rPr>
        <w:t>1</w:t>
      </w:r>
      <w:r w:rsidRPr="00F92B46">
        <w:rPr>
          <w:rFonts w:ascii="Times New Roman" w:hAnsi="Times New Roman"/>
          <w:sz w:val="24"/>
          <w:szCs w:val="24"/>
        </w:rPr>
        <w:t xml:space="preserve">, Sushil Kumar Jain </w:t>
      </w:r>
      <w:r w:rsidRPr="00F92B46">
        <w:rPr>
          <w:rFonts w:ascii="Times New Roman" w:hAnsi="Times New Roman"/>
          <w:sz w:val="24"/>
          <w:szCs w:val="24"/>
          <w:vertAlign w:val="superscript"/>
        </w:rPr>
        <w:t xml:space="preserve">1,* </w:t>
      </w:r>
      <w:r w:rsidRPr="00F92B46">
        <w:rPr>
          <w:rFonts w:ascii="Times New Roman" w:hAnsi="Times New Roman"/>
          <w:sz w:val="24"/>
          <w:szCs w:val="24"/>
        </w:rPr>
        <w:t xml:space="preserve">and Balram Tripathi </w:t>
      </w:r>
      <w:r w:rsidRPr="00F92B46">
        <w:rPr>
          <w:rFonts w:ascii="Times New Roman" w:hAnsi="Times New Roman"/>
          <w:sz w:val="24"/>
          <w:szCs w:val="24"/>
          <w:vertAlign w:val="superscript"/>
        </w:rPr>
        <w:t>2</w:t>
      </w:r>
    </w:p>
    <w:p w14:paraId="04E6FAAF" w14:textId="59E49F2E"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vertAlign w:val="superscript"/>
        </w:rPr>
        <w:t>1</w:t>
      </w:r>
      <w:r w:rsidRPr="00F92B46">
        <w:rPr>
          <w:rFonts w:ascii="Times New Roman" w:hAnsi="Times New Roman"/>
          <w:sz w:val="24"/>
          <w:szCs w:val="24"/>
        </w:rPr>
        <w:tab/>
        <w:t>Department of Physics, Manipal University Jaipur, Jaipur 303007, India;</w:t>
      </w:r>
    </w:p>
    <w:p w14:paraId="2C2BCCC3"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rPr>
        <w:t xml:space="preserve">   karishma.221051026@muj.manipal.edu (K.J.);</w:t>
      </w:r>
    </w:p>
    <w:p w14:paraId="275B2FBB"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rPr>
        <w:t xml:space="preserve">   deepika.23fs30sbs00048@muj.manipal.edu (D.M.); </w:t>
      </w:r>
    </w:p>
    <w:p w14:paraId="7042D912"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rPr>
        <w:t xml:space="preserve">   ashish.23fs30sbs00079@muj.manipal.edu (A.K.) </w:t>
      </w:r>
    </w:p>
    <w:p w14:paraId="4F8E73F6"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vertAlign w:val="superscript"/>
        </w:rPr>
        <w:t>2</w:t>
      </w:r>
      <w:r w:rsidRPr="00F92B46">
        <w:rPr>
          <w:rFonts w:ascii="Times New Roman" w:hAnsi="Times New Roman"/>
          <w:sz w:val="24"/>
          <w:szCs w:val="24"/>
        </w:rPr>
        <w:tab/>
        <w:t>Department of Physics, S. S. Jain Subodh PG (Auto.) College, Jaipur 302004, India;</w:t>
      </w:r>
    </w:p>
    <w:p w14:paraId="270377EA"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rPr>
        <w:t xml:space="preserve">   balramtripathi1181@gmail.com</w:t>
      </w:r>
    </w:p>
    <w:p w14:paraId="4B1C13CA"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b/>
          <w:sz w:val="24"/>
          <w:szCs w:val="24"/>
        </w:rPr>
        <w:t>*</w:t>
      </w:r>
      <w:r w:rsidRPr="00F92B46">
        <w:rPr>
          <w:rFonts w:ascii="Times New Roman" w:hAnsi="Times New Roman"/>
          <w:sz w:val="24"/>
          <w:szCs w:val="24"/>
        </w:rPr>
        <w:tab/>
        <w:t>Correspondence: sushilkumar.jain@jaipur.manipal.edu (S.K.J.)</w:t>
      </w:r>
    </w:p>
    <w:p w14:paraId="0F3006AD" w14:textId="77777777" w:rsidR="00AD2242" w:rsidRPr="00F92B46" w:rsidRDefault="00AD2242" w:rsidP="007804EE">
      <w:pPr>
        <w:pStyle w:val="MDPI16affiliation"/>
        <w:ind w:left="198"/>
        <w:rPr>
          <w:rFonts w:ascii="Times New Roman" w:hAnsi="Times New Roman"/>
          <w:sz w:val="24"/>
          <w:szCs w:val="24"/>
        </w:rPr>
      </w:pPr>
      <w:r w:rsidRPr="00F92B46">
        <w:rPr>
          <w:rFonts w:ascii="Times New Roman" w:hAnsi="Times New Roman"/>
          <w:sz w:val="24"/>
          <w:szCs w:val="24"/>
        </w:rPr>
        <w:t xml:space="preserve">   Tel.: +91-9828034055 (S.K.J.)</w:t>
      </w:r>
    </w:p>
    <w:p w14:paraId="1284393A" w14:textId="77777777" w:rsidR="00AD2242" w:rsidRPr="00F92B46" w:rsidRDefault="00AD2242" w:rsidP="00AD2242">
      <w:pPr>
        <w:rPr>
          <w:rFonts w:ascii="Times New Roman" w:hAnsi="Times New Roman"/>
          <w:sz w:val="24"/>
          <w:szCs w:val="24"/>
          <w:lang w:eastAsia="de-DE" w:bidi="en-US"/>
        </w:rPr>
      </w:pPr>
    </w:p>
    <w:p w14:paraId="5E8B3241" w14:textId="45AAD6A4" w:rsidR="009C2CAB" w:rsidRPr="00F92B46" w:rsidRDefault="00AA53F8" w:rsidP="009C2CAB">
      <w:pPr>
        <w:rPr>
          <w:rFonts w:ascii="Times New Roman" w:hAnsi="Times New Roman"/>
          <w:sz w:val="24"/>
          <w:szCs w:val="24"/>
          <w:lang w:val="en-GB"/>
        </w:rPr>
      </w:pPr>
      <w:r w:rsidRPr="00F92B46">
        <w:rPr>
          <w:rFonts w:ascii="Times New Roman" w:hAnsi="Times New Roman"/>
          <w:sz w:val="24"/>
          <w:szCs w:val="24"/>
        </w:rPr>
        <w:drawing>
          <wp:anchor distT="0" distB="0" distL="114300" distR="114300" simplePos="0" relativeHeight="251660288" behindDoc="0" locked="0" layoutInCell="1" allowOverlap="1" wp14:anchorId="2188C199" wp14:editId="717D7C9A">
            <wp:simplePos x="0" y="0"/>
            <wp:positionH relativeFrom="column">
              <wp:posOffset>0</wp:posOffset>
            </wp:positionH>
            <wp:positionV relativeFrom="paragraph">
              <wp:posOffset>-3810</wp:posOffset>
            </wp:positionV>
            <wp:extent cx="4839335" cy="5049520"/>
            <wp:effectExtent l="0" t="0" r="0" b="0"/>
            <wp:wrapTopAndBottom/>
            <wp:docPr id="164064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9335" cy="5049520"/>
                    </a:xfrm>
                    <a:prstGeom prst="rect">
                      <a:avLst/>
                    </a:prstGeom>
                    <a:noFill/>
                  </pic:spPr>
                </pic:pic>
              </a:graphicData>
            </a:graphic>
          </wp:anchor>
        </w:drawing>
      </w:r>
      <w:r w:rsidR="009C2CAB" w:rsidRPr="00F92B46">
        <w:rPr>
          <w:rFonts w:ascii="Times New Roman" w:hAnsi="Times New Roman"/>
          <w:sz w:val="24"/>
          <w:szCs w:val="24"/>
        </w:rPr>
        <w:t xml:space="preserve"> </w:t>
      </w:r>
    </w:p>
    <w:p w14:paraId="1D13C593" w14:textId="2B4BAE5A" w:rsidR="009C2CAB" w:rsidRPr="00F92B46" w:rsidRDefault="008552FB" w:rsidP="00F92B46">
      <w:pPr>
        <w:pStyle w:val="MDPI51figurecaption"/>
        <w:ind w:hanging="2608"/>
        <w:rPr>
          <w:rFonts w:ascii="Times New Roman" w:hAnsi="Times New Roman"/>
          <w:sz w:val="24"/>
          <w:szCs w:val="24"/>
        </w:rPr>
      </w:pPr>
      <w:r w:rsidRPr="00F92B46">
        <w:rPr>
          <w:rFonts w:ascii="Times New Roman" w:hAnsi="Times New Roman"/>
          <w:b/>
          <w:bCs/>
          <w:sz w:val="24"/>
          <w:szCs w:val="24"/>
        </w:rPr>
        <w:lastRenderedPageBreak/>
        <w:t>Fig.</w:t>
      </w:r>
      <w:r w:rsidR="009C2CAB" w:rsidRPr="00F92B46">
        <w:rPr>
          <w:rFonts w:ascii="Times New Roman" w:hAnsi="Times New Roman"/>
          <w:b/>
          <w:bCs/>
          <w:sz w:val="24"/>
          <w:szCs w:val="24"/>
        </w:rPr>
        <w:t xml:space="preserve"> </w:t>
      </w:r>
      <w:r w:rsidR="00AD2242" w:rsidRPr="00F92B46">
        <w:rPr>
          <w:rFonts w:ascii="Times New Roman" w:hAnsi="Times New Roman"/>
          <w:b/>
          <w:bCs/>
          <w:sz w:val="24"/>
          <w:szCs w:val="24"/>
        </w:rPr>
        <w:t>S</w:t>
      </w:r>
      <w:r w:rsidR="009C2CAB" w:rsidRPr="00F92B46">
        <w:rPr>
          <w:rFonts w:ascii="Times New Roman" w:hAnsi="Times New Roman"/>
          <w:b/>
          <w:bCs/>
          <w:sz w:val="24"/>
          <w:szCs w:val="24"/>
        </w:rPr>
        <w:t>1</w:t>
      </w:r>
      <w:r w:rsidR="00AD2242" w:rsidRPr="00F92B46">
        <w:rPr>
          <w:rFonts w:ascii="Times New Roman" w:hAnsi="Times New Roman"/>
          <w:b/>
          <w:bCs/>
          <w:sz w:val="24"/>
          <w:szCs w:val="24"/>
        </w:rPr>
        <w:t>.</w:t>
      </w:r>
      <w:r w:rsidR="00AD2242" w:rsidRPr="00F92B46">
        <w:rPr>
          <w:rFonts w:ascii="Times New Roman" w:hAnsi="Times New Roman"/>
          <w:sz w:val="24"/>
          <w:szCs w:val="24"/>
        </w:rPr>
        <w:t xml:space="preserve"> </w:t>
      </w:r>
      <w:r w:rsidR="009C2CAB" w:rsidRPr="00F92B46">
        <w:rPr>
          <w:rFonts w:ascii="Times New Roman" w:hAnsi="Times New Roman"/>
          <w:sz w:val="24"/>
          <w:szCs w:val="24"/>
        </w:rPr>
        <w:t xml:space="preserve">Flow chart showing synthesis of sulfur and </w:t>
      </w:r>
      <w:r w:rsidR="0005690B" w:rsidRPr="00F92B46">
        <w:rPr>
          <w:rFonts w:ascii="Times New Roman" w:hAnsi="Times New Roman"/>
          <w:sz w:val="24"/>
          <w:szCs w:val="24"/>
        </w:rPr>
        <w:t>GNPs</w:t>
      </w:r>
      <w:r w:rsidR="009C2CAB" w:rsidRPr="00F92B46">
        <w:rPr>
          <w:rFonts w:ascii="Times New Roman" w:hAnsi="Times New Roman"/>
          <w:sz w:val="24"/>
          <w:szCs w:val="24"/>
        </w:rPr>
        <w:t xml:space="preserve"> composites.</w:t>
      </w:r>
    </w:p>
    <w:p w14:paraId="02A0DEBE" w14:textId="2F1BC17D" w:rsidR="0026176B" w:rsidRPr="00F92B46" w:rsidRDefault="0026176B" w:rsidP="001E589F">
      <w:pPr>
        <w:rPr>
          <w:rFonts w:ascii="Times New Roman" w:hAnsi="Times New Roman"/>
          <w:sz w:val="24"/>
          <w:szCs w:val="24"/>
        </w:rPr>
      </w:pPr>
      <w:r w:rsidRPr="00F92B46">
        <w:rPr>
          <w:rFonts w:ascii="Times New Roman" w:hAnsi="Times New Roman"/>
          <w:sz w:val="24"/>
          <w:szCs w:val="24"/>
        </w:rPr>
        <w:drawing>
          <wp:anchor distT="0" distB="0" distL="114300" distR="114300" simplePos="0" relativeHeight="251659264" behindDoc="1" locked="0" layoutInCell="1" allowOverlap="1" wp14:anchorId="37E1E31D" wp14:editId="56DA94E0">
            <wp:simplePos x="0" y="0"/>
            <wp:positionH relativeFrom="column">
              <wp:posOffset>-94891</wp:posOffset>
            </wp:positionH>
            <wp:positionV relativeFrom="paragraph">
              <wp:posOffset>84</wp:posOffset>
            </wp:positionV>
            <wp:extent cx="6400800" cy="7743190"/>
            <wp:effectExtent l="0" t="0" r="0" b="0"/>
            <wp:wrapThrough wrapText="bothSides">
              <wp:wrapPolygon edited="0">
                <wp:start x="0" y="0"/>
                <wp:lineTo x="0" y="21522"/>
                <wp:lineTo x="21536" y="21522"/>
                <wp:lineTo x="21536" y="0"/>
                <wp:lineTo x="0" y="0"/>
              </wp:wrapPolygon>
            </wp:wrapThrough>
            <wp:docPr id="595142389" name="Picture 1" descr="A group of math equ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42389" name="Picture 1" descr="A group of math equation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0" cy="7743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7EDD6" w14:textId="77777777" w:rsidR="0026176B" w:rsidRPr="00F92B46" w:rsidRDefault="0026176B" w:rsidP="001E589F">
      <w:pPr>
        <w:rPr>
          <w:rFonts w:ascii="Times New Roman" w:hAnsi="Times New Roman"/>
          <w:sz w:val="24"/>
          <w:szCs w:val="24"/>
        </w:rPr>
      </w:pPr>
    </w:p>
    <w:p w14:paraId="6AFE966F" w14:textId="35709394" w:rsidR="001E589F" w:rsidRPr="00F92B46" w:rsidRDefault="008552FB" w:rsidP="00F92B46">
      <w:pPr>
        <w:pStyle w:val="MDPI51figurecaption"/>
        <w:ind w:left="0"/>
        <w:rPr>
          <w:rFonts w:ascii="Times New Roman" w:hAnsi="Times New Roman"/>
          <w:sz w:val="24"/>
          <w:szCs w:val="24"/>
        </w:rPr>
      </w:pPr>
      <w:bookmarkStart w:id="0" w:name="_Hlk194367633"/>
      <w:r w:rsidRPr="00F92B46">
        <w:rPr>
          <w:rFonts w:ascii="Times New Roman" w:hAnsi="Times New Roman"/>
          <w:b/>
          <w:bCs/>
          <w:color w:val="000000" w:themeColor="text1"/>
          <w:sz w:val="24"/>
          <w:szCs w:val="24"/>
        </w:rPr>
        <w:lastRenderedPageBreak/>
        <w:t>Fig.</w:t>
      </w:r>
      <w:r w:rsidR="001E589F" w:rsidRPr="00F92B46">
        <w:rPr>
          <w:rFonts w:ascii="Times New Roman" w:hAnsi="Times New Roman"/>
          <w:b/>
          <w:bCs/>
          <w:color w:val="000000" w:themeColor="text1"/>
          <w:sz w:val="24"/>
          <w:szCs w:val="24"/>
        </w:rPr>
        <w:t xml:space="preserve"> </w:t>
      </w:r>
      <w:r w:rsidR="00AD2242" w:rsidRPr="00F92B46">
        <w:rPr>
          <w:rFonts w:ascii="Times New Roman" w:hAnsi="Times New Roman"/>
          <w:b/>
          <w:bCs/>
          <w:color w:val="000000" w:themeColor="text1"/>
          <w:sz w:val="24"/>
          <w:szCs w:val="24"/>
        </w:rPr>
        <w:t xml:space="preserve">S2. </w:t>
      </w:r>
      <w:r w:rsidR="001E589F" w:rsidRPr="00F92B46">
        <w:rPr>
          <w:rFonts w:ascii="Times New Roman" w:hAnsi="Times New Roman"/>
          <w:color w:val="000000" w:themeColor="text1"/>
          <w:sz w:val="24"/>
          <w:szCs w:val="24"/>
        </w:rPr>
        <w:t xml:space="preserve">WH Plot corresponds to the samples </w:t>
      </w:r>
      <w:r w:rsidR="00963B8C" w:rsidRPr="00F92B46">
        <w:rPr>
          <w:rFonts w:ascii="Times New Roman" w:hAnsi="Times New Roman"/>
          <w:color w:val="000000" w:themeColor="text1"/>
          <w:sz w:val="24"/>
          <w:szCs w:val="24"/>
        </w:rPr>
        <w:t>-</w:t>
      </w:r>
      <w:r w:rsidR="001E589F" w:rsidRPr="00F92B46">
        <w:rPr>
          <w:rFonts w:ascii="Times New Roman" w:hAnsi="Times New Roman"/>
          <w:sz w:val="24"/>
          <w:szCs w:val="24"/>
        </w:rPr>
        <w:t xml:space="preserve"> (a) G</w:t>
      </w:r>
      <w:r w:rsidR="00824BCE" w:rsidRPr="00F92B46">
        <w:rPr>
          <w:rFonts w:ascii="Times New Roman" w:hAnsi="Times New Roman"/>
          <w:sz w:val="24"/>
          <w:szCs w:val="24"/>
        </w:rPr>
        <w:t>NPs</w:t>
      </w:r>
      <w:r w:rsidR="001E589F" w:rsidRPr="00F92B46">
        <w:rPr>
          <w:rFonts w:ascii="Times New Roman" w:hAnsi="Times New Roman"/>
          <w:sz w:val="24"/>
          <w:szCs w:val="24"/>
        </w:rPr>
        <w:t>, (b) Pristine Sulfur, (c) SG-18, (d</w:t>
      </w:r>
      <w:r w:rsidR="00CA5ACF" w:rsidRPr="00F92B46">
        <w:rPr>
          <w:rFonts w:ascii="Times New Roman" w:hAnsi="Times New Roman"/>
          <w:sz w:val="24"/>
          <w:szCs w:val="24"/>
        </w:rPr>
        <w:t>) SG</w:t>
      </w:r>
      <w:r w:rsidR="001E589F" w:rsidRPr="00F92B46">
        <w:rPr>
          <w:rFonts w:ascii="Times New Roman" w:hAnsi="Times New Roman"/>
          <w:sz w:val="24"/>
          <w:szCs w:val="24"/>
        </w:rPr>
        <w:t>-16, (e) SG-14 and (f) SG-12.</w:t>
      </w:r>
    </w:p>
    <w:bookmarkEnd w:id="0"/>
    <w:p w14:paraId="4A15E4CE" w14:textId="77777777" w:rsidR="001E589F" w:rsidRPr="00F92B46" w:rsidRDefault="001E589F" w:rsidP="009C2CAB">
      <w:pPr>
        <w:spacing w:line="360" w:lineRule="auto"/>
        <w:rPr>
          <w:rFonts w:ascii="Times New Roman" w:hAnsi="Times New Roman"/>
          <w:sz w:val="24"/>
          <w:szCs w:val="24"/>
        </w:rPr>
      </w:pPr>
    </w:p>
    <w:p w14:paraId="0F255C28" w14:textId="3B79EBBA" w:rsidR="00986CFD" w:rsidRPr="00F92B46" w:rsidRDefault="00CB097A" w:rsidP="00CB097A">
      <w:pPr>
        <w:ind w:hanging="1134"/>
        <w:rPr>
          <w:rFonts w:ascii="Times New Roman" w:hAnsi="Times New Roman"/>
          <w:sz w:val="24"/>
          <w:szCs w:val="24"/>
        </w:rPr>
      </w:pPr>
      <w:r>
        <w:drawing>
          <wp:inline distT="0" distB="0" distL="0" distR="0" wp14:anchorId="5EED9CCE" wp14:editId="722DCE52">
            <wp:extent cx="6686550" cy="4690808"/>
            <wp:effectExtent l="0" t="0" r="0" b="0"/>
            <wp:docPr id="185700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90614" cy="4693659"/>
                    </a:xfrm>
                    <a:prstGeom prst="rect">
                      <a:avLst/>
                    </a:prstGeom>
                    <a:noFill/>
                    <a:ln>
                      <a:noFill/>
                    </a:ln>
                  </pic:spPr>
                </pic:pic>
              </a:graphicData>
            </a:graphic>
          </wp:inline>
        </w:drawing>
      </w:r>
    </w:p>
    <w:p w14:paraId="33AC4D12" w14:textId="68846578" w:rsidR="001E589F" w:rsidRPr="00F92B46" w:rsidRDefault="008552FB" w:rsidP="00F92B46">
      <w:pPr>
        <w:pStyle w:val="MDPI51figurecaption"/>
        <w:ind w:left="0"/>
        <w:rPr>
          <w:rFonts w:ascii="Times New Roman" w:hAnsi="Times New Roman"/>
          <w:sz w:val="24"/>
          <w:szCs w:val="24"/>
        </w:rPr>
      </w:pPr>
      <w:bookmarkStart w:id="1" w:name="_Hlk194367661"/>
      <w:r w:rsidRPr="00F92B46">
        <w:rPr>
          <w:rFonts w:ascii="Times New Roman" w:hAnsi="Times New Roman"/>
          <w:b/>
          <w:bCs/>
          <w:sz w:val="24"/>
          <w:szCs w:val="24"/>
        </w:rPr>
        <w:t>Fig.</w:t>
      </w:r>
      <w:r w:rsidR="001E589F" w:rsidRPr="00F92B46">
        <w:rPr>
          <w:rFonts w:ascii="Times New Roman" w:hAnsi="Times New Roman"/>
          <w:b/>
          <w:bCs/>
          <w:sz w:val="24"/>
          <w:szCs w:val="24"/>
        </w:rPr>
        <w:t xml:space="preserve"> </w:t>
      </w:r>
      <w:r w:rsidR="00AD2242" w:rsidRPr="00F92B46">
        <w:rPr>
          <w:rFonts w:ascii="Times New Roman" w:hAnsi="Times New Roman"/>
          <w:b/>
          <w:bCs/>
          <w:sz w:val="24"/>
          <w:szCs w:val="24"/>
        </w:rPr>
        <w:t>S3.</w:t>
      </w:r>
      <w:r w:rsidR="001E589F" w:rsidRPr="00F92B46">
        <w:rPr>
          <w:rFonts w:ascii="Times New Roman" w:hAnsi="Times New Roman"/>
          <w:sz w:val="24"/>
          <w:szCs w:val="24"/>
        </w:rPr>
        <w:t xml:space="preserve"> EDX analysis of </w:t>
      </w:r>
      <w:r w:rsidR="001E589F" w:rsidRPr="00F92B46">
        <w:rPr>
          <w:rFonts w:ascii="Times New Roman" w:hAnsi="Times New Roman"/>
          <w:color w:val="000000" w:themeColor="text1"/>
          <w:sz w:val="24"/>
          <w:szCs w:val="24"/>
        </w:rPr>
        <w:t>(a)</w:t>
      </w:r>
      <w:r w:rsidR="001E589F" w:rsidRPr="00F92B46">
        <w:rPr>
          <w:rFonts w:ascii="Times New Roman" w:hAnsi="Times New Roman"/>
          <w:sz w:val="24"/>
          <w:szCs w:val="24"/>
        </w:rPr>
        <w:t xml:space="preserve"> SG-</w:t>
      </w:r>
      <w:r w:rsidR="00824BCE" w:rsidRPr="00F92B46">
        <w:rPr>
          <w:rFonts w:ascii="Times New Roman" w:hAnsi="Times New Roman"/>
          <w:sz w:val="24"/>
          <w:szCs w:val="24"/>
        </w:rPr>
        <w:t>12,</w:t>
      </w:r>
      <w:r w:rsidR="001E589F" w:rsidRPr="00F92B46">
        <w:rPr>
          <w:rFonts w:ascii="Times New Roman" w:hAnsi="Times New Roman"/>
          <w:sz w:val="24"/>
          <w:szCs w:val="24"/>
        </w:rPr>
        <w:t xml:space="preserve"> </w:t>
      </w:r>
      <w:r w:rsidR="001E589F" w:rsidRPr="00F92B46">
        <w:rPr>
          <w:rFonts w:ascii="Times New Roman" w:hAnsi="Times New Roman"/>
          <w:color w:val="000000" w:themeColor="text1"/>
          <w:sz w:val="24"/>
          <w:szCs w:val="24"/>
        </w:rPr>
        <w:t xml:space="preserve">(b) </w:t>
      </w:r>
      <w:r w:rsidR="001E589F" w:rsidRPr="00F92B46">
        <w:rPr>
          <w:rFonts w:ascii="Times New Roman" w:hAnsi="Times New Roman"/>
          <w:sz w:val="24"/>
          <w:szCs w:val="24"/>
        </w:rPr>
        <w:t xml:space="preserve">SG-14, </w:t>
      </w:r>
      <w:r w:rsidR="001E589F" w:rsidRPr="00F92B46">
        <w:rPr>
          <w:rFonts w:ascii="Times New Roman" w:hAnsi="Times New Roman"/>
          <w:color w:val="000000" w:themeColor="text1"/>
          <w:sz w:val="24"/>
          <w:szCs w:val="24"/>
        </w:rPr>
        <w:t xml:space="preserve">(c) </w:t>
      </w:r>
      <w:r w:rsidR="001E589F" w:rsidRPr="00F92B46">
        <w:rPr>
          <w:rFonts w:ascii="Times New Roman" w:hAnsi="Times New Roman"/>
          <w:sz w:val="24"/>
          <w:szCs w:val="24"/>
        </w:rPr>
        <w:t xml:space="preserve">SG-16, </w:t>
      </w:r>
      <w:r w:rsidR="001E589F" w:rsidRPr="00F92B46">
        <w:rPr>
          <w:rFonts w:ascii="Times New Roman" w:hAnsi="Times New Roman"/>
          <w:color w:val="000000" w:themeColor="text1"/>
          <w:sz w:val="24"/>
          <w:szCs w:val="24"/>
        </w:rPr>
        <w:t xml:space="preserve">(d) </w:t>
      </w:r>
      <w:r w:rsidR="001E589F" w:rsidRPr="00F92B46">
        <w:rPr>
          <w:rFonts w:ascii="Times New Roman" w:hAnsi="Times New Roman"/>
          <w:sz w:val="24"/>
          <w:szCs w:val="24"/>
        </w:rPr>
        <w:t>SG-18 composites (e) elemental sulfur and (f)</w:t>
      </w:r>
      <w:r w:rsidR="00824BCE" w:rsidRPr="00F92B46">
        <w:rPr>
          <w:rFonts w:ascii="Times New Roman" w:hAnsi="Times New Roman"/>
          <w:sz w:val="24"/>
          <w:szCs w:val="24"/>
        </w:rPr>
        <w:t xml:space="preserve"> GNPs</w:t>
      </w:r>
      <w:r w:rsidR="001E589F" w:rsidRPr="00F92B46">
        <w:rPr>
          <w:rFonts w:ascii="Times New Roman" w:hAnsi="Times New Roman"/>
          <w:sz w:val="24"/>
          <w:szCs w:val="24"/>
        </w:rPr>
        <w:t>.</w:t>
      </w:r>
    </w:p>
    <w:bookmarkEnd w:id="1"/>
    <w:p w14:paraId="7E14A4B1" w14:textId="77777777" w:rsidR="001E589F" w:rsidRPr="00F92B46" w:rsidRDefault="001E589F" w:rsidP="001E589F">
      <w:pPr>
        <w:rPr>
          <w:rFonts w:ascii="Times New Roman" w:hAnsi="Times New Roman"/>
          <w:sz w:val="24"/>
          <w:szCs w:val="24"/>
          <w:lang w:val="en-GB"/>
        </w:rPr>
      </w:pPr>
      <w:r w:rsidRPr="00F92B46">
        <w:rPr>
          <w:rFonts w:ascii="Times New Roman" w:hAnsi="Times New Roman"/>
          <w:sz w:val="24"/>
          <w:szCs w:val="24"/>
        </w:rPr>
        <w:lastRenderedPageBreak/>
        <w:drawing>
          <wp:inline distT="0" distB="0" distL="0" distR="0" wp14:anchorId="6C60E75A" wp14:editId="5C985191">
            <wp:extent cx="5731510" cy="6456680"/>
            <wp:effectExtent l="0" t="0" r="2540" b="1270"/>
            <wp:docPr id="44752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6456680"/>
                    </a:xfrm>
                    <a:prstGeom prst="rect">
                      <a:avLst/>
                    </a:prstGeom>
                    <a:noFill/>
                    <a:ln>
                      <a:noFill/>
                    </a:ln>
                  </pic:spPr>
                </pic:pic>
              </a:graphicData>
            </a:graphic>
          </wp:inline>
        </w:drawing>
      </w:r>
    </w:p>
    <w:p w14:paraId="78FF11F5" w14:textId="378F0727" w:rsidR="001E589F" w:rsidRPr="00F92B46" w:rsidRDefault="008552FB" w:rsidP="00F92B46">
      <w:pPr>
        <w:pStyle w:val="MDPI51figurecaption"/>
        <w:ind w:left="0"/>
        <w:rPr>
          <w:rFonts w:ascii="Times New Roman" w:hAnsi="Times New Roman"/>
          <w:sz w:val="24"/>
          <w:szCs w:val="24"/>
        </w:rPr>
      </w:pPr>
      <w:bookmarkStart w:id="2" w:name="_Hlk194367671"/>
      <w:r w:rsidRPr="00F92B46">
        <w:rPr>
          <w:rFonts w:ascii="Times New Roman" w:hAnsi="Times New Roman"/>
          <w:b/>
          <w:bCs/>
          <w:sz w:val="24"/>
          <w:szCs w:val="24"/>
        </w:rPr>
        <w:t>Fig.</w:t>
      </w:r>
      <w:r w:rsidR="001E589F" w:rsidRPr="00F92B46">
        <w:rPr>
          <w:rFonts w:ascii="Times New Roman" w:hAnsi="Times New Roman"/>
          <w:b/>
          <w:bCs/>
          <w:sz w:val="24"/>
          <w:szCs w:val="24"/>
        </w:rPr>
        <w:t xml:space="preserve"> </w:t>
      </w:r>
      <w:r w:rsidR="00AD2242" w:rsidRPr="00F92B46">
        <w:rPr>
          <w:rFonts w:ascii="Times New Roman" w:hAnsi="Times New Roman"/>
          <w:b/>
          <w:bCs/>
          <w:sz w:val="24"/>
          <w:szCs w:val="24"/>
        </w:rPr>
        <w:t>S4.</w:t>
      </w:r>
      <w:r w:rsidR="00AD2242" w:rsidRPr="00F92B46">
        <w:rPr>
          <w:rFonts w:ascii="Times New Roman" w:hAnsi="Times New Roman"/>
          <w:sz w:val="24"/>
          <w:szCs w:val="24"/>
        </w:rPr>
        <w:t xml:space="preserve"> </w:t>
      </w:r>
      <w:r w:rsidR="001E589F" w:rsidRPr="00F92B46">
        <w:rPr>
          <w:rFonts w:ascii="Times New Roman" w:hAnsi="Times New Roman"/>
          <w:sz w:val="24"/>
          <w:szCs w:val="24"/>
        </w:rPr>
        <w:t xml:space="preserve">Absorption spectra for (a) Blank MB (b) pristine </w:t>
      </w:r>
      <w:r w:rsidR="00824BCE" w:rsidRPr="00F92B46">
        <w:rPr>
          <w:rFonts w:ascii="Times New Roman" w:hAnsi="Times New Roman"/>
          <w:sz w:val="24"/>
          <w:szCs w:val="24"/>
        </w:rPr>
        <w:t>GNPs</w:t>
      </w:r>
      <w:r w:rsidR="001E589F" w:rsidRPr="00F92B46">
        <w:rPr>
          <w:rFonts w:ascii="Times New Roman" w:hAnsi="Times New Roman"/>
          <w:sz w:val="24"/>
          <w:szCs w:val="24"/>
        </w:rPr>
        <w:t xml:space="preserve"> (c) SG-12 (d) SG-14 (e) SG-16 (f) SG-18. Inset graph illustrates zoomed out view of absorption spectra in the wavelength range - 200 nm to 800 nm. </w:t>
      </w:r>
    </w:p>
    <w:bookmarkEnd w:id="2"/>
    <w:p w14:paraId="5485D035" w14:textId="77777777" w:rsidR="001E589F" w:rsidRPr="00F92B46" w:rsidRDefault="001E589F" w:rsidP="001E589F">
      <w:pPr>
        <w:rPr>
          <w:rFonts w:ascii="Times New Roman" w:hAnsi="Times New Roman"/>
          <w:sz w:val="24"/>
          <w:szCs w:val="24"/>
        </w:rPr>
      </w:pPr>
      <w:r w:rsidRPr="00F92B46">
        <w:rPr>
          <w:rFonts w:ascii="Times New Roman" w:hAnsi="Times New Roman"/>
          <w:sz w:val="24"/>
          <w:szCs w:val="24"/>
        </w:rPr>
        <w:lastRenderedPageBreak/>
        <w:drawing>
          <wp:inline distT="0" distB="0" distL="0" distR="0" wp14:anchorId="5E04A90A" wp14:editId="69E4DA88">
            <wp:extent cx="5731510" cy="6501130"/>
            <wp:effectExtent l="0" t="0" r="2540" b="0"/>
            <wp:docPr id="1358461443" name="Picture 5" descr="A collage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61443" name="Picture 5" descr="A collage of different types of data&#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6501130"/>
                    </a:xfrm>
                    <a:prstGeom prst="rect">
                      <a:avLst/>
                    </a:prstGeom>
                    <a:noFill/>
                    <a:ln>
                      <a:noFill/>
                    </a:ln>
                  </pic:spPr>
                </pic:pic>
              </a:graphicData>
            </a:graphic>
          </wp:inline>
        </w:drawing>
      </w:r>
    </w:p>
    <w:p w14:paraId="2C915207" w14:textId="285F2007" w:rsidR="001E589F" w:rsidRPr="00F92B46" w:rsidRDefault="008552FB" w:rsidP="00F92B46">
      <w:pPr>
        <w:pStyle w:val="MDPI51figurecaption"/>
        <w:ind w:left="0"/>
        <w:rPr>
          <w:rFonts w:ascii="Times New Roman" w:hAnsi="Times New Roman"/>
          <w:sz w:val="24"/>
          <w:szCs w:val="24"/>
        </w:rPr>
      </w:pPr>
      <w:bookmarkStart w:id="3" w:name="_Hlk194367682"/>
      <w:r w:rsidRPr="00F92B46">
        <w:rPr>
          <w:rFonts w:ascii="Times New Roman" w:hAnsi="Times New Roman"/>
          <w:b/>
          <w:bCs/>
          <w:sz w:val="24"/>
          <w:szCs w:val="24"/>
        </w:rPr>
        <w:t>Fig.</w:t>
      </w:r>
      <w:r w:rsidR="001E589F" w:rsidRPr="00F92B46">
        <w:rPr>
          <w:rFonts w:ascii="Times New Roman" w:hAnsi="Times New Roman"/>
          <w:b/>
          <w:bCs/>
          <w:sz w:val="24"/>
          <w:szCs w:val="24"/>
        </w:rPr>
        <w:t xml:space="preserve"> </w:t>
      </w:r>
      <w:r w:rsidR="00AD2242" w:rsidRPr="00F92B46">
        <w:rPr>
          <w:rFonts w:ascii="Times New Roman" w:hAnsi="Times New Roman"/>
          <w:b/>
          <w:bCs/>
          <w:sz w:val="24"/>
          <w:szCs w:val="24"/>
        </w:rPr>
        <w:t>S5.</w:t>
      </w:r>
      <w:r w:rsidR="001E589F" w:rsidRPr="00F92B46">
        <w:rPr>
          <w:rFonts w:ascii="Times New Roman" w:hAnsi="Times New Roman"/>
          <w:sz w:val="24"/>
          <w:szCs w:val="24"/>
        </w:rPr>
        <w:t xml:space="preserve"> Absorption spectra for (a) Blank MO (b)</w:t>
      </w:r>
      <w:r w:rsidR="00824BCE" w:rsidRPr="00F92B46">
        <w:rPr>
          <w:rFonts w:ascii="Times New Roman" w:hAnsi="Times New Roman"/>
          <w:sz w:val="24"/>
          <w:szCs w:val="24"/>
        </w:rPr>
        <w:t xml:space="preserve"> GNPs</w:t>
      </w:r>
      <w:r w:rsidR="001E589F" w:rsidRPr="00F92B46">
        <w:rPr>
          <w:rFonts w:ascii="Times New Roman" w:hAnsi="Times New Roman"/>
          <w:sz w:val="24"/>
          <w:szCs w:val="24"/>
        </w:rPr>
        <w:t xml:space="preserve"> (c) SG-12 (d) SG-14 (e) SG-16 (f) SG-18. </w:t>
      </w:r>
    </w:p>
    <w:bookmarkEnd w:id="3"/>
    <w:p w14:paraId="705C36DF" w14:textId="77777777" w:rsidR="00125F13" w:rsidRPr="00F92B46" w:rsidRDefault="00125F13" w:rsidP="00AD2242">
      <w:pPr>
        <w:pStyle w:val="MDPI51figurecaption"/>
        <w:rPr>
          <w:rFonts w:ascii="Times New Roman" w:hAnsi="Times New Roman"/>
          <w:sz w:val="24"/>
          <w:szCs w:val="24"/>
        </w:rPr>
      </w:pPr>
    </w:p>
    <w:p w14:paraId="73BC8473" w14:textId="77777777" w:rsidR="00125F13" w:rsidRPr="00F92B46" w:rsidRDefault="00125F13" w:rsidP="00AD2242">
      <w:pPr>
        <w:pStyle w:val="MDPI51figurecaption"/>
        <w:rPr>
          <w:rFonts w:ascii="Times New Roman" w:hAnsi="Times New Roman"/>
          <w:sz w:val="24"/>
          <w:szCs w:val="24"/>
        </w:rPr>
      </w:pPr>
    </w:p>
    <w:p w14:paraId="76AA4D11" w14:textId="77777777" w:rsidR="00125F13" w:rsidRPr="00F92B46" w:rsidRDefault="00125F13" w:rsidP="00AD2242">
      <w:pPr>
        <w:pStyle w:val="MDPI51figurecaption"/>
        <w:rPr>
          <w:rFonts w:ascii="Times New Roman" w:hAnsi="Times New Roman"/>
          <w:sz w:val="24"/>
          <w:szCs w:val="24"/>
        </w:rPr>
      </w:pPr>
    </w:p>
    <w:p w14:paraId="18CDC3EA" w14:textId="77777777" w:rsidR="00125F13" w:rsidRPr="00F92B46" w:rsidRDefault="00125F13" w:rsidP="00AD2242">
      <w:pPr>
        <w:pStyle w:val="MDPI51figurecaption"/>
        <w:rPr>
          <w:rFonts w:ascii="Times New Roman" w:hAnsi="Times New Roman"/>
          <w:sz w:val="24"/>
          <w:szCs w:val="24"/>
        </w:rPr>
      </w:pPr>
    </w:p>
    <w:p w14:paraId="75750EEB" w14:textId="77777777" w:rsidR="00125F13" w:rsidRPr="00F92B46" w:rsidRDefault="00125F13" w:rsidP="00AD2242">
      <w:pPr>
        <w:pStyle w:val="MDPI51figurecaption"/>
        <w:rPr>
          <w:rFonts w:ascii="Times New Roman" w:hAnsi="Times New Roman"/>
          <w:sz w:val="24"/>
          <w:szCs w:val="24"/>
        </w:rPr>
      </w:pPr>
    </w:p>
    <w:p w14:paraId="59D2BFD9" w14:textId="2CC4D514" w:rsidR="001E589F" w:rsidRPr="00F92B46" w:rsidRDefault="001E589F" w:rsidP="00F92B46">
      <w:pPr>
        <w:pStyle w:val="MDPI41tablecaption"/>
        <w:ind w:left="0"/>
        <w:rPr>
          <w:rFonts w:ascii="Times New Roman" w:hAnsi="Times New Roman" w:cs="Times New Roman"/>
          <w:sz w:val="24"/>
          <w:szCs w:val="24"/>
        </w:rPr>
      </w:pPr>
      <w:bookmarkStart w:id="4" w:name="_Hlk194367733"/>
      <w:r w:rsidRPr="00F92B46">
        <w:rPr>
          <w:rFonts w:ascii="Times New Roman" w:hAnsi="Times New Roman" w:cs="Times New Roman"/>
          <w:b/>
          <w:bCs/>
          <w:sz w:val="24"/>
          <w:szCs w:val="24"/>
        </w:rPr>
        <w:lastRenderedPageBreak/>
        <w:t xml:space="preserve">Table </w:t>
      </w:r>
      <w:r w:rsidR="00AD2242" w:rsidRPr="00F92B46">
        <w:rPr>
          <w:rFonts w:ascii="Times New Roman" w:hAnsi="Times New Roman" w:cs="Times New Roman"/>
          <w:b/>
          <w:bCs/>
          <w:sz w:val="24"/>
          <w:szCs w:val="24"/>
        </w:rPr>
        <w:t>S1.</w:t>
      </w:r>
      <w:r w:rsidRPr="00F92B46">
        <w:rPr>
          <w:rFonts w:ascii="Times New Roman" w:hAnsi="Times New Roman" w:cs="Times New Roman"/>
          <w:sz w:val="24"/>
          <w:szCs w:val="24"/>
        </w:rPr>
        <w:t xml:space="preserve"> The values of the pseudo-zero, pseudo - first and pseudo -second-order rate constants, half-life times and the corresponding correlation coefficients for the photocatalytic degradation of Blank MB, G</w:t>
      </w:r>
      <w:r w:rsidR="00ED24F4" w:rsidRPr="00F92B46">
        <w:rPr>
          <w:rFonts w:ascii="Times New Roman" w:hAnsi="Times New Roman" w:cs="Times New Roman"/>
          <w:sz w:val="24"/>
          <w:szCs w:val="24"/>
        </w:rPr>
        <w:t>NPs</w:t>
      </w:r>
      <w:r w:rsidRPr="00F92B46">
        <w:rPr>
          <w:rFonts w:ascii="Times New Roman" w:hAnsi="Times New Roman" w:cs="Times New Roman"/>
          <w:sz w:val="24"/>
          <w:szCs w:val="24"/>
        </w:rPr>
        <w:t>, SG-12, SG-14, SG-16 and SG-18.</w:t>
      </w:r>
    </w:p>
    <w:bookmarkEnd w:id="4"/>
    <w:tbl>
      <w:tblPr>
        <w:tblW w:w="11660" w:type="dxa"/>
        <w:tblInd w:w="-1286" w:type="dxa"/>
        <w:tblLayout w:type="fixed"/>
        <w:tblLook w:val="04A0" w:firstRow="1" w:lastRow="0" w:firstColumn="1" w:lastColumn="0" w:noHBand="0" w:noVBand="1"/>
      </w:tblPr>
      <w:tblGrid>
        <w:gridCol w:w="429"/>
        <w:gridCol w:w="1290"/>
        <w:gridCol w:w="1145"/>
        <w:gridCol w:w="1145"/>
        <w:gridCol w:w="999"/>
        <w:gridCol w:w="1026"/>
        <w:gridCol w:w="912"/>
        <w:gridCol w:w="1134"/>
        <w:gridCol w:w="1145"/>
        <w:gridCol w:w="1145"/>
        <w:gridCol w:w="1290"/>
      </w:tblGrid>
      <w:tr w:rsidR="001E589F" w:rsidRPr="00F92B46" w14:paraId="17281535" w14:textId="77777777" w:rsidTr="00EC30CB">
        <w:trPr>
          <w:trHeight w:val="249"/>
        </w:trPr>
        <w:tc>
          <w:tcPr>
            <w:tcW w:w="429" w:type="dxa"/>
            <w:vMerge w:val="restart"/>
            <w:tcBorders>
              <w:top w:val="single" w:sz="8" w:space="0" w:color="auto"/>
              <w:left w:val="single" w:sz="8" w:space="0" w:color="auto"/>
              <w:bottom w:val="single" w:sz="8" w:space="0" w:color="000000"/>
              <w:right w:val="single" w:sz="8" w:space="0" w:color="auto"/>
            </w:tcBorders>
            <w:vAlign w:val="center"/>
            <w:hideMark/>
          </w:tcPr>
          <w:p w14:paraId="70DE91E5" w14:textId="38B021ED"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hAnsi="Times New Roman"/>
                <w:sz w:val="24"/>
                <w:szCs w:val="24"/>
              </w:rPr>
              <w:br w:type="page"/>
            </w:r>
            <w:r w:rsidRPr="00F92B46">
              <w:rPr>
                <w:rFonts w:ascii="Times New Roman" w:eastAsia="Times New Roman" w:hAnsi="Times New Roman"/>
                <w:sz w:val="24"/>
                <w:szCs w:val="24"/>
                <w:lang w:val="en-GB" w:eastAsia="en-IN"/>
              </w:rPr>
              <w:t>Sr. No.</w:t>
            </w:r>
          </w:p>
        </w:tc>
        <w:tc>
          <w:tcPr>
            <w:tcW w:w="1290" w:type="dxa"/>
            <w:vMerge w:val="restart"/>
            <w:tcBorders>
              <w:top w:val="single" w:sz="8" w:space="0" w:color="auto"/>
              <w:left w:val="single" w:sz="8" w:space="0" w:color="auto"/>
              <w:bottom w:val="single" w:sz="8" w:space="0" w:color="000000"/>
              <w:right w:val="single" w:sz="4" w:space="0" w:color="auto"/>
            </w:tcBorders>
            <w:vAlign w:val="center"/>
            <w:hideMark/>
          </w:tcPr>
          <w:p w14:paraId="258FE73E"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Sample Name</w:t>
            </w:r>
          </w:p>
        </w:tc>
        <w:tc>
          <w:tcPr>
            <w:tcW w:w="1145" w:type="dxa"/>
            <w:vMerge w:val="restart"/>
            <w:tcBorders>
              <w:top w:val="single" w:sz="8" w:space="0" w:color="auto"/>
              <w:left w:val="single" w:sz="4" w:space="0" w:color="auto"/>
              <w:bottom w:val="single" w:sz="8" w:space="0" w:color="000000"/>
              <w:right w:val="single" w:sz="8" w:space="0" w:color="auto"/>
            </w:tcBorders>
            <w:vAlign w:val="center"/>
            <w:hideMark/>
          </w:tcPr>
          <w:p w14:paraId="1CA7027A"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Rate constant (k</w:t>
            </w:r>
            <w:r w:rsidRPr="00F92B46">
              <w:rPr>
                <w:rFonts w:ascii="Times New Roman" w:eastAsia="Times New Roman" w:hAnsi="Times New Roman"/>
                <w:sz w:val="24"/>
                <w:szCs w:val="24"/>
                <w:vertAlign w:val="subscript"/>
                <w:lang w:val="en-GB" w:eastAsia="en-IN"/>
              </w:rPr>
              <w:t>0</w:t>
            </w:r>
            <w:r w:rsidRPr="00F92B46">
              <w:rPr>
                <w:rFonts w:ascii="Times New Roman" w:eastAsia="Times New Roman" w:hAnsi="Times New Roman"/>
                <w:sz w:val="24"/>
                <w:szCs w:val="24"/>
                <w:lang w:val="en-GB" w:eastAsia="en-IN"/>
              </w:rPr>
              <w:t>) (M min</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w:t>
            </w:r>
          </w:p>
        </w:tc>
        <w:tc>
          <w:tcPr>
            <w:tcW w:w="1145" w:type="dxa"/>
            <w:vMerge w:val="restart"/>
            <w:tcBorders>
              <w:top w:val="single" w:sz="8" w:space="0" w:color="auto"/>
              <w:left w:val="single" w:sz="8" w:space="0" w:color="auto"/>
              <w:bottom w:val="single" w:sz="8" w:space="0" w:color="000000"/>
              <w:right w:val="single" w:sz="8" w:space="0" w:color="auto"/>
            </w:tcBorders>
            <w:vAlign w:val="center"/>
            <w:hideMark/>
          </w:tcPr>
          <w:p w14:paraId="4E16CAB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w:t>
            </w:r>
            <w:r w:rsidRPr="00F92B46">
              <w:rPr>
                <w:rFonts w:ascii="Times New Roman" w:eastAsia="Times New Roman" w:hAnsi="Times New Roman"/>
                <w:sz w:val="24"/>
                <w:szCs w:val="24"/>
                <w:vertAlign w:val="superscript"/>
                <w:lang w:val="en-GB" w:eastAsia="en-IN"/>
              </w:rPr>
              <w:t xml:space="preserve">2 </w:t>
            </w:r>
          </w:p>
        </w:tc>
        <w:tc>
          <w:tcPr>
            <w:tcW w:w="999" w:type="dxa"/>
            <w:tcBorders>
              <w:top w:val="single" w:sz="8" w:space="0" w:color="auto"/>
              <w:left w:val="nil"/>
              <w:bottom w:val="nil"/>
              <w:right w:val="single" w:sz="8" w:space="0" w:color="auto"/>
            </w:tcBorders>
            <w:vAlign w:val="center"/>
            <w:hideMark/>
          </w:tcPr>
          <w:p w14:paraId="5B6B20B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xml:space="preserve">Half </w:t>
            </w:r>
          </w:p>
        </w:tc>
        <w:tc>
          <w:tcPr>
            <w:tcW w:w="1026" w:type="dxa"/>
            <w:vMerge w:val="restart"/>
            <w:tcBorders>
              <w:top w:val="single" w:sz="8" w:space="0" w:color="auto"/>
              <w:left w:val="single" w:sz="8" w:space="0" w:color="auto"/>
              <w:bottom w:val="single" w:sz="8" w:space="0" w:color="000000"/>
              <w:right w:val="single" w:sz="8" w:space="0" w:color="auto"/>
            </w:tcBorders>
            <w:vAlign w:val="center"/>
            <w:hideMark/>
          </w:tcPr>
          <w:p w14:paraId="37D24D8B"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Rate constant (k</w:t>
            </w:r>
            <w:r w:rsidRPr="00F92B46">
              <w:rPr>
                <w:rFonts w:ascii="Times New Roman" w:eastAsia="Times New Roman" w:hAnsi="Times New Roman"/>
                <w:sz w:val="24"/>
                <w:szCs w:val="24"/>
                <w:vertAlign w:val="subscript"/>
                <w:lang w:val="en-GB" w:eastAsia="en-IN"/>
              </w:rPr>
              <w:t>1</w:t>
            </w:r>
            <w:r w:rsidRPr="00F92B46">
              <w:rPr>
                <w:rFonts w:ascii="Times New Roman" w:eastAsia="Times New Roman" w:hAnsi="Times New Roman"/>
                <w:sz w:val="24"/>
                <w:szCs w:val="24"/>
                <w:lang w:val="en-GB" w:eastAsia="en-IN"/>
              </w:rPr>
              <w:t>) (min</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w:t>
            </w:r>
          </w:p>
        </w:tc>
        <w:tc>
          <w:tcPr>
            <w:tcW w:w="912" w:type="dxa"/>
            <w:vMerge w:val="restart"/>
            <w:tcBorders>
              <w:top w:val="single" w:sz="8" w:space="0" w:color="auto"/>
              <w:left w:val="single" w:sz="8" w:space="0" w:color="auto"/>
              <w:bottom w:val="single" w:sz="8" w:space="0" w:color="000000"/>
              <w:right w:val="single" w:sz="8" w:space="0" w:color="auto"/>
            </w:tcBorders>
            <w:vAlign w:val="center"/>
            <w:hideMark/>
          </w:tcPr>
          <w:p w14:paraId="19F59129"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w:t>
            </w:r>
            <w:r w:rsidRPr="00F92B46">
              <w:rPr>
                <w:rFonts w:ascii="Times New Roman" w:eastAsia="Times New Roman" w:hAnsi="Times New Roman"/>
                <w:sz w:val="24"/>
                <w:szCs w:val="24"/>
                <w:vertAlign w:val="superscript"/>
                <w:lang w:val="en-GB" w:eastAsia="en-IN"/>
              </w:rPr>
              <w:t>2</w:t>
            </w:r>
          </w:p>
        </w:tc>
        <w:tc>
          <w:tcPr>
            <w:tcW w:w="1134" w:type="dxa"/>
            <w:tcBorders>
              <w:top w:val="single" w:sz="8" w:space="0" w:color="auto"/>
              <w:left w:val="nil"/>
              <w:bottom w:val="nil"/>
              <w:right w:val="single" w:sz="8" w:space="0" w:color="auto"/>
            </w:tcBorders>
            <w:vAlign w:val="center"/>
            <w:hideMark/>
          </w:tcPr>
          <w:p w14:paraId="7CCE8631"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Half</w:t>
            </w:r>
          </w:p>
        </w:tc>
        <w:tc>
          <w:tcPr>
            <w:tcW w:w="1145" w:type="dxa"/>
            <w:vMerge w:val="restart"/>
            <w:tcBorders>
              <w:top w:val="single" w:sz="8" w:space="0" w:color="auto"/>
              <w:left w:val="single" w:sz="8" w:space="0" w:color="auto"/>
              <w:bottom w:val="single" w:sz="8" w:space="0" w:color="000000"/>
              <w:right w:val="single" w:sz="8" w:space="0" w:color="auto"/>
            </w:tcBorders>
            <w:vAlign w:val="center"/>
            <w:hideMark/>
          </w:tcPr>
          <w:p w14:paraId="19FEFDC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Rate constant (k</w:t>
            </w:r>
            <w:r w:rsidRPr="00F92B46">
              <w:rPr>
                <w:rFonts w:ascii="Times New Roman" w:eastAsia="Times New Roman" w:hAnsi="Times New Roman"/>
                <w:sz w:val="24"/>
                <w:szCs w:val="24"/>
                <w:vertAlign w:val="subscript"/>
                <w:lang w:val="en-GB" w:eastAsia="en-IN"/>
              </w:rPr>
              <w:t>2</w:t>
            </w:r>
            <w:r w:rsidRPr="00F92B46">
              <w:rPr>
                <w:rFonts w:ascii="Times New Roman" w:eastAsia="Times New Roman" w:hAnsi="Times New Roman"/>
                <w:sz w:val="24"/>
                <w:szCs w:val="24"/>
                <w:lang w:val="en-GB" w:eastAsia="en-IN"/>
              </w:rPr>
              <w:t>) (M</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 xml:space="preserve"> min</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w:t>
            </w:r>
          </w:p>
        </w:tc>
        <w:tc>
          <w:tcPr>
            <w:tcW w:w="1145" w:type="dxa"/>
            <w:vMerge w:val="restart"/>
            <w:tcBorders>
              <w:top w:val="single" w:sz="8" w:space="0" w:color="auto"/>
              <w:left w:val="single" w:sz="8" w:space="0" w:color="auto"/>
              <w:bottom w:val="single" w:sz="8" w:space="0" w:color="000000"/>
              <w:right w:val="single" w:sz="8" w:space="0" w:color="auto"/>
            </w:tcBorders>
            <w:vAlign w:val="center"/>
            <w:hideMark/>
          </w:tcPr>
          <w:p w14:paraId="6659F455"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w:t>
            </w:r>
            <w:r w:rsidRPr="00F92B46">
              <w:rPr>
                <w:rFonts w:ascii="Times New Roman" w:eastAsia="Times New Roman" w:hAnsi="Times New Roman"/>
                <w:sz w:val="24"/>
                <w:szCs w:val="24"/>
                <w:vertAlign w:val="superscript"/>
                <w:lang w:val="en-GB" w:eastAsia="en-IN"/>
              </w:rPr>
              <w:t>2</w:t>
            </w:r>
          </w:p>
        </w:tc>
        <w:tc>
          <w:tcPr>
            <w:tcW w:w="1290" w:type="dxa"/>
            <w:tcBorders>
              <w:top w:val="single" w:sz="8" w:space="0" w:color="auto"/>
              <w:left w:val="nil"/>
              <w:bottom w:val="nil"/>
              <w:right w:val="single" w:sz="8" w:space="0" w:color="auto"/>
            </w:tcBorders>
            <w:vAlign w:val="center"/>
            <w:hideMark/>
          </w:tcPr>
          <w:p w14:paraId="23FF608F"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Half</w:t>
            </w:r>
          </w:p>
        </w:tc>
      </w:tr>
      <w:tr w:rsidR="001E589F" w:rsidRPr="00F92B46" w14:paraId="140B30CE" w14:textId="77777777" w:rsidTr="00EC30CB">
        <w:trPr>
          <w:trHeight w:val="332"/>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77C26220"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vMerge/>
            <w:tcBorders>
              <w:top w:val="single" w:sz="8" w:space="0" w:color="auto"/>
              <w:left w:val="single" w:sz="8" w:space="0" w:color="auto"/>
              <w:bottom w:val="single" w:sz="8" w:space="0" w:color="000000"/>
              <w:right w:val="single" w:sz="4" w:space="0" w:color="auto"/>
            </w:tcBorders>
            <w:vAlign w:val="center"/>
            <w:hideMark/>
          </w:tcPr>
          <w:p w14:paraId="773B5797"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4" w:space="0" w:color="auto"/>
              <w:bottom w:val="single" w:sz="8" w:space="0" w:color="000000"/>
              <w:right w:val="single" w:sz="8" w:space="0" w:color="auto"/>
            </w:tcBorders>
            <w:vAlign w:val="center"/>
            <w:hideMark/>
          </w:tcPr>
          <w:p w14:paraId="3A9C2056"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12914D0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nil"/>
              <w:right w:val="single" w:sz="8" w:space="0" w:color="auto"/>
            </w:tcBorders>
            <w:vAlign w:val="center"/>
            <w:hideMark/>
          </w:tcPr>
          <w:p w14:paraId="6B459BF9"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Life (C</w:t>
            </w:r>
            <w:r w:rsidRPr="00F92B46">
              <w:rPr>
                <w:rFonts w:ascii="Times New Roman" w:eastAsia="Times New Roman" w:hAnsi="Times New Roman"/>
                <w:sz w:val="24"/>
                <w:szCs w:val="24"/>
                <w:vertAlign w:val="subscript"/>
                <w:lang w:val="en-GB" w:eastAsia="en-IN"/>
              </w:rPr>
              <w:t>o</w:t>
            </w:r>
            <w:r w:rsidRPr="00F92B46">
              <w:rPr>
                <w:rFonts w:ascii="Times New Roman" w:eastAsia="Times New Roman" w:hAnsi="Times New Roman"/>
                <w:sz w:val="24"/>
                <w:szCs w:val="24"/>
                <w:lang w:val="en-GB" w:eastAsia="en-IN"/>
              </w:rPr>
              <w:t>/2k</w:t>
            </w:r>
            <w:r w:rsidRPr="00F92B46">
              <w:rPr>
                <w:rFonts w:ascii="Times New Roman" w:eastAsia="Times New Roman" w:hAnsi="Times New Roman"/>
                <w:sz w:val="24"/>
                <w:szCs w:val="24"/>
                <w:vertAlign w:val="subscript"/>
                <w:lang w:val="en-GB" w:eastAsia="en-IN"/>
              </w:rPr>
              <w:t>0</w:t>
            </w:r>
            <w:r w:rsidRPr="00F92B46">
              <w:rPr>
                <w:rFonts w:ascii="Times New Roman" w:eastAsia="Times New Roman" w:hAnsi="Times New Roman"/>
                <w:sz w:val="24"/>
                <w:szCs w:val="24"/>
                <w:lang w:val="en-GB" w:eastAsia="en-IN"/>
              </w:rPr>
              <w:t>)</w:t>
            </w:r>
          </w:p>
        </w:tc>
        <w:tc>
          <w:tcPr>
            <w:tcW w:w="1026" w:type="dxa"/>
            <w:vMerge/>
            <w:tcBorders>
              <w:top w:val="single" w:sz="8" w:space="0" w:color="auto"/>
              <w:left w:val="single" w:sz="8" w:space="0" w:color="auto"/>
              <w:bottom w:val="single" w:sz="8" w:space="0" w:color="000000"/>
              <w:right w:val="single" w:sz="8" w:space="0" w:color="auto"/>
            </w:tcBorders>
            <w:vAlign w:val="center"/>
            <w:hideMark/>
          </w:tcPr>
          <w:p w14:paraId="687D9EC2"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12" w:type="dxa"/>
            <w:vMerge/>
            <w:tcBorders>
              <w:top w:val="single" w:sz="8" w:space="0" w:color="auto"/>
              <w:left w:val="single" w:sz="8" w:space="0" w:color="auto"/>
              <w:bottom w:val="single" w:sz="8" w:space="0" w:color="000000"/>
              <w:right w:val="single" w:sz="8" w:space="0" w:color="auto"/>
            </w:tcBorders>
            <w:vAlign w:val="center"/>
            <w:hideMark/>
          </w:tcPr>
          <w:p w14:paraId="364069B2"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nil"/>
              <w:right w:val="single" w:sz="8" w:space="0" w:color="auto"/>
            </w:tcBorders>
            <w:vAlign w:val="center"/>
            <w:hideMark/>
          </w:tcPr>
          <w:p w14:paraId="602396BF"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Life</w:t>
            </w: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505B095C"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4F82DE72"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nil"/>
              <w:right w:val="single" w:sz="8" w:space="0" w:color="auto"/>
            </w:tcBorders>
            <w:vAlign w:val="center"/>
            <w:hideMark/>
          </w:tcPr>
          <w:p w14:paraId="6A9C94F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Life</w:t>
            </w:r>
          </w:p>
        </w:tc>
      </w:tr>
      <w:tr w:rsidR="001E589F" w:rsidRPr="00F92B46" w14:paraId="7E0B568B" w14:textId="77777777" w:rsidTr="00EC30CB">
        <w:trPr>
          <w:trHeight w:val="54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0C5C125A"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vMerge/>
            <w:tcBorders>
              <w:top w:val="single" w:sz="8" w:space="0" w:color="auto"/>
              <w:left w:val="single" w:sz="8" w:space="0" w:color="auto"/>
              <w:bottom w:val="single" w:sz="8" w:space="0" w:color="000000"/>
              <w:right w:val="single" w:sz="4" w:space="0" w:color="auto"/>
            </w:tcBorders>
            <w:vAlign w:val="center"/>
            <w:hideMark/>
          </w:tcPr>
          <w:p w14:paraId="4338AD0F"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4" w:space="0" w:color="auto"/>
              <w:bottom w:val="single" w:sz="8" w:space="0" w:color="000000"/>
              <w:right w:val="single" w:sz="8" w:space="0" w:color="auto"/>
            </w:tcBorders>
            <w:vAlign w:val="center"/>
            <w:hideMark/>
          </w:tcPr>
          <w:p w14:paraId="7053F249"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5F82D28E"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nil"/>
              <w:right w:val="single" w:sz="8" w:space="0" w:color="auto"/>
            </w:tcBorders>
            <w:hideMark/>
          </w:tcPr>
          <w:p w14:paraId="38D46B20"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 (in min)</w:t>
            </w:r>
          </w:p>
        </w:tc>
        <w:tc>
          <w:tcPr>
            <w:tcW w:w="1026" w:type="dxa"/>
            <w:vMerge/>
            <w:tcBorders>
              <w:top w:val="single" w:sz="8" w:space="0" w:color="auto"/>
              <w:left w:val="single" w:sz="8" w:space="0" w:color="auto"/>
              <w:bottom w:val="single" w:sz="8" w:space="0" w:color="000000"/>
              <w:right w:val="single" w:sz="8" w:space="0" w:color="auto"/>
            </w:tcBorders>
            <w:vAlign w:val="center"/>
            <w:hideMark/>
          </w:tcPr>
          <w:p w14:paraId="481E86C9"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12" w:type="dxa"/>
            <w:vMerge/>
            <w:tcBorders>
              <w:top w:val="single" w:sz="8" w:space="0" w:color="auto"/>
              <w:left w:val="single" w:sz="8" w:space="0" w:color="auto"/>
              <w:bottom w:val="single" w:sz="8" w:space="0" w:color="000000"/>
              <w:right w:val="single" w:sz="8" w:space="0" w:color="auto"/>
            </w:tcBorders>
            <w:vAlign w:val="center"/>
            <w:hideMark/>
          </w:tcPr>
          <w:p w14:paraId="5625B6E4"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nil"/>
              <w:right w:val="single" w:sz="8" w:space="0" w:color="auto"/>
            </w:tcBorders>
            <w:vAlign w:val="center"/>
            <w:hideMark/>
          </w:tcPr>
          <w:p w14:paraId="7FE63BEA"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(0.693/k</w:t>
            </w:r>
            <w:r w:rsidRPr="00F92B46">
              <w:rPr>
                <w:rFonts w:ascii="Times New Roman" w:eastAsia="Times New Roman" w:hAnsi="Times New Roman"/>
                <w:sz w:val="24"/>
                <w:szCs w:val="24"/>
                <w:vertAlign w:val="subscript"/>
                <w:lang w:val="en-GB" w:eastAsia="en-IN"/>
              </w:rPr>
              <w:t>1</w:t>
            </w:r>
            <w:r w:rsidRPr="00F92B46">
              <w:rPr>
                <w:rFonts w:ascii="Times New Roman" w:eastAsia="Times New Roman" w:hAnsi="Times New Roman"/>
                <w:sz w:val="24"/>
                <w:szCs w:val="24"/>
                <w:lang w:val="en-GB" w:eastAsia="en-IN"/>
              </w:rPr>
              <w:t xml:space="preserve">) </w:t>
            </w:r>
            <w:r w:rsidRPr="00F92B46">
              <w:rPr>
                <w:rFonts w:ascii="Times New Roman" w:eastAsia="Times New Roman" w:hAnsi="Times New Roman"/>
                <w:sz w:val="24"/>
                <w:szCs w:val="24"/>
                <w:lang w:eastAsia="en-IN"/>
              </w:rPr>
              <w:t> (in min)</w:t>
            </w: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3E958036"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0864695E"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nil"/>
              <w:right w:val="single" w:sz="8" w:space="0" w:color="auto"/>
            </w:tcBorders>
            <w:vAlign w:val="center"/>
            <w:hideMark/>
          </w:tcPr>
          <w:p w14:paraId="0F2AF525"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(1/k</w:t>
            </w:r>
            <w:r w:rsidRPr="00F92B46">
              <w:rPr>
                <w:rFonts w:ascii="Times New Roman" w:eastAsia="Times New Roman" w:hAnsi="Times New Roman"/>
                <w:sz w:val="24"/>
                <w:szCs w:val="24"/>
                <w:vertAlign w:val="subscript"/>
                <w:lang w:val="en-GB" w:eastAsia="en-IN"/>
              </w:rPr>
              <w:t>2</w:t>
            </w:r>
            <w:r w:rsidRPr="00F92B46">
              <w:rPr>
                <w:rFonts w:ascii="Times New Roman" w:eastAsia="Times New Roman" w:hAnsi="Times New Roman"/>
                <w:sz w:val="24"/>
                <w:szCs w:val="24"/>
                <w:lang w:val="en-GB" w:eastAsia="en-IN"/>
              </w:rPr>
              <w:t>C</w:t>
            </w:r>
            <w:r w:rsidRPr="00F92B46">
              <w:rPr>
                <w:rFonts w:ascii="Times New Roman" w:eastAsia="Times New Roman" w:hAnsi="Times New Roman"/>
                <w:sz w:val="24"/>
                <w:szCs w:val="24"/>
                <w:vertAlign w:val="subscript"/>
                <w:lang w:val="en-GB" w:eastAsia="en-IN"/>
              </w:rPr>
              <w:t>o</w:t>
            </w:r>
            <w:r w:rsidRPr="00F92B46">
              <w:rPr>
                <w:rFonts w:ascii="Times New Roman" w:eastAsia="Times New Roman" w:hAnsi="Times New Roman"/>
                <w:sz w:val="24"/>
                <w:szCs w:val="24"/>
                <w:lang w:val="en-GB" w:eastAsia="en-IN"/>
              </w:rPr>
              <w:t>)</w:t>
            </w:r>
            <w:r w:rsidRPr="00F92B46">
              <w:rPr>
                <w:rFonts w:ascii="Times New Roman" w:eastAsia="Times New Roman" w:hAnsi="Times New Roman"/>
                <w:sz w:val="24"/>
                <w:szCs w:val="24"/>
                <w:lang w:eastAsia="en-IN"/>
              </w:rPr>
              <w:t xml:space="preserve">  </w:t>
            </w:r>
            <w:r w:rsidRPr="00F92B46">
              <w:rPr>
                <w:rFonts w:ascii="Times New Roman" w:eastAsia="Times New Roman" w:hAnsi="Times New Roman"/>
                <w:sz w:val="24"/>
                <w:szCs w:val="24"/>
                <w:lang w:val="en-GB" w:eastAsia="en-IN"/>
              </w:rPr>
              <w:t xml:space="preserve"> </w:t>
            </w:r>
            <w:r w:rsidRPr="00F92B46">
              <w:rPr>
                <w:rFonts w:ascii="Times New Roman" w:eastAsia="Times New Roman" w:hAnsi="Times New Roman"/>
                <w:sz w:val="24"/>
                <w:szCs w:val="24"/>
                <w:lang w:eastAsia="en-IN"/>
              </w:rPr>
              <w:t> (in min)</w:t>
            </w:r>
          </w:p>
        </w:tc>
      </w:tr>
      <w:tr w:rsidR="001E589F" w:rsidRPr="00F92B46" w14:paraId="11168AC3" w14:textId="77777777" w:rsidTr="00EC30CB">
        <w:trPr>
          <w:trHeight w:val="47"/>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140404F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vMerge/>
            <w:tcBorders>
              <w:top w:val="single" w:sz="8" w:space="0" w:color="auto"/>
              <w:left w:val="single" w:sz="8" w:space="0" w:color="auto"/>
              <w:bottom w:val="single" w:sz="8" w:space="0" w:color="000000"/>
              <w:right w:val="single" w:sz="4" w:space="0" w:color="auto"/>
            </w:tcBorders>
            <w:vAlign w:val="center"/>
            <w:hideMark/>
          </w:tcPr>
          <w:p w14:paraId="7940265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4" w:space="0" w:color="auto"/>
              <w:bottom w:val="single" w:sz="8" w:space="0" w:color="000000"/>
              <w:right w:val="single" w:sz="8" w:space="0" w:color="auto"/>
            </w:tcBorders>
            <w:vAlign w:val="center"/>
            <w:hideMark/>
          </w:tcPr>
          <w:p w14:paraId="2D0CB06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5AD91C23"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single" w:sz="8" w:space="0" w:color="auto"/>
              <w:right w:val="single" w:sz="8" w:space="0" w:color="auto"/>
            </w:tcBorders>
            <w:hideMark/>
          </w:tcPr>
          <w:p w14:paraId="5619630C"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 </w:t>
            </w:r>
          </w:p>
        </w:tc>
        <w:tc>
          <w:tcPr>
            <w:tcW w:w="1026" w:type="dxa"/>
            <w:vMerge/>
            <w:tcBorders>
              <w:top w:val="single" w:sz="8" w:space="0" w:color="auto"/>
              <w:left w:val="single" w:sz="8" w:space="0" w:color="auto"/>
              <w:bottom w:val="single" w:sz="8" w:space="0" w:color="000000"/>
              <w:right w:val="single" w:sz="8" w:space="0" w:color="auto"/>
            </w:tcBorders>
            <w:vAlign w:val="center"/>
            <w:hideMark/>
          </w:tcPr>
          <w:p w14:paraId="26F9B8A0"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12" w:type="dxa"/>
            <w:vMerge/>
            <w:tcBorders>
              <w:top w:val="single" w:sz="8" w:space="0" w:color="auto"/>
              <w:left w:val="single" w:sz="8" w:space="0" w:color="auto"/>
              <w:bottom w:val="single" w:sz="8" w:space="0" w:color="000000"/>
              <w:right w:val="single" w:sz="8" w:space="0" w:color="auto"/>
            </w:tcBorders>
            <w:vAlign w:val="center"/>
            <w:hideMark/>
          </w:tcPr>
          <w:p w14:paraId="552C8FD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single" w:sz="8" w:space="0" w:color="auto"/>
              <w:right w:val="single" w:sz="8" w:space="0" w:color="auto"/>
            </w:tcBorders>
            <w:vAlign w:val="center"/>
            <w:hideMark/>
          </w:tcPr>
          <w:p w14:paraId="299804E7"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4800CFCF"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62311363"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single" w:sz="8" w:space="0" w:color="auto"/>
              <w:right w:val="single" w:sz="8" w:space="0" w:color="auto"/>
            </w:tcBorders>
            <w:hideMark/>
          </w:tcPr>
          <w:p w14:paraId="0FC198FB"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 </w:t>
            </w:r>
          </w:p>
        </w:tc>
      </w:tr>
      <w:tr w:rsidR="001E589F" w:rsidRPr="00F92B46" w14:paraId="45B54B07" w14:textId="77777777" w:rsidTr="00EC30CB">
        <w:trPr>
          <w:trHeight w:val="260"/>
        </w:trPr>
        <w:tc>
          <w:tcPr>
            <w:tcW w:w="429" w:type="dxa"/>
            <w:tcBorders>
              <w:top w:val="nil"/>
              <w:left w:val="single" w:sz="8" w:space="0" w:color="auto"/>
              <w:bottom w:val="single" w:sz="8" w:space="0" w:color="auto"/>
              <w:right w:val="single" w:sz="8" w:space="0" w:color="auto"/>
            </w:tcBorders>
            <w:vAlign w:val="center"/>
            <w:hideMark/>
          </w:tcPr>
          <w:p w14:paraId="28D60972"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1290" w:type="dxa"/>
            <w:tcBorders>
              <w:top w:val="nil"/>
              <w:left w:val="nil"/>
              <w:bottom w:val="single" w:sz="8" w:space="0" w:color="auto"/>
              <w:right w:val="single" w:sz="4" w:space="0" w:color="auto"/>
            </w:tcBorders>
            <w:vAlign w:val="center"/>
            <w:hideMark/>
          </w:tcPr>
          <w:p w14:paraId="36353381"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p w14:paraId="3205B494"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p w14:paraId="1FED6E01"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3289" w:type="dxa"/>
            <w:gridSpan w:val="3"/>
            <w:tcBorders>
              <w:top w:val="nil"/>
              <w:left w:val="single" w:sz="4" w:space="0" w:color="auto"/>
              <w:bottom w:val="single" w:sz="8" w:space="0" w:color="auto"/>
              <w:right w:val="single" w:sz="8" w:space="0" w:color="auto"/>
            </w:tcBorders>
            <w:vAlign w:val="center"/>
          </w:tcPr>
          <w:p w14:paraId="72A1E6D7" w14:textId="77777777" w:rsidR="001E589F" w:rsidRPr="00F92B46" w:rsidRDefault="001E589F" w:rsidP="00EC30CB">
            <w:pPr>
              <w:jc w:val="center"/>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Zero Order</w:t>
            </w:r>
          </w:p>
          <w:p w14:paraId="4821B513"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3072" w:type="dxa"/>
            <w:gridSpan w:val="3"/>
            <w:tcBorders>
              <w:top w:val="single" w:sz="8" w:space="0" w:color="auto"/>
              <w:left w:val="nil"/>
              <w:bottom w:val="single" w:sz="8" w:space="0" w:color="auto"/>
              <w:right w:val="single" w:sz="8" w:space="0" w:color="auto"/>
            </w:tcBorders>
            <w:vAlign w:val="center"/>
            <w:hideMark/>
          </w:tcPr>
          <w:p w14:paraId="502C7431" w14:textId="77777777" w:rsidR="001E589F" w:rsidRPr="00F92B46" w:rsidRDefault="001E589F" w:rsidP="00EC30CB">
            <w:pPr>
              <w:spacing w:line="240" w:lineRule="auto"/>
              <w:jc w:val="center"/>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First Order</w:t>
            </w:r>
          </w:p>
          <w:p w14:paraId="547250EB"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3580" w:type="dxa"/>
            <w:gridSpan w:val="3"/>
            <w:tcBorders>
              <w:top w:val="single" w:sz="8" w:space="0" w:color="auto"/>
              <w:left w:val="nil"/>
              <w:bottom w:val="single" w:sz="8" w:space="0" w:color="auto"/>
              <w:right w:val="single" w:sz="8" w:space="0" w:color="auto"/>
            </w:tcBorders>
            <w:vAlign w:val="center"/>
            <w:hideMark/>
          </w:tcPr>
          <w:p w14:paraId="40972E66" w14:textId="77777777" w:rsidR="001E589F" w:rsidRPr="00F92B46" w:rsidRDefault="001E589F" w:rsidP="00EC30CB">
            <w:pPr>
              <w:spacing w:line="240" w:lineRule="auto"/>
              <w:jc w:val="center"/>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Second Order</w:t>
            </w:r>
          </w:p>
          <w:p w14:paraId="02DBCF88"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r>
      <w:tr w:rsidR="001E589F" w:rsidRPr="00F92B46" w14:paraId="04D2C649"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570C355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w:t>
            </w:r>
          </w:p>
        </w:tc>
        <w:tc>
          <w:tcPr>
            <w:tcW w:w="1290" w:type="dxa"/>
            <w:tcBorders>
              <w:top w:val="nil"/>
              <w:left w:val="nil"/>
              <w:bottom w:val="single" w:sz="8" w:space="0" w:color="auto"/>
              <w:right w:val="single" w:sz="8" w:space="0" w:color="auto"/>
            </w:tcBorders>
            <w:vAlign w:val="center"/>
          </w:tcPr>
          <w:p w14:paraId="0A674DBC"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Blank MB</w:t>
            </w:r>
          </w:p>
        </w:tc>
        <w:tc>
          <w:tcPr>
            <w:tcW w:w="1145" w:type="dxa"/>
            <w:tcBorders>
              <w:top w:val="nil"/>
              <w:left w:val="nil"/>
              <w:bottom w:val="single" w:sz="8" w:space="0" w:color="auto"/>
              <w:right w:val="single" w:sz="8" w:space="0" w:color="auto"/>
            </w:tcBorders>
            <w:vAlign w:val="center"/>
          </w:tcPr>
          <w:p w14:paraId="381DD3D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0.00178</w:t>
            </w:r>
          </w:p>
        </w:tc>
        <w:tc>
          <w:tcPr>
            <w:tcW w:w="1145" w:type="dxa"/>
            <w:tcBorders>
              <w:top w:val="nil"/>
              <w:left w:val="nil"/>
              <w:bottom w:val="single" w:sz="8" w:space="0" w:color="auto"/>
              <w:right w:val="single" w:sz="8" w:space="0" w:color="auto"/>
            </w:tcBorders>
            <w:vAlign w:val="center"/>
          </w:tcPr>
          <w:p w14:paraId="6B543E22"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0.96968</w:t>
            </w:r>
          </w:p>
        </w:tc>
        <w:tc>
          <w:tcPr>
            <w:tcW w:w="999" w:type="dxa"/>
            <w:tcBorders>
              <w:top w:val="nil"/>
              <w:left w:val="nil"/>
              <w:bottom w:val="single" w:sz="8" w:space="0" w:color="auto"/>
              <w:right w:val="single" w:sz="8" w:space="0" w:color="auto"/>
            </w:tcBorders>
            <w:vAlign w:val="center"/>
          </w:tcPr>
          <w:p w14:paraId="19E0A18E"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145.17</w:t>
            </w:r>
          </w:p>
        </w:tc>
        <w:tc>
          <w:tcPr>
            <w:tcW w:w="1026" w:type="dxa"/>
            <w:tcBorders>
              <w:top w:val="nil"/>
              <w:left w:val="nil"/>
              <w:bottom w:val="single" w:sz="8" w:space="0" w:color="auto"/>
              <w:right w:val="single" w:sz="8" w:space="0" w:color="auto"/>
            </w:tcBorders>
            <w:vAlign w:val="center"/>
          </w:tcPr>
          <w:p w14:paraId="59A27A29" w14:textId="77777777" w:rsidR="001E589F" w:rsidRPr="00F92B46" w:rsidRDefault="001E589F" w:rsidP="00EC30CB">
            <w:pPr>
              <w:spacing w:line="240" w:lineRule="auto"/>
              <w:rPr>
                <w:rFonts w:ascii="Times New Roman" w:eastAsia="Times New Roman" w:hAnsi="Times New Roman"/>
                <w:sz w:val="24"/>
                <w:szCs w:val="24"/>
                <w:vertAlign w:val="superscript"/>
                <w:lang w:val="en-GB" w:eastAsia="en-IN"/>
              </w:rPr>
            </w:pPr>
            <w:r w:rsidRPr="00F92B46">
              <w:rPr>
                <w:rFonts w:ascii="Times New Roman" w:eastAsia="Times New Roman" w:hAnsi="Times New Roman"/>
                <w:sz w:val="24"/>
                <w:szCs w:val="24"/>
                <w:lang w:val="en-GB" w:eastAsia="en-IN"/>
              </w:rPr>
              <w:t>0.00418</w:t>
            </w:r>
          </w:p>
        </w:tc>
        <w:tc>
          <w:tcPr>
            <w:tcW w:w="912" w:type="dxa"/>
            <w:tcBorders>
              <w:top w:val="nil"/>
              <w:left w:val="nil"/>
              <w:bottom w:val="single" w:sz="8" w:space="0" w:color="auto"/>
              <w:right w:val="single" w:sz="8" w:space="0" w:color="auto"/>
            </w:tcBorders>
            <w:vAlign w:val="center"/>
          </w:tcPr>
          <w:p w14:paraId="49354BDD"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0.97713</w:t>
            </w:r>
          </w:p>
        </w:tc>
        <w:tc>
          <w:tcPr>
            <w:tcW w:w="1134" w:type="dxa"/>
            <w:tcBorders>
              <w:top w:val="nil"/>
              <w:left w:val="nil"/>
              <w:bottom w:val="single" w:sz="8" w:space="0" w:color="auto"/>
              <w:right w:val="single" w:sz="8" w:space="0" w:color="auto"/>
            </w:tcBorders>
            <w:vAlign w:val="center"/>
          </w:tcPr>
          <w:p w14:paraId="1CAC3661"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165.55</w:t>
            </w:r>
          </w:p>
        </w:tc>
        <w:tc>
          <w:tcPr>
            <w:tcW w:w="1145" w:type="dxa"/>
            <w:tcBorders>
              <w:top w:val="nil"/>
              <w:left w:val="nil"/>
              <w:bottom w:val="single" w:sz="8" w:space="0" w:color="auto"/>
              <w:right w:val="single" w:sz="8" w:space="0" w:color="auto"/>
            </w:tcBorders>
            <w:vAlign w:val="center"/>
          </w:tcPr>
          <w:p w14:paraId="15AED99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0.00989</w:t>
            </w:r>
          </w:p>
        </w:tc>
        <w:tc>
          <w:tcPr>
            <w:tcW w:w="1145" w:type="dxa"/>
            <w:tcBorders>
              <w:top w:val="nil"/>
              <w:left w:val="nil"/>
              <w:bottom w:val="single" w:sz="8" w:space="0" w:color="auto"/>
              <w:right w:val="single" w:sz="8" w:space="0" w:color="auto"/>
            </w:tcBorders>
            <w:vAlign w:val="center"/>
          </w:tcPr>
          <w:p w14:paraId="6FDE5217"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0.98068</w:t>
            </w:r>
          </w:p>
        </w:tc>
        <w:tc>
          <w:tcPr>
            <w:tcW w:w="1290" w:type="dxa"/>
            <w:tcBorders>
              <w:top w:val="nil"/>
              <w:left w:val="nil"/>
              <w:bottom w:val="single" w:sz="8" w:space="0" w:color="auto"/>
              <w:right w:val="single" w:sz="8" w:space="0" w:color="auto"/>
            </w:tcBorders>
            <w:vAlign w:val="center"/>
          </w:tcPr>
          <w:p w14:paraId="3F002D3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195.65</w:t>
            </w:r>
          </w:p>
        </w:tc>
      </w:tr>
      <w:tr w:rsidR="001E589F" w:rsidRPr="00F92B46" w14:paraId="2073E279"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250DA04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2.</w:t>
            </w:r>
          </w:p>
        </w:tc>
        <w:tc>
          <w:tcPr>
            <w:tcW w:w="1290" w:type="dxa"/>
            <w:tcBorders>
              <w:top w:val="nil"/>
              <w:left w:val="nil"/>
              <w:bottom w:val="single" w:sz="8" w:space="0" w:color="auto"/>
              <w:right w:val="single" w:sz="8" w:space="0" w:color="auto"/>
            </w:tcBorders>
            <w:vAlign w:val="center"/>
          </w:tcPr>
          <w:p w14:paraId="16CBBC9C" w14:textId="35CE5841"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G</w:t>
            </w:r>
            <w:r w:rsidR="00824BCE" w:rsidRPr="00F92B46">
              <w:rPr>
                <w:rFonts w:ascii="Times New Roman" w:eastAsia="Times New Roman" w:hAnsi="Times New Roman"/>
                <w:sz w:val="24"/>
                <w:szCs w:val="24"/>
                <w:lang w:val="en-GB" w:eastAsia="en-IN"/>
              </w:rPr>
              <w:t>NPs</w:t>
            </w:r>
          </w:p>
        </w:tc>
        <w:tc>
          <w:tcPr>
            <w:tcW w:w="1145" w:type="dxa"/>
            <w:tcBorders>
              <w:top w:val="nil"/>
              <w:left w:val="nil"/>
              <w:bottom w:val="single" w:sz="8" w:space="0" w:color="auto"/>
              <w:right w:val="single" w:sz="8" w:space="0" w:color="auto"/>
            </w:tcBorders>
            <w:vAlign w:val="center"/>
          </w:tcPr>
          <w:p w14:paraId="210F723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0.00407</w:t>
            </w:r>
          </w:p>
        </w:tc>
        <w:tc>
          <w:tcPr>
            <w:tcW w:w="1145" w:type="dxa"/>
            <w:tcBorders>
              <w:top w:val="nil"/>
              <w:left w:val="nil"/>
              <w:bottom w:val="single" w:sz="8" w:space="0" w:color="auto"/>
              <w:right w:val="single" w:sz="8" w:space="0" w:color="auto"/>
            </w:tcBorders>
            <w:vAlign w:val="center"/>
          </w:tcPr>
          <w:p w14:paraId="689D244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0.98518</w:t>
            </w:r>
          </w:p>
        </w:tc>
        <w:tc>
          <w:tcPr>
            <w:tcW w:w="999" w:type="dxa"/>
            <w:tcBorders>
              <w:top w:val="nil"/>
              <w:left w:val="nil"/>
              <w:bottom w:val="single" w:sz="8" w:space="0" w:color="auto"/>
              <w:right w:val="single" w:sz="8" w:space="0" w:color="auto"/>
            </w:tcBorders>
            <w:vAlign w:val="center"/>
          </w:tcPr>
          <w:p w14:paraId="6F86C85B"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138.50</w:t>
            </w:r>
          </w:p>
        </w:tc>
        <w:tc>
          <w:tcPr>
            <w:tcW w:w="1026" w:type="dxa"/>
            <w:tcBorders>
              <w:top w:val="nil"/>
              <w:left w:val="nil"/>
              <w:bottom w:val="single" w:sz="8" w:space="0" w:color="auto"/>
              <w:right w:val="single" w:sz="8" w:space="0" w:color="auto"/>
            </w:tcBorders>
            <w:vAlign w:val="center"/>
          </w:tcPr>
          <w:p w14:paraId="20C14D36" w14:textId="77777777" w:rsidR="001E589F" w:rsidRPr="00F92B46" w:rsidRDefault="001E589F" w:rsidP="00EC30CB">
            <w:pPr>
              <w:spacing w:line="240" w:lineRule="auto"/>
              <w:rPr>
                <w:rFonts w:ascii="Times New Roman" w:eastAsia="Times New Roman" w:hAnsi="Times New Roman"/>
                <w:sz w:val="24"/>
                <w:szCs w:val="24"/>
                <w:vertAlign w:val="superscript"/>
                <w:lang w:val="en-GB" w:eastAsia="en-IN"/>
              </w:rPr>
            </w:pPr>
            <w:r w:rsidRPr="00F92B46">
              <w:rPr>
                <w:rFonts w:ascii="Times New Roman" w:eastAsia="Times New Roman" w:hAnsi="Times New Roman"/>
                <w:sz w:val="24"/>
                <w:szCs w:val="24"/>
                <w:lang w:val="en-GB" w:eastAsia="en-IN"/>
              </w:rPr>
              <w:t>0.00455</w:t>
            </w:r>
          </w:p>
        </w:tc>
        <w:tc>
          <w:tcPr>
            <w:tcW w:w="912" w:type="dxa"/>
            <w:tcBorders>
              <w:top w:val="nil"/>
              <w:left w:val="nil"/>
              <w:bottom w:val="single" w:sz="8" w:space="0" w:color="auto"/>
              <w:right w:val="single" w:sz="8" w:space="0" w:color="auto"/>
            </w:tcBorders>
            <w:vAlign w:val="center"/>
          </w:tcPr>
          <w:p w14:paraId="32BBD7BA"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0.98317</w:t>
            </w:r>
          </w:p>
        </w:tc>
        <w:tc>
          <w:tcPr>
            <w:tcW w:w="1134" w:type="dxa"/>
            <w:tcBorders>
              <w:top w:val="nil"/>
              <w:left w:val="nil"/>
              <w:bottom w:val="single" w:sz="8" w:space="0" w:color="auto"/>
              <w:right w:val="single" w:sz="8" w:space="0" w:color="auto"/>
            </w:tcBorders>
            <w:vAlign w:val="center"/>
          </w:tcPr>
          <w:p w14:paraId="6B4FBC81"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152.31</w:t>
            </w:r>
          </w:p>
        </w:tc>
        <w:tc>
          <w:tcPr>
            <w:tcW w:w="1145" w:type="dxa"/>
            <w:tcBorders>
              <w:top w:val="nil"/>
              <w:left w:val="nil"/>
              <w:bottom w:val="single" w:sz="8" w:space="0" w:color="auto"/>
              <w:right w:val="single" w:sz="8" w:space="0" w:color="auto"/>
            </w:tcBorders>
            <w:vAlign w:val="center"/>
          </w:tcPr>
          <w:p w14:paraId="6CFF9B12"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0.00517</w:t>
            </w:r>
          </w:p>
        </w:tc>
        <w:tc>
          <w:tcPr>
            <w:tcW w:w="1145" w:type="dxa"/>
            <w:tcBorders>
              <w:top w:val="nil"/>
              <w:left w:val="nil"/>
              <w:bottom w:val="single" w:sz="8" w:space="0" w:color="auto"/>
              <w:right w:val="single" w:sz="8" w:space="0" w:color="auto"/>
            </w:tcBorders>
            <w:vAlign w:val="center"/>
          </w:tcPr>
          <w:p w14:paraId="24ECE54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0.96863</w:t>
            </w:r>
          </w:p>
        </w:tc>
        <w:tc>
          <w:tcPr>
            <w:tcW w:w="1290" w:type="dxa"/>
            <w:tcBorders>
              <w:top w:val="nil"/>
              <w:left w:val="nil"/>
              <w:bottom w:val="single" w:sz="8" w:space="0" w:color="auto"/>
              <w:right w:val="single" w:sz="8" w:space="0" w:color="auto"/>
            </w:tcBorders>
            <w:vAlign w:val="center"/>
          </w:tcPr>
          <w:p w14:paraId="2F2458EA"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171.57</w:t>
            </w:r>
          </w:p>
        </w:tc>
      </w:tr>
      <w:tr w:rsidR="001E589F" w:rsidRPr="00F92B46" w14:paraId="58DACC92"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18C41127"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3.</w:t>
            </w:r>
          </w:p>
        </w:tc>
        <w:tc>
          <w:tcPr>
            <w:tcW w:w="1290" w:type="dxa"/>
            <w:tcBorders>
              <w:top w:val="nil"/>
              <w:left w:val="nil"/>
              <w:bottom w:val="single" w:sz="8" w:space="0" w:color="auto"/>
              <w:right w:val="single" w:sz="8" w:space="0" w:color="auto"/>
            </w:tcBorders>
            <w:vAlign w:val="center"/>
          </w:tcPr>
          <w:p w14:paraId="34D2CCCD" w14:textId="481C7C7F"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SG-12</w:t>
            </w:r>
          </w:p>
        </w:tc>
        <w:tc>
          <w:tcPr>
            <w:tcW w:w="1145" w:type="dxa"/>
            <w:tcBorders>
              <w:top w:val="nil"/>
              <w:left w:val="nil"/>
              <w:bottom w:val="single" w:sz="8" w:space="0" w:color="auto"/>
              <w:right w:val="single" w:sz="8" w:space="0" w:color="auto"/>
            </w:tcBorders>
            <w:vAlign w:val="center"/>
          </w:tcPr>
          <w:p w14:paraId="1607A0D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0.00379</w:t>
            </w:r>
          </w:p>
        </w:tc>
        <w:tc>
          <w:tcPr>
            <w:tcW w:w="1145" w:type="dxa"/>
            <w:tcBorders>
              <w:top w:val="nil"/>
              <w:left w:val="nil"/>
              <w:bottom w:val="single" w:sz="8" w:space="0" w:color="auto"/>
              <w:right w:val="single" w:sz="8" w:space="0" w:color="auto"/>
            </w:tcBorders>
            <w:vAlign w:val="center"/>
          </w:tcPr>
          <w:p w14:paraId="3DB19C0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0.99301</w:t>
            </w:r>
          </w:p>
        </w:tc>
        <w:tc>
          <w:tcPr>
            <w:tcW w:w="999" w:type="dxa"/>
            <w:tcBorders>
              <w:top w:val="nil"/>
              <w:left w:val="nil"/>
              <w:bottom w:val="single" w:sz="8" w:space="0" w:color="auto"/>
              <w:right w:val="single" w:sz="8" w:space="0" w:color="auto"/>
            </w:tcBorders>
            <w:vAlign w:val="center"/>
          </w:tcPr>
          <w:p w14:paraId="61BB055D"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119.22</w:t>
            </w:r>
          </w:p>
        </w:tc>
        <w:tc>
          <w:tcPr>
            <w:tcW w:w="1026" w:type="dxa"/>
            <w:tcBorders>
              <w:top w:val="nil"/>
              <w:left w:val="nil"/>
              <w:bottom w:val="single" w:sz="8" w:space="0" w:color="auto"/>
              <w:right w:val="single" w:sz="8" w:space="0" w:color="auto"/>
            </w:tcBorders>
            <w:vAlign w:val="center"/>
          </w:tcPr>
          <w:p w14:paraId="5EC9BEAA"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0.00534</w:t>
            </w:r>
          </w:p>
        </w:tc>
        <w:tc>
          <w:tcPr>
            <w:tcW w:w="912" w:type="dxa"/>
            <w:tcBorders>
              <w:top w:val="nil"/>
              <w:left w:val="nil"/>
              <w:bottom w:val="single" w:sz="8" w:space="0" w:color="auto"/>
              <w:right w:val="single" w:sz="8" w:space="0" w:color="auto"/>
            </w:tcBorders>
            <w:vAlign w:val="center"/>
          </w:tcPr>
          <w:p w14:paraId="7CA45F96"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0.98621</w:t>
            </w:r>
          </w:p>
        </w:tc>
        <w:tc>
          <w:tcPr>
            <w:tcW w:w="1134" w:type="dxa"/>
            <w:tcBorders>
              <w:top w:val="nil"/>
              <w:left w:val="nil"/>
              <w:bottom w:val="single" w:sz="8" w:space="0" w:color="auto"/>
              <w:right w:val="single" w:sz="8" w:space="0" w:color="auto"/>
            </w:tcBorders>
            <w:vAlign w:val="center"/>
          </w:tcPr>
          <w:p w14:paraId="48F409E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129.78</w:t>
            </w:r>
          </w:p>
        </w:tc>
        <w:tc>
          <w:tcPr>
            <w:tcW w:w="1145" w:type="dxa"/>
            <w:tcBorders>
              <w:top w:val="nil"/>
              <w:left w:val="nil"/>
              <w:bottom w:val="single" w:sz="8" w:space="0" w:color="auto"/>
              <w:right w:val="single" w:sz="8" w:space="0" w:color="auto"/>
            </w:tcBorders>
            <w:vAlign w:val="center"/>
          </w:tcPr>
          <w:p w14:paraId="552CF26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0.00765</w:t>
            </w:r>
          </w:p>
        </w:tc>
        <w:tc>
          <w:tcPr>
            <w:tcW w:w="1145" w:type="dxa"/>
            <w:tcBorders>
              <w:top w:val="nil"/>
              <w:left w:val="nil"/>
              <w:bottom w:val="single" w:sz="8" w:space="0" w:color="auto"/>
              <w:right w:val="single" w:sz="8" w:space="0" w:color="auto"/>
            </w:tcBorders>
            <w:vAlign w:val="center"/>
          </w:tcPr>
          <w:p w14:paraId="385C538D"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0.96645</w:t>
            </w:r>
          </w:p>
        </w:tc>
        <w:tc>
          <w:tcPr>
            <w:tcW w:w="1290" w:type="dxa"/>
            <w:tcBorders>
              <w:top w:val="nil"/>
              <w:left w:val="nil"/>
              <w:bottom w:val="single" w:sz="8" w:space="0" w:color="auto"/>
              <w:right w:val="single" w:sz="8" w:space="0" w:color="auto"/>
            </w:tcBorders>
            <w:vAlign w:val="center"/>
          </w:tcPr>
          <w:p w14:paraId="48FE24E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144.65</w:t>
            </w:r>
          </w:p>
        </w:tc>
      </w:tr>
      <w:tr w:rsidR="001E589F" w:rsidRPr="00F92B46" w14:paraId="5DB0A2D2"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5CE6D34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4.</w:t>
            </w:r>
          </w:p>
        </w:tc>
        <w:tc>
          <w:tcPr>
            <w:tcW w:w="1290" w:type="dxa"/>
            <w:tcBorders>
              <w:top w:val="nil"/>
              <w:left w:val="nil"/>
              <w:bottom w:val="single" w:sz="8" w:space="0" w:color="auto"/>
              <w:right w:val="single" w:sz="8" w:space="0" w:color="auto"/>
            </w:tcBorders>
            <w:vAlign w:val="center"/>
          </w:tcPr>
          <w:p w14:paraId="1E444D9F" w14:textId="07E0E789"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SG-14</w:t>
            </w:r>
          </w:p>
        </w:tc>
        <w:tc>
          <w:tcPr>
            <w:tcW w:w="1145" w:type="dxa"/>
            <w:tcBorders>
              <w:top w:val="nil"/>
              <w:left w:val="nil"/>
              <w:bottom w:val="single" w:sz="8" w:space="0" w:color="auto"/>
              <w:right w:val="single" w:sz="8" w:space="0" w:color="auto"/>
            </w:tcBorders>
            <w:vAlign w:val="center"/>
          </w:tcPr>
          <w:p w14:paraId="3D6285C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0.0042</w:t>
            </w:r>
          </w:p>
        </w:tc>
        <w:tc>
          <w:tcPr>
            <w:tcW w:w="1145" w:type="dxa"/>
            <w:tcBorders>
              <w:top w:val="nil"/>
              <w:left w:val="nil"/>
              <w:bottom w:val="single" w:sz="8" w:space="0" w:color="auto"/>
              <w:right w:val="single" w:sz="8" w:space="0" w:color="auto"/>
            </w:tcBorders>
            <w:vAlign w:val="center"/>
          </w:tcPr>
          <w:p w14:paraId="07B32C4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0.96515</w:t>
            </w:r>
          </w:p>
        </w:tc>
        <w:tc>
          <w:tcPr>
            <w:tcW w:w="999" w:type="dxa"/>
            <w:tcBorders>
              <w:top w:val="nil"/>
              <w:left w:val="nil"/>
              <w:bottom w:val="single" w:sz="8" w:space="0" w:color="auto"/>
              <w:right w:val="single" w:sz="8" w:space="0" w:color="auto"/>
            </w:tcBorders>
            <w:vAlign w:val="center"/>
          </w:tcPr>
          <w:p w14:paraId="7FB5E1AD"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108.29</w:t>
            </w:r>
          </w:p>
        </w:tc>
        <w:tc>
          <w:tcPr>
            <w:tcW w:w="1026" w:type="dxa"/>
            <w:tcBorders>
              <w:top w:val="nil"/>
              <w:left w:val="nil"/>
              <w:bottom w:val="single" w:sz="8" w:space="0" w:color="auto"/>
              <w:right w:val="single" w:sz="8" w:space="0" w:color="auto"/>
            </w:tcBorders>
            <w:vAlign w:val="center"/>
          </w:tcPr>
          <w:p w14:paraId="7F9F93C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0.00606</w:t>
            </w:r>
          </w:p>
        </w:tc>
        <w:tc>
          <w:tcPr>
            <w:tcW w:w="912" w:type="dxa"/>
            <w:tcBorders>
              <w:top w:val="nil"/>
              <w:left w:val="nil"/>
              <w:bottom w:val="single" w:sz="8" w:space="0" w:color="auto"/>
              <w:right w:val="single" w:sz="8" w:space="0" w:color="auto"/>
            </w:tcBorders>
            <w:vAlign w:val="center"/>
          </w:tcPr>
          <w:p w14:paraId="27F5CCF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0.93841</w:t>
            </w:r>
          </w:p>
        </w:tc>
        <w:tc>
          <w:tcPr>
            <w:tcW w:w="1134" w:type="dxa"/>
            <w:tcBorders>
              <w:top w:val="nil"/>
              <w:left w:val="nil"/>
              <w:bottom w:val="single" w:sz="8" w:space="0" w:color="auto"/>
              <w:right w:val="single" w:sz="8" w:space="0" w:color="auto"/>
            </w:tcBorders>
            <w:vAlign w:val="center"/>
          </w:tcPr>
          <w:p w14:paraId="1BC4905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114.36</w:t>
            </w:r>
          </w:p>
        </w:tc>
        <w:tc>
          <w:tcPr>
            <w:tcW w:w="1145" w:type="dxa"/>
            <w:tcBorders>
              <w:top w:val="nil"/>
              <w:left w:val="nil"/>
              <w:bottom w:val="single" w:sz="8" w:space="0" w:color="auto"/>
              <w:right w:val="single" w:sz="8" w:space="0" w:color="auto"/>
            </w:tcBorders>
            <w:vAlign w:val="center"/>
          </w:tcPr>
          <w:p w14:paraId="5EE35D4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0.00894</w:t>
            </w:r>
          </w:p>
        </w:tc>
        <w:tc>
          <w:tcPr>
            <w:tcW w:w="1145" w:type="dxa"/>
            <w:tcBorders>
              <w:top w:val="nil"/>
              <w:left w:val="nil"/>
              <w:bottom w:val="single" w:sz="8" w:space="0" w:color="auto"/>
              <w:right w:val="single" w:sz="8" w:space="0" w:color="auto"/>
            </w:tcBorders>
            <w:vAlign w:val="center"/>
          </w:tcPr>
          <w:p w14:paraId="537E8C0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0.90403</w:t>
            </w:r>
          </w:p>
        </w:tc>
        <w:tc>
          <w:tcPr>
            <w:tcW w:w="1290" w:type="dxa"/>
            <w:tcBorders>
              <w:top w:val="nil"/>
              <w:left w:val="nil"/>
              <w:bottom w:val="single" w:sz="8" w:space="0" w:color="auto"/>
              <w:right w:val="single" w:sz="8" w:space="0" w:color="auto"/>
            </w:tcBorders>
            <w:vAlign w:val="center"/>
          </w:tcPr>
          <w:p w14:paraId="38CE4EC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122.97</w:t>
            </w:r>
          </w:p>
        </w:tc>
      </w:tr>
      <w:tr w:rsidR="001E589F" w:rsidRPr="00F92B46" w14:paraId="511DD43D"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5C634886"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5.</w:t>
            </w:r>
          </w:p>
        </w:tc>
        <w:tc>
          <w:tcPr>
            <w:tcW w:w="1290" w:type="dxa"/>
            <w:tcBorders>
              <w:top w:val="nil"/>
              <w:left w:val="nil"/>
              <w:bottom w:val="single" w:sz="8" w:space="0" w:color="auto"/>
              <w:right w:val="single" w:sz="8" w:space="0" w:color="auto"/>
            </w:tcBorders>
            <w:vAlign w:val="center"/>
          </w:tcPr>
          <w:p w14:paraId="67E22EA5" w14:textId="5A1F2C9D"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SG-16</w:t>
            </w:r>
          </w:p>
        </w:tc>
        <w:tc>
          <w:tcPr>
            <w:tcW w:w="1145" w:type="dxa"/>
            <w:tcBorders>
              <w:top w:val="nil"/>
              <w:left w:val="nil"/>
              <w:bottom w:val="single" w:sz="8" w:space="0" w:color="auto"/>
              <w:right w:val="single" w:sz="8" w:space="0" w:color="auto"/>
            </w:tcBorders>
            <w:vAlign w:val="center"/>
          </w:tcPr>
          <w:p w14:paraId="6B24545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0.00247</w:t>
            </w:r>
          </w:p>
        </w:tc>
        <w:tc>
          <w:tcPr>
            <w:tcW w:w="1145" w:type="dxa"/>
            <w:tcBorders>
              <w:top w:val="nil"/>
              <w:left w:val="nil"/>
              <w:bottom w:val="single" w:sz="8" w:space="0" w:color="auto"/>
              <w:right w:val="single" w:sz="8" w:space="0" w:color="auto"/>
            </w:tcBorders>
            <w:vAlign w:val="center"/>
          </w:tcPr>
          <w:p w14:paraId="6BC49D17"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0.99575</w:t>
            </w:r>
          </w:p>
        </w:tc>
        <w:tc>
          <w:tcPr>
            <w:tcW w:w="999" w:type="dxa"/>
            <w:tcBorders>
              <w:top w:val="nil"/>
              <w:left w:val="nil"/>
              <w:bottom w:val="single" w:sz="8" w:space="0" w:color="auto"/>
              <w:right w:val="single" w:sz="8" w:space="0" w:color="auto"/>
            </w:tcBorders>
            <w:vAlign w:val="center"/>
          </w:tcPr>
          <w:p w14:paraId="70CB7590"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100.99</w:t>
            </w:r>
          </w:p>
        </w:tc>
        <w:tc>
          <w:tcPr>
            <w:tcW w:w="1026" w:type="dxa"/>
            <w:tcBorders>
              <w:top w:val="nil"/>
              <w:left w:val="nil"/>
              <w:bottom w:val="single" w:sz="8" w:space="0" w:color="auto"/>
              <w:right w:val="single" w:sz="8" w:space="0" w:color="auto"/>
            </w:tcBorders>
            <w:vAlign w:val="center"/>
          </w:tcPr>
          <w:p w14:paraId="4869F90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0.00668</w:t>
            </w:r>
          </w:p>
        </w:tc>
        <w:tc>
          <w:tcPr>
            <w:tcW w:w="912" w:type="dxa"/>
            <w:tcBorders>
              <w:top w:val="nil"/>
              <w:left w:val="nil"/>
              <w:bottom w:val="single" w:sz="8" w:space="0" w:color="auto"/>
              <w:right w:val="single" w:sz="8" w:space="0" w:color="auto"/>
            </w:tcBorders>
            <w:vAlign w:val="center"/>
          </w:tcPr>
          <w:p w14:paraId="2483EBD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0.988</w:t>
            </w:r>
          </w:p>
        </w:tc>
        <w:tc>
          <w:tcPr>
            <w:tcW w:w="1134" w:type="dxa"/>
            <w:tcBorders>
              <w:top w:val="nil"/>
              <w:left w:val="nil"/>
              <w:bottom w:val="single" w:sz="8" w:space="0" w:color="auto"/>
              <w:right w:val="single" w:sz="8" w:space="0" w:color="auto"/>
            </w:tcBorders>
            <w:vAlign w:val="center"/>
          </w:tcPr>
          <w:p w14:paraId="73FB96EE"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103.74</w:t>
            </w:r>
          </w:p>
        </w:tc>
        <w:tc>
          <w:tcPr>
            <w:tcW w:w="1145" w:type="dxa"/>
            <w:tcBorders>
              <w:top w:val="nil"/>
              <w:left w:val="nil"/>
              <w:bottom w:val="single" w:sz="8" w:space="0" w:color="auto"/>
              <w:right w:val="single" w:sz="8" w:space="0" w:color="auto"/>
            </w:tcBorders>
            <w:vAlign w:val="center"/>
          </w:tcPr>
          <w:p w14:paraId="15DA240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0.01859</w:t>
            </w:r>
          </w:p>
        </w:tc>
        <w:tc>
          <w:tcPr>
            <w:tcW w:w="1145" w:type="dxa"/>
            <w:tcBorders>
              <w:top w:val="nil"/>
              <w:left w:val="nil"/>
              <w:bottom w:val="single" w:sz="8" w:space="0" w:color="auto"/>
              <w:right w:val="single" w:sz="8" w:space="0" w:color="auto"/>
            </w:tcBorders>
            <w:vAlign w:val="center"/>
          </w:tcPr>
          <w:p w14:paraId="6CA49B8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0.96510</w:t>
            </w:r>
          </w:p>
        </w:tc>
        <w:tc>
          <w:tcPr>
            <w:tcW w:w="1290" w:type="dxa"/>
            <w:tcBorders>
              <w:top w:val="nil"/>
              <w:left w:val="nil"/>
              <w:bottom w:val="single" w:sz="8" w:space="0" w:color="auto"/>
              <w:right w:val="single" w:sz="8" w:space="0" w:color="auto"/>
            </w:tcBorders>
            <w:vAlign w:val="center"/>
          </w:tcPr>
          <w:p w14:paraId="01EF3701"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107.82</w:t>
            </w:r>
          </w:p>
        </w:tc>
      </w:tr>
      <w:tr w:rsidR="001E589F" w:rsidRPr="00F92B46" w14:paraId="1E2E46A9"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00640ED2"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6.</w:t>
            </w:r>
          </w:p>
        </w:tc>
        <w:tc>
          <w:tcPr>
            <w:tcW w:w="1290" w:type="dxa"/>
            <w:tcBorders>
              <w:top w:val="nil"/>
              <w:left w:val="nil"/>
              <w:bottom w:val="single" w:sz="8" w:space="0" w:color="auto"/>
              <w:right w:val="single" w:sz="8" w:space="0" w:color="auto"/>
            </w:tcBorders>
            <w:vAlign w:val="center"/>
          </w:tcPr>
          <w:p w14:paraId="19992C90" w14:textId="78FF6590"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SG-18</w:t>
            </w:r>
          </w:p>
        </w:tc>
        <w:tc>
          <w:tcPr>
            <w:tcW w:w="1145" w:type="dxa"/>
            <w:tcBorders>
              <w:top w:val="nil"/>
              <w:left w:val="nil"/>
              <w:bottom w:val="single" w:sz="8" w:space="0" w:color="auto"/>
              <w:right w:val="single" w:sz="8" w:space="0" w:color="auto"/>
            </w:tcBorders>
            <w:vAlign w:val="center"/>
          </w:tcPr>
          <w:p w14:paraId="244F527A"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0.0055</w:t>
            </w:r>
          </w:p>
        </w:tc>
        <w:tc>
          <w:tcPr>
            <w:tcW w:w="1145" w:type="dxa"/>
            <w:tcBorders>
              <w:top w:val="nil"/>
              <w:left w:val="nil"/>
              <w:bottom w:val="single" w:sz="8" w:space="0" w:color="auto"/>
              <w:right w:val="single" w:sz="8" w:space="0" w:color="auto"/>
            </w:tcBorders>
            <w:vAlign w:val="center"/>
          </w:tcPr>
          <w:p w14:paraId="121BE31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0.99386</w:t>
            </w:r>
          </w:p>
        </w:tc>
        <w:tc>
          <w:tcPr>
            <w:tcW w:w="999" w:type="dxa"/>
            <w:tcBorders>
              <w:top w:val="nil"/>
              <w:left w:val="nil"/>
              <w:bottom w:val="single" w:sz="8" w:space="0" w:color="auto"/>
              <w:right w:val="single" w:sz="8" w:space="0" w:color="auto"/>
            </w:tcBorders>
            <w:vAlign w:val="center"/>
          </w:tcPr>
          <w:p w14:paraId="52E32A44"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98.38</w:t>
            </w:r>
          </w:p>
        </w:tc>
        <w:tc>
          <w:tcPr>
            <w:tcW w:w="1026" w:type="dxa"/>
            <w:tcBorders>
              <w:top w:val="nil"/>
              <w:left w:val="nil"/>
              <w:bottom w:val="single" w:sz="8" w:space="0" w:color="auto"/>
              <w:right w:val="single" w:sz="8" w:space="0" w:color="auto"/>
            </w:tcBorders>
            <w:vAlign w:val="center"/>
          </w:tcPr>
          <w:p w14:paraId="6FD94ECA"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0.00701</w:t>
            </w:r>
          </w:p>
        </w:tc>
        <w:tc>
          <w:tcPr>
            <w:tcW w:w="912" w:type="dxa"/>
            <w:tcBorders>
              <w:top w:val="nil"/>
              <w:left w:val="nil"/>
              <w:bottom w:val="single" w:sz="8" w:space="0" w:color="auto"/>
              <w:right w:val="single" w:sz="8" w:space="0" w:color="auto"/>
            </w:tcBorders>
            <w:vAlign w:val="center"/>
          </w:tcPr>
          <w:p w14:paraId="7EB07E4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0.97827</w:t>
            </w:r>
          </w:p>
        </w:tc>
        <w:tc>
          <w:tcPr>
            <w:tcW w:w="1134" w:type="dxa"/>
            <w:tcBorders>
              <w:top w:val="nil"/>
              <w:left w:val="nil"/>
              <w:bottom w:val="single" w:sz="8" w:space="0" w:color="auto"/>
              <w:right w:val="single" w:sz="8" w:space="0" w:color="auto"/>
            </w:tcBorders>
            <w:vAlign w:val="center"/>
          </w:tcPr>
          <w:p w14:paraId="53E9ADB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98.86</w:t>
            </w:r>
          </w:p>
        </w:tc>
        <w:tc>
          <w:tcPr>
            <w:tcW w:w="1145" w:type="dxa"/>
            <w:tcBorders>
              <w:top w:val="nil"/>
              <w:left w:val="nil"/>
              <w:bottom w:val="single" w:sz="8" w:space="0" w:color="auto"/>
              <w:right w:val="single" w:sz="8" w:space="0" w:color="auto"/>
            </w:tcBorders>
            <w:vAlign w:val="center"/>
          </w:tcPr>
          <w:p w14:paraId="46BAB87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0.00923</w:t>
            </w:r>
          </w:p>
        </w:tc>
        <w:tc>
          <w:tcPr>
            <w:tcW w:w="1145" w:type="dxa"/>
            <w:tcBorders>
              <w:top w:val="nil"/>
              <w:left w:val="nil"/>
              <w:bottom w:val="single" w:sz="8" w:space="0" w:color="auto"/>
              <w:right w:val="single" w:sz="8" w:space="0" w:color="auto"/>
            </w:tcBorders>
            <w:vAlign w:val="center"/>
          </w:tcPr>
          <w:p w14:paraId="0443D61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0.93620</w:t>
            </w:r>
          </w:p>
        </w:tc>
        <w:tc>
          <w:tcPr>
            <w:tcW w:w="1290" w:type="dxa"/>
            <w:tcBorders>
              <w:top w:val="nil"/>
              <w:left w:val="nil"/>
              <w:bottom w:val="single" w:sz="8" w:space="0" w:color="auto"/>
              <w:right w:val="single" w:sz="8" w:space="0" w:color="auto"/>
            </w:tcBorders>
            <w:vAlign w:val="center"/>
          </w:tcPr>
          <w:p w14:paraId="397A26C6"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99.56</w:t>
            </w:r>
          </w:p>
        </w:tc>
      </w:tr>
    </w:tbl>
    <w:p w14:paraId="705974DE" w14:textId="77777777" w:rsidR="001E589F" w:rsidRPr="00F92B46" w:rsidRDefault="001E589F" w:rsidP="001E589F">
      <w:pPr>
        <w:rPr>
          <w:rFonts w:ascii="Times New Roman" w:hAnsi="Times New Roman"/>
          <w:sz w:val="24"/>
          <w:szCs w:val="24"/>
        </w:rPr>
      </w:pPr>
    </w:p>
    <w:p w14:paraId="3A882D84" w14:textId="77777777" w:rsidR="001E589F" w:rsidRPr="00F92B46" w:rsidRDefault="001E589F" w:rsidP="001E589F">
      <w:pPr>
        <w:rPr>
          <w:rFonts w:ascii="Times New Roman" w:hAnsi="Times New Roman"/>
          <w:sz w:val="24"/>
          <w:szCs w:val="24"/>
        </w:rPr>
      </w:pPr>
    </w:p>
    <w:p w14:paraId="238441B4" w14:textId="5A299A3D" w:rsidR="001E589F" w:rsidRPr="00F92B46" w:rsidRDefault="001E589F" w:rsidP="00F92B46">
      <w:pPr>
        <w:pStyle w:val="MDPI41tablecaption"/>
        <w:ind w:left="0"/>
        <w:rPr>
          <w:rFonts w:ascii="Times New Roman" w:hAnsi="Times New Roman" w:cs="Times New Roman"/>
          <w:sz w:val="24"/>
          <w:szCs w:val="24"/>
        </w:rPr>
      </w:pPr>
      <w:bookmarkStart w:id="5" w:name="_Hlk194367743"/>
      <w:r w:rsidRPr="00F92B46">
        <w:rPr>
          <w:rFonts w:ascii="Times New Roman" w:hAnsi="Times New Roman" w:cs="Times New Roman"/>
          <w:b/>
          <w:bCs/>
          <w:sz w:val="24"/>
          <w:szCs w:val="24"/>
        </w:rPr>
        <w:t xml:space="preserve">Table </w:t>
      </w:r>
      <w:r w:rsidR="00AD2242" w:rsidRPr="00F92B46">
        <w:rPr>
          <w:rFonts w:ascii="Times New Roman" w:hAnsi="Times New Roman" w:cs="Times New Roman"/>
          <w:b/>
          <w:bCs/>
          <w:sz w:val="24"/>
          <w:szCs w:val="24"/>
        </w:rPr>
        <w:t>S</w:t>
      </w:r>
      <w:r w:rsidR="00CA5ACF" w:rsidRPr="00F92B46">
        <w:rPr>
          <w:rFonts w:ascii="Times New Roman" w:hAnsi="Times New Roman" w:cs="Times New Roman"/>
          <w:b/>
          <w:bCs/>
          <w:sz w:val="24"/>
          <w:szCs w:val="24"/>
        </w:rPr>
        <w:t>2</w:t>
      </w:r>
      <w:r w:rsidR="00AD2242" w:rsidRPr="00F92B46">
        <w:rPr>
          <w:rFonts w:ascii="Times New Roman" w:hAnsi="Times New Roman" w:cs="Times New Roman"/>
          <w:b/>
          <w:bCs/>
          <w:sz w:val="24"/>
          <w:szCs w:val="24"/>
        </w:rPr>
        <w:t>.</w:t>
      </w:r>
      <w:r w:rsidRPr="00F92B46">
        <w:rPr>
          <w:rFonts w:ascii="Times New Roman" w:hAnsi="Times New Roman" w:cs="Times New Roman"/>
          <w:sz w:val="24"/>
          <w:szCs w:val="24"/>
        </w:rPr>
        <w:t xml:space="preserve"> The values of the pseudo-zero, pseudo - first and pseudo -second-order rate constants, half-life times and the corresponding correlation coefficients for the photocatalytic degradation of Blank MO, </w:t>
      </w:r>
      <w:r w:rsidR="00ED24F4" w:rsidRPr="00F92B46">
        <w:rPr>
          <w:rFonts w:ascii="Times New Roman" w:hAnsi="Times New Roman" w:cs="Times New Roman"/>
          <w:sz w:val="24"/>
          <w:szCs w:val="24"/>
        </w:rPr>
        <w:t>GNPs, SG-12, SG-14, SG-16 and SG-18.</w:t>
      </w:r>
    </w:p>
    <w:tbl>
      <w:tblPr>
        <w:tblW w:w="11660" w:type="dxa"/>
        <w:tblInd w:w="-1286" w:type="dxa"/>
        <w:tblLayout w:type="fixed"/>
        <w:tblLook w:val="04A0" w:firstRow="1" w:lastRow="0" w:firstColumn="1" w:lastColumn="0" w:noHBand="0" w:noVBand="1"/>
      </w:tblPr>
      <w:tblGrid>
        <w:gridCol w:w="429"/>
        <w:gridCol w:w="1290"/>
        <w:gridCol w:w="1145"/>
        <w:gridCol w:w="1145"/>
        <w:gridCol w:w="999"/>
        <w:gridCol w:w="1088"/>
        <w:gridCol w:w="850"/>
        <w:gridCol w:w="1134"/>
        <w:gridCol w:w="1145"/>
        <w:gridCol w:w="1145"/>
        <w:gridCol w:w="1290"/>
      </w:tblGrid>
      <w:tr w:rsidR="001E589F" w:rsidRPr="00F92B46" w14:paraId="144F06D7" w14:textId="77777777" w:rsidTr="00EC30CB">
        <w:trPr>
          <w:trHeight w:val="249"/>
        </w:trPr>
        <w:tc>
          <w:tcPr>
            <w:tcW w:w="429" w:type="dxa"/>
            <w:vMerge w:val="restart"/>
            <w:tcBorders>
              <w:top w:val="single" w:sz="8" w:space="0" w:color="auto"/>
              <w:left w:val="single" w:sz="8" w:space="0" w:color="auto"/>
              <w:bottom w:val="single" w:sz="8" w:space="0" w:color="000000"/>
              <w:right w:val="single" w:sz="8" w:space="0" w:color="auto"/>
            </w:tcBorders>
            <w:vAlign w:val="center"/>
            <w:hideMark/>
          </w:tcPr>
          <w:bookmarkEnd w:id="5"/>
          <w:p w14:paraId="23D94E37"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Sr. No.</w:t>
            </w:r>
          </w:p>
        </w:tc>
        <w:tc>
          <w:tcPr>
            <w:tcW w:w="1290" w:type="dxa"/>
            <w:vMerge w:val="restart"/>
            <w:tcBorders>
              <w:top w:val="single" w:sz="8" w:space="0" w:color="auto"/>
              <w:left w:val="single" w:sz="8" w:space="0" w:color="auto"/>
              <w:bottom w:val="single" w:sz="8" w:space="0" w:color="000000"/>
              <w:right w:val="single" w:sz="4" w:space="0" w:color="auto"/>
            </w:tcBorders>
            <w:vAlign w:val="center"/>
            <w:hideMark/>
          </w:tcPr>
          <w:p w14:paraId="629A53D1"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Sample Name</w:t>
            </w:r>
          </w:p>
        </w:tc>
        <w:tc>
          <w:tcPr>
            <w:tcW w:w="1145" w:type="dxa"/>
            <w:vMerge w:val="restart"/>
            <w:tcBorders>
              <w:top w:val="single" w:sz="8" w:space="0" w:color="auto"/>
              <w:left w:val="single" w:sz="4" w:space="0" w:color="auto"/>
              <w:bottom w:val="single" w:sz="8" w:space="0" w:color="000000"/>
              <w:right w:val="single" w:sz="8" w:space="0" w:color="auto"/>
            </w:tcBorders>
            <w:vAlign w:val="center"/>
            <w:hideMark/>
          </w:tcPr>
          <w:p w14:paraId="558E6FD6"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Rate constant (k</w:t>
            </w:r>
            <w:r w:rsidRPr="00F92B46">
              <w:rPr>
                <w:rFonts w:ascii="Times New Roman" w:eastAsia="Times New Roman" w:hAnsi="Times New Roman"/>
                <w:sz w:val="24"/>
                <w:szCs w:val="24"/>
                <w:vertAlign w:val="subscript"/>
                <w:lang w:val="en-GB" w:eastAsia="en-IN"/>
              </w:rPr>
              <w:t>0</w:t>
            </w:r>
            <w:r w:rsidRPr="00F92B46">
              <w:rPr>
                <w:rFonts w:ascii="Times New Roman" w:eastAsia="Times New Roman" w:hAnsi="Times New Roman"/>
                <w:sz w:val="24"/>
                <w:szCs w:val="24"/>
                <w:lang w:val="en-GB" w:eastAsia="en-IN"/>
              </w:rPr>
              <w:t>) (M min</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w:t>
            </w:r>
          </w:p>
        </w:tc>
        <w:tc>
          <w:tcPr>
            <w:tcW w:w="1145" w:type="dxa"/>
            <w:vMerge w:val="restart"/>
            <w:tcBorders>
              <w:top w:val="single" w:sz="8" w:space="0" w:color="auto"/>
              <w:left w:val="single" w:sz="8" w:space="0" w:color="auto"/>
              <w:bottom w:val="single" w:sz="8" w:space="0" w:color="000000"/>
              <w:right w:val="single" w:sz="8" w:space="0" w:color="auto"/>
            </w:tcBorders>
            <w:vAlign w:val="center"/>
            <w:hideMark/>
          </w:tcPr>
          <w:p w14:paraId="546548B2"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w:t>
            </w:r>
            <w:r w:rsidRPr="00F92B46">
              <w:rPr>
                <w:rFonts w:ascii="Times New Roman" w:eastAsia="Times New Roman" w:hAnsi="Times New Roman"/>
                <w:sz w:val="24"/>
                <w:szCs w:val="24"/>
                <w:vertAlign w:val="superscript"/>
                <w:lang w:val="en-GB" w:eastAsia="en-IN"/>
              </w:rPr>
              <w:t xml:space="preserve">2 </w:t>
            </w:r>
          </w:p>
        </w:tc>
        <w:tc>
          <w:tcPr>
            <w:tcW w:w="999" w:type="dxa"/>
            <w:tcBorders>
              <w:top w:val="single" w:sz="8" w:space="0" w:color="auto"/>
              <w:left w:val="nil"/>
              <w:bottom w:val="nil"/>
              <w:right w:val="single" w:sz="8" w:space="0" w:color="auto"/>
            </w:tcBorders>
            <w:vAlign w:val="center"/>
            <w:hideMark/>
          </w:tcPr>
          <w:p w14:paraId="4CA2BA57"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xml:space="preserve">Half </w:t>
            </w:r>
          </w:p>
        </w:tc>
        <w:tc>
          <w:tcPr>
            <w:tcW w:w="1088" w:type="dxa"/>
            <w:vMerge w:val="restart"/>
            <w:tcBorders>
              <w:top w:val="single" w:sz="8" w:space="0" w:color="auto"/>
              <w:left w:val="single" w:sz="8" w:space="0" w:color="auto"/>
              <w:bottom w:val="single" w:sz="8" w:space="0" w:color="000000"/>
              <w:right w:val="single" w:sz="8" w:space="0" w:color="auto"/>
            </w:tcBorders>
            <w:vAlign w:val="center"/>
            <w:hideMark/>
          </w:tcPr>
          <w:p w14:paraId="19D3881B"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Rate constant (k</w:t>
            </w:r>
            <w:r w:rsidRPr="00F92B46">
              <w:rPr>
                <w:rFonts w:ascii="Times New Roman" w:eastAsia="Times New Roman" w:hAnsi="Times New Roman"/>
                <w:sz w:val="24"/>
                <w:szCs w:val="24"/>
                <w:vertAlign w:val="subscript"/>
                <w:lang w:val="en-GB" w:eastAsia="en-IN"/>
              </w:rPr>
              <w:t>1</w:t>
            </w:r>
            <w:r w:rsidRPr="00F92B46">
              <w:rPr>
                <w:rFonts w:ascii="Times New Roman" w:eastAsia="Times New Roman" w:hAnsi="Times New Roman"/>
                <w:sz w:val="24"/>
                <w:szCs w:val="24"/>
                <w:lang w:val="en-GB" w:eastAsia="en-IN"/>
              </w:rPr>
              <w:t>) (min</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w:t>
            </w:r>
          </w:p>
        </w:tc>
        <w:tc>
          <w:tcPr>
            <w:tcW w:w="850" w:type="dxa"/>
            <w:vMerge w:val="restart"/>
            <w:tcBorders>
              <w:top w:val="single" w:sz="8" w:space="0" w:color="auto"/>
              <w:left w:val="single" w:sz="8" w:space="0" w:color="auto"/>
              <w:bottom w:val="single" w:sz="8" w:space="0" w:color="000000"/>
              <w:right w:val="single" w:sz="8" w:space="0" w:color="auto"/>
            </w:tcBorders>
            <w:vAlign w:val="center"/>
            <w:hideMark/>
          </w:tcPr>
          <w:p w14:paraId="631927E2"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w:t>
            </w:r>
            <w:r w:rsidRPr="00F92B46">
              <w:rPr>
                <w:rFonts w:ascii="Times New Roman" w:eastAsia="Times New Roman" w:hAnsi="Times New Roman"/>
                <w:sz w:val="24"/>
                <w:szCs w:val="24"/>
                <w:vertAlign w:val="superscript"/>
                <w:lang w:val="en-GB" w:eastAsia="en-IN"/>
              </w:rPr>
              <w:t>2</w:t>
            </w:r>
          </w:p>
        </w:tc>
        <w:tc>
          <w:tcPr>
            <w:tcW w:w="1134" w:type="dxa"/>
            <w:tcBorders>
              <w:top w:val="single" w:sz="8" w:space="0" w:color="auto"/>
              <w:left w:val="nil"/>
              <w:bottom w:val="nil"/>
              <w:right w:val="single" w:sz="8" w:space="0" w:color="auto"/>
            </w:tcBorders>
            <w:vAlign w:val="center"/>
            <w:hideMark/>
          </w:tcPr>
          <w:p w14:paraId="571BEC28"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Half</w:t>
            </w:r>
          </w:p>
        </w:tc>
        <w:tc>
          <w:tcPr>
            <w:tcW w:w="1145" w:type="dxa"/>
            <w:vMerge w:val="restart"/>
            <w:tcBorders>
              <w:top w:val="single" w:sz="8" w:space="0" w:color="auto"/>
              <w:left w:val="single" w:sz="8" w:space="0" w:color="auto"/>
              <w:bottom w:val="single" w:sz="8" w:space="0" w:color="000000"/>
              <w:right w:val="single" w:sz="8" w:space="0" w:color="auto"/>
            </w:tcBorders>
            <w:vAlign w:val="center"/>
            <w:hideMark/>
          </w:tcPr>
          <w:p w14:paraId="653F9950"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Rate constant (k</w:t>
            </w:r>
            <w:r w:rsidRPr="00F92B46">
              <w:rPr>
                <w:rFonts w:ascii="Times New Roman" w:eastAsia="Times New Roman" w:hAnsi="Times New Roman"/>
                <w:sz w:val="24"/>
                <w:szCs w:val="24"/>
                <w:vertAlign w:val="subscript"/>
                <w:lang w:val="en-GB" w:eastAsia="en-IN"/>
              </w:rPr>
              <w:t>2</w:t>
            </w:r>
            <w:r w:rsidRPr="00F92B46">
              <w:rPr>
                <w:rFonts w:ascii="Times New Roman" w:eastAsia="Times New Roman" w:hAnsi="Times New Roman"/>
                <w:sz w:val="24"/>
                <w:szCs w:val="24"/>
                <w:lang w:val="en-GB" w:eastAsia="en-IN"/>
              </w:rPr>
              <w:t>) (M</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 xml:space="preserve"> min</w:t>
            </w:r>
            <w:r w:rsidRPr="00F92B46">
              <w:rPr>
                <w:rFonts w:ascii="Times New Roman" w:eastAsia="Times New Roman" w:hAnsi="Times New Roman"/>
                <w:sz w:val="24"/>
                <w:szCs w:val="24"/>
                <w:vertAlign w:val="superscript"/>
                <w:lang w:val="en-GB" w:eastAsia="en-IN"/>
              </w:rPr>
              <w:t>-1</w:t>
            </w:r>
            <w:r w:rsidRPr="00F92B46">
              <w:rPr>
                <w:rFonts w:ascii="Times New Roman" w:eastAsia="Times New Roman" w:hAnsi="Times New Roman"/>
                <w:sz w:val="24"/>
                <w:szCs w:val="24"/>
                <w:lang w:val="en-GB" w:eastAsia="en-IN"/>
              </w:rPr>
              <w:t>)</w:t>
            </w:r>
          </w:p>
        </w:tc>
        <w:tc>
          <w:tcPr>
            <w:tcW w:w="1145" w:type="dxa"/>
            <w:vMerge w:val="restart"/>
            <w:tcBorders>
              <w:top w:val="single" w:sz="8" w:space="0" w:color="auto"/>
              <w:left w:val="single" w:sz="8" w:space="0" w:color="auto"/>
              <w:bottom w:val="single" w:sz="8" w:space="0" w:color="000000"/>
              <w:right w:val="single" w:sz="8" w:space="0" w:color="auto"/>
            </w:tcBorders>
            <w:vAlign w:val="center"/>
            <w:hideMark/>
          </w:tcPr>
          <w:p w14:paraId="53E989A6"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R</w:t>
            </w:r>
            <w:r w:rsidRPr="00F92B46">
              <w:rPr>
                <w:rFonts w:ascii="Times New Roman" w:eastAsia="Times New Roman" w:hAnsi="Times New Roman"/>
                <w:sz w:val="24"/>
                <w:szCs w:val="24"/>
                <w:vertAlign w:val="superscript"/>
                <w:lang w:val="en-GB" w:eastAsia="en-IN"/>
              </w:rPr>
              <w:t>2</w:t>
            </w:r>
          </w:p>
        </w:tc>
        <w:tc>
          <w:tcPr>
            <w:tcW w:w="1290" w:type="dxa"/>
            <w:tcBorders>
              <w:top w:val="single" w:sz="8" w:space="0" w:color="auto"/>
              <w:left w:val="nil"/>
              <w:bottom w:val="nil"/>
              <w:right w:val="single" w:sz="8" w:space="0" w:color="auto"/>
            </w:tcBorders>
            <w:vAlign w:val="center"/>
            <w:hideMark/>
          </w:tcPr>
          <w:p w14:paraId="41527B3F"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Half</w:t>
            </w:r>
          </w:p>
        </w:tc>
      </w:tr>
      <w:tr w:rsidR="001E589F" w:rsidRPr="00F92B46" w14:paraId="22D50DF6" w14:textId="77777777" w:rsidTr="00EC30CB">
        <w:trPr>
          <w:trHeight w:val="332"/>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36C62F9C"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vMerge/>
            <w:tcBorders>
              <w:top w:val="single" w:sz="8" w:space="0" w:color="auto"/>
              <w:left w:val="single" w:sz="8" w:space="0" w:color="auto"/>
              <w:bottom w:val="single" w:sz="8" w:space="0" w:color="000000"/>
              <w:right w:val="single" w:sz="4" w:space="0" w:color="auto"/>
            </w:tcBorders>
            <w:vAlign w:val="center"/>
            <w:hideMark/>
          </w:tcPr>
          <w:p w14:paraId="6C1D54C7"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4" w:space="0" w:color="auto"/>
              <w:bottom w:val="single" w:sz="8" w:space="0" w:color="000000"/>
              <w:right w:val="single" w:sz="8" w:space="0" w:color="auto"/>
            </w:tcBorders>
            <w:vAlign w:val="center"/>
            <w:hideMark/>
          </w:tcPr>
          <w:p w14:paraId="3C4A3FB8"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077B3F34"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nil"/>
              <w:right w:val="single" w:sz="8" w:space="0" w:color="auto"/>
            </w:tcBorders>
            <w:vAlign w:val="center"/>
            <w:hideMark/>
          </w:tcPr>
          <w:p w14:paraId="1E345AB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Life (C</w:t>
            </w:r>
            <w:r w:rsidRPr="00F92B46">
              <w:rPr>
                <w:rFonts w:ascii="Times New Roman" w:eastAsia="Times New Roman" w:hAnsi="Times New Roman"/>
                <w:sz w:val="24"/>
                <w:szCs w:val="24"/>
                <w:vertAlign w:val="subscript"/>
                <w:lang w:val="en-GB" w:eastAsia="en-IN"/>
              </w:rPr>
              <w:t>o</w:t>
            </w:r>
            <w:r w:rsidRPr="00F92B46">
              <w:rPr>
                <w:rFonts w:ascii="Times New Roman" w:eastAsia="Times New Roman" w:hAnsi="Times New Roman"/>
                <w:sz w:val="24"/>
                <w:szCs w:val="24"/>
                <w:lang w:val="en-GB" w:eastAsia="en-IN"/>
              </w:rPr>
              <w:t>/2k</w:t>
            </w:r>
            <w:r w:rsidRPr="00F92B46">
              <w:rPr>
                <w:rFonts w:ascii="Times New Roman" w:eastAsia="Times New Roman" w:hAnsi="Times New Roman"/>
                <w:sz w:val="24"/>
                <w:szCs w:val="24"/>
                <w:vertAlign w:val="subscript"/>
                <w:lang w:val="en-GB" w:eastAsia="en-IN"/>
              </w:rPr>
              <w:t>0</w:t>
            </w:r>
            <w:r w:rsidRPr="00F92B46">
              <w:rPr>
                <w:rFonts w:ascii="Times New Roman" w:eastAsia="Times New Roman" w:hAnsi="Times New Roman"/>
                <w:sz w:val="24"/>
                <w:szCs w:val="24"/>
                <w:lang w:val="en-GB" w:eastAsia="en-IN"/>
              </w:rPr>
              <w:t>)</w:t>
            </w:r>
          </w:p>
        </w:tc>
        <w:tc>
          <w:tcPr>
            <w:tcW w:w="1088" w:type="dxa"/>
            <w:vMerge/>
            <w:tcBorders>
              <w:top w:val="single" w:sz="8" w:space="0" w:color="auto"/>
              <w:left w:val="single" w:sz="8" w:space="0" w:color="auto"/>
              <w:bottom w:val="single" w:sz="8" w:space="0" w:color="000000"/>
              <w:right w:val="single" w:sz="8" w:space="0" w:color="auto"/>
            </w:tcBorders>
            <w:vAlign w:val="center"/>
            <w:hideMark/>
          </w:tcPr>
          <w:p w14:paraId="59885054"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5D7E9568"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nil"/>
              <w:right w:val="single" w:sz="8" w:space="0" w:color="auto"/>
            </w:tcBorders>
            <w:vAlign w:val="center"/>
            <w:hideMark/>
          </w:tcPr>
          <w:p w14:paraId="5C36B06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Life</w:t>
            </w: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3919BE9A"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2BB1DE5B"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nil"/>
              <w:right w:val="single" w:sz="8" w:space="0" w:color="auto"/>
            </w:tcBorders>
            <w:vAlign w:val="center"/>
            <w:hideMark/>
          </w:tcPr>
          <w:p w14:paraId="61AC1CAD"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Life</w:t>
            </w:r>
          </w:p>
        </w:tc>
      </w:tr>
      <w:tr w:rsidR="001E589F" w:rsidRPr="00F92B46" w14:paraId="2985D977" w14:textId="77777777" w:rsidTr="00EC30CB">
        <w:trPr>
          <w:trHeight w:val="545"/>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62856C88"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vMerge/>
            <w:tcBorders>
              <w:top w:val="single" w:sz="8" w:space="0" w:color="auto"/>
              <w:left w:val="single" w:sz="8" w:space="0" w:color="auto"/>
              <w:bottom w:val="single" w:sz="8" w:space="0" w:color="000000"/>
              <w:right w:val="single" w:sz="4" w:space="0" w:color="auto"/>
            </w:tcBorders>
            <w:vAlign w:val="center"/>
            <w:hideMark/>
          </w:tcPr>
          <w:p w14:paraId="33A19944"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4" w:space="0" w:color="auto"/>
              <w:bottom w:val="single" w:sz="8" w:space="0" w:color="000000"/>
              <w:right w:val="single" w:sz="8" w:space="0" w:color="auto"/>
            </w:tcBorders>
            <w:vAlign w:val="center"/>
            <w:hideMark/>
          </w:tcPr>
          <w:p w14:paraId="598182D8"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58857AB3"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nil"/>
              <w:right w:val="single" w:sz="8" w:space="0" w:color="auto"/>
            </w:tcBorders>
            <w:hideMark/>
          </w:tcPr>
          <w:p w14:paraId="13C103E4"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 (in min)</w:t>
            </w:r>
          </w:p>
        </w:tc>
        <w:tc>
          <w:tcPr>
            <w:tcW w:w="1088" w:type="dxa"/>
            <w:vMerge/>
            <w:tcBorders>
              <w:top w:val="single" w:sz="8" w:space="0" w:color="auto"/>
              <w:left w:val="single" w:sz="8" w:space="0" w:color="auto"/>
              <w:bottom w:val="single" w:sz="8" w:space="0" w:color="000000"/>
              <w:right w:val="single" w:sz="8" w:space="0" w:color="auto"/>
            </w:tcBorders>
            <w:vAlign w:val="center"/>
            <w:hideMark/>
          </w:tcPr>
          <w:p w14:paraId="6EBEF3A7"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E9645DB"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nil"/>
              <w:right w:val="single" w:sz="8" w:space="0" w:color="auto"/>
            </w:tcBorders>
            <w:vAlign w:val="center"/>
            <w:hideMark/>
          </w:tcPr>
          <w:p w14:paraId="5602A385"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(0.693/k</w:t>
            </w:r>
            <w:r w:rsidRPr="00F92B46">
              <w:rPr>
                <w:rFonts w:ascii="Times New Roman" w:eastAsia="Times New Roman" w:hAnsi="Times New Roman"/>
                <w:sz w:val="24"/>
                <w:szCs w:val="24"/>
                <w:vertAlign w:val="subscript"/>
                <w:lang w:val="en-GB" w:eastAsia="en-IN"/>
              </w:rPr>
              <w:t>1</w:t>
            </w:r>
            <w:r w:rsidRPr="00F92B46">
              <w:rPr>
                <w:rFonts w:ascii="Times New Roman" w:eastAsia="Times New Roman" w:hAnsi="Times New Roman"/>
                <w:sz w:val="24"/>
                <w:szCs w:val="24"/>
                <w:lang w:val="en-GB" w:eastAsia="en-IN"/>
              </w:rPr>
              <w:t xml:space="preserve">) </w:t>
            </w:r>
            <w:r w:rsidRPr="00F92B46">
              <w:rPr>
                <w:rFonts w:ascii="Times New Roman" w:eastAsia="Times New Roman" w:hAnsi="Times New Roman"/>
                <w:sz w:val="24"/>
                <w:szCs w:val="24"/>
                <w:lang w:eastAsia="en-IN"/>
              </w:rPr>
              <w:t> (in min)</w:t>
            </w: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3E4811AA"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6DDA7342"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nil"/>
              <w:right w:val="single" w:sz="8" w:space="0" w:color="auto"/>
            </w:tcBorders>
            <w:vAlign w:val="center"/>
            <w:hideMark/>
          </w:tcPr>
          <w:p w14:paraId="70849645"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(1/k</w:t>
            </w:r>
            <w:r w:rsidRPr="00F92B46">
              <w:rPr>
                <w:rFonts w:ascii="Times New Roman" w:eastAsia="Times New Roman" w:hAnsi="Times New Roman"/>
                <w:sz w:val="24"/>
                <w:szCs w:val="24"/>
                <w:vertAlign w:val="subscript"/>
                <w:lang w:val="en-GB" w:eastAsia="en-IN"/>
              </w:rPr>
              <w:t>2</w:t>
            </w:r>
            <w:r w:rsidRPr="00F92B46">
              <w:rPr>
                <w:rFonts w:ascii="Times New Roman" w:eastAsia="Times New Roman" w:hAnsi="Times New Roman"/>
                <w:sz w:val="24"/>
                <w:szCs w:val="24"/>
                <w:lang w:val="en-GB" w:eastAsia="en-IN"/>
              </w:rPr>
              <w:t>C</w:t>
            </w:r>
            <w:r w:rsidRPr="00F92B46">
              <w:rPr>
                <w:rFonts w:ascii="Times New Roman" w:eastAsia="Times New Roman" w:hAnsi="Times New Roman"/>
                <w:sz w:val="24"/>
                <w:szCs w:val="24"/>
                <w:vertAlign w:val="subscript"/>
                <w:lang w:val="en-GB" w:eastAsia="en-IN"/>
              </w:rPr>
              <w:t>o</w:t>
            </w:r>
            <w:r w:rsidRPr="00F92B46">
              <w:rPr>
                <w:rFonts w:ascii="Times New Roman" w:eastAsia="Times New Roman" w:hAnsi="Times New Roman"/>
                <w:sz w:val="24"/>
                <w:szCs w:val="24"/>
                <w:lang w:val="en-GB" w:eastAsia="en-IN"/>
              </w:rPr>
              <w:t>)</w:t>
            </w:r>
            <w:r w:rsidRPr="00F92B46">
              <w:rPr>
                <w:rFonts w:ascii="Times New Roman" w:eastAsia="Times New Roman" w:hAnsi="Times New Roman"/>
                <w:sz w:val="24"/>
                <w:szCs w:val="24"/>
                <w:lang w:eastAsia="en-IN"/>
              </w:rPr>
              <w:t xml:space="preserve">  (in min)</w:t>
            </w:r>
          </w:p>
        </w:tc>
      </w:tr>
      <w:tr w:rsidR="001E589F" w:rsidRPr="00F92B46" w14:paraId="5D0022CA" w14:textId="77777777" w:rsidTr="00EC30CB">
        <w:trPr>
          <w:trHeight w:val="47"/>
        </w:trPr>
        <w:tc>
          <w:tcPr>
            <w:tcW w:w="429" w:type="dxa"/>
            <w:vMerge/>
            <w:tcBorders>
              <w:top w:val="single" w:sz="8" w:space="0" w:color="auto"/>
              <w:left w:val="single" w:sz="8" w:space="0" w:color="auto"/>
              <w:bottom w:val="single" w:sz="8" w:space="0" w:color="000000"/>
              <w:right w:val="single" w:sz="8" w:space="0" w:color="auto"/>
            </w:tcBorders>
            <w:vAlign w:val="center"/>
            <w:hideMark/>
          </w:tcPr>
          <w:p w14:paraId="0EF48293"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vMerge/>
            <w:tcBorders>
              <w:top w:val="single" w:sz="8" w:space="0" w:color="auto"/>
              <w:left w:val="single" w:sz="8" w:space="0" w:color="auto"/>
              <w:bottom w:val="single" w:sz="8" w:space="0" w:color="000000"/>
              <w:right w:val="single" w:sz="4" w:space="0" w:color="auto"/>
            </w:tcBorders>
            <w:vAlign w:val="center"/>
            <w:hideMark/>
          </w:tcPr>
          <w:p w14:paraId="5541FACC"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4" w:space="0" w:color="auto"/>
              <w:bottom w:val="single" w:sz="8" w:space="0" w:color="000000"/>
              <w:right w:val="single" w:sz="8" w:space="0" w:color="auto"/>
            </w:tcBorders>
            <w:vAlign w:val="center"/>
            <w:hideMark/>
          </w:tcPr>
          <w:p w14:paraId="5F3F4331"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19019BE6"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single" w:sz="8" w:space="0" w:color="auto"/>
              <w:right w:val="single" w:sz="8" w:space="0" w:color="auto"/>
            </w:tcBorders>
            <w:hideMark/>
          </w:tcPr>
          <w:p w14:paraId="6DC68C0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 </w:t>
            </w:r>
          </w:p>
        </w:tc>
        <w:tc>
          <w:tcPr>
            <w:tcW w:w="1088" w:type="dxa"/>
            <w:vMerge/>
            <w:tcBorders>
              <w:top w:val="single" w:sz="8" w:space="0" w:color="auto"/>
              <w:left w:val="single" w:sz="8" w:space="0" w:color="auto"/>
              <w:bottom w:val="single" w:sz="8" w:space="0" w:color="000000"/>
              <w:right w:val="single" w:sz="8" w:space="0" w:color="auto"/>
            </w:tcBorders>
            <w:vAlign w:val="center"/>
            <w:hideMark/>
          </w:tcPr>
          <w:p w14:paraId="74F63789"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4BD8B11"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single" w:sz="8" w:space="0" w:color="auto"/>
              <w:right w:val="single" w:sz="8" w:space="0" w:color="auto"/>
            </w:tcBorders>
            <w:vAlign w:val="center"/>
            <w:hideMark/>
          </w:tcPr>
          <w:p w14:paraId="168CCE3D"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32D0C371"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vMerge/>
            <w:tcBorders>
              <w:top w:val="single" w:sz="8" w:space="0" w:color="auto"/>
              <w:left w:val="single" w:sz="8" w:space="0" w:color="auto"/>
              <w:bottom w:val="single" w:sz="8" w:space="0" w:color="000000"/>
              <w:right w:val="single" w:sz="8" w:space="0" w:color="auto"/>
            </w:tcBorders>
            <w:vAlign w:val="center"/>
            <w:hideMark/>
          </w:tcPr>
          <w:p w14:paraId="0DE69242"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single" w:sz="8" w:space="0" w:color="auto"/>
              <w:right w:val="single" w:sz="8" w:space="0" w:color="auto"/>
            </w:tcBorders>
            <w:hideMark/>
          </w:tcPr>
          <w:p w14:paraId="61859709"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 </w:t>
            </w:r>
          </w:p>
        </w:tc>
      </w:tr>
      <w:tr w:rsidR="001E589F" w:rsidRPr="00F92B46" w14:paraId="754646DA" w14:textId="77777777" w:rsidTr="00EC30CB">
        <w:trPr>
          <w:trHeight w:val="260"/>
        </w:trPr>
        <w:tc>
          <w:tcPr>
            <w:tcW w:w="429" w:type="dxa"/>
            <w:tcBorders>
              <w:top w:val="nil"/>
              <w:left w:val="single" w:sz="8" w:space="0" w:color="auto"/>
              <w:bottom w:val="single" w:sz="8" w:space="0" w:color="auto"/>
              <w:right w:val="single" w:sz="8" w:space="0" w:color="auto"/>
            </w:tcBorders>
            <w:vAlign w:val="center"/>
            <w:hideMark/>
          </w:tcPr>
          <w:p w14:paraId="69437626"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1290" w:type="dxa"/>
            <w:tcBorders>
              <w:top w:val="nil"/>
              <w:left w:val="nil"/>
              <w:bottom w:val="single" w:sz="8" w:space="0" w:color="auto"/>
              <w:right w:val="single" w:sz="4" w:space="0" w:color="auto"/>
            </w:tcBorders>
            <w:vAlign w:val="center"/>
            <w:hideMark/>
          </w:tcPr>
          <w:p w14:paraId="5C1876AE"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p w14:paraId="318DDA1D"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p w14:paraId="29F54967"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3289" w:type="dxa"/>
            <w:gridSpan w:val="3"/>
            <w:tcBorders>
              <w:top w:val="nil"/>
              <w:left w:val="single" w:sz="4" w:space="0" w:color="auto"/>
              <w:bottom w:val="single" w:sz="8" w:space="0" w:color="auto"/>
              <w:right w:val="single" w:sz="8" w:space="0" w:color="auto"/>
            </w:tcBorders>
            <w:vAlign w:val="center"/>
          </w:tcPr>
          <w:p w14:paraId="420DB71B" w14:textId="77777777" w:rsidR="001E589F" w:rsidRPr="00F92B46" w:rsidRDefault="001E589F" w:rsidP="00EC30CB">
            <w:pPr>
              <w:jc w:val="center"/>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Zero Order</w:t>
            </w:r>
          </w:p>
          <w:p w14:paraId="2336539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3072" w:type="dxa"/>
            <w:gridSpan w:val="3"/>
            <w:tcBorders>
              <w:top w:val="single" w:sz="8" w:space="0" w:color="auto"/>
              <w:left w:val="nil"/>
              <w:bottom w:val="single" w:sz="8" w:space="0" w:color="auto"/>
              <w:right w:val="single" w:sz="8" w:space="0" w:color="auto"/>
            </w:tcBorders>
            <w:vAlign w:val="center"/>
            <w:hideMark/>
          </w:tcPr>
          <w:p w14:paraId="7632687A" w14:textId="77777777" w:rsidR="001E589F" w:rsidRPr="00F92B46" w:rsidRDefault="001E589F" w:rsidP="00EC30CB">
            <w:pPr>
              <w:spacing w:line="240" w:lineRule="auto"/>
              <w:jc w:val="center"/>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First Order</w:t>
            </w:r>
          </w:p>
          <w:p w14:paraId="06DF043D"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c>
          <w:tcPr>
            <w:tcW w:w="3580" w:type="dxa"/>
            <w:gridSpan w:val="3"/>
            <w:tcBorders>
              <w:top w:val="single" w:sz="8" w:space="0" w:color="auto"/>
              <w:left w:val="nil"/>
              <w:bottom w:val="single" w:sz="8" w:space="0" w:color="auto"/>
              <w:right w:val="single" w:sz="8" w:space="0" w:color="auto"/>
            </w:tcBorders>
            <w:vAlign w:val="center"/>
            <w:hideMark/>
          </w:tcPr>
          <w:p w14:paraId="34B24BA3" w14:textId="77777777" w:rsidR="001E589F" w:rsidRPr="00F92B46" w:rsidRDefault="001E589F" w:rsidP="00EC30CB">
            <w:pPr>
              <w:spacing w:line="240" w:lineRule="auto"/>
              <w:jc w:val="center"/>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Second Order</w:t>
            </w:r>
          </w:p>
          <w:p w14:paraId="370C7DE3"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val="en-GB" w:eastAsia="en-IN"/>
              </w:rPr>
              <w:t> </w:t>
            </w:r>
          </w:p>
        </w:tc>
      </w:tr>
      <w:tr w:rsidR="001E589F" w:rsidRPr="00F92B46" w14:paraId="45E68083"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24190DC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w:t>
            </w:r>
          </w:p>
        </w:tc>
        <w:tc>
          <w:tcPr>
            <w:tcW w:w="1290" w:type="dxa"/>
            <w:tcBorders>
              <w:top w:val="nil"/>
              <w:left w:val="nil"/>
              <w:bottom w:val="single" w:sz="8" w:space="0" w:color="auto"/>
              <w:right w:val="single" w:sz="8" w:space="0" w:color="auto"/>
            </w:tcBorders>
            <w:vAlign w:val="center"/>
          </w:tcPr>
          <w:p w14:paraId="7032A3C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Blank MB</w:t>
            </w:r>
          </w:p>
        </w:tc>
        <w:tc>
          <w:tcPr>
            <w:tcW w:w="1145" w:type="dxa"/>
            <w:tcBorders>
              <w:top w:val="nil"/>
              <w:left w:val="nil"/>
              <w:bottom w:val="single" w:sz="8" w:space="0" w:color="auto"/>
              <w:right w:val="single" w:sz="8" w:space="0" w:color="auto"/>
            </w:tcBorders>
            <w:vAlign w:val="center"/>
          </w:tcPr>
          <w:p w14:paraId="61C1AEE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0.00013927</w:t>
            </w:r>
          </w:p>
        </w:tc>
        <w:tc>
          <w:tcPr>
            <w:tcW w:w="1145" w:type="dxa"/>
            <w:tcBorders>
              <w:top w:val="nil"/>
              <w:left w:val="nil"/>
              <w:bottom w:val="single" w:sz="8" w:space="0" w:color="auto"/>
              <w:right w:val="single" w:sz="8" w:space="0" w:color="auto"/>
            </w:tcBorders>
            <w:vAlign w:val="center"/>
          </w:tcPr>
          <w:p w14:paraId="5E5FDB50"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0.99434</w:t>
            </w:r>
          </w:p>
        </w:tc>
        <w:tc>
          <w:tcPr>
            <w:tcW w:w="999" w:type="dxa"/>
            <w:tcBorders>
              <w:top w:val="nil"/>
              <w:left w:val="nil"/>
              <w:bottom w:val="single" w:sz="8" w:space="0" w:color="auto"/>
              <w:right w:val="single" w:sz="8" w:space="0" w:color="auto"/>
            </w:tcBorders>
            <w:vAlign w:val="center"/>
          </w:tcPr>
          <w:p w14:paraId="1E6D6E85"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1846.05</w:t>
            </w:r>
          </w:p>
        </w:tc>
        <w:tc>
          <w:tcPr>
            <w:tcW w:w="1088" w:type="dxa"/>
            <w:tcBorders>
              <w:top w:val="nil"/>
              <w:left w:val="nil"/>
              <w:bottom w:val="single" w:sz="8" w:space="0" w:color="auto"/>
              <w:right w:val="single" w:sz="8" w:space="0" w:color="auto"/>
            </w:tcBorders>
            <w:vAlign w:val="center"/>
          </w:tcPr>
          <w:p w14:paraId="6735B1B7" w14:textId="77777777" w:rsidR="001E589F" w:rsidRPr="00F92B46" w:rsidRDefault="001E589F" w:rsidP="00EC30CB">
            <w:pPr>
              <w:spacing w:line="240" w:lineRule="auto"/>
              <w:rPr>
                <w:rFonts w:ascii="Times New Roman" w:eastAsia="Times New Roman" w:hAnsi="Times New Roman"/>
                <w:sz w:val="24"/>
                <w:szCs w:val="24"/>
                <w:vertAlign w:val="superscript"/>
                <w:lang w:val="en-GB" w:eastAsia="en-IN"/>
              </w:rPr>
            </w:pPr>
            <w:r w:rsidRPr="00F92B46">
              <w:rPr>
                <w:rFonts w:ascii="Times New Roman" w:eastAsia="Times New Roman" w:hAnsi="Times New Roman"/>
                <w:sz w:val="24"/>
                <w:szCs w:val="24"/>
                <w:lang w:val="en-GB" w:eastAsia="en-IN"/>
              </w:rPr>
              <w:t xml:space="preserve">0.000275 </w:t>
            </w:r>
          </w:p>
        </w:tc>
        <w:tc>
          <w:tcPr>
            <w:tcW w:w="850" w:type="dxa"/>
            <w:tcBorders>
              <w:top w:val="nil"/>
              <w:left w:val="nil"/>
              <w:bottom w:val="single" w:sz="8" w:space="0" w:color="auto"/>
              <w:right w:val="single" w:sz="8" w:space="0" w:color="auto"/>
            </w:tcBorders>
            <w:vAlign w:val="center"/>
          </w:tcPr>
          <w:p w14:paraId="11EFABAD"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0.99473</w:t>
            </w:r>
          </w:p>
        </w:tc>
        <w:tc>
          <w:tcPr>
            <w:tcW w:w="1134" w:type="dxa"/>
            <w:tcBorders>
              <w:top w:val="nil"/>
              <w:left w:val="nil"/>
              <w:bottom w:val="single" w:sz="8" w:space="0" w:color="auto"/>
              <w:right w:val="single" w:sz="8" w:space="0" w:color="auto"/>
            </w:tcBorders>
            <w:vAlign w:val="center"/>
          </w:tcPr>
          <w:p w14:paraId="3299B86E"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2566.67</w:t>
            </w:r>
          </w:p>
        </w:tc>
        <w:tc>
          <w:tcPr>
            <w:tcW w:w="1145" w:type="dxa"/>
            <w:tcBorders>
              <w:top w:val="nil"/>
              <w:left w:val="nil"/>
              <w:bottom w:val="single" w:sz="8" w:space="0" w:color="auto"/>
              <w:right w:val="single" w:sz="8" w:space="0" w:color="auto"/>
            </w:tcBorders>
            <w:vAlign w:val="center"/>
          </w:tcPr>
          <w:p w14:paraId="4E4530B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0.000542577</w:t>
            </w:r>
          </w:p>
        </w:tc>
        <w:tc>
          <w:tcPr>
            <w:tcW w:w="1145" w:type="dxa"/>
            <w:tcBorders>
              <w:top w:val="nil"/>
              <w:left w:val="nil"/>
              <w:bottom w:val="single" w:sz="8" w:space="0" w:color="auto"/>
              <w:right w:val="single" w:sz="8" w:space="0" w:color="auto"/>
            </w:tcBorders>
            <w:vAlign w:val="center"/>
          </w:tcPr>
          <w:p w14:paraId="4F6AFE1A"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0.99508</w:t>
            </w:r>
          </w:p>
        </w:tc>
        <w:tc>
          <w:tcPr>
            <w:tcW w:w="1290" w:type="dxa"/>
            <w:tcBorders>
              <w:top w:val="nil"/>
              <w:left w:val="nil"/>
              <w:bottom w:val="single" w:sz="8" w:space="0" w:color="auto"/>
              <w:right w:val="single" w:sz="8" w:space="0" w:color="auto"/>
            </w:tcBorders>
            <w:vAlign w:val="center"/>
          </w:tcPr>
          <w:p w14:paraId="56A2FD91"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3584.32</w:t>
            </w:r>
          </w:p>
        </w:tc>
      </w:tr>
      <w:tr w:rsidR="001E589F" w:rsidRPr="00F92B46" w14:paraId="5213FA8D"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36DCFD7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2.</w:t>
            </w:r>
          </w:p>
        </w:tc>
        <w:tc>
          <w:tcPr>
            <w:tcW w:w="1290" w:type="dxa"/>
            <w:tcBorders>
              <w:top w:val="nil"/>
              <w:left w:val="nil"/>
              <w:bottom w:val="single" w:sz="8" w:space="0" w:color="auto"/>
              <w:right w:val="single" w:sz="8" w:space="0" w:color="auto"/>
            </w:tcBorders>
            <w:vAlign w:val="center"/>
          </w:tcPr>
          <w:p w14:paraId="56F41924" w14:textId="28250016"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G</w:t>
            </w:r>
            <w:r w:rsidR="00824BCE" w:rsidRPr="00F92B46">
              <w:rPr>
                <w:rFonts w:ascii="Times New Roman" w:eastAsia="Times New Roman" w:hAnsi="Times New Roman"/>
                <w:sz w:val="24"/>
                <w:szCs w:val="24"/>
                <w:lang w:val="en-GB" w:eastAsia="en-IN"/>
              </w:rPr>
              <w:t>NPs</w:t>
            </w:r>
          </w:p>
        </w:tc>
        <w:tc>
          <w:tcPr>
            <w:tcW w:w="1145" w:type="dxa"/>
            <w:tcBorders>
              <w:top w:val="nil"/>
              <w:left w:val="nil"/>
              <w:bottom w:val="single" w:sz="8" w:space="0" w:color="auto"/>
              <w:right w:val="single" w:sz="8" w:space="0" w:color="auto"/>
            </w:tcBorders>
            <w:vAlign w:val="center"/>
          </w:tcPr>
          <w:p w14:paraId="6D75574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0.000400818</w:t>
            </w:r>
          </w:p>
        </w:tc>
        <w:tc>
          <w:tcPr>
            <w:tcW w:w="1145" w:type="dxa"/>
            <w:tcBorders>
              <w:top w:val="nil"/>
              <w:left w:val="nil"/>
              <w:bottom w:val="single" w:sz="8" w:space="0" w:color="auto"/>
              <w:right w:val="single" w:sz="8" w:space="0" w:color="auto"/>
            </w:tcBorders>
            <w:vAlign w:val="center"/>
          </w:tcPr>
          <w:p w14:paraId="49A28A3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0.98587</w:t>
            </w:r>
          </w:p>
        </w:tc>
        <w:tc>
          <w:tcPr>
            <w:tcW w:w="999" w:type="dxa"/>
            <w:tcBorders>
              <w:top w:val="nil"/>
              <w:left w:val="nil"/>
              <w:bottom w:val="single" w:sz="8" w:space="0" w:color="auto"/>
              <w:right w:val="single" w:sz="8" w:space="0" w:color="auto"/>
            </w:tcBorders>
            <w:vAlign w:val="center"/>
          </w:tcPr>
          <w:p w14:paraId="7B9D8C89"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683.35</w:t>
            </w:r>
          </w:p>
        </w:tc>
        <w:tc>
          <w:tcPr>
            <w:tcW w:w="1088" w:type="dxa"/>
            <w:tcBorders>
              <w:top w:val="nil"/>
              <w:left w:val="nil"/>
              <w:bottom w:val="single" w:sz="8" w:space="0" w:color="auto"/>
              <w:right w:val="single" w:sz="8" w:space="0" w:color="auto"/>
            </w:tcBorders>
            <w:vAlign w:val="center"/>
          </w:tcPr>
          <w:p w14:paraId="6625702F" w14:textId="77777777" w:rsidR="001E589F" w:rsidRPr="00F92B46" w:rsidRDefault="001E589F" w:rsidP="00EC30CB">
            <w:pPr>
              <w:spacing w:line="240" w:lineRule="auto"/>
              <w:rPr>
                <w:rFonts w:ascii="Times New Roman" w:eastAsia="Times New Roman" w:hAnsi="Times New Roman"/>
                <w:sz w:val="24"/>
                <w:szCs w:val="24"/>
                <w:vertAlign w:val="superscript"/>
                <w:lang w:val="en-GB" w:eastAsia="en-IN"/>
              </w:rPr>
            </w:pPr>
            <w:r w:rsidRPr="00F92B46">
              <w:rPr>
                <w:rFonts w:ascii="Times New Roman" w:eastAsia="Times New Roman" w:hAnsi="Times New Roman"/>
                <w:sz w:val="24"/>
                <w:szCs w:val="24"/>
                <w:lang w:val="en-GB" w:eastAsia="en-IN"/>
              </w:rPr>
              <w:t>0.000761</w:t>
            </w:r>
          </w:p>
        </w:tc>
        <w:tc>
          <w:tcPr>
            <w:tcW w:w="850" w:type="dxa"/>
            <w:tcBorders>
              <w:top w:val="nil"/>
              <w:left w:val="nil"/>
              <w:bottom w:val="single" w:sz="8" w:space="0" w:color="auto"/>
              <w:right w:val="single" w:sz="8" w:space="0" w:color="auto"/>
            </w:tcBorders>
            <w:vAlign w:val="center"/>
          </w:tcPr>
          <w:p w14:paraId="454DA43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0.98733</w:t>
            </w:r>
          </w:p>
        </w:tc>
        <w:tc>
          <w:tcPr>
            <w:tcW w:w="1134" w:type="dxa"/>
            <w:tcBorders>
              <w:top w:val="nil"/>
              <w:left w:val="nil"/>
              <w:bottom w:val="single" w:sz="8" w:space="0" w:color="auto"/>
              <w:right w:val="single" w:sz="8" w:space="0" w:color="auto"/>
            </w:tcBorders>
            <w:vAlign w:val="center"/>
          </w:tcPr>
          <w:p w14:paraId="4EA10C4C"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911.84</w:t>
            </w:r>
          </w:p>
        </w:tc>
        <w:tc>
          <w:tcPr>
            <w:tcW w:w="1145" w:type="dxa"/>
            <w:tcBorders>
              <w:top w:val="nil"/>
              <w:left w:val="nil"/>
              <w:bottom w:val="single" w:sz="8" w:space="0" w:color="auto"/>
              <w:right w:val="single" w:sz="8" w:space="0" w:color="auto"/>
            </w:tcBorders>
            <w:vAlign w:val="center"/>
          </w:tcPr>
          <w:p w14:paraId="13619C4C"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0.00145</w:t>
            </w:r>
          </w:p>
        </w:tc>
        <w:tc>
          <w:tcPr>
            <w:tcW w:w="1145" w:type="dxa"/>
            <w:tcBorders>
              <w:top w:val="nil"/>
              <w:left w:val="nil"/>
              <w:bottom w:val="single" w:sz="8" w:space="0" w:color="auto"/>
              <w:right w:val="single" w:sz="8" w:space="0" w:color="auto"/>
            </w:tcBorders>
            <w:vAlign w:val="center"/>
          </w:tcPr>
          <w:p w14:paraId="22B5DD8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0.98858</w:t>
            </w:r>
          </w:p>
        </w:tc>
        <w:tc>
          <w:tcPr>
            <w:tcW w:w="1290" w:type="dxa"/>
            <w:tcBorders>
              <w:top w:val="nil"/>
              <w:left w:val="nil"/>
              <w:bottom w:val="single" w:sz="8" w:space="0" w:color="auto"/>
              <w:right w:val="single" w:sz="8" w:space="0" w:color="auto"/>
            </w:tcBorders>
            <w:vAlign w:val="center"/>
          </w:tcPr>
          <w:p w14:paraId="3600A70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1258.95</w:t>
            </w:r>
          </w:p>
        </w:tc>
      </w:tr>
      <w:tr w:rsidR="001E589F" w:rsidRPr="00F92B46" w14:paraId="43A601FD"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637FD29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lastRenderedPageBreak/>
              <w:t>3.</w:t>
            </w:r>
          </w:p>
        </w:tc>
        <w:tc>
          <w:tcPr>
            <w:tcW w:w="1290" w:type="dxa"/>
            <w:tcBorders>
              <w:top w:val="nil"/>
              <w:left w:val="nil"/>
              <w:bottom w:val="single" w:sz="8" w:space="0" w:color="auto"/>
              <w:right w:val="single" w:sz="8" w:space="0" w:color="auto"/>
            </w:tcBorders>
            <w:vAlign w:val="center"/>
          </w:tcPr>
          <w:p w14:paraId="39BF66EA" w14:textId="2E8126A8"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SG-12</w:t>
            </w:r>
          </w:p>
        </w:tc>
        <w:tc>
          <w:tcPr>
            <w:tcW w:w="1145" w:type="dxa"/>
            <w:tcBorders>
              <w:top w:val="nil"/>
              <w:left w:val="nil"/>
              <w:bottom w:val="single" w:sz="8" w:space="0" w:color="auto"/>
              <w:right w:val="single" w:sz="8" w:space="0" w:color="auto"/>
            </w:tcBorders>
            <w:vAlign w:val="center"/>
          </w:tcPr>
          <w:p w14:paraId="7EDBFA5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0.000438818</w:t>
            </w:r>
          </w:p>
        </w:tc>
        <w:tc>
          <w:tcPr>
            <w:tcW w:w="1145" w:type="dxa"/>
            <w:tcBorders>
              <w:top w:val="nil"/>
              <w:left w:val="nil"/>
              <w:bottom w:val="single" w:sz="8" w:space="0" w:color="auto"/>
              <w:right w:val="single" w:sz="8" w:space="0" w:color="auto"/>
            </w:tcBorders>
            <w:vAlign w:val="center"/>
          </w:tcPr>
          <w:p w14:paraId="581FEBE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0.96529</w:t>
            </w:r>
          </w:p>
        </w:tc>
        <w:tc>
          <w:tcPr>
            <w:tcW w:w="999" w:type="dxa"/>
            <w:tcBorders>
              <w:top w:val="nil"/>
              <w:left w:val="nil"/>
              <w:bottom w:val="single" w:sz="8" w:space="0" w:color="auto"/>
              <w:right w:val="single" w:sz="8" w:space="0" w:color="auto"/>
            </w:tcBorders>
            <w:vAlign w:val="center"/>
          </w:tcPr>
          <w:p w14:paraId="5BAA6A37"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587.26</w:t>
            </w:r>
          </w:p>
        </w:tc>
        <w:tc>
          <w:tcPr>
            <w:tcW w:w="1088" w:type="dxa"/>
            <w:tcBorders>
              <w:top w:val="nil"/>
              <w:left w:val="nil"/>
              <w:bottom w:val="single" w:sz="8" w:space="0" w:color="auto"/>
              <w:right w:val="single" w:sz="8" w:space="0" w:color="auto"/>
            </w:tcBorders>
            <w:vAlign w:val="center"/>
          </w:tcPr>
          <w:p w14:paraId="33B9A3A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0.000892</w:t>
            </w:r>
          </w:p>
        </w:tc>
        <w:tc>
          <w:tcPr>
            <w:tcW w:w="850" w:type="dxa"/>
            <w:tcBorders>
              <w:top w:val="nil"/>
              <w:left w:val="nil"/>
              <w:bottom w:val="single" w:sz="8" w:space="0" w:color="auto"/>
              <w:right w:val="single" w:sz="8" w:space="0" w:color="auto"/>
            </w:tcBorders>
            <w:vAlign w:val="center"/>
          </w:tcPr>
          <w:p w14:paraId="73C76E0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0.96895</w:t>
            </w:r>
          </w:p>
        </w:tc>
        <w:tc>
          <w:tcPr>
            <w:tcW w:w="1134" w:type="dxa"/>
            <w:tcBorders>
              <w:top w:val="nil"/>
              <w:left w:val="nil"/>
              <w:bottom w:val="single" w:sz="8" w:space="0" w:color="auto"/>
              <w:right w:val="single" w:sz="8" w:space="0" w:color="auto"/>
            </w:tcBorders>
            <w:vAlign w:val="center"/>
          </w:tcPr>
          <w:p w14:paraId="44D48C6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776.91</w:t>
            </w:r>
          </w:p>
        </w:tc>
        <w:tc>
          <w:tcPr>
            <w:tcW w:w="1145" w:type="dxa"/>
            <w:tcBorders>
              <w:top w:val="nil"/>
              <w:left w:val="nil"/>
              <w:bottom w:val="single" w:sz="8" w:space="0" w:color="auto"/>
              <w:right w:val="single" w:sz="8" w:space="0" w:color="auto"/>
            </w:tcBorders>
            <w:vAlign w:val="center"/>
          </w:tcPr>
          <w:p w14:paraId="291C574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0.00181</w:t>
            </w:r>
          </w:p>
        </w:tc>
        <w:tc>
          <w:tcPr>
            <w:tcW w:w="1145" w:type="dxa"/>
            <w:tcBorders>
              <w:top w:val="nil"/>
              <w:left w:val="nil"/>
              <w:bottom w:val="single" w:sz="8" w:space="0" w:color="auto"/>
              <w:right w:val="single" w:sz="8" w:space="0" w:color="auto"/>
            </w:tcBorders>
            <w:vAlign w:val="center"/>
          </w:tcPr>
          <w:p w14:paraId="3F4C967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0.97234</w:t>
            </w:r>
          </w:p>
        </w:tc>
        <w:tc>
          <w:tcPr>
            <w:tcW w:w="1290" w:type="dxa"/>
            <w:tcBorders>
              <w:top w:val="nil"/>
              <w:left w:val="nil"/>
              <w:bottom w:val="single" w:sz="8" w:space="0" w:color="auto"/>
              <w:right w:val="single" w:sz="8" w:space="0" w:color="auto"/>
            </w:tcBorders>
            <w:vAlign w:val="center"/>
          </w:tcPr>
          <w:p w14:paraId="7835D12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1071.96</w:t>
            </w:r>
          </w:p>
        </w:tc>
      </w:tr>
      <w:tr w:rsidR="001E589F" w:rsidRPr="00F92B46" w14:paraId="6F2C81E6"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52A7168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4.</w:t>
            </w:r>
          </w:p>
        </w:tc>
        <w:tc>
          <w:tcPr>
            <w:tcW w:w="1290" w:type="dxa"/>
            <w:tcBorders>
              <w:top w:val="nil"/>
              <w:left w:val="nil"/>
              <w:bottom w:val="single" w:sz="8" w:space="0" w:color="auto"/>
              <w:right w:val="single" w:sz="8" w:space="0" w:color="auto"/>
            </w:tcBorders>
            <w:vAlign w:val="center"/>
          </w:tcPr>
          <w:p w14:paraId="6F194902" w14:textId="2BB4CCA1"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SG-14</w:t>
            </w:r>
          </w:p>
        </w:tc>
        <w:tc>
          <w:tcPr>
            <w:tcW w:w="1145" w:type="dxa"/>
            <w:tcBorders>
              <w:top w:val="nil"/>
              <w:left w:val="nil"/>
              <w:bottom w:val="single" w:sz="8" w:space="0" w:color="auto"/>
              <w:right w:val="single" w:sz="8" w:space="0" w:color="auto"/>
            </w:tcBorders>
            <w:vAlign w:val="center"/>
          </w:tcPr>
          <w:p w14:paraId="3812C27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0.000568364</w:t>
            </w:r>
          </w:p>
        </w:tc>
        <w:tc>
          <w:tcPr>
            <w:tcW w:w="1145" w:type="dxa"/>
            <w:tcBorders>
              <w:top w:val="nil"/>
              <w:left w:val="nil"/>
              <w:bottom w:val="single" w:sz="8" w:space="0" w:color="auto"/>
              <w:right w:val="single" w:sz="8" w:space="0" w:color="auto"/>
            </w:tcBorders>
            <w:vAlign w:val="center"/>
          </w:tcPr>
          <w:p w14:paraId="42BC43D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0.96935</w:t>
            </w:r>
          </w:p>
        </w:tc>
        <w:tc>
          <w:tcPr>
            <w:tcW w:w="999" w:type="dxa"/>
            <w:tcBorders>
              <w:top w:val="nil"/>
              <w:left w:val="nil"/>
              <w:bottom w:val="single" w:sz="8" w:space="0" w:color="auto"/>
              <w:right w:val="single" w:sz="8" w:space="0" w:color="auto"/>
            </w:tcBorders>
            <w:vAlign w:val="center"/>
          </w:tcPr>
          <w:p w14:paraId="4B83C122"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286.53</w:t>
            </w:r>
          </w:p>
        </w:tc>
        <w:tc>
          <w:tcPr>
            <w:tcW w:w="1088" w:type="dxa"/>
            <w:tcBorders>
              <w:top w:val="nil"/>
              <w:left w:val="nil"/>
              <w:bottom w:val="single" w:sz="8" w:space="0" w:color="auto"/>
              <w:right w:val="single" w:sz="8" w:space="0" w:color="auto"/>
            </w:tcBorders>
            <w:vAlign w:val="center"/>
          </w:tcPr>
          <w:p w14:paraId="1895255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0.00195</w:t>
            </w:r>
          </w:p>
        </w:tc>
        <w:tc>
          <w:tcPr>
            <w:tcW w:w="850" w:type="dxa"/>
            <w:tcBorders>
              <w:top w:val="nil"/>
              <w:left w:val="nil"/>
              <w:bottom w:val="single" w:sz="8" w:space="0" w:color="auto"/>
              <w:right w:val="single" w:sz="8" w:space="0" w:color="auto"/>
            </w:tcBorders>
            <w:vAlign w:val="center"/>
          </w:tcPr>
          <w:p w14:paraId="2CC77632"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0.96984</w:t>
            </w:r>
          </w:p>
        </w:tc>
        <w:tc>
          <w:tcPr>
            <w:tcW w:w="1134" w:type="dxa"/>
            <w:tcBorders>
              <w:top w:val="nil"/>
              <w:left w:val="nil"/>
              <w:bottom w:val="single" w:sz="8" w:space="0" w:color="auto"/>
              <w:right w:val="single" w:sz="8" w:space="0" w:color="auto"/>
            </w:tcBorders>
            <w:vAlign w:val="center"/>
          </w:tcPr>
          <w:p w14:paraId="7B0E16FB"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355.38</w:t>
            </w:r>
          </w:p>
        </w:tc>
        <w:tc>
          <w:tcPr>
            <w:tcW w:w="1145" w:type="dxa"/>
            <w:tcBorders>
              <w:top w:val="nil"/>
              <w:left w:val="nil"/>
              <w:bottom w:val="single" w:sz="8" w:space="0" w:color="auto"/>
              <w:right w:val="single" w:sz="8" w:space="0" w:color="auto"/>
            </w:tcBorders>
            <w:vAlign w:val="center"/>
          </w:tcPr>
          <w:p w14:paraId="66948B9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0.00669</w:t>
            </w:r>
          </w:p>
        </w:tc>
        <w:tc>
          <w:tcPr>
            <w:tcW w:w="1145" w:type="dxa"/>
            <w:tcBorders>
              <w:top w:val="nil"/>
              <w:left w:val="nil"/>
              <w:bottom w:val="single" w:sz="8" w:space="0" w:color="auto"/>
              <w:right w:val="single" w:sz="8" w:space="0" w:color="auto"/>
            </w:tcBorders>
            <w:vAlign w:val="center"/>
          </w:tcPr>
          <w:p w14:paraId="6BBB71EC"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0.96774</w:t>
            </w:r>
          </w:p>
        </w:tc>
        <w:tc>
          <w:tcPr>
            <w:tcW w:w="1290" w:type="dxa"/>
            <w:tcBorders>
              <w:top w:val="nil"/>
              <w:left w:val="nil"/>
              <w:bottom w:val="single" w:sz="8" w:space="0" w:color="auto"/>
              <w:right w:val="single" w:sz="8" w:space="0" w:color="auto"/>
            </w:tcBorders>
            <w:vAlign w:val="center"/>
          </w:tcPr>
          <w:p w14:paraId="110E5DAD"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459.22</w:t>
            </w:r>
          </w:p>
        </w:tc>
      </w:tr>
      <w:tr w:rsidR="001E589F" w:rsidRPr="00F92B46" w14:paraId="54068F4A"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19803C68"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5.</w:t>
            </w:r>
          </w:p>
        </w:tc>
        <w:tc>
          <w:tcPr>
            <w:tcW w:w="1290" w:type="dxa"/>
            <w:tcBorders>
              <w:top w:val="nil"/>
              <w:left w:val="nil"/>
              <w:bottom w:val="single" w:sz="8" w:space="0" w:color="auto"/>
              <w:right w:val="single" w:sz="8" w:space="0" w:color="auto"/>
            </w:tcBorders>
            <w:vAlign w:val="center"/>
          </w:tcPr>
          <w:p w14:paraId="679A3254" w14:textId="521B0EE9"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SG-16</w:t>
            </w:r>
          </w:p>
        </w:tc>
        <w:tc>
          <w:tcPr>
            <w:tcW w:w="1145" w:type="dxa"/>
            <w:tcBorders>
              <w:top w:val="nil"/>
              <w:left w:val="nil"/>
              <w:bottom w:val="single" w:sz="8" w:space="0" w:color="auto"/>
              <w:right w:val="single" w:sz="8" w:space="0" w:color="auto"/>
            </w:tcBorders>
            <w:vAlign w:val="center"/>
          </w:tcPr>
          <w:p w14:paraId="2189A47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0.000776</w:t>
            </w:r>
          </w:p>
        </w:tc>
        <w:tc>
          <w:tcPr>
            <w:tcW w:w="1145" w:type="dxa"/>
            <w:tcBorders>
              <w:top w:val="nil"/>
              <w:left w:val="nil"/>
              <w:bottom w:val="single" w:sz="8" w:space="0" w:color="auto"/>
              <w:right w:val="single" w:sz="8" w:space="0" w:color="auto"/>
            </w:tcBorders>
            <w:vAlign w:val="center"/>
          </w:tcPr>
          <w:p w14:paraId="38777546"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0.97819</w:t>
            </w:r>
          </w:p>
        </w:tc>
        <w:tc>
          <w:tcPr>
            <w:tcW w:w="999" w:type="dxa"/>
            <w:tcBorders>
              <w:top w:val="nil"/>
              <w:left w:val="nil"/>
              <w:bottom w:val="single" w:sz="8" w:space="0" w:color="auto"/>
              <w:right w:val="single" w:sz="8" w:space="0" w:color="auto"/>
            </w:tcBorders>
            <w:vAlign w:val="center"/>
          </w:tcPr>
          <w:p w14:paraId="59DAC490"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282.02</w:t>
            </w:r>
          </w:p>
        </w:tc>
        <w:tc>
          <w:tcPr>
            <w:tcW w:w="1088" w:type="dxa"/>
            <w:tcBorders>
              <w:top w:val="nil"/>
              <w:left w:val="nil"/>
              <w:bottom w:val="single" w:sz="8" w:space="0" w:color="auto"/>
              <w:right w:val="single" w:sz="8" w:space="0" w:color="auto"/>
            </w:tcBorders>
            <w:vAlign w:val="center"/>
          </w:tcPr>
          <w:p w14:paraId="38B3A2C0"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0.00197</w:t>
            </w:r>
          </w:p>
        </w:tc>
        <w:tc>
          <w:tcPr>
            <w:tcW w:w="850" w:type="dxa"/>
            <w:tcBorders>
              <w:top w:val="nil"/>
              <w:left w:val="nil"/>
              <w:bottom w:val="single" w:sz="8" w:space="0" w:color="auto"/>
              <w:right w:val="single" w:sz="8" w:space="0" w:color="auto"/>
            </w:tcBorders>
            <w:vAlign w:val="center"/>
          </w:tcPr>
          <w:p w14:paraId="5E7782CE"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0.97272</w:t>
            </w:r>
          </w:p>
        </w:tc>
        <w:tc>
          <w:tcPr>
            <w:tcW w:w="1134" w:type="dxa"/>
            <w:tcBorders>
              <w:top w:val="nil"/>
              <w:left w:val="nil"/>
              <w:bottom w:val="single" w:sz="8" w:space="0" w:color="auto"/>
              <w:right w:val="single" w:sz="8" w:space="0" w:color="auto"/>
            </w:tcBorders>
            <w:vAlign w:val="center"/>
          </w:tcPr>
          <w:p w14:paraId="29E1F79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351.78</w:t>
            </w:r>
          </w:p>
        </w:tc>
        <w:tc>
          <w:tcPr>
            <w:tcW w:w="1145" w:type="dxa"/>
            <w:tcBorders>
              <w:top w:val="nil"/>
              <w:left w:val="nil"/>
              <w:bottom w:val="single" w:sz="8" w:space="0" w:color="auto"/>
              <w:right w:val="single" w:sz="8" w:space="0" w:color="auto"/>
            </w:tcBorders>
            <w:vAlign w:val="center"/>
          </w:tcPr>
          <w:p w14:paraId="5CE55FFC"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0.005</w:t>
            </w:r>
          </w:p>
        </w:tc>
        <w:tc>
          <w:tcPr>
            <w:tcW w:w="1145" w:type="dxa"/>
            <w:tcBorders>
              <w:top w:val="nil"/>
              <w:left w:val="nil"/>
              <w:bottom w:val="single" w:sz="8" w:space="0" w:color="auto"/>
              <w:right w:val="single" w:sz="8" w:space="0" w:color="auto"/>
            </w:tcBorders>
            <w:vAlign w:val="center"/>
          </w:tcPr>
          <w:p w14:paraId="66A01C7D"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0.96476</w:t>
            </w:r>
          </w:p>
        </w:tc>
        <w:tc>
          <w:tcPr>
            <w:tcW w:w="1290" w:type="dxa"/>
            <w:tcBorders>
              <w:top w:val="nil"/>
              <w:left w:val="nil"/>
              <w:bottom w:val="single" w:sz="8" w:space="0" w:color="auto"/>
              <w:right w:val="single" w:sz="8" w:space="0" w:color="auto"/>
            </w:tcBorders>
            <w:vAlign w:val="center"/>
          </w:tcPr>
          <w:p w14:paraId="2771CE5D"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456.93</w:t>
            </w:r>
          </w:p>
        </w:tc>
      </w:tr>
      <w:tr w:rsidR="001E589F" w:rsidRPr="00F92B46" w14:paraId="40DA2034" w14:textId="77777777" w:rsidTr="00EC30CB">
        <w:trPr>
          <w:trHeight w:val="557"/>
        </w:trPr>
        <w:tc>
          <w:tcPr>
            <w:tcW w:w="429" w:type="dxa"/>
            <w:tcBorders>
              <w:top w:val="nil"/>
              <w:left w:val="single" w:sz="8" w:space="0" w:color="auto"/>
              <w:bottom w:val="single" w:sz="8" w:space="0" w:color="auto"/>
              <w:right w:val="single" w:sz="8" w:space="0" w:color="auto"/>
            </w:tcBorders>
            <w:vAlign w:val="center"/>
          </w:tcPr>
          <w:p w14:paraId="1AB3EAFE"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6.</w:t>
            </w:r>
          </w:p>
        </w:tc>
        <w:tc>
          <w:tcPr>
            <w:tcW w:w="1290" w:type="dxa"/>
            <w:tcBorders>
              <w:top w:val="nil"/>
              <w:left w:val="nil"/>
              <w:bottom w:val="single" w:sz="8" w:space="0" w:color="auto"/>
              <w:right w:val="single" w:sz="8" w:space="0" w:color="auto"/>
            </w:tcBorders>
            <w:vAlign w:val="center"/>
          </w:tcPr>
          <w:p w14:paraId="034AD557" w14:textId="7317D2FD"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SG-18</w:t>
            </w:r>
          </w:p>
        </w:tc>
        <w:tc>
          <w:tcPr>
            <w:tcW w:w="1145" w:type="dxa"/>
            <w:tcBorders>
              <w:top w:val="nil"/>
              <w:left w:val="nil"/>
              <w:bottom w:val="single" w:sz="8" w:space="0" w:color="auto"/>
              <w:right w:val="single" w:sz="8" w:space="0" w:color="auto"/>
            </w:tcBorders>
            <w:vAlign w:val="center"/>
          </w:tcPr>
          <w:p w14:paraId="68E70D85"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0.000925</w:t>
            </w:r>
          </w:p>
        </w:tc>
        <w:tc>
          <w:tcPr>
            <w:tcW w:w="1145" w:type="dxa"/>
            <w:tcBorders>
              <w:top w:val="nil"/>
              <w:left w:val="nil"/>
              <w:bottom w:val="single" w:sz="8" w:space="0" w:color="auto"/>
              <w:right w:val="single" w:sz="8" w:space="0" w:color="auto"/>
            </w:tcBorders>
            <w:vAlign w:val="center"/>
          </w:tcPr>
          <w:p w14:paraId="02FE99E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0.98211</w:t>
            </w:r>
          </w:p>
        </w:tc>
        <w:tc>
          <w:tcPr>
            <w:tcW w:w="999" w:type="dxa"/>
            <w:tcBorders>
              <w:top w:val="nil"/>
              <w:left w:val="nil"/>
              <w:bottom w:val="single" w:sz="8" w:space="0" w:color="auto"/>
              <w:right w:val="single" w:sz="8" w:space="0" w:color="auto"/>
            </w:tcBorders>
            <w:vAlign w:val="center"/>
          </w:tcPr>
          <w:p w14:paraId="7C625986" w14:textId="77777777" w:rsidR="001E589F" w:rsidRPr="00F92B46" w:rsidRDefault="001E589F" w:rsidP="00EC30CB">
            <w:pPr>
              <w:spacing w:line="240" w:lineRule="auto"/>
              <w:rPr>
                <w:rFonts w:ascii="Times New Roman" w:eastAsia="Times New Roman" w:hAnsi="Times New Roman"/>
                <w:sz w:val="24"/>
                <w:szCs w:val="24"/>
                <w:lang w:eastAsia="en-IN"/>
              </w:rPr>
            </w:pPr>
            <w:r w:rsidRPr="00F92B46">
              <w:rPr>
                <w:rFonts w:ascii="Times New Roman" w:eastAsia="Times New Roman" w:hAnsi="Times New Roman"/>
                <w:sz w:val="24"/>
                <w:szCs w:val="24"/>
                <w:lang w:eastAsia="en-IN"/>
              </w:rPr>
              <w:t>234.43</w:t>
            </w:r>
          </w:p>
        </w:tc>
        <w:tc>
          <w:tcPr>
            <w:tcW w:w="1088" w:type="dxa"/>
            <w:tcBorders>
              <w:top w:val="nil"/>
              <w:left w:val="nil"/>
              <w:bottom w:val="single" w:sz="8" w:space="0" w:color="auto"/>
              <w:right w:val="single" w:sz="8" w:space="0" w:color="auto"/>
            </w:tcBorders>
            <w:vAlign w:val="center"/>
          </w:tcPr>
          <w:p w14:paraId="6411757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0.00241</w:t>
            </w:r>
          </w:p>
        </w:tc>
        <w:tc>
          <w:tcPr>
            <w:tcW w:w="850" w:type="dxa"/>
            <w:tcBorders>
              <w:top w:val="nil"/>
              <w:left w:val="nil"/>
              <w:bottom w:val="single" w:sz="8" w:space="0" w:color="auto"/>
              <w:right w:val="single" w:sz="8" w:space="0" w:color="auto"/>
            </w:tcBorders>
            <w:vAlign w:val="center"/>
          </w:tcPr>
          <w:p w14:paraId="0CD577CF"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0.97762</w:t>
            </w:r>
          </w:p>
        </w:tc>
        <w:tc>
          <w:tcPr>
            <w:tcW w:w="1134" w:type="dxa"/>
            <w:tcBorders>
              <w:top w:val="nil"/>
              <w:left w:val="nil"/>
              <w:bottom w:val="single" w:sz="8" w:space="0" w:color="auto"/>
              <w:right w:val="single" w:sz="8" w:space="0" w:color="auto"/>
            </w:tcBorders>
            <w:vAlign w:val="center"/>
          </w:tcPr>
          <w:p w14:paraId="7461FE89"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287.55</w:t>
            </w:r>
          </w:p>
        </w:tc>
        <w:tc>
          <w:tcPr>
            <w:tcW w:w="1145" w:type="dxa"/>
            <w:tcBorders>
              <w:top w:val="nil"/>
              <w:left w:val="nil"/>
              <w:bottom w:val="single" w:sz="8" w:space="0" w:color="auto"/>
              <w:right w:val="single" w:sz="8" w:space="0" w:color="auto"/>
            </w:tcBorders>
            <w:vAlign w:val="center"/>
          </w:tcPr>
          <w:p w14:paraId="6E6ED2C4"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0.00633</w:t>
            </w:r>
          </w:p>
        </w:tc>
        <w:tc>
          <w:tcPr>
            <w:tcW w:w="1145" w:type="dxa"/>
            <w:tcBorders>
              <w:top w:val="nil"/>
              <w:left w:val="nil"/>
              <w:bottom w:val="single" w:sz="8" w:space="0" w:color="auto"/>
              <w:right w:val="single" w:sz="8" w:space="0" w:color="auto"/>
            </w:tcBorders>
            <w:vAlign w:val="center"/>
          </w:tcPr>
          <w:p w14:paraId="2C9892EE"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0.97056</w:t>
            </w:r>
          </w:p>
        </w:tc>
        <w:tc>
          <w:tcPr>
            <w:tcW w:w="1290" w:type="dxa"/>
            <w:tcBorders>
              <w:top w:val="nil"/>
              <w:left w:val="nil"/>
              <w:bottom w:val="single" w:sz="8" w:space="0" w:color="auto"/>
              <w:right w:val="single" w:sz="8" w:space="0" w:color="auto"/>
            </w:tcBorders>
            <w:vAlign w:val="center"/>
          </w:tcPr>
          <w:p w14:paraId="74497353" w14:textId="77777777" w:rsidR="001E589F" w:rsidRPr="00F92B46" w:rsidRDefault="001E589F" w:rsidP="00EC30CB">
            <w:pPr>
              <w:spacing w:line="240" w:lineRule="auto"/>
              <w:rPr>
                <w:rFonts w:ascii="Times New Roman" w:eastAsia="Times New Roman" w:hAnsi="Times New Roman"/>
                <w:sz w:val="24"/>
                <w:szCs w:val="24"/>
                <w:lang w:val="en-GB" w:eastAsia="en-IN"/>
              </w:rPr>
            </w:pPr>
            <w:r w:rsidRPr="00F92B46">
              <w:rPr>
                <w:rFonts w:ascii="Times New Roman" w:eastAsia="Times New Roman" w:hAnsi="Times New Roman"/>
                <w:sz w:val="24"/>
                <w:szCs w:val="24"/>
                <w:lang w:val="en-GB" w:eastAsia="en-IN"/>
              </w:rPr>
              <w:t>364.26</w:t>
            </w:r>
          </w:p>
        </w:tc>
      </w:tr>
      <w:tr w:rsidR="001E589F" w:rsidRPr="00F92B46" w14:paraId="371B10A0" w14:textId="77777777" w:rsidTr="00EC30CB">
        <w:trPr>
          <w:trHeight w:val="237"/>
        </w:trPr>
        <w:tc>
          <w:tcPr>
            <w:tcW w:w="429" w:type="dxa"/>
            <w:tcBorders>
              <w:top w:val="nil"/>
              <w:left w:val="nil"/>
              <w:bottom w:val="nil"/>
              <w:right w:val="nil"/>
            </w:tcBorders>
            <w:noWrap/>
            <w:vAlign w:val="bottom"/>
            <w:hideMark/>
          </w:tcPr>
          <w:p w14:paraId="0B1237D8"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nil"/>
              <w:right w:val="nil"/>
            </w:tcBorders>
            <w:noWrap/>
            <w:vAlign w:val="bottom"/>
            <w:hideMark/>
          </w:tcPr>
          <w:p w14:paraId="54F521D9"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tcBorders>
              <w:top w:val="nil"/>
              <w:left w:val="nil"/>
              <w:bottom w:val="nil"/>
              <w:right w:val="nil"/>
            </w:tcBorders>
            <w:noWrap/>
            <w:vAlign w:val="bottom"/>
            <w:hideMark/>
          </w:tcPr>
          <w:p w14:paraId="5B206D81"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tcBorders>
              <w:top w:val="nil"/>
              <w:left w:val="nil"/>
              <w:bottom w:val="nil"/>
              <w:right w:val="nil"/>
            </w:tcBorders>
            <w:noWrap/>
            <w:vAlign w:val="bottom"/>
            <w:hideMark/>
          </w:tcPr>
          <w:p w14:paraId="0615C861"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999" w:type="dxa"/>
            <w:tcBorders>
              <w:top w:val="nil"/>
              <w:left w:val="nil"/>
              <w:bottom w:val="nil"/>
              <w:right w:val="nil"/>
            </w:tcBorders>
            <w:noWrap/>
            <w:vAlign w:val="bottom"/>
            <w:hideMark/>
          </w:tcPr>
          <w:p w14:paraId="0CB4F4E7"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088" w:type="dxa"/>
            <w:tcBorders>
              <w:top w:val="nil"/>
              <w:left w:val="nil"/>
              <w:bottom w:val="nil"/>
              <w:right w:val="nil"/>
            </w:tcBorders>
            <w:noWrap/>
            <w:vAlign w:val="bottom"/>
            <w:hideMark/>
          </w:tcPr>
          <w:p w14:paraId="1523F639"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850" w:type="dxa"/>
            <w:tcBorders>
              <w:top w:val="nil"/>
              <w:left w:val="nil"/>
              <w:bottom w:val="nil"/>
              <w:right w:val="nil"/>
            </w:tcBorders>
            <w:noWrap/>
            <w:vAlign w:val="bottom"/>
            <w:hideMark/>
          </w:tcPr>
          <w:p w14:paraId="1FA993F1"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34" w:type="dxa"/>
            <w:tcBorders>
              <w:top w:val="nil"/>
              <w:left w:val="nil"/>
              <w:bottom w:val="nil"/>
              <w:right w:val="nil"/>
            </w:tcBorders>
            <w:noWrap/>
            <w:vAlign w:val="bottom"/>
            <w:hideMark/>
          </w:tcPr>
          <w:p w14:paraId="479D56F9"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tcBorders>
              <w:top w:val="nil"/>
              <w:left w:val="nil"/>
              <w:bottom w:val="nil"/>
              <w:right w:val="nil"/>
            </w:tcBorders>
            <w:noWrap/>
            <w:vAlign w:val="bottom"/>
            <w:hideMark/>
          </w:tcPr>
          <w:p w14:paraId="7A1E60CD"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145" w:type="dxa"/>
            <w:tcBorders>
              <w:top w:val="nil"/>
              <w:left w:val="nil"/>
              <w:bottom w:val="nil"/>
              <w:right w:val="nil"/>
            </w:tcBorders>
            <w:noWrap/>
            <w:vAlign w:val="bottom"/>
            <w:hideMark/>
          </w:tcPr>
          <w:p w14:paraId="7A748A36" w14:textId="77777777" w:rsidR="001E589F" w:rsidRPr="00F92B46" w:rsidRDefault="001E589F" w:rsidP="00EC30CB">
            <w:pPr>
              <w:spacing w:line="240" w:lineRule="auto"/>
              <w:rPr>
                <w:rFonts w:ascii="Times New Roman" w:eastAsia="Times New Roman" w:hAnsi="Times New Roman"/>
                <w:sz w:val="24"/>
                <w:szCs w:val="24"/>
                <w:lang w:eastAsia="en-IN"/>
              </w:rPr>
            </w:pPr>
          </w:p>
        </w:tc>
        <w:tc>
          <w:tcPr>
            <w:tcW w:w="1290" w:type="dxa"/>
            <w:tcBorders>
              <w:top w:val="nil"/>
              <w:left w:val="nil"/>
              <w:bottom w:val="nil"/>
              <w:right w:val="nil"/>
            </w:tcBorders>
            <w:noWrap/>
            <w:vAlign w:val="bottom"/>
            <w:hideMark/>
          </w:tcPr>
          <w:p w14:paraId="63E72FA1" w14:textId="77777777" w:rsidR="001E589F" w:rsidRPr="00F92B46" w:rsidRDefault="001E589F" w:rsidP="00EC30CB">
            <w:pPr>
              <w:spacing w:line="240" w:lineRule="auto"/>
              <w:rPr>
                <w:rFonts w:ascii="Times New Roman" w:eastAsia="Times New Roman" w:hAnsi="Times New Roman"/>
                <w:sz w:val="24"/>
                <w:szCs w:val="24"/>
                <w:lang w:eastAsia="en-IN"/>
              </w:rPr>
            </w:pPr>
          </w:p>
        </w:tc>
      </w:tr>
    </w:tbl>
    <w:p w14:paraId="5D08BFA0" w14:textId="77777777" w:rsidR="001E589F" w:rsidRPr="00F92B46" w:rsidRDefault="001E589F">
      <w:pPr>
        <w:rPr>
          <w:rFonts w:ascii="Times New Roman" w:hAnsi="Times New Roman"/>
          <w:sz w:val="24"/>
          <w:szCs w:val="24"/>
        </w:rPr>
      </w:pPr>
    </w:p>
    <w:p w14:paraId="56FA8813" w14:textId="7B50D23F" w:rsidR="00986CFD" w:rsidRPr="00F92B46" w:rsidRDefault="0014612F" w:rsidP="00AD2242">
      <w:pPr>
        <w:pStyle w:val="MDPI21heading1"/>
        <w:ind w:left="0"/>
        <w:rPr>
          <w:rFonts w:ascii="Times New Roman" w:hAnsi="Times New Roman"/>
          <w:szCs w:val="24"/>
        </w:rPr>
      </w:pPr>
      <w:r w:rsidRPr="00F92B46">
        <w:rPr>
          <w:rFonts w:ascii="Times New Roman" w:hAnsi="Times New Roman"/>
          <w:szCs w:val="24"/>
        </w:rPr>
        <w:t>Photocatalytic results for Methylene blue dye</w:t>
      </w:r>
    </w:p>
    <w:p w14:paraId="24F119AE" w14:textId="77777777" w:rsidR="0014612F" w:rsidRPr="00F92B46" w:rsidRDefault="0014612F" w:rsidP="0014612F">
      <w:pPr>
        <w:rPr>
          <w:rFonts w:ascii="Times New Roman" w:hAnsi="Times New Roman"/>
          <w:sz w:val="24"/>
          <w:szCs w:val="24"/>
        </w:rPr>
      </w:pPr>
      <w:r w:rsidRPr="00F92B46">
        <w:rPr>
          <w:rFonts w:ascii="Times New Roman" w:hAnsi="Times New Roman"/>
          <w:sz w:val="24"/>
          <w:szCs w:val="24"/>
        </w:rPr>
        <w:drawing>
          <wp:inline distT="0" distB="0" distL="0" distR="0" wp14:anchorId="43ACE9BA" wp14:editId="5B8F4BC0">
            <wp:extent cx="6150634" cy="2490646"/>
            <wp:effectExtent l="0" t="0" r="2540" b="5080"/>
            <wp:docPr id="1176846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66297" cy="2496988"/>
                    </a:xfrm>
                    <a:prstGeom prst="rect">
                      <a:avLst/>
                    </a:prstGeom>
                    <a:noFill/>
                    <a:ln>
                      <a:noFill/>
                    </a:ln>
                  </pic:spPr>
                </pic:pic>
              </a:graphicData>
            </a:graphic>
          </wp:inline>
        </w:drawing>
      </w:r>
    </w:p>
    <w:p w14:paraId="5072E99F" w14:textId="4BD5D832" w:rsidR="0014612F" w:rsidRPr="00F92B46" w:rsidRDefault="008552FB" w:rsidP="00F92B46">
      <w:pPr>
        <w:pStyle w:val="MDPI51figurecaption"/>
        <w:ind w:left="0"/>
        <w:rPr>
          <w:rFonts w:ascii="Times New Roman" w:hAnsi="Times New Roman"/>
          <w:sz w:val="24"/>
          <w:szCs w:val="24"/>
        </w:rPr>
      </w:pPr>
      <w:bookmarkStart w:id="6" w:name="_Hlk194367761"/>
      <w:r w:rsidRPr="00F92B46">
        <w:rPr>
          <w:rFonts w:ascii="Times New Roman" w:hAnsi="Times New Roman"/>
          <w:b/>
          <w:bCs/>
          <w:sz w:val="24"/>
          <w:szCs w:val="24"/>
        </w:rPr>
        <w:t>Fig.</w:t>
      </w:r>
      <w:r w:rsidR="0014612F" w:rsidRPr="00F92B46">
        <w:rPr>
          <w:rFonts w:ascii="Times New Roman" w:hAnsi="Times New Roman"/>
          <w:b/>
          <w:bCs/>
          <w:sz w:val="24"/>
          <w:szCs w:val="24"/>
        </w:rPr>
        <w:t xml:space="preserve"> </w:t>
      </w:r>
      <w:r w:rsidR="00AD2242" w:rsidRPr="00F92B46">
        <w:rPr>
          <w:rFonts w:ascii="Times New Roman" w:hAnsi="Times New Roman"/>
          <w:b/>
          <w:bCs/>
          <w:sz w:val="24"/>
          <w:szCs w:val="24"/>
        </w:rPr>
        <w:t>S</w:t>
      </w:r>
      <w:r w:rsidR="00CA5ACF" w:rsidRPr="00F92B46">
        <w:rPr>
          <w:rFonts w:ascii="Times New Roman" w:hAnsi="Times New Roman"/>
          <w:b/>
          <w:bCs/>
          <w:sz w:val="24"/>
          <w:szCs w:val="24"/>
        </w:rPr>
        <w:t>6</w:t>
      </w:r>
      <w:r w:rsidR="00AD2242" w:rsidRPr="00F92B46">
        <w:rPr>
          <w:rFonts w:ascii="Times New Roman" w:hAnsi="Times New Roman"/>
          <w:b/>
          <w:bCs/>
          <w:sz w:val="24"/>
          <w:szCs w:val="24"/>
        </w:rPr>
        <w:t>.</w:t>
      </w:r>
      <w:r w:rsidR="0014612F" w:rsidRPr="00F92B46">
        <w:rPr>
          <w:rFonts w:ascii="Times New Roman" w:hAnsi="Times New Roman"/>
          <w:sz w:val="24"/>
          <w:szCs w:val="24"/>
        </w:rPr>
        <w:t xml:space="preserve"> (</w:t>
      </w:r>
      <w:r w:rsidR="0014612F" w:rsidRPr="00F92B46">
        <w:rPr>
          <w:rFonts w:ascii="Times New Roman" w:hAnsi="Times New Roman"/>
          <w:b/>
          <w:bCs/>
          <w:sz w:val="24"/>
          <w:szCs w:val="24"/>
        </w:rPr>
        <w:t>a</w:t>
      </w:r>
      <w:r w:rsidR="0014612F" w:rsidRPr="00F92B46">
        <w:rPr>
          <w:rFonts w:ascii="Times New Roman" w:hAnsi="Times New Roman"/>
          <w:sz w:val="24"/>
          <w:szCs w:val="24"/>
        </w:rPr>
        <w:t>) FTIR spectra of methylene blue solution before and after photodegradation using SG-12 catalyst at 0 min, 50 min and 100 min. (</w:t>
      </w:r>
      <w:r w:rsidR="0014612F" w:rsidRPr="00F92B46">
        <w:rPr>
          <w:rFonts w:ascii="Times New Roman" w:hAnsi="Times New Roman"/>
          <w:b/>
          <w:bCs/>
          <w:sz w:val="24"/>
          <w:szCs w:val="24"/>
        </w:rPr>
        <w:t>b</w:t>
      </w:r>
      <w:r w:rsidR="0014612F" w:rsidRPr="00F92B46">
        <w:rPr>
          <w:rFonts w:ascii="Times New Roman" w:hAnsi="Times New Roman"/>
          <w:sz w:val="24"/>
          <w:szCs w:val="24"/>
        </w:rPr>
        <w:t>) FTIR spectra of methylene blue solution before and after photodegradation using SG-16 catalyst at 0 min, 50 min and 100 min.</w:t>
      </w:r>
    </w:p>
    <w:bookmarkEnd w:id="6"/>
    <w:p w14:paraId="04F77932" w14:textId="0AD93AA0" w:rsidR="0014612F" w:rsidRPr="00F92B46" w:rsidRDefault="0014612F" w:rsidP="00F92B46">
      <w:pPr>
        <w:pStyle w:val="MDPI31text"/>
        <w:ind w:left="0" w:firstLine="0"/>
        <w:rPr>
          <w:rFonts w:ascii="Times New Roman" w:hAnsi="Times New Roman"/>
          <w:sz w:val="24"/>
          <w:szCs w:val="24"/>
        </w:rPr>
      </w:pPr>
      <w:r w:rsidRPr="00F92B46">
        <w:rPr>
          <w:rFonts w:ascii="Times New Roman" w:hAnsi="Times New Roman"/>
          <w:sz w:val="24"/>
          <w:szCs w:val="24"/>
        </w:rPr>
        <w:t xml:space="preserve">Fourier transform infrared spectroscopy technique (FTIR) is utilized to probe transformations in methylene blue solution and degraded methylene blue dye solution.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S6</w:t>
      </w:r>
      <w:r w:rsidRPr="00F92B46">
        <w:rPr>
          <w:rFonts w:ascii="Times New Roman" w:hAnsi="Times New Roman"/>
          <w:sz w:val="24"/>
          <w:szCs w:val="24"/>
        </w:rPr>
        <w:t xml:space="preserve"> (a) illustrated the FTIR spectra of methylene blue solution before and after photodegradation using SG-12 catalyst at 0 min, 50 min and 100 min. The FTIR band at 2935 cm</w:t>
      </w:r>
      <w:r w:rsidRPr="00F92B46">
        <w:rPr>
          <w:rFonts w:ascii="Times New Roman" w:hAnsi="Times New Roman"/>
          <w:sz w:val="24"/>
          <w:szCs w:val="24"/>
          <w:vertAlign w:val="superscript"/>
        </w:rPr>
        <w:t xml:space="preserve">-1 </w:t>
      </w:r>
      <w:r w:rsidRPr="00F92B46">
        <w:rPr>
          <w:rFonts w:ascii="Times New Roman" w:hAnsi="Times New Roman"/>
          <w:sz w:val="24"/>
          <w:szCs w:val="24"/>
        </w:rPr>
        <w:t>(</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S6</w:t>
      </w:r>
      <w:r w:rsidRPr="00F92B46">
        <w:rPr>
          <w:rFonts w:ascii="Times New Roman" w:hAnsi="Times New Roman"/>
          <w:sz w:val="24"/>
          <w:szCs w:val="24"/>
        </w:rPr>
        <w:t xml:space="preserve"> (a)) and 2923 cm</w:t>
      </w:r>
      <w:r w:rsidRPr="00F92B46">
        <w:rPr>
          <w:rFonts w:ascii="Times New Roman" w:hAnsi="Times New Roman"/>
          <w:sz w:val="24"/>
          <w:szCs w:val="24"/>
          <w:vertAlign w:val="superscript"/>
        </w:rPr>
        <w:t xml:space="preserve">-1 </w:t>
      </w:r>
      <w:r w:rsidRPr="00F92B46">
        <w:rPr>
          <w:rFonts w:ascii="Times New Roman" w:hAnsi="Times New Roman"/>
          <w:sz w:val="24"/>
          <w:szCs w:val="24"/>
        </w:rPr>
        <w:t>(</w:t>
      </w:r>
      <w:r w:rsidR="008552FB" w:rsidRPr="00F92B46">
        <w:rPr>
          <w:rFonts w:ascii="Times New Roman" w:hAnsi="Times New Roman"/>
          <w:sz w:val="24"/>
          <w:szCs w:val="24"/>
        </w:rPr>
        <w:t>Fig.</w:t>
      </w:r>
      <w:r w:rsidR="0005690B" w:rsidRPr="00F92B46">
        <w:rPr>
          <w:rFonts w:ascii="Times New Roman" w:hAnsi="Times New Roman"/>
          <w:sz w:val="24"/>
          <w:szCs w:val="24"/>
        </w:rPr>
        <w:t xml:space="preserve"> S6</w:t>
      </w:r>
      <w:r w:rsidRPr="00F92B46">
        <w:rPr>
          <w:rFonts w:ascii="Times New Roman" w:hAnsi="Times New Roman"/>
          <w:sz w:val="24"/>
          <w:szCs w:val="24"/>
        </w:rPr>
        <w:t xml:space="preserve">(b)) is on account of assigned to the vibrations of the CH groups of the heterocycle </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{"citationItems":[{"id":"ITEM-1","itemData":{"DOI":"10.1155/2022/3181963","ISSN":"16878078","abstract":"A multiscale investigation including computational chemistry calculations and experimental studies was performed to elucidate and understand the methylene blue (MB) adsorption on polyaniline (PANI) from an aqueous solution. Static DFT and DFT-based ab initio molecular dynamics were used to characterize the intermolecular interactions of this dye molecule with nondoped and doped PANI. Experimental adsorption studies at different operating conditions were performed to complement the mechanism analysis of this adsorption system. Infrared spectroscopy studies and ab initio calculations showed the important role of π-π stacking and van der Waals interactions for the dye adsorption on PANI. Experimental results of MB adsorption on the PANI surface indicated that alkaline conditions were more favorable than acidic conditions where the MB adsorption capacity ranged from 9.91 mg/g at pH 1.8 to 23.16 mg/g at pH 10.9. Equilibrium adsorption studies with nondoped PANI revealed a fast removal of the dye molecules where the equilibrium adsorption was reached after 45 minutes. The kinetic parameters were calculated with the pseudo-second and pseudo-first order models, while the adsorption mechanism was analyzed using the intraparticle diffusion, Boyd, and Elovich models. Dye adsorption equilibrium was studied at pH 8 and 30 °C where Temkin, Freundlich, Langmuir, and Dubinin-Radushkevich (D-R) isotherm models as well as a statistical physics monolayer model were employed in data analysis. The saturation dye adsorption capacity was 40.2 mg/g where an inclined adsorption orientation of dye molecules on the PANI surface could be expected with an adsorption energy of 14.0 kJ/mol. This interaction energy clearly indicated that only physical interactions were involved in the MB dye adsorption mechanism, which was also confirmed by the calculations with the D-R isotherm model. These theoretical and experimental results are important to understand the dye adsorption properties of conductive polymers and to consolidate their application in the synthesis of new adsorbents and composites for water treatment.","author":[{"dropping-particle":"","family":"Djellali","given":"Souad","non-dropping-particle":"","parse-names":false,"suffix":""},{"dropping-particle":"","family":"Touati","given":"Amani","non-dropping-particle":"","parse-names":false,"suffix":""},{"dropping-particle":"","family":"Semmeq","given":"Abderrahmane","non-dropping-particle":"","parse-names":false,"suffix":""},{"dropping-particle":"","family":"Kebaili","given":"Maya","non-dropping-particle":"","parse-names":false,"suffix":""},{"dropping-particle":"","family":"Badawi","given":"Michael","non-dropping-particle":"","parse-names":false,"suffix":""},{"dropping-particle":"","family":"Bonilla-Petriciolet","given":"Adrián","non-dropping-particle":"","parse-names":false,"suffix":""}],"container-title":"International Journal of Chemical Engineering","editor":[{"dropping-particle":"","family":"Ponnusamy","given":"Senthil Kumar","non-dropping-particle":"","parse-names":false,"suffix":""}],"id":"ITEM-1","issued":{"date-parts":[["2022","9","28"]]},"page":"1-18","title":"Unravelling the Methylene Blue Adsorption Mechanism on Doped and Nondoped Polyaniline: A Combined Molecular Modeling and Experimental Investigation","type":"article-journal","volume":"2022"},"uris":["http://www.mendeley.com/documents/?uuid=e542716d-a2ac-4ea7-a215-63d6e4d60d1f"]}],"mendeley":{"formattedCitation":"[1]","plainTextFormattedCitation":"[1]","previouslyFormattedCitation":"[1]"},"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[1]</w:t>
      </w:r>
      <w:r w:rsidRPr="00F92B46">
        <w:rPr>
          <w:rFonts w:ascii="Times New Roman" w:hAnsi="Times New Roman"/>
          <w:sz w:val="24"/>
          <w:szCs w:val="24"/>
        </w:rPr>
        <w:fldChar w:fldCharType="end"/>
      </w:r>
      <w:r w:rsidRPr="00F92B46">
        <w:rPr>
          <w:rFonts w:ascii="Times New Roman" w:hAnsi="Times New Roman"/>
          <w:sz w:val="24"/>
          <w:szCs w:val="24"/>
        </w:rPr>
        <w:t>. The prominent peak at 1540 cm</w:t>
      </w:r>
      <w:r w:rsidRPr="00F92B46">
        <w:rPr>
          <w:rFonts w:ascii="Times New Roman" w:hAnsi="Times New Roman"/>
          <w:sz w:val="24"/>
          <w:szCs w:val="24"/>
          <w:vertAlign w:val="superscript"/>
        </w:rPr>
        <w:t>-1</w:t>
      </w:r>
      <w:r w:rsidRPr="00F92B46">
        <w:rPr>
          <w:rFonts w:ascii="Times New Roman" w:hAnsi="Times New Roman"/>
          <w:sz w:val="24"/>
          <w:szCs w:val="24"/>
        </w:rPr>
        <w:t xml:space="preserve"> is attributed to the C=C and C=N vibrations of methylene blue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S6</w:t>
      </w:r>
      <w:r w:rsidRPr="00F92B46">
        <w:rPr>
          <w:rFonts w:ascii="Times New Roman" w:hAnsi="Times New Roman"/>
          <w:sz w:val="24"/>
          <w:szCs w:val="24"/>
        </w:rPr>
        <w:t xml:space="preserve"> (a-b))</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{"citationItems":[{"id":"ITEM-1","itemData":{"DOI":"10.1515/rput-2017-0012","ISSN":"1338-0532","abstract":"The degradation of the environment which is due to the discharge of polluting wastewater from industrial sources poses a real problem in several countries. Textile industries use large volumes of water in their operations, discharging thus large volume of wastewater into the environment, most of which is untreated. The wastewater contains a variety of chemicals from various stages of process operations, including desizing, scouring, bleaching and dyeing. The main purpose of this paper is to introduce Infrared Spectrometry with Fourier transformation as a non-destructive method for study, identifation and rapid determination of selected representatives of cationic (Methylene Blue), azo (Congo Red, Eriochrome Black T) and nitroso (Naphthol Green B) dyes. In conjunction with the ATR technique, FTIR offers a reliable detection method of dyes without extraction by other dangerous substances.Spectral interpretation of dye spectra revealed valuable information about the identification and characterization of each group of dyes.","author":[{"dropping-particle":"","family":"Bartošová","given":"Alica","non-dropping-particle":"","parse-names":false,"suffix":""},{"dropping-particle":"","family":"Blinová","given":"Lenka","non-dropping-particle":"","parse-names":false,"suffix":""},{"dropping-particle":"","family":"Sirotiak","given":"Maroš","non-dropping-particle":"","parse-names":false,"suffix":""},{"dropping-particle":"","family":"Michalíková","given":"Anna","non-dropping-particle":"","parse-names":false,"suffix":""}],"container-title":"Research Papers Faculty of Materials Science and Technology Slovak University of Technology","id":"ITEM-1","issue":"40","issued":{"date-parts":[["2017","6","1"]]},"page":"103-111","title":"Usage of FTIR-ATR as Non-Destructive Analysis of Selected Toxic Dyes","type":"article-journal","volume":"25"},"uris":["http://www.mendeley.com/documents/?uuid=228156ad-23a4-49a9-9170-6bc9c06cd31e"]}],"mendeley":{"formattedCitation":"[2]","plainTextFormattedCitation":"[2]","previouslyFormattedCitation":"[2]"},"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[2]</w:t>
      </w:r>
      <w:r w:rsidRPr="00F92B46">
        <w:rPr>
          <w:rFonts w:ascii="Times New Roman" w:hAnsi="Times New Roman"/>
          <w:sz w:val="24"/>
          <w:szCs w:val="24"/>
        </w:rPr>
        <w:fldChar w:fldCharType="end"/>
      </w:r>
      <w:r w:rsidRPr="00F92B46">
        <w:rPr>
          <w:rFonts w:ascii="Times New Roman" w:hAnsi="Times New Roman"/>
          <w:sz w:val="24"/>
          <w:szCs w:val="24"/>
        </w:rPr>
        <w:t xml:space="preserve">.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S6</w:t>
      </w:r>
      <w:r w:rsidRPr="00F92B46">
        <w:rPr>
          <w:rFonts w:ascii="Times New Roman" w:hAnsi="Times New Roman"/>
          <w:sz w:val="24"/>
          <w:szCs w:val="24"/>
        </w:rPr>
        <w:t xml:space="preserve"> (b) illustrated FTIR spectra of methylene blue solution before and after photodegradation using SG-16 catalyst at 0 min, 50 min and 100 min. The transmittance observed at 3742 cm</w:t>
      </w:r>
      <w:r w:rsidRPr="00F92B46">
        <w:rPr>
          <w:rFonts w:ascii="Times New Roman" w:hAnsi="Times New Roman"/>
          <w:sz w:val="24"/>
          <w:szCs w:val="24"/>
          <w:vertAlign w:val="superscript"/>
        </w:rPr>
        <w:t>-1</w:t>
      </w:r>
      <w:r w:rsidRPr="00F92B46">
        <w:rPr>
          <w:rFonts w:ascii="Times New Roman" w:hAnsi="Times New Roman"/>
          <w:sz w:val="24"/>
          <w:szCs w:val="24"/>
        </w:rPr>
        <w:t xml:space="preserve"> (shifted to higher frequency region) is on account of main chromophore undergoes degradation to synthesize H-OH </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{"citationItems":[{"id":"ITEM-1","itemData":{"DOI":"10.1007/s10854-019-01985-8","ISSN":"1573482X","abstract":"The biosynthesis is an eco-friendly, reliable, sustainable protocol for preparing nanomaterials where use of natural, biodegradable, non-toxic and safe reagents takes place. In the present work, an efficient, facile and eco-friendly approach has been used for the synthesis of zinc oxide nanoparticles (ZnO-NPs) using Trigonella foenum-graecum (Fenugreek) aqueous seed extract as bio-reducing agents and capping agent, thus eradicating the requirement of conventional reducing agents. Different characterization techniques like UV–Vis spectroscopy, UV–Visible diffuse reflectance spectroscopy, Fourier-transform infrared spectroscopy (FTIR), X-ray diffraction (XRD), scanning electron microscopy, photoluminescence (PL) study and energy dispersive X-ray were employed for confirmation of optical properties, shape, size, surface structure, crystalline nature and elemental proportions of the biogenic ZnO-NPs. FTIR analysis confirms the active role of bioactive phytochemical constituents present in the Trigonella foenum-graecum aqueous seed extract. XRD analyses of the as prepared ZnO-NPs are crystalline in nature and have no other impurity phase. UV–Vis spectral data suggested optical band gap energy of 2.97 eV for biosynthesized ZnO-NPs showing their small size owing to quantum confinement. UV–Vis spectra of ZnO-NPs show the characteristic absorption band at 364 nm, which can be assigned to the intrinsic band gap absorption of ZnO-NPs because of the electron transitions from the valence band to the conduction band. In addition, the efficacy of biosynthesized ZnO-NPs to act as highly efficient photocatalyst for methylene blue (MB) dye degradation under UV-light under different experimental conditions was confirmed in this study. The effect of initial dye concentration, ZnO photocatalyst dosage and the reusability tests were investigated. Improved photocatalytic behavior was discussed and influence of active species was further investigated using hydroxyl radical (●OH), superoxide anions (●O2−) and hole (h+) scavengers to explain the possible mechanism of the photocatalytic MB dye degradation under UV light irradiation.","author":[{"dropping-particle":"","family":"Alshehri","given":"Abdulmohsen Ali","non-dropping-particle":"","parse-names":false,"suffix":""},{"dropping-particle":"","family":"Malik","given":"Maqsood Ahmad","non-dropping-particle":"","parse-names":false,"suffix":""}],"container-title":"Journal of Materials Science: Materials in Electronics","id":"ITEM-1","issue":"17","issued":{"date-parts":[["2019","9","21"]]},"page":"16156-16173","title":"Biogenic fabrication of ZnO nanoparticles using Trigonella foenum-graecum (Fenugreek) for proficient photocatalytic degradation of methylene blue under UV irradiation","type":"article-journal","volume":"30"},"uris":["http://www.mendeley.com/documents/?uuid=a0269cf1-74b3-435f-af37-943bdf8dd2dc"]}],"mendeley":{"formattedCitation":"[3]","plainTextFormattedCitation":"[3]","previouslyFormattedCitation":"[3]"},"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[3]</w:t>
      </w:r>
      <w:r w:rsidRPr="00F92B46">
        <w:rPr>
          <w:rFonts w:ascii="Times New Roman" w:hAnsi="Times New Roman"/>
          <w:sz w:val="24"/>
          <w:szCs w:val="24"/>
        </w:rPr>
        <w:fldChar w:fldCharType="end"/>
      </w:r>
      <w:r w:rsidRPr="00F92B46">
        <w:rPr>
          <w:rFonts w:ascii="Times New Roman" w:hAnsi="Times New Roman"/>
          <w:sz w:val="24"/>
          <w:szCs w:val="24"/>
        </w:rPr>
        <w:t>.</w:t>
      </w:r>
    </w:p>
    <w:p w14:paraId="54CCC8A0" w14:textId="77777777" w:rsidR="00125F13" w:rsidRPr="00F92B46" w:rsidRDefault="00125F13" w:rsidP="0005690B">
      <w:pPr>
        <w:rPr>
          <w:rFonts w:ascii="Times New Roman" w:hAnsi="Times New Roman"/>
          <w:sz w:val="24"/>
          <w:szCs w:val="24"/>
        </w:rPr>
      </w:pPr>
    </w:p>
    <w:p w14:paraId="2FE98621" w14:textId="667DBBA9" w:rsidR="0014612F" w:rsidRPr="00F92B46" w:rsidRDefault="0014612F" w:rsidP="00AD2242">
      <w:pPr>
        <w:pStyle w:val="MDPI21heading1"/>
        <w:ind w:hanging="2608"/>
        <w:rPr>
          <w:rFonts w:ascii="Times New Roman" w:hAnsi="Times New Roman"/>
          <w:szCs w:val="24"/>
        </w:rPr>
      </w:pPr>
      <w:r w:rsidRPr="00F92B46">
        <w:rPr>
          <w:rFonts w:ascii="Times New Roman" w:hAnsi="Times New Roman"/>
          <w:szCs w:val="24"/>
        </w:rPr>
        <w:t>Photocatalytic results for Methyl orange dye</w:t>
      </w:r>
    </w:p>
    <w:p w14:paraId="7D23F140" w14:textId="77777777" w:rsidR="00125F13" w:rsidRPr="00F92B46" w:rsidRDefault="00125F13" w:rsidP="0005690B">
      <w:pPr>
        <w:rPr>
          <w:rFonts w:ascii="Times New Roman" w:hAnsi="Times New Roman"/>
          <w:sz w:val="24"/>
          <w:szCs w:val="24"/>
        </w:rPr>
      </w:pPr>
    </w:p>
    <w:p w14:paraId="26C82D19" w14:textId="77777777" w:rsidR="0014612F" w:rsidRPr="00F92B46" w:rsidRDefault="0014612F" w:rsidP="0014612F">
      <w:pPr>
        <w:rPr>
          <w:rFonts w:ascii="Times New Roman" w:hAnsi="Times New Roman"/>
          <w:sz w:val="24"/>
          <w:szCs w:val="24"/>
        </w:rPr>
      </w:pPr>
      <w:r w:rsidRPr="00F92B46">
        <w:rPr>
          <w:rFonts w:ascii="Times New Roman" w:hAnsi="Times New Roman"/>
          <w:sz w:val="24"/>
          <w:szCs w:val="24"/>
        </w:rPr>
        <w:lastRenderedPageBreak/>
        <w:drawing>
          <wp:inline distT="0" distB="0" distL="0" distR="0" wp14:anchorId="4F9B5163" wp14:editId="148E2BCB">
            <wp:extent cx="5731510" cy="2429510"/>
            <wp:effectExtent l="0" t="0" r="2540" b="8890"/>
            <wp:docPr id="35571098" name="Picture 5" descr="A graph of a wave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1098" name="Picture 5" descr="A graph of a waveform&#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429510"/>
                    </a:xfrm>
                    <a:prstGeom prst="rect">
                      <a:avLst/>
                    </a:prstGeom>
                    <a:noFill/>
                    <a:ln>
                      <a:noFill/>
                    </a:ln>
                  </pic:spPr>
                </pic:pic>
              </a:graphicData>
            </a:graphic>
          </wp:inline>
        </w:drawing>
      </w:r>
    </w:p>
    <w:p w14:paraId="6876D0E0" w14:textId="16A7448A" w:rsidR="0014612F" w:rsidRPr="00F92B46" w:rsidRDefault="008552FB" w:rsidP="00F92B46">
      <w:pPr>
        <w:pStyle w:val="MDPI51figurecaption"/>
        <w:ind w:left="0"/>
        <w:rPr>
          <w:rFonts w:ascii="Times New Roman" w:hAnsi="Times New Roman"/>
          <w:sz w:val="24"/>
          <w:szCs w:val="24"/>
        </w:rPr>
      </w:pPr>
      <w:bookmarkStart w:id="7" w:name="_Hlk194367770"/>
      <w:r w:rsidRPr="00F92B46">
        <w:rPr>
          <w:rFonts w:ascii="Times New Roman" w:hAnsi="Times New Roman"/>
          <w:b/>
          <w:bCs/>
          <w:sz w:val="24"/>
          <w:szCs w:val="24"/>
        </w:rPr>
        <w:t>Fig.</w:t>
      </w:r>
      <w:r w:rsidR="0014612F" w:rsidRPr="00F92B46">
        <w:rPr>
          <w:rFonts w:ascii="Times New Roman" w:hAnsi="Times New Roman"/>
          <w:b/>
          <w:bCs/>
          <w:sz w:val="24"/>
          <w:szCs w:val="24"/>
        </w:rPr>
        <w:t xml:space="preserve"> </w:t>
      </w:r>
      <w:r w:rsidR="00AD2242" w:rsidRPr="00F92B46">
        <w:rPr>
          <w:rFonts w:ascii="Times New Roman" w:hAnsi="Times New Roman"/>
          <w:b/>
          <w:bCs/>
          <w:sz w:val="24"/>
          <w:szCs w:val="24"/>
        </w:rPr>
        <w:t>S</w:t>
      </w:r>
      <w:r w:rsidR="00CA5ACF" w:rsidRPr="00F92B46">
        <w:rPr>
          <w:rFonts w:ascii="Times New Roman" w:hAnsi="Times New Roman"/>
          <w:b/>
          <w:bCs/>
          <w:sz w:val="24"/>
          <w:szCs w:val="24"/>
        </w:rPr>
        <w:t>7</w:t>
      </w:r>
      <w:r w:rsidR="00AD2242" w:rsidRPr="00F92B46">
        <w:rPr>
          <w:rFonts w:ascii="Times New Roman" w:hAnsi="Times New Roman"/>
          <w:b/>
          <w:bCs/>
          <w:sz w:val="24"/>
          <w:szCs w:val="24"/>
        </w:rPr>
        <w:t>.</w:t>
      </w:r>
      <w:r w:rsidR="0014612F" w:rsidRPr="00F92B46">
        <w:rPr>
          <w:rFonts w:ascii="Times New Roman" w:hAnsi="Times New Roman"/>
          <w:sz w:val="24"/>
          <w:szCs w:val="24"/>
        </w:rPr>
        <w:t xml:space="preserve"> (a) FTIR spectra of methyl orange solution before and after photodegradation using SG-12 catalyst at 0 min, 40 min and 90 min. (b) FTIR spectra of methyl orange solution before and after photodegradation using SG-18 catalyst at 0 min, 40 min and 90 min.</w:t>
      </w:r>
    </w:p>
    <w:bookmarkEnd w:id="7"/>
    <w:p w14:paraId="31381571" w14:textId="602CDA3F" w:rsidR="0014612F" w:rsidRPr="00F92B46" w:rsidRDefault="0014612F" w:rsidP="00F92B46">
      <w:pPr>
        <w:pStyle w:val="MDPI31text"/>
        <w:ind w:left="0" w:firstLine="0"/>
        <w:rPr>
          <w:rFonts w:ascii="Times New Roman" w:hAnsi="Times New Roman"/>
          <w:sz w:val="24"/>
          <w:szCs w:val="24"/>
        </w:rPr>
      </w:pPr>
      <w:r w:rsidRPr="00F92B46">
        <w:rPr>
          <w:rFonts w:ascii="Times New Roman" w:hAnsi="Times New Roman"/>
          <w:sz w:val="24"/>
          <w:szCs w:val="24"/>
        </w:rPr>
        <w:t xml:space="preserve">The maximal absorbance wavelength for methyl orange dye is 465 nm </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{"citationItems":[{"id":"ITEM-1","itemData":{"DOI":"10.1038/s41598-021-90235-1","ISSN":"20452322","PMID":"34017049","abstract":"Methyl orange (MO) is a common anionic azo dye that is harmful to the environment and biology, so it must be treated innocuously before it can be discharged. Adsorption is an effective method to remove anionic dyes. Nanotube mineral is a natural one-dimensional adsorption material, and its unique morphology and structure endow it with good adsorption capacity. Although there are many related studies, there is a lack of in-depth discussions on the influence of nanotube’s composition and structure on the adsorption of dyes and other pollutants. In this paper, two kinds of natural one-dimensional silicate minerals [halloysite nanotubes (HNTs) and chrysotile nanotubes (ChNTs)] with similar morphology but slightly different compositions and crystal structures were used as adsorbents, and MO solution was used as simulate pollutants. It is the first time to discuss in depth the influence of the composition and structure of nanotube minerals on their charge properties and the adsorption performance of methyl orange dyes. It is found that HNTs and ChNTs have different adsorption capacity due to the difference of electronegativity between Al3+ and Mg2+ in the crystal, so they possess negative and positive charges respectively in near-neutral solution, which leads to the adsorption capacity of MO by ChNTs with positive charges which is greater than that of HNTs.","author":[{"dropping-particle":"","family":"Wu","given":"Lijuan","non-dropping-particle":"","parse-names":false,"suffix":""},{"dropping-particle":"","family":"Liu","given":"Xuewen","non-dropping-particle":"","parse-names":false,"suffix":""},{"dropping-particle":"","family":"Lv","given":"Guocheng","non-dropping-particle":"","parse-names":false,"suffix":""},{"dropping-particle":"","family":"Zhu","given":"Runliang","non-dropping-particle":"","parse-names":false,"suffix":""},{"dropping-particle":"","family":"Tian","given":"Lintao","non-dropping-particle":"","parse-names":false,"suffix":""},{"dropping-particle":"","family":"Liu","given":"Meng","non-dropping-particle":"","parse-names":false,"suffix":""},{"dropping-particle":"","family":"Li","given":"Yuxin","non-dropping-particle":"","parse-names":false,"suffix":""},{"dropping-particle":"","family":"Rao","given":"Wenxiu","non-dropping-particle":"","parse-names":false,"suffix":""},{"dropping-particle":"","family":"Liu","given":"Tianming","non-dropping-particle":"","parse-names":false,"suffix":""},{"dropping-particle":"","family":"Liao","given":"Libing","non-dropping-particle":"","parse-names":false,"suffix":""}],"container-title":"Scientific Reports","id":"ITEM-1","issue":"1","issued":{"date-parts":[["2021","5","20"]]},"page":"10640","title":"Study on the adsorption properties of methyl orange by natural one-dimensional nano-mineral materials with different structures","type":"article-journal","volume":"11"},"uris":["http://www.mendeley.com/documents/?uuid=e0474b86-7544-4349-ba86-033cfd2af552"]}],"mendeley":{"formattedCitation":"[4]","plainTextFormattedCitation":"[4]","previouslyFormattedCitation":"[4]"},"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[4]</w:t>
      </w:r>
      <w:r w:rsidRPr="00F92B46">
        <w:rPr>
          <w:rFonts w:ascii="Times New Roman" w:hAnsi="Times New Roman"/>
          <w:sz w:val="24"/>
          <w:szCs w:val="24"/>
        </w:rPr>
        <w:fldChar w:fldCharType="end"/>
      </w:r>
      <w:r w:rsidRPr="00F92B46">
        <w:rPr>
          <w:rFonts w:ascii="Times New Roman" w:hAnsi="Times New Roman"/>
          <w:sz w:val="24"/>
          <w:szCs w:val="24"/>
        </w:rPr>
        <w:t xml:space="preserve">. It is ardent from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 xml:space="preserve">S7 </w:t>
      </w:r>
      <w:r w:rsidRPr="00F92B46">
        <w:rPr>
          <w:rFonts w:ascii="Times New Roman" w:hAnsi="Times New Roman"/>
          <w:sz w:val="24"/>
          <w:szCs w:val="24"/>
        </w:rPr>
        <w:t xml:space="preserve">(a-f) that degradation of methyl orange dye is hard </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 xml:space="preserve">ADDIN CSL_CITATION {"citationItems":[{"id":"ITEM-1","itemData":{"DOI":"10.1016/j.jwpe.2021.102300","ISSN":"22147144","abstract":"Methyl orange (MO) dye is recalcitrant in nature, hard to degrade and if released into the soil and aquatic resources could cause serious threats on environment and human health. MO is toxic to plant growth. Bacterial treatment may be a sustainable solution for its degradation and decolourization. In this work, a bacterium (RKS6) was isolated from textile industry wastewater and sludge samples and identified as Pseudomonas aeruginosa based on the 16S rRNA gene sequencing analysis. RKS6 showed more than 99% decolorization of MO dye (100 mg/l) and 96% reduction of total organic carbon (TOC) within 12 h, at 30 °C, pH 7 at static conditions. RKS6 also produced MnP enzyme of molecular weight </w:instrText>
      </w:r>
      <w:r w:rsidR="00181749" w:rsidRPr="00F92B46">
        <w:rPr>
          <w:rFonts w:ascii="Cambria Math" w:hAnsi="Cambria Math" w:cs="Cambria Math"/>
          <w:sz w:val="24"/>
          <w:szCs w:val="24"/>
        </w:rPr>
        <w:instrText>∼</w:instrText>
      </w:r>
      <w:r w:rsidR="00181749" w:rsidRPr="00F92B46">
        <w:rPr>
          <w:rFonts w:ascii="Times New Roman" w:hAnsi="Times New Roman"/>
          <w:sz w:val="24"/>
          <w:szCs w:val="24"/>
        </w:rPr>
        <w:instrText>53 kDa as characterized by the SDS-PAGE analysis. Further, LC-MS analysis showed that MO dye was degraded into 4-[(4-aminophenyl) diazenyl] benzene sulfonate, 4, 2-((dihydroxymethyl) hyrazono-4) 5-benzene sulfonate, 4-(triazan-2-yl) benzene sulfonic, water and carbon dioxide by RKS6. Toxicity assessment showed that the solution treated by the bacterium allowed 90% seed germination indicating that RKS6 was effective in mineralization and detoxification of MO dye and can be effectively used in industrial wastewater treatment.","author":[{"dropping-particle":"","family":"Kishor","given":"Roop","non-dropping-particle":"","parse-names":false,"suffix":""},{"dropping-particle":"","family":"Purchase","given":"Diane","non-dropping-particle":"","parse-names":false,"suffix":""},{"dropping-particle":"","family":"Saratale","given":"Ganesh Dattatraya","non-dropping-particle":"","parse-names":false,"suffix":""},{"dropping-particle":"","family":"Romanholo Ferreira","given":"Luiz Fernando","non-dropping-particle":"","parse-names":false,"suffix":""},{"dropping-particle":"","family":"Hussain","given":"Chaudhery Mustansar","non-dropping-particle":"","parse-names":false,"suffix":""},{"dropping-particle":"","family":"Mulla","given":"Sikandar I.","non-dropping-particle":"","parse-names":false,"suffix":""},{"dropping-particle":"","family":"Bharagava","given":"Ram Naresh","non-dropping-particle":"","parse-names":false,"suffix":""}],"container-title":"Journal of Water Process Engineering","id":"ITEM-1","issued":{"date-parts":[["2021","10"]]},"page":"102300","title":"Degradation mechanism and toxicity reduction of methyl orange dye by a newly isolated bacterium Pseudomonas aeruginosa MZ520730","type":"article-journal","volume":"43"},"uris":["http://www.mendeley.com/documents/?uuid=7a8be256-fae1-4b0b-9735-15afc5e52d77"]}],"mendeley":{"formattedCitation":"[5]","plainTextFormattedCitation":"[5]","previouslyFormattedCitation":"[5]"},"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[5]</w:t>
      </w:r>
      <w:r w:rsidRPr="00F92B46">
        <w:rPr>
          <w:rFonts w:ascii="Times New Roman" w:hAnsi="Times New Roman"/>
          <w:sz w:val="24"/>
          <w:szCs w:val="24"/>
        </w:rPr>
        <w:fldChar w:fldCharType="end"/>
      </w:r>
      <w:r w:rsidRPr="00F92B46">
        <w:rPr>
          <w:rFonts w:ascii="Times New Roman" w:hAnsi="Times New Roman"/>
          <w:sz w:val="24"/>
          <w:szCs w:val="24"/>
        </w:rPr>
        <w:t xml:space="preserve">. The degree of degradation is greater in the order of graphene oxide content (Table </w:t>
      </w:r>
      <w:r w:rsidR="0005690B" w:rsidRPr="00F92B46">
        <w:rPr>
          <w:rFonts w:ascii="Times New Roman" w:hAnsi="Times New Roman"/>
          <w:sz w:val="24"/>
          <w:szCs w:val="24"/>
        </w:rPr>
        <w:t>S2</w:t>
      </w:r>
      <w:r w:rsidRPr="00F92B46">
        <w:rPr>
          <w:rFonts w:ascii="Times New Roman" w:hAnsi="Times New Roman"/>
          <w:sz w:val="24"/>
          <w:szCs w:val="24"/>
        </w:rPr>
        <w:t xml:space="preserve">,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S7</w:t>
      </w:r>
      <w:r w:rsidRPr="00F92B46">
        <w:rPr>
          <w:rFonts w:ascii="Times New Roman" w:hAnsi="Times New Roman"/>
          <w:sz w:val="24"/>
          <w:szCs w:val="24"/>
        </w:rPr>
        <w:t xml:space="preserve"> (a-d)). The surface and contour plots have depicted statistically, that lower band and increased weight ratio, substantiates the increased efficiency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441886" w:rsidRPr="00F92B46">
        <w:rPr>
          <w:rFonts w:ascii="Times New Roman" w:hAnsi="Times New Roman"/>
          <w:sz w:val="24"/>
          <w:szCs w:val="24"/>
        </w:rPr>
        <w:t>S7</w:t>
      </w:r>
      <w:r w:rsidRPr="00F92B46">
        <w:rPr>
          <w:rFonts w:ascii="Times New Roman" w:hAnsi="Times New Roman"/>
          <w:sz w:val="24"/>
          <w:szCs w:val="24"/>
        </w:rPr>
        <w:t xml:space="preserve">). </w:t>
      </w:r>
      <w:r w:rsidR="008552FB" w:rsidRPr="00F92B46">
        <w:rPr>
          <w:rFonts w:ascii="Times New Roman" w:hAnsi="Times New Roman"/>
          <w:sz w:val="24"/>
          <w:szCs w:val="24"/>
        </w:rPr>
        <w:t>Fig.</w:t>
      </w:r>
      <w:r w:rsidRPr="00F92B46">
        <w:rPr>
          <w:rFonts w:ascii="Times New Roman" w:hAnsi="Times New Roman"/>
          <w:sz w:val="24"/>
          <w:szCs w:val="24"/>
        </w:rPr>
        <w:t xml:space="preserve"> </w:t>
      </w:r>
      <w:r w:rsidR="0005690B" w:rsidRPr="00F92B46">
        <w:rPr>
          <w:rFonts w:ascii="Times New Roman" w:hAnsi="Times New Roman"/>
          <w:sz w:val="24"/>
          <w:szCs w:val="24"/>
        </w:rPr>
        <w:t>S7</w:t>
      </w:r>
      <w:r w:rsidRPr="00F92B46">
        <w:rPr>
          <w:rFonts w:ascii="Times New Roman" w:hAnsi="Times New Roman"/>
          <w:sz w:val="24"/>
          <w:szCs w:val="24"/>
        </w:rPr>
        <w:t xml:space="preserve"> illustrates the analysis of degraded methyl orange dye solution. The peaks at 2924 and 2926 cm</w:t>
      </w:r>
      <w:r w:rsidRPr="00F92B46">
        <w:rPr>
          <w:rFonts w:ascii="Times New Roman" w:hAnsi="Times New Roman"/>
          <w:sz w:val="24"/>
          <w:szCs w:val="24"/>
          <w:vertAlign w:val="superscript"/>
        </w:rPr>
        <w:t>-1</w:t>
      </w:r>
      <w:r w:rsidRPr="00F92B46">
        <w:rPr>
          <w:rFonts w:ascii="Times New Roman" w:hAnsi="Times New Roman"/>
          <w:sz w:val="24"/>
          <w:szCs w:val="24"/>
        </w:rPr>
        <w:t xml:space="preserve"> is associated to asymmetric -CH</w:t>
      </w:r>
      <w:r w:rsidRPr="00F92B46">
        <w:rPr>
          <w:rFonts w:ascii="Times New Roman" w:hAnsi="Times New Roman"/>
          <w:sz w:val="24"/>
          <w:szCs w:val="24"/>
          <w:vertAlign w:val="subscript"/>
        </w:rPr>
        <w:t>3</w:t>
      </w:r>
      <w:r w:rsidRPr="00F92B46">
        <w:rPr>
          <w:rFonts w:ascii="Times New Roman" w:hAnsi="Times New Roman"/>
          <w:sz w:val="24"/>
          <w:szCs w:val="24"/>
        </w:rPr>
        <w:t xml:space="preserve"> stretching band </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{"citationItems":[{"id":"ITEM-1","itemData":{"DOI":"10.2175/106143008x357147","ISSN":"1061-4303","PMID":"19378659","abstract":" An isolated bacterium from a textile disposal site, Pseudomonas sp. SUK1, has the ability to decolorize the reactive textile dyes and methyl orange. This bacterium showed the potential to decolorize the textile dye Reactive Blue 59 at a high concentration (5 g/L −1 ), which is frequently used in the textile industry of Solapur, India. Induction in the activities of lignin peroxidase, azoreductase, and dichlorophenol indophenol reductase was observed during the decolorization of Methyl Orange and Reactive Blue 59. Methyl Orange (as model azo dye) was used to understand the mechanism of biodegradation by Pseudomonas sp. SUK1. The final product was identified as 1,4‐benzenediamine, N, N‐dimethyl by gas chromatography‐mass spectroscopy. Microbial and phytotoxicity studies revealed the nontoxic nature of the products of Reactive Blue 59. ","author":[{"dropping-particle":"","family":"Kalyani","given":"Dayanad C.","non-dropping-particle":"","parse-names":false,"suffix":""},{"dropping-particle":"","family":"Telke","given":"Amar A.","non-dropping-particle":"","parse-names":false,"suffix":""},{"dropping-particle":"","family":"Govindwar","given":"Sanjay P.","non-dropping-particle":"","parse-names":false,"suffix":""},{"dropping-particle":"","family":"Jadhav","given":"Jyoti P.","non-dropping-particle":"","parse-names":false,"suffix":""}],"container-title":"Water Environment Research","id":"ITEM-1","issue":"3","issued":{"date-parts":[["2009","3"]]},"page":"298-307","title":" Biodegradation and Detoxification of Reactive Textile Dye by Isolated Pseudomonas sp. SUK1 ","type":"article-journal","volume":"81"},"uris":["http://www.mendeley.com/documents/?uuid=fdec909d-e380-4469-8bb3-6bf80fc94575"]}],"mendeley":{"formattedCitation":"[6]","plainTextFormattedCitation":"[6]","previouslyFormattedCitation":"[6]"},"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[6]</w:t>
      </w:r>
      <w:r w:rsidRPr="00F92B46">
        <w:rPr>
          <w:rFonts w:ascii="Times New Roman" w:hAnsi="Times New Roman"/>
          <w:sz w:val="24"/>
          <w:szCs w:val="24"/>
        </w:rPr>
        <w:fldChar w:fldCharType="end"/>
      </w:r>
      <w:r w:rsidRPr="00F92B46">
        <w:rPr>
          <w:rFonts w:ascii="Times New Roman" w:hAnsi="Times New Roman"/>
          <w:sz w:val="24"/>
          <w:szCs w:val="24"/>
        </w:rPr>
        <w:t>, 1600-1400 cm</w:t>
      </w:r>
      <w:r w:rsidRPr="00F92B46">
        <w:rPr>
          <w:rFonts w:ascii="Times New Roman" w:hAnsi="Times New Roman"/>
          <w:sz w:val="24"/>
          <w:szCs w:val="24"/>
          <w:vertAlign w:val="superscript"/>
        </w:rPr>
        <w:t>-1</w:t>
      </w:r>
      <w:r w:rsidRPr="00F92B46">
        <w:rPr>
          <w:rFonts w:ascii="Times New Roman" w:hAnsi="Times New Roman"/>
          <w:sz w:val="24"/>
          <w:szCs w:val="24"/>
        </w:rPr>
        <w:t xml:space="preserve"> is ascribed to aromatic C=C bonding </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{"citationItems":[{"id":"ITEM-1","itemData":{"DOI":"10.7243/2050-1323-2-2","ISSN":"2050-1323","abstract":"Abstract Background: Textile industry has been condemned as one of the world's worst offenders in terms of pollution because 10-15% of all the dyes used in the industry are lost within wastewater during processing. The","author":[{"dropping-particle":"","family":"PS","given":"Harikumar","non-dropping-particle":"","parse-names":false,"suffix":""},{"dropping-particle":"","family":"Joseph","given":"Litty","non-dropping-particle":"","parse-names":false,"suffix":""},{"dropping-particle":"","family":"A","given":"Dhanya","non-dropping-particle":"","parse-names":false,"suffix":""}],"container-title":"journal of Environmental Engineering and Ecological Science","id":"ITEM-1","issue":"1","issued":{"date-parts":[["2013"]]},"page":"2","title":"Photocatalytic degradation of textile dyes by hydrogel supported titanium dioxide nanoparticles","type":"article-journal","volume":"2"},"uris":["http://www.mendeley.com/documents/?uuid=cbf856cc-afaf-45d6-9fd4-a86e604185f7"]}],"mendeley":{"formattedCitation":"[7]","plainTextFormattedCitation":"[7]","previouslyFormattedCitation":"[7]"},"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[7]</w:t>
      </w:r>
      <w:r w:rsidRPr="00F92B46">
        <w:rPr>
          <w:rFonts w:ascii="Times New Roman" w:hAnsi="Times New Roman"/>
          <w:sz w:val="24"/>
          <w:szCs w:val="24"/>
        </w:rPr>
        <w:fldChar w:fldCharType="end"/>
      </w:r>
      <w:r w:rsidRPr="00F92B46">
        <w:rPr>
          <w:rFonts w:ascii="Times New Roman" w:hAnsi="Times New Roman"/>
          <w:sz w:val="24"/>
          <w:szCs w:val="24"/>
        </w:rPr>
        <w:t>. 3740 cm</w:t>
      </w:r>
      <w:r w:rsidRPr="00F92B46">
        <w:rPr>
          <w:rFonts w:ascii="Times New Roman" w:hAnsi="Times New Roman"/>
          <w:sz w:val="24"/>
          <w:szCs w:val="24"/>
          <w:vertAlign w:val="superscript"/>
        </w:rPr>
        <w:t xml:space="preserve">-1 </w:t>
      </w:r>
      <w:r w:rsidRPr="00F92B46">
        <w:rPr>
          <w:rFonts w:ascii="Times New Roman" w:hAnsi="Times New Roman"/>
          <w:sz w:val="24"/>
          <w:szCs w:val="24"/>
        </w:rPr>
        <w:t>is ascribed to O-H stretching (alcohol group)</w:t>
      </w:r>
      <w:r w:rsidRPr="00F92B46">
        <w:rPr>
          <w:rFonts w:ascii="Times New Roman" w:hAnsi="Times New Roman"/>
          <w:sz w:val="24"/>
          <w:szCs w:val="24"/>
        </w:rPr>
        <w:fldChar w:fldCharType="begin" w:fldLock="1"/>
      </w:r>
      <w:r w:rsidR="00181749" w:rsidRPr="00F92B46">
        <w:rPr>
          <w:rFonts w:ascii="Times New Roman" w:hAnsi="Times New Roman"/>
          <w:sz w:val="24"/>
          <w:szCs w:val="24"/>
        </w:rPr>
        <w:instrText>ADDIN CSL_CITATION {"citationItems":[{"id":"ITEM-1","itemData":{"DOI":"10.1007/s13762-021-03308-z","ISSN":"17352630","abstract":"This study reported a new water stable magnesium oxides (MgO) composite with polyvinyl pyrrolidone (PVP) prepared by one-pot hydrothermal method for the efficient elimination of both methyl orange and congo red from aqueous solutions. The as-prepared composite material shows new exposed crystalline surfaces and additional peaks for hydrogen bond formation which are confirmed from FTIR and X-ray diffraction analysis. The surface area of MgO-PVP composite (85 m2 g−1) was clearly higher than plain MgO (67 m2 g−1). The dye removal capacity of MgO-PVP composite was significantly higher than plain MgO. The adsorption mechanism study illustrated that the dye removal by MgO-PVP composite not only due to the electrostatic force of attraction, but also involved the ion exchange amid hydroxide group and dye molecules. The adsorption kinetic mechanism of dyes was mainly controlled by film diffusion, and pseudo-second-order kinetic equation was found to be best applicable to the current experiential data. Langmuir and DR isotherms were well fitted with current experimental results. The adsorption of methyl orange and congo red onto the composite was also conducted as a function of initial concentration, pH of solution, temperature of the solution and adsorbent dosage. Dye adsorption capacity was decreased with the increasing of initial pH value. The negative values of (∆G) for both the dyes show the spontaneous adsorption process.","author":[{"dropping-particle":"","family":"Khan","given":"A.","non-dropping-particle":"","parse-names":false,"suffix":""},{"dropping-particle":"","family":"Naeem","given":"A.","non-dropping-particle":"","parse-names":false,"suffix":""},{"dropping-particle":"","family":"Mahmood","given":"T.","non-dropping-particle":"","parse-names":false,"suffix":""},{"dropping-particle":"","family":"Ahmad","given":"B.","non-dropping-particle":"","parse-names":false,"suffix":""},{"dropping-particle":"","family":"Ahmad","given":"Z.","non-dropping-particle":"","parse-names":false,"suffix":""},{"dropping-particle":"","family":"Farooq","given":"M.","non-dropping-particle":"","parse-names":false,"suffix":""},{"dropping-particle":"","family":"Saeed","given":"T.","non-dropping-particle":"","parse-names":false,"suffix":""}],"container-title":"International Journal of Environmental Science and Technology","id":"ITEM-1","issue":"4","issued":{"date-parts":[["2022","4","19"]]},"page":"2515-2528","title":"Mechanistic study on methyl orange and congo red adsorption onto polyvinyl pyrrolidone modified magnesium oxide","type":"article-journal","volume":"19"},"uris":["http://www.mendeley.com/documents/?uuid=da65faf4-d3d5-4cc4-be1c-8964c2884346"]}],"mendeley":{"formattedCitation":"[8]","plainTextFormattedCitation":"[8]","previouslyFormattedCitation":"[8]"},"properties":{"noteIndex":0},"schema":"https://github.com/citation-style-language/schema/raw/master/csl-citation.json"}</w:instrText>
      </w:r>
      <w:r w:rsidRPr="00F92B46">
        <w:rPr>
          <w:rFonts w:ascii="Times New Roman" w:hAnsi="Times New Roman"/>
          <w:sz w:val="24"/>
          <w:szCs w:val="24"/>
        </w:rPr>
        <w:fldChar w:fldCharType="separate"/>
      </w:r>
      <w:r w:rsidRPr="00F92B46">
        <w:rPr>
          <w:rFonts w:ascii="Times New Roman" w:hAnsi="Times New Roman"/>
          <w:noProof/>
          <w:sz w:val="24"/>
          <w:szCs w:val="24"/>
        </w:rPr>
        <w:t>[8]</w:t>
      </w:r>
      <w:r w:rsidRPr="00F92B46">
        <w:rPr>
          <w:rFonts w:ascii="Times New Roman" w:hAnsi="Times New Roman"/>
          <w:sz w:val="24"/>
          <w:szCs w:val="24"/>
        </w:rPr>
        <w:fldChar w:fldCharType="end"/>
      </w:r>
      <w:r w:rsidRPr="00F92B46">
        <w:rPr>
          <w:rFonts w:ascii="Times New Roman" w:hAnsi="Times New Roman"/>
          <w:sz w:val="24"/>
          <w:szCs w:val="24"/>
        </w:rPr>
        <w:t>.</w:t>
      </w:r>
    </w:p>
    <w:p w14:paraId="6DACC8BA" w14:textId="77777777" w:rsidR="00AD2242" w:rsidRPr="00F92B46" w:rsidRDefault="00AD2242" w:rsidP="00AD2242">
      <w:pPr>
        <w:pStyle w:val="MDPI31text"/>
        <w:rPr>
          <w:rFonts w:ascii="Times New Roman" w:hAnsi="Times New Roman"/>
          <w:sz w:val="24"/>
          <w:szCs w:val="24"/>
        </w:rPr>
      </w:pPr>
    </w:p>
    <w:p w14:paraId="541BC8E7" w14:textId="77777777" w:rsidR="001A4FDD" w:rsidRPr="00F92B46" w:rsidRDefault="001A4FDD" w:rsidP="00AD2242">
      <w:pPr>
        <w:pStyle w:val="MDPI31text"/>
        <w:rPr>
          <w:rFonts w:ascii="Times New Roman" w:hAnsi="Times New Roman"/>
          <w:sz w:val="24"/>
          <w:szCs w:val="24"/>
        </w:rPr>
      </w:pPr>
    </w:p>
    <w:p w14:paraId="0632EBBB" w14:textId="77777777" w:rsidR="001A4FDD" w:rsidRPr="00F92B46" w:rsidRDefault="001A4FDD" w:rsidP="001A4FDD">
      <w:pPr>
        <w:pStyle w:val="MDPI52figure"/>
        <w:rPr>
          <w:rFonts w:ascii="Times New Roman" w:hAnsi="Times New Roman"/>
          <w:color w:val="0D0D0D" w:themeColor="text1" w:themeTint="F2"/>
          <w:sz w:val="24"/>
          <w:szCs w:val="24"/>
        </w:rPr>
      </w:pPr>
      <w:r w:rsidRPr="00F92B46">
        <w:rPr>
          <w:rFonts w:ascii="Times New Roman" w:hAnsi="Times New Roman"/>
          <w:noProof/>
          <w:color w:val="0D0D0D" w:themeColor="text1" w:themeTint="F2"/>
          <w:sz w:val="24"/>
          <w:szCs w:val="24"/>
        </w:rPr>
        <w:drawing>
          <wp:inline distT="0" distB="0" distL="0" distR="0" wp14:anchorId="4C5082EA" wp14:editId="47BB2AEA">
            <wp:extent cx="5731510" cy="2536383"/>
            <wp:effectExtent l="0" t="0" r="2540" b="0"/>
            <wp:docPr id="372111475" name="Picture 12" descr="A graph of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11475" name="Picture 12" descr="A graph of different colors and numbers&#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744"/>
                    <a:stretch/>
                  </pic:blipFill>
                  <pic:spPr bwMode="auto">
                    <a:xfrm>
                      <a:off x="0" y="0"/>
                      <a:ext cx="5731510" cy="2536383"/>
                    </a:xfrm>
                    <a:prstGeom prst="rect">
                      <a:avLst/>
                    </a:prstGeom>
                    <a:noFill/>
                    <a:ln>
                      <a:noFill/>
                    </a:ln>
                    <a:extLst>
                      <a:ext uri="{53640926-AAD7-44D8-BBD7-CCE9431645EC}">
                        <a14:shadowObscured xmlns:a14="http://schemas.microsoft.com/office/drawing/2010/main"/>
                      </a:ext>
                    </a:extLst>
                  </pic:spPr>
                </pic:pic>
              </a:graphicData>
            </a:graphic>
          </wp:inline>
        </w:drawing>
      </w:r>
    </w:p>
    <w:p w14:paraId="6A8A078C" w14:textId="0B1E3270" w:rsidR="001A4FDD" w:rsidRPr="00F92B46" w:rsidRDefault="008552FB" w:rsidP="00F92B46">
      <w:pPr>
        <w:pStyle w:val="MDPI51figurecaption"/>
        <w:ind w:hanging="2608"/>
        <w:rPr>
          <w:rFonts w:ascii="Times New Roman" w:hAnsi="Times New Roman"/>
          <w:color w:val="0D0D0D" w:themeColor="text1" w:themeTint="F2"/>
          <w:sz w:val="24"/>
          <w:szCs w:val="24"/>
        </w:rPr>
      </w:pPr>
      <w:bookmarkStart w:id="8" w:name="_Hlk194369165"/>
      <w:r w:rsidRPr="00F92B46">
        <w:rPr>
          <w:rFonts w:ascii="Times New Roman" w:hAnsi="Times New Roman"/>
          <w:b/>
          <w:bCs/>
          <w:color w:val="0D0D0D" w:themeColor="text1" w:themeTint="F2"/>
          <w:sz w:val="24"/>
          <w:szCs w:val="24"/>
        </w:rPr>
        <w:t>Fig.</w:t>
      </w:r>
      <w:r w:rsidR="001A4FDD" w:rsidRPr="00F92B46">
        <w:rPr>
          <w:rFonts w:ascii="Times New Roman" w:hAnsi="Times New Roman"/>
          <w:b/>
          <w:bCs/>
          <w:color w:val="0D0D0D" w:themeColor="text1" w:themeTint="F2"/>
          <w:sz w:val="24"/>
          <w:szCs w:val="24"/>
        </w:rPr>
        <w:t xml:space="preserve"> S8.</w:t>
      </w:r>
      <w:r w:rsidR="001A4FDD" w:rsidRPr="00F92B46">
        <w:rPr>
          <w:rFonts w:ascii="Times New Roman" w:hAnsi="Times New Roman"/>
          <w:color w:val="0D0D0D" w:themeColor="text1" w:themeTint="F2"/>
          <w:sz w:val="24"/>
          <w:szCs w:val="24"/>
        </w:rPr>
        <w:t xml:space="preserve"> Reusability plots for SG-18 (a) methylene blue dye (b) methyl orange dye.</w:t>
      </w:r>
    </w:p>
    <w:bookmarkEnd w:id="8"/>
    <w:p w14:paraId="4B61E8F5" w14:textId="77777777" w:rsidR="001A4FDD" w:rsidRDefault="001A4FDD" w:rsidP="00AD2242">
      <w:pPr>
        <w:pStyle w:val="MDPI31text"/>
        <w:rPr>
          <w:rFonts w:ascii="Times New Roman" w:hAnsi="Times New Roman"/>
          <w:sz w:val="24"/>
          <w:szCs w:val="24"/>
        </w:rPr>
      </w:pPr>
    </w:p>
    <w:p w14:paraId="10BA4253" w14:textId="77777777" w:rsidR="00252DCE" w:rsidRDefault="00252DCE" w:rsidP="00AD2242">
      <w:pPr>
        <w:pStyle w:val="MDPI31text"/>
        <w:rPr>
          <w:rFonts w:ascii="Times New Roman" w:hAnsi="Times New Roman"/>
          <w:sz w:val="24"/>
          <w:szCs w:val="24"/>
        </w:rPr>
      </w:pPr>
    </w:p>
    <w:p w14:paraId="12F1A9D5" w14:textId="77777777" w:rsidR="00252DCE" w:rsidRPr="00F92B46" w:rsidRDefault="00252DCE" w:rsidP="00AD2242">
      <w:pPr>
        <w:pStyle w:val="MDPI31text"/>
        <w:rPr>
          <w:rFonts w:ascii="Times New Roman" w:hAnsi="Times New Roman"/>
          <w:sz w:val="24"/>
          <w:szCs w:val="24"/>
        </w:rPr>
      </w:pPr>
    </w:p>
    <w:p w14:paraId="69C4323D" w14:textId="125A7D91" w:rsidR="0014612F" w:rsidRPr="00F92B46" w:rsidRDefault="0014612F" w:rsidP="00AD2242">
      <w:pPr>
        <w:pStyle w:val="MDPI21heading1"/>
        <w:ind w:left="0"/>
        <w:rPr>
          <w:rFonts w:ascii="Times New Roman" w:hAnsi="Times New Roman"/>
          <w:szCs w:val="24"/>
        </w:rPr>
      </w:pPr>
      <w:r w:rsidRPr="00F92B46">
        <w:rPr>
          <w:rFonts w:ascii="Times New Roman" w:hAnsi="Times New Roman"/>
          <w:szCs w:val="24"/>
        </w:rPr>
        <w:lastRenderedPageBreak/>
        <w:t>References</w:t>
      </w:r>
    </w:p>
    <w:p w14:paraId="0436DBA0" w14:textId="77777777" w:rsidR="00AD2242" w:rsidRPr="00F92B46" w:rsidRDefault="00AD2242" w:rsidP="00AD2242">
      <w:pPr>
        <w:pStyle w:val="MDPI21heading1"/>
        <w:ind w:left="0"/>
        <w:rPr>
          <w:rFonts w:ascii="Times New Roman" w:hAnsi="Times New Roman"/>
          <w:szCs w:val="24"/>
        </w:rPr>
      </w:pPr>
    </w:p>
    <w:p w14:paraId="3CC75DFF" w14:textId="6A8B34D2" w:rsidR="00181749" w:rsidRPr="00F92B46" w:rsidRDefault="0014612F"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fldChar w:fldCharType="begin" w:fldLock="1"/>
      </w:r>
      <w:r w:rsidRPr="00F92B46">
        <w:rPr>
          <w:rFonts w:ascii="Times New Roman" w:hAnsi="Times New Roman"/>
          <w:sz w:val="24"/>
          <w:szCs w:val="24"/>
        </w:rPr>
        <w:instrText xml:space="preserve">ADDIN Mendeley Bibliography CSL_BIBLIOGRAPHY </w:instrText>
      </w:r>
      <w:r w:rsidRPr="00F92B46">
        <w:rPr>
          <w:rFonts w:ascii="Times New Roman" w:hAnsi="Times New Roman"/>
          <w:sz w:val="24"/>
          <w:szCs w:val="24"/>
        </w:rPr>
        <w:fldChar w:fldCharType="separate"/>
      </w:r>
      <w:r w:rsidR="00181749" w:rsidRPr="00F92B46">
        <w:rPr>
          <w:rFonts w:ascii="Times New Roman" w:hAnsi="Times New Roman"/>
          <w:sz w:val="24"/>
          <w:szCs w:val="24"/>
        </w:rPr>
        <w:t>1. Djellali S, Touati A, Semmeq A, Kebaili M, Badawi M, Bonilla-Petriciolet A. Unravelling the Methylene Blue Adsorption Mechanism on Doped and Nondoped Polyaniline: A Combined Molecular Modeling and Experimental Investigation. Ponnusamy SK, editor. Int J Chem Eng. 2022;2022:1–18. https://doi.org/10.1155/2022/3181963</w:t>
      </w:r>
    </w:p>
    <w:p w14:paraId="476DC23F"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2. Bartošová A, Blinová L, Sirotiak M, Michalíková A. Usage of FTIR-ATR as Non-Destructive Analysis of Selected Toxic Dyes. Res Pap Fac Mater Sci Technol Slovak Univ Technol. 2017;25(40):103–11. https://doi.org/10.1515/rput-2017-0012</w:t>
      </w:r>
    </w:p>
    <w:p w14:paraId="58C1D715"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3. Alshehri AA, Malik MA. Biogenic fabrication of ZnO nanoparticles using Trigonella foenum-graecum (Fenugreek) for proficient photocatalytic degradation of methylene blue under UV irradiation. J Mater Sci Mater Electron. 2019;30(17):16156–73. https://doi.org/10.1007/s10854-019-01985-8</w:t>
      </w:r>
    </w:p>
    <w:p w14:paraId="1F65258F"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4. Wu L, Liu X, Lv G, Zhu R, Tian L, Liu M, et al. Study on the adsorption properties of methyl orange by natural one-dimensional nano-mineral materials with different structures. Sci Rep. 2021;11(1):10640. https://doi.org/10.1038/s41598-021-90235-1</w:t>
      </w:r>
    </w:p>
    <w:p w14:paraId="065EAC21"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5. Kishor R, Purchase D, Saratale GD, Romanholo Ferreira LF, Hussain CM, Mulla SI, et al. Degradation mechanism and toxicity reduction of methyl orange dye by a newly isolated bacterium Pseudomonas aeruginosa MZ520730. J Water Process Eng. 2021;43:102300. https://doi.org/10.1016/j.jwpe.2021.102300</w:t>
      </w:r>
    </w:p>
    <w:p w14:paraId="78FE24E8"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6. Kalyani DC, Telke AA, Govindwar SP, Jadhav JP.  Biodegradation and Detoxification of Reactive Textile Dye by Isolated Pseudomonas sp. SUK1 . Water Environ Res. 2009;81(3):298–307. https://doi.org/10.2175/106143008x357147</w:t>
      </w:r>
    </w:p>
    <w:p w14:paraId="48DADDF4"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7. PS H, Joseph L, A D. Photocatalytic degradation of textile dyes by hydrogel supported titanium dioxide nanoparticles. J Environ Eng Ecol Sci. 2013;2(1):2. https://doi.org/10.7243/2050-1323-2-2</w:t>
      </w:r>
    </w:p>
    <w:p w14:paraId="0F81B548" w14:textId="77777777" w:rsidR="00181749" w:rsidRPr="00F92B46" w:rsidRDefault="00181749" w:rsidP="00181749">
      <w:pPr>
        <w:widowControl w:val="0"/>
        <w:autoSpaceDE w:val="0"/>
        <w:autoSpaceDN w:val="0"/>
        <w:adjustRightInd w:val="0"/>
        <w:spacing w:line="240" w:lineRule="auto"/>
        <w:rPr>
          <w:rFonts w:ascii="Times New Roman" w:hAnsi="Times New Roman"/>
          <w:sz w:val="24"/>
          <w:szCs w:val="24"/>
        </w:rPr>
      </w:pPr>
      <w:r w:rsidRPr="00F92B46">
        <w:rPr>
          <w:rFonts w:ascii="Times New Roman" w:hAnsi="Times New Roman"/>
          <w:sz w:val="24"/>
          <w:szCs w:val="24"/>
        </w:rPr>
        <w:t>8. Khan A, Naeem A, Mahmood T, Ahmad B, Ahmad Z, Farooq M, et al. Mechanistic study on methyl orange and congo red adsorption onto polyvinyl pyrrolidone modified magnesium oxide. Int J Environ Sci Technol. 2022;19(4):2515–28. https://doi.org/10.1007/s13762-021-03308-z</w:t>
      </w:r>
    </w:p>
    <w:p w14:paraId="565A8E41" w14:textId="2F854860" w:rsidR="0014612F" w:rsidRPr="00F92B46" w:rsidRDefault="0014612F" w:rsidP="0014612F">
      <w:pPr>
        <w:rPr>
          <w:rFonts w:ascii="Times New Roman" w:hAnsi="Times New Roman"/>
          <w:sz w:val="24"/>
          <w:szCs w:val="24"/>
        </w:rPr>
      </w:pPr>
      <w:r w:rsidRPr="00F92B46">
        <w:rPr>
          <w:rFonts w:ascii="Times New Roman" w:hAnsi="Times New Roman"/>
          <w:sz w:val="24"/>
          <w:szCs w:val="24"/>
        </w:rPr>
        <w:fldChar w:fldCharType="end"/>
      </w:r>
    </w:p>
    <w:sectPr w:rsidR="0014612F" w:rsidRPr="00F92B46" w:rsidSect="00AD2242">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2CB37" w14:textId="77777777" w:rsidR="003E4094" w:rsidRDefault="003E4094" w:rsidP="00AD2242">
      <w:pPr>
        <w:spacing w:line="240" w:lineRule="auto"/>
      </w:pPr>
      <w:r>
        <w:separator/>
      </w:r>
    </w:p>
  </w:endnote>
  <w:endnote w:type="continuationSeparator" w:id="0">
    <w:p w14:paraId="5FD38B78" w14:textId="77777777" w:rsidR="003E4094" w:rsidRDefault="003E4094" w:rsidP="00AD2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952392602"/>
      <w:docPartObj>
        <w:docPartGallery w:val="Page Numbers (Bottom of Page)"/>
        <w:docPartUnique/>
      </w:docPartObj>
    </w:sdtPr>
    <w:sdtEndPr>
      <w:rPr>
        <w:noProof/>
        <w:sz w:val="24"/>
        <w:szCs w:val="22"/>
      </w:rPr>
    </w:sdtEndPr>
    <w:sdtContent>
      <w:p w14:paraId="57D83615" w14:textId="326634FC" w:rsidR="00AD2242" w:rsidRPr="00AD2242" w:rsidRDefault="00AD2242">
        <w:pPr>
          <w:pStyle w:val="Footer"/>
          <w:jc w:val="center"/>
          <w:rPr>
            <w:sz w:val="24"/>
            <w:szCs w:val="22"/>
          </w:rPr>
        </w:pPr>
        <w:r w:rsidRPr="00AD2242">
          <w:rPr>
            <w:noProof w:val="0"/>
            <w:sz w:val="24"/>
            <w:szCs w:val="22"/>
          </w:rPr>
          <w:fldChar w:fldCharType="begin"/>
        </w:r>
        <w:r w:rsidRPr="00AD2242">
          <w:rPr>
            <w:sz w:val="24"/>
            <w:szCs w:val="22"/>
          </w:rPr>
          <w:instrText xml:space="preserve"> PAGE   \* MERGEFORMAT </w:instrText>
        </w:r>
        <w:r w:rsidRPr="00AD2242">
          <w:rPr>
            <w:noProof w:val="0"/>
            <w:sz w:val="24"/>
            <w:szCs w:val="22"/>
          </w:rPr>
          <w:fldChar w:fldCharType="separate"/>
        </w:r>
        <w:r w:rsidRPr="00AD2242">
          <w:rPr>
            <w:sz w:val="24"/>
            <w:szCs w:val="22"/>
          </w:rPr>
          <w:t>2</w:t>
        </w:r>
        <w:r w:rsidRPr="00AD2242">
          <w:rPr>
            <w:sz w:val="24"/>
            <w:szCs w:val="22"/>
          </w:rPr>
          <w:fldChar w:fldCharType="end"/>
        </w:r>
      </w:p>
    </w:sdtContent>
  </w:sdt>
  <w:p w14:paraId="6B07F063" w14:textId="77777777" w:rsidR="00AD2242" w:rsidRDefault="00AD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EA53" w14:textId="77777777" w:rsidR="003E4094" w:rsidRDefault="003E4094" w:rsidP="00AD2242">
      <w:pPr>
        <w:spacing w:line="240" w:lineRule="auto"/>
      </w:pPr>
      <w:r>
        <w:separator/>
      </w:r>
    </w:p>
  </w:footnote>
  <w:footnote w:type="continuationSeparator" w:id="0">
    <w:p w14:paraId="5DD1DE9E" w14:textId="77777777" w:rsidR="003E4094" w:rsidRDefault="003E4094" w:rsidP="00AD22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35DC"/>
    <w:multiLevelType w:val="hybridMultilevel"/>
    <w:tmpl w:val="F3C67864"/>
    <w:lvl w:ilvl="0" w:tplc="3C4C8F0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18B468F5"/>
    <w:multiLevelType w:val="hybridMultilevel"/>
    <w:tmpl w:val="905A664E"/>
    <w:lvl w:ilvl="0" w:tplc="BF4201A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942F12"/>
    <w:multiLevelType w:val="hybridMultilevel"/>
    <w:tmpl w:val="8626E12C"/>
    <w:lvl w:ilvl="0" w:tplc="566E0E30">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6B7B7C"/>
    <w:multiLevelType w:val="hybridMultilevel"/>
    <w:tmpl w:val="4010323A"/>
    <w:lvl w:ilvl="0" w:tplc="19E24DA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090261">
    <w:abstractNumId w:val="0"/>
  </w:num>
  <w:num w:numId="2" w16cid:durableId="1097212126">
    <w:abstractNumId w:val="1"/>
  </w:num>
  <w:num w:numId="3" w16cid:durableId="551044795">
    <w:abstractNumId w:val="2"/>
  </w:num>
  <w:num w:numId="4" w16cid:durableId="739518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36"/>
    <w:rsid w:val="000479D5"/>
    <w:rsid w:val="0005690B"/>
    <w:rsid w:val="00105596"/>
    <w:rsid w:val="00125F13"/>
    <w:rsid w:val="00131474"/>
    <w:rsid w:val="0014612F"/>
    <w:rsid w:val="00181749"/>
    <w:rsid w:val="001A4FDD"/>
    <w:rsid w:val="001E589F"/>
    <w:rsid w:val="00252DCE"/>
    <w:rsid w:val="0026176B"/>
    <w:rsid w:val="00295FA9"/>
    <w:rsid w:val="002C0DD6"/>
    <w:rsid w:val="002D6EC4"/>
    <w:rsid w:val="00314A36"/>
    <w:rsid w:val="00324FEE"/>
    <w:rsid w:val="00355432"/>
    <w:rsid w:val="0038221F"/>
    <w:rsid w:val="003E4094"/>
    <w:rsid w:val="003E66FB"/>
    <w:rsid w:val="00441886"/>
    <w:rsid w:val="00462500"/>
    <w:rsid w:val="004B2575"/>
    <w:rsid w:val="004D0C04"/>
    <w:rsid w:val="00522262"/>
    <w:rsid w:val="006346DA"/>
    <w:rsid w:val="006B2E27"/>
    <w:rsid w:val="007804EE"/>
    <w:rsid w:val="00795E27"/>
    <w:rsid w:val="007B77A3"/>
    <w:rsid w:val="00824BCE"/>
    <w:rsid w:val="008552FB"/>
    <w:rsid w:val="008575D9"/>
    <w:rsid w:val="00883DA2"/>
    <w:rsid w:val="008E3B99"/>
    <w:rsid w:val="00902FF1"/>
    <w:rsid w:val="00963B8C"/>
    <w:rsid w:val="00986CFD"/>
    <w:rsid w:val="009C2CAB"/>
    <w:rsid w:val="00A05452"/>
    <w:rsid w:val="00A60514"/>
    <w:rsid w:val="00A95664"/>
    <w:rsid w:val="00AA53F8"/>
    <w:rsid w:val="00AD2242"/>
    <w:rsid w:val="00AE36A0"/>
    <w:rsid w:val="00B22877"/>
    <w:rsid w:val="00B33F8C"/>
    <w:rsid w:val="00B50D62"/>
    <w:rsid w:val="00B573CE"/>
    <w:rsid w:val="00CA5ACF"/>
    <w:rsid w:val="00CB097A"/>
    <w:rsid w:val="00CF4896"/>
    <w:rsid w:val="00D858D5"/>
    <w:rsid w:val="00D92C25"/>
    <w:rsid w:val="00DF1FAD"/>
    <w:rsid w:val="00ED24F4"/>
    <w:rsid w:val="00F40C15"/>
    <w:rsid w:val="00F90F7C"/>
    <w:rsid w:val="00F92B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7AAB"/>
  <w15:chartTrackingRefBased/>
  <w15:docId w15:val="{FF0DB7EA-37A9-4DFD-9E47-CB1BC30F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242"/>
    <w:pPr>
      <w:spacing w:after="0" w:line="280" w:lineRule="atLeast"/>
      <w:jc w:val="both"/>
    </w:pPr>
    <w:rPr>
      <w:rFonts w:ascii="Palatino Linotype" w:eastAsia="SimSun" w:hAnsi="Palatino Linotype"/>
      <w:noProof/>
      <w:color w:val="000000"/>
      <w:sz w:val="20"/>
      <w:szCs w:val="20"/>
      <w:lang w:val="en-US" w:eastAsia="zh-CN"/>
    </w:rPr>
  </w:style>
  <w:style w:type="paragraph" w:styleId="Heading1">
    <w:name w:val="heading 1"/>
    <w:basedOn w:val="Normal"/>
    <w:next w:val="Normal"/>
    <w:link w:val="Heading1Char"/>
    <w:uiPriority w:val="9"/>
    <w:qFormat/>
    <w:rsid w:val="00314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A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A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4A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4A3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4A3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4A3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4A3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A3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A3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4A3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4A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4A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4A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4A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4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A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A3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4A36"/>
    <w:pPr>
      <w:spacing w:before="160"/>
      <w:jc w:val="center"/>
    </w:pPr>
    <w:rPr>
      <w:i/>
      <w:iCs/>
      <w:color w:val="404040" w:themeColor="text1" w:themeTint="BF"/>
    </w:rPr>
  </w:style>
  <w:style w:type="character" w:customStyle="1" w:styleId="QuoteChar">
    <w:name w:val="Quote Char"/>
    <w:basedOn w:val="DefaultParagraphFont"/>
    <w:link w:val="Quote"/>
    <w:uiPriority w:val="29"/>
    <w:rsid w:val="00314A36"/>
    <w:rPr>
      <w:i/>
      <w:iCs/>
      <w:color w:val="404040" w:themeColor="text1" w:themeTint="BF"/>
    </w:rPr>
  </w:style>
  <w:style w:type="paragraph" w:styleId="ListParagraph">
    <w:name w:val="List Paragraph"/>
    <w:basedOn w:val="Normal"/>
    <w:uiPriority w:val="34"/>
    <w:qFormat/>
    <w:rsid w:val="00314A36"/>
    <w:pPr>
      <w:ind w:left="720"/>
      <w:contextualSpacing/>
    </w:pPr>
  </w:style>
  <w:style w:type="character" w:styleId="IntenseEmphasis">
    <w:name w:val="Intense Emphasis"/>
    <w:basedOn w:val="DefaultParagraphFont"/>
    <w:uiPriority w:val="21"/>
    <w:qFormat/>
    <w:rsid w:val="00314A36"/>
    <w:rPr>
      <w:i/>
      <w:iCs/>
      <w:color w:val="0F4761" w:themeColor="accent1" w:themeShade="BF"/>
    </w:rPr>
  </w:style>
  <w:style w:type="paragraph" w:styleId="IntenseQuote">
    <w:name w:val="Intense Quote"/>
    <w:basedOn w:val="Normal"/>
    <w:next w:val="Normal"/>
    <w:link w:val="IntenseQuoteChar"/>
    <w:uiPriority w:val="30"/>
    <w:qFormat/>
    <w:rsid w:val="00314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A36"/>
    <w:rPr>
      <w:i/>
      <w:iCs/>
      <w:color w:val="0F4761" w:themeColor="accent1" w:themeShade="BF"/>
    </w:rPr>
  </w:style>
  <w:style w:type="character" w:styleId="IntenseReference">
    <w:name w:val="Intense Reference"/>
    <w:basedOn w:val="DefaultParagraphFont"/>
    <w:uiPriority w:val="32"/>
    <w:qFormat/>
    <w:rsid w:val="00314A36"/>
    <w:rPr>
      <w:b/>
      <w:bCs/>
      <w:smallCaps/>
      <w:color w:val="0F4761" w:themeColor="accent1" w:themeShade="BF"/>
      <w:spacing w:val="5"/>
    </w:rPr>
  </w:style>
  <w:style w:type="character" w:customStyle="1" w:styleId="apple-converted-space">
    <w:name w:val="apple-converted-space"/>
    <w:rsid w:val="00AD2242"/>
  </w:style>
  <w:style w:type="paragraph" w:styleId="BalloonText">
    <w:name w:val="Balloon Text"/>
    <w:basedOn w:val="Normal"/>
    <w:link w:val="BalloonTextChar"/>
    <w:uiPriority w:val="99"/>
    <w:rsid w:val="00AD2242"/>
    <w:rPr>
      <w:rFonts w:cs="Tahoma"/>
      <w:szCs w:val="18"/>
    </w:rPr>
  </w:style>
  <w:style w:type="character" w:customStyle="1" w:styleId="BalloonTextChar">
    <w:name w:val="Balloon Text Char"/>
    <w:link w:val="BalloonText"/>
    <w:uiPriority w:val="99"/>
    <w:rsid w:val="00AD2242"/>
    <w:rPr>
      <w:rFonts w:ascii="Palatino Linotype" w:eastAsia="SimSun" w:hAnsi="Palatino Linotype" w:cs="Tahoma"/>
      <w:noProof/>
      <w:color w:val="000000"/>
      <w:sz w:val="20"/>
      <w:szCs w:val="18"/>
      <w:lang w:val="en-US" w:eastAsia="zh-CN"/>
    </w:rPr>
  </w:style>
  <w:style w:type="paragraph" w:styleId="Bibliography">
    <w:name w:val="Bibliography"/>
    <w:basedOn w:val="Normal"/>
    <w:next w:val="Normal"/>
    <w:uiPriority w:val="37"/>
    <w:semiHidden/>
    <w:unhideWhenUsed/>
    <w:rsid w:val="00AD2242"/>
  </w:style>
  <w:style w:type="paragraph" w:styleId="BodyText">
    <w:name w:val="Body Text"/>
    <w:link w:val="BodyTextChar"/>
    <w:rsid w:val="00AD2242"/>
    <w:pPr>
      <w:spacing w:after="120" w:line="340" w:lineRule="atLeast"/>
      <w:jc w:val="both"/>
    </w:pPr>
    <w:rPr>
      <w:rFonts w:ascii="Palatino Linotype" w:eastAsia="SimSun" w:hAnsi="Palatino Linotype"/>
      <w:color w:val="000000"/>
      <w:szCs w:val="20"/>
      <w:lang w:val="en-US" w:eastAsia="de-DE"/>
    </w:rPr>
  </w:style>
  <w:style w:type="character" w:customStyle="1" w:styleId="BodyTextChar">
    <w:name w:val="Body Text Char"/>
    <w:link w:val="BodyText"/>
    <w:rsid w:val="00AD2242"/>
    <w:rPr>
      <w:rFonts w:ascii="Palatino Linotype" w:eastAsia="SimSun" w:hAnsi="Palatino Linotype"/>
      <w:color w:val="000000"/>
      <w:szCs w:val="20"/>
      <w:lang w:val="en-US" w:eastAsia="de-DE"/>
    </w:rPr>
  </w:style>
  <w:style w:type="character" w:styleId="CommentReference">
    <w:name w:val="annotation reference"/>
    <w:rsid w:val="00AD2242"/>
    <w:rPr>
      <w:sz w:val="21"/>
      <w:szCs w:val="21"/>
    </w:rPr>
  </w:style>
  <w:style w:type="paragraph" w:styleId="CommentText">
    <w:name w:val="annotation text"/>
    <w:basedOn w:val="Normal"/>
    <w:link w:val="CommentTextChar"/>
    <w:rsid w:val="00AD2242"/>
  </w:style>
  <w:style w:type="character" w:customStyle="1" w:styleId="CommentTextChar">
    <w:name w:val="Comment Text Char"/>
    <w:link w:val="CommentText"/>
    <w:rsid w:val="00AD2242"/>
    <w:rPr>
      <w:rFonts w:ascii="Palatino Linotype" w:eastAsia="SimSun" w:hAnsi="Palatino Linotype"/>
      <w:noProof/>
      <w:color w:val="000000"/>
      <w:sz w:val="20"/>
      <w:szCs w:val="20"/>
      <w:lang w:val="en-US" w:eastAsia="zh-CN"/>
    </w:rPr>
  </w:style>
  <w:style w:type="paragraph" w:styleId="CommentSubject">
    <w:name w:val="annotation subject"/>
    <w:basedOn w:val="CommentText"/>
    <w:next w:val="CommentText"/>
    <w:link w:val="CommentSubjectChar"/>
    <w:rsid w:val="00AD2242"/>
    <w:rPr>
      <w:b/>
      <w:bCs/>
    </w:rPr>
  </w:style>
  <w:style w:type="character" w:customStyle="1" w:styleId="CommentSubjectChar">
    <w:name w:val="Comment Subject Char"/>
    <w:link w:val="CommentSubject"/>
    <w:rsid w:val="00AD2242"/>
    <w:rPr>
      <w:rFonts w:ascii="Palatino Linotype" w:eastAsia="SimSun" w:hAnsi="Palatino Linotype"/>
      <w:b/>
      <w:bCs/>
      <w:noProof/>
      <w:color w:val="000000"/>
      <w:sz w:val="20"/>
      <w:szCs w:val="20"/>
      <w:lang w:val="en-US" w:eastAsia="zh-CN"/>
    </w:rPr>
  </w:style>
  <w:style w:type="character" w:styleId="EndnoteReference">
    <w:name w:val="endnote reference"/>
    <w:rsid w:val="00AD2242"/>
    <w:rPr>
      <w:vertAlign w:val="superscript"/>
    </w:rPr>
  </w:style>
  <w:style w:type="paragraph" w:styleId="EndnoteText">
    <w:name w:val="endnote text"/>
    <w:basedOn w:val="Normal"/>
    <w:link w:val="EndnoteTextChar"/>
    <w:semiHidden/>
    <w:unhideWhenUsed/>
    <w:rsid w:val="00AD2242"/>
    <w:pPr>
      <w:spacing w:line="240" w:lineRule="auto"/>
    </w:pPr>
  </w:style>
  <w:style w:type="character" w:customStyle="1" w:styleId="EndnoteTextChar">
    <w:name w:val="Endnote Text Char"/>
    <w:link w:val="EndnoteText"/>
    <w:semiHidden/>
    <w:rsid w:val="00AD2242"/>
    <w:rPr>
      <w:rFonts w:ascii="Palatino Linotype" w:eastAsia="SimSun" w:hAnsi="Palatino Linotype"/>
      <w:noProof/>
      <w:color w:val="000000"/>
      <w:sz w:val="20"/>
      <w:szCs w:val="20"/>
      <w:lang w:val="en-US" w:eastAsia="zh-CN"/>
    </w:rPr>
  </w:style>
  <w:style w:type="character" w:styleId="FollowedHyperlink">
    <w:name w:val="FollowedHyperlink"/>
    <w:rsid w:val="00AD2242"/>
    <w:rPr>
      <w:color w:val="954F72"/>
      <w:u w:val="single"/>
    </w:rPr>
  </w:style>
  <w:style w:type="paragraph" w:styleId="Footer">
    <w:name w:val="footer"/>
    <w:basedOn w:val="Normal"/>
    <w:link w:val="FooterChar"/>
    <w:uiPriority w:val="99"/>
    <w:rsid w:val="00AD224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D2242"/>
    <w:rPr>
      <w:rFonts w:ascii="Palatino Linotype" w:eastAsia="SimSun" w:hAnsi="Palatino Linotype"/>
      <w:noProof/>
      <w:color w:val="000000"/>
      <w:sz w:val="20"/>
      <w:szCs w:val="18"/>
      <w:lang w:val="en-US" w:eastAsia="zh-CN"/>
    </w:rPr>
  </w:style>
  <w:style w:type="paragraph" w:styleId="FootnoteText">
    <w:name w:val="footnote text"/>
    <w:basedOn w:val="Normal"/>
    <w:link w:val="FootnoteTextChar"/>
    <w:semiHidden/>
    <w:unhideWhenUsed/>
    <w:rsid w:val="00AD2242"/>
    <w:pPr>
      <w:spacing w:line="240" w:lineRule="auto"/>
    </w:pPr>
  </w:style>
  <w:style w:type="character" w:customStyle="1" w:styleId="FootnoteTextChar">
    <w:name w:val="Footnote Text Char"/>
    <w:link w:val="FootnoteText"/>
    <w:semiHidden/>
    <w:rsid w:val="00AD2242"/>
    <w:rPr>
      <w:rFonts w:ascii="Palatino Linotype" w:eastAsia="SimSun" w:hAnsi="Palatino Linotype"/>
      <w:noProof/>
      <w:color w:val="000000"/>
      <w:sz w:val="20"/>
      <w:szCs w:val="20"/>
      <w:lang w:val="en-US" w:eastAsia="zh-CN"/>
    </w:rPr>
  </w:style>
  <w:style w:type="paragraph" w:styleId="Header">
    <w:name w:val="header"/>
    <w:basedOn w:val="Normal"/>
    <w:link w:val="HeaderChar"/>
    <w:uiPriority w:val="99"/>
    <w:rsid w:val="00AD224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D2242"/>
    <w:rPr>
      <w:rFonts w:ascii="Palatino Linotype" w:eastAsia="SimSun" w:hAnsi="Palatino Linotype"/>
      <w:noProof/>
      <w:color w:val="000000"/>
      <w:sz w:val="20"/>
      <w:szCs w:val="18"/>
      <w:lang w:val="en-US" w:eastAsia="zh-CN"/>
    </w:rPr>
  </w:style>
  <w:style w:type="character" w:styleId="Hyperlink">
    <w:name w:val="Hyperlink"/>
    <w:uiPriority w:val="99"/>
    <w:rsid w:val="00AD2242"/>
    <w:rPr>
      <w:color w:val="0000FF"/>
      <w:u w:val="single"/>
    </w:rPr>
  </w:style>
  <w:style w:type="character" w:styleId="LineNumber">
    <w:name w:val="line number"/>
    <w:uiPriority w:val="99"/>
    <w:rsid w:val="00AD2242"/>
    <w:rPr>
      <w:rFonts w:ascii="Palatino Linotype" w:hAnsi="Palatino Linotype"/>
      <w:sz w:val="16"/>
    </w:rPr>
  </w:style>
  <w:style w:type="paragraph" w:customStyle="1" w:styleId="MDPI11articletype">
    <w:name w:val="MDPI_1.1_article_type"/>
    <w:next w:val="Normal"/>
    <w:qFormat/>
    <w:rsid w:val="00AD2242"/>
    <w:pPr>
      <w:adjustRightInd w:val="0"/>
      <w:snapToGrid w:val="0"/>
      <w:spacing w:before="240" w:after="0" w:line="240" w:lineRule="auto"/>
    </w:pPr>
    <w:rPr>
      <w:rFonts w:ascii="Palatino Linotype" w:eastAsia="Times New Roman" w:hAnsi="Palatino Linotype"/>
      <w:i/>
      <w:snapToGrid w:val="0"/>
      <w:color w:val="000000"/>
      <w:sz w:val="20"/>
      <w:lang w:val="en-US" w:eastAsia="de-DE" w:bidi="en-US"/>
    </w:rPr>
  </w:style>
  <w:style w:type="paragraph" w:customStyle="1" w:styleId="MDPI12title">
    <w:name w:val="MDPI_1.2_title"/>
    <w:next w:val="Normal"/>
    <w:qFormat/>
    <w:rsid w:val="00AD2242"/>
    <w:pPr>
      <w:adjustRightInd w:val="0"/>
      <w:snapToGrid w:val="0"/>
      <w:spacing w:after="240" w:line="240" w:lineRule="atLeast"/>
    </w:pPr>
    <w:rPr>
      <w:rFonts w:ascii="Palatino Linotype" w:eastAsia="Times New Roman" w:hAnsi="Palatino Linotype"/>
      <w:b/>
      <w:snapToGrid w:val="0"/>
      <w:color w:val="000000"/>
      <w:sz w:val="36"/>
      <w:szCs w:val="20"/>
      <w:lang w:val="en-US" w:eastAsia="de-DE" w:bidi="en-US"/>
    </w:rPr>
  </w:style>
  <w:style w:type="paragraph" w:customStyle="1" w:styleId="MDPI13authornames">
    <w:name w:val="MDPI_1.3_authornames"/>
    <w:next w:val="Normal"/>
    <w:qFormat/>
    <w:rsid w:val="00AD2242"/>
    <w:pPr>
      <w:adjustRightInd w:val="0"/>
      <w:snapToGrid w:val="0"/>
      <w:spacing w:after="360" w:line="260" w:lineRule="atLeast"/>
    </w:pPr>
    <w:rPr>
      <w:rFonts w:ascii="Palatino Linotype" w:eastAsia="Times New Roman" w:hAnsi="Palatino Linotype"/>
      <w:b/>
      <w:color w:val="000000"/>
      <w:sz w:val="20"/>
      <w:lang w:val="en-US" w:eastAsia="de-DE" w:bidi="en-US"/>
    </w:rPr>
  </w:style>
  <w:style w:type="paragraph" w:customStyle="1" w:styleId="MDPI14history">
    <w:name w:val="MDPI_1.4_history"/>
    <w:basedOn w:val="Normal"/>
    <w:next w:val="Normal"/>
    <w:qFormat/>
    <w:rsid w:val="00AD2242"/>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AD2242"/>
    <w:pPr>
      <w:adjustRightInd w:val="0"/>
      <w:snapToGrid w:val="0"/>
      <w:spacing w:before="120" w:after="0" w:line="240" w:lineRule="atLeast"/>
      <w:ind w:right="113"/>
    </w:pPr>
    <w:rPr>
      <w:rFonts w:ascii="Palatino Linotype" w:eastAsia="Times New Roman" w:hAnsi="Palatino Linotype"/>
      <w:color w:val="000000"/>
      <w:sz w:val="14"/>
      <w:lang w:val="en-US" w:eastAsia="de-DE" w:bidi="en-US"/>
    </w:rPr>
  </w:style>
  <w:style w:type="paragraph" w:customStyle="1" w:styleId="MDPI16affiliation">
    <w:name w:val="MDPI_1.6_affiliation"/>
    <w:qFormat/>
    <w:rsid w:val="00AD2242"/>
    <w:pPr>
      <w:adjustRightInd w:val="0"/>
      <w:snapToGrid w:val="0"/>
      <w:spacing w:after="0"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rsid w:val="00AD2242"/>
    <w:pPr>
      <w:adjustRightInd w:val="0"/>
      <w:snapToGrid w:val="0"/>
      <w:spacing w:before="240" w:after="0" w:line="280" w:lineRule="atLeast"/>
      <w:ind w:left="2608"/>
      <w:jc w:val="both"/>
    </w:pPr>
    <w:rPr>
      <w:rFonts w:ascii="Palatino Linotype" w:eastAsia="Times New Roman" w:hAnsi="Palatino Linotype"/>
      <w:color w:val="000000"/>
      <w:sz w:val="20"/>
      <w:lang w:val="en-US" w:eastAsia="de-DE" w:bidi="en-US"/>
    </w:rPr>
  </w:style>
  <w:style w:type="paragraph" w:customStyle="1" w:styleId="MDPI18keywords">
    <w:name w:val="MDPI_1.8_keywords"/>
    <w:next w:val="Normal"/>
    <w:qFormat/>
    <w:rsid w:val="00AD2242"/>
    <w:pPr>
      <w:adjustRightInd w:val="0"/>
      <w:snapToGrid w:val="0"/>
      <w:spacing w:before="240" w:after="0" w:line="280" w:lineRule="atLeast"/>
      <w:ind w:left="2608"/>
      <w:jc w:val="both"/>
    </w:pPr>
    <w:rPr>
      <w:rFonts w:ascii="Palatino Linotype" w:eastAsia="Times New Roman" w:hAnsi="Palatino Linotype"/>
      <w:snapToGrid w:val="0"/>
      <w:color w:val="000000"/>
      <w:sz w:val="20"/>
      <w:lang w:val="en-US" w:eastAsia="de-DE" w:bidi="en-US"/>
    </w:rPr>
  </w:style>
  <w:style w:type="paragraph" w:customStyle="1" w:styleId="MDPI19line">
    <w:name w:val="MDPI_1.9_line"/>
    <w:qFormat/>
    <w:rsid w:val="00AD224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 w:val="20"/>
      <w:szCs w:val="24"/>
      <w:lang w:val="en-US" w:eastAsia="de-DE" w:bidi="en-US"/>
    </w:rPr>
  </w:style>
  <w:style w:type="paragraph" w:customStyle="1" w:styleId="MDPI21heading1">
    <w:name w:val="MDPI_2.1_heading1"/>
    <w:qFormat/>
    <w:rsid w:val="00AD2242"/>
    <w:pPr>
      <w:adjustRightInd w:val="0"/>
      <w:snapToGrid w:val="0"/>
      <w:spacing w:before="240" w:after="60" w:line="280" w:lineRule="atLeast"/>
      <w:ind w:left="2608"/>
      <w:outlineLvl w:val="0"/>
    </w:pPr>
    <w:rPr>
      <w:rFonts w:ascii="Palatino Linotype" w:eastAsia="Times New Roman" w:hAnsi="Palatino Linotype"/>
      <w:b/>
      <w:snapToGrid w:val="0"/>
      <w:color w:val="000000"/>
      <w:lang w:val="en-US" w:eastAsia="de-DE" w:bidi="en-US"/>
    </w:rPr>
  </w:style>
  <w:style w:type="paragraph" w:customStyle="1" w:styleId="MDPI22heading2">
    <w:name w:val="MDPI_2.2_heading2"/>
    <w:qFormat/>
    <w:rsid w:val="00AD2242"/>
    <w:pPr>
      <w:adjustRightInd w:val="0"/>
      <w:snapToGrid w:val="0"/>
      <w:spacing w:before="60" w:after="60" w:line="280" w:lineRule="atLeast"/>
      <w:ind w:left="2608"/>
      <w:outlineLvl w:val="1"/>
    </w:pPr>
    <w:rPr>
      <w:rFonts w:ascii="Palatino Linotype" w:eastAsia="Times New Roman" w:hAnsi="Palatino Linotype"/>
      <w:i/>
      <w:noProof/>
      <w:snapToGrid w:val="0"/>
      <w:color w:val="000000"/>
      <w:sz w:val="20"/>
      <w:lang w:val="en-US" w:eastAsia="de-DE" w:bidi="en-US"/>
    </w:rPr>
  </w:style>
  <w:style w:type="paragraph" w:customStyle="1" w:styleId="MDPI23heading3">
    <w:name w:val="MDPI_2.3_heading3"/>
    <w:qFormat/>
    <w:rsid w:val="00AD2242"/>
    <w:pPr>
      <w:adjustRightInd w:val="0"/>
      <w:snapToGrid w:val="0"/>
      <w:spacing w:before="60" w:after="60" w:line="280" w:lineRule="atLeast"/>
      <w:ind w:left="2608"/>
      <w:outlineLvl w:val="2"/>
    </w:pPr>
    <w:rPr>
      <w:rFonts w:ascii="Palatino Linotype" w:eastAsia="Times New Roman" w:hAnsi="Palatino Linotype"/>
      <w:snapToGrid w:val="0"/>
      <w:color w:val="000000"/>
      <w:sz w:val="20"/>
      <w:lang w:val="en-US" w:eastAsia="de-DE" w:bidi="en-US"/>
    </w:rPr>
  </w:style>
  <w:style w:type="paragraph" w:customStyle="1" w:styleId="MDPI31text">
    <w:name w:val="MDPI_3.1_text"/>
    <w:qFormat/>
    <w:rsid w:val="00AD2242"/>
    <w:pPr>
      <w:adjustRightInd w:val="0"/>
      <w:snapToGrid w:val="0"/>
      <w:spacing w:after="0" w:line="280" w:lineRule="atLeast"/>
      <w:ind w:left="2608" w:firstLine="425"/>
      <w:jc w:val="both"/>
    </w:pPr>
    <w:rPr>
      <w:rFonts w:ascii="Palatino Linotype" w:eastAsia="Times New Roman" w:hAnsi="Palatino Linotype"/>
      <w:snapToGrid w:val="0"/>
      <w:color w:val="000000"/>
      <w:sz w:val="20"/>
      <w:lang w:val="en-US" w:eastAsia="de-DE" w:bidi="en-US"/>
    </w:rPr>
  </w:style>
  <w:style w:type="paragraph" w:customStyle="1" w:styleId="MDPI32textnoindent">
    <w:name w:val="MDPI_3.2_text_no_indent"/>
    <w:basedOn w:val="MDPI31text"/>
    <w:qFormat/>
    <w:rsid w:val="00AD2242"/>
    <w:pPr>
      <w:ind w:firstLine="0"/>
    </w:pPr>
  </w:style>
  <w:style w:type="paragraph" w:customStyle="1" w:styleId="MDPI33textspaceafter">
    <w:name w:val="MDPI_3.3_text_space_after"/>
    <w:qFormat/>
    <w:rsid w:val="00AD2242"/>
    <w:pPr>
      <w:adjustRightInd w:val="0"/>
      <w:snapToGrid w:val="0"/>
      <w:spacing w:after="240" w:line="280" w:lineRule="atLeast"/>
      <w:ind w:left="2608"/>
      <w:jc w:val="both"/>
    </w:pPr>
    <w:rPr>
      <w:rFonts w:ascii="Palatino Linotype" w:eastAsia="Times New Roman" w:hAnsi="Palatino Linotype"/>
      <w:snapToGrid w:val="0"/>
      <w:color w:val="000000"/>
      <w:sz w:val="20"/>
      <w:lang w:val="en-US" w:eastAsia="de-DE" w:bidi="en-US"/>
    </w:rPr>
  </w:style>
  <w:style w:type="paragraph" w:customStyle="1" w:styleId="MDPI34textspacebefore">
    <w:name w:val="MDPI_3.4_text_space_before"/>
    <w:qFormat/>
    <w:rsid w:val="00AD2242"/>
    <w:pPr>
      <w:adjustRightInd w:val="0"/>
      <w:snapToGrid w:val="0"/>
      <w:spacing w:before="240" w:after="0" w:line="280" w:lineRule="atLeast"/>
      <w:ind w:left="2608"/>
      <w:jc w:val="both"/>
    </w:pPr>
    <w:rPr>
      <w:rFonts w:ascii="Palatino Linotype" w:eastAsia="Times New Roman" w:hAnsi="Palatino Linotype"/>
      <w:snapToGrid w:val="0"/>
      <w:color w:val="000000"/>
      <w:sz w:val="20"/>
      <w:lang w:val="en-US" w:eastAsia="de-DE" w:bidi="en-US"/>
    </w:rPr>
  </w:style>
  <w:style w:type="paragraph" w:customStyle="1" w:styleId="MDPI35textbeforelist">
    <w:name w:val="MDPI_3.5_text_before_list"/>
    <w:qFormat/>
    <w:rsid w:val="00AD2242"/>
    <w:pPr>
      <w:adjustRightInd w:val="0"/>
      <w:snapToGrid w:val="0"/>
      <w:spacing w:after="0" w:line="280" w:lineRule="atLeast"/>
      <w:ind w:left="2608" w:firstLine="425"/>
      <w:jc w:val="both"/>
    </w:pPr>
    <w:rPr>
      <w:rFonts w:ascii="Palatino Linotype" w:eastAsia="Times New Roman" w:hAnsi="Palatino Linotype"/>
      <w:snapToGrid w:val="0"/>
      <w:color w:val="000000"/>
      <w:sz w:val="20"/>
      <w:lang w:val="en-US" w:eastAsia="de-DE" w:bidi="en-US"/>
    </w:rPr>
  </w:style>
  <w:style w:type="paragraph" w:customStyle="1" w:styleId="MDPI36textafterlist">
    <w:name w:val="MDPI_3.6_text_after_list"/>
    <w:qFormat/>
    <w:rsid w:val="00AD2242"/>
    <w:pPr>
      <w:adjustRightInd w:val="0"/>
      <w:snapToGrid w:val="0"/>
      <w:spacing w:before="120" w:after="0" w:line="280" w:lineRule="atLeast"/>
      <w:ind w:left="2608"/>
      <w:jc w:val="both"/>
    </w:pPr>
    <w:rPr>
      <w:rFonts w:ascii="Palatino Linotype" w:eastAsia="Times New Roman" w:hAnsi="Palatino Linotype"/>
      <w:snapToGrid w:val="0"/>
      <w:color w:val="000000"/>
      <w:sz w:val="20"/>
      <w:lang w:val="en-US" w:eastAsia="de-DE" w:bidi="en-US"/>
    </w:rPr>
  </w:style>
  <w:style w:type="paragraph" w:customStyle="1" w:styleId="MDPI37itemize">
    <w:name w:val="MDPI_3.7_itemize"/>
    <w:qFormat/>
    <w:rsid w:val="00AD2242"/>
    <w:pPr>
      <w:numPr>
        <w:numId w:val="1"/>
      </w:numPr>
      <w:adjustRightInd w:val="0"/>
      <w:snapToGrid w:val="0"/>
      <w:spacing w:after="0" w:line="280" w:lineRule="atLeast"/>
      <w:jc w:val="both"/>
    </w:pPr>
    <w:rPr>
      <w:rFonts w:ascii="Palatino Linotype" w:eastAsia="Times New Roman" w:hAnsi="Palatino Linotype"/>
      <w:color w:val="000000"/>
      <w:sz w:val="20"/>
      <w:lang w:val="en-US" w:eastAsia="de-DE" w:bidi="en-US"/>
    </w:rPr>
  </w:style>
  <w:style w:type="paragraph" w:customStyle="1" w:styleId="MDPI38bullet">
    <w:name w:val="MDPI_3.8_bullet"/>
    <w:qFormat/>
    <w:rsid w:val="00AD2242"/>
    <w:pPr>
      <w:numPr>
        <w:numId w:val="2"/>
      </w:numPr>
      <w:adjustRightInd w:val="0"/>
      <w:snapToGrid w:val="0"/>
      <w:spacing w:after="0" w:line="280" w:lineRule="atLeast"/>
      <w:jc w:val="both"/>
    </w:pPr>
    <w:rPr>
      <w:rFonts w:ascii="Palatino Linotype" w:eastAsia="Times New Roman" w:hAnsi="Palatino Linotype"/>
      <w:color w:val="000000"/>
      <w:sz w:val="20"/>
      <w:lang w:val="en-US" w:eastAsia="de-DE" w:bidi="en-US"/>
    </w:rPr>
  </w:style>
  <w:style w:type="paragraph" w:customStyle="1" w:styleId="MDPI39equation">
    <w:name w:val="MDPI_3.9_equation"/>
    <w:qFormat/>
    <w:rsid w:val="00AD2242"/>
    <w:pPr>
      <w:adjustRightInd w:val="0"/>
      <w:snapToGrid w:val="0"/>
      <w:spacing w:before="120" w:after="120" w:line="280" w:lineRule="atLeast"/>
      <w:ind w:left="709"/>
      <w:jc w:val="center"/>
    </w:pPr>
    <w:rPr>
      <w:rFonts w:ascii="Palatino Linotype" w:eastAsia="Times New Roman" w:hAnsi="Palatino Linotype"/>
      <w:snapToGrid w:val="0"/>
      <w:color w:val="000000"/>
      <w:sz w:val="20"/>
      <w:lang w:val="en-US" w:eastAsia="de-DE" w:bidi="en-US"/>
    </w:rPr>
  </w:style>
  <w:style w:type="paragraph" w:customStyle="1" w:styleId="MDPI3aequationnumber">
    <w:name w:val="MDPI_3.a_equation_number"/>
    <w:qFormat/>
    <w:rsid w:val="00AD2242"/>
    <w:pPr>
      <w:spacing w:before="120" w:after="120" w:line="280" w:lineRule="atLeast"/>
      <w:jc w:val="right"/>
    </w:pPr>
    <w:rPr>
      <w:rFonts w:ascii="Palatino Linotype" w:eastAsia="Times New Roman" w:hAnsi="Palatino Linotype"/>
      <w:snapToGrid w:val="0"/>
      <w:color w:val="000000"/>
      <w:sz w:val="20"/>
      <w:lang w:val="en-US" w:eastAsia="de-DE" w:bidi="en-US"/>
    </w:rPr>
  </w:style>
  <w:style w:type="paragraph" w:customStyle="1" w:styleId="MDPI411onetablecaption">
    <w:name w:val="MDPI_4.1.1_one_table_caption"/>
    <w:qFormat/>
    <w:rsid w:val="00AD2242"/>
    <w:pPr>
      <w:adjustRightInd w:val="0"/>
      <w:snapToGrid w:val="0"/>
      <w:spacing w:before="240" w:after="120" w:line="280" w:lineRule="atLeast"/>
      <w:jc w:val="center"/>
    </w:pPr>
    <w:rPr>
      <w:rFonts w:ascii="Palatino Linotype" w:eastAsia="SimSun" w:hAnsi="Palatino Linotype" w:cs="Cordia New"/>
      <w:noProof/>
      <w:color w:val="000000"/>
      <w:sz w:val="18"/>
      <w:lang w:val="en-US" w:eastAsia="zh-CN" w:bidi="en-US"/>
    </w:rPr>
  </w:style>
  <w:style w:type="paragraph" w:customStyle="1" w:styleId="MDPI41tablecaption">
    <w:name w:val="MDPI_4.1_table_caption"/>
    <w:qFormat/>
    <w:rsid w:val="00AD2242"/>
    <w:pPr>
      <w:adjustRightInd w:val="0"/>
      <w:snapToGrid w:val="0"/>
      <w:spacing w:before="240" w:after="120" w:line="280" w:lineRule="atLeast"/>
      <w:ind w:left="2608"/>
      <w:jc w:val="both"/>
    </w:pPr>
    <w:rPr>
      <w:rFonts w:ascii="Palatino Linotype" w:eastAsia="Times New Roman" w:hAnsi="Palatino Linotype" w:cs="Cordia New"/>
      <w:color w:val="000000"/>
      <w:sz w:val="18"/>
      <w:lang w:val="en-US" w:eastAsia="de-DE" w:bidi="en-US"/>
    </w:rPr>
  </w:style>
  <w:style w:type="table" w:customStyle="1" w:styleId="MDPI41threelinetable">
    <w:name w:val="MDPI_4.1_three_line_table"/>
    <w:basedOn w:val="TableNormal"/>
    <w:uiPriority w:val="99"/>
    <w:rsid w:val="00AD2242"/>
    <w:pPr>
      <w:adjustRightInd w:val="0"/>
      <w:snapToGrid w:val="0"/>
      <w:spacing w:after="0" w:line="280" w:lineRule="atLeast"/>
      <w:jc w:val="center"/>
    </w:pPr>
    <w:rPr>
      <w:rFonts w:ascii="Palatino Linotype" w:eastAsia="SimSun"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2tablebody">
    <w:name w:val="MDPI_4.2_table_body"/>
    <w:qFormat/>
    <w:rsid w:val="00AD2242"/>
    <w:pPr>
      <w:adjustRightInd w:val="0"/>
      <w:snapToGrid w:val="0"/>
      <w:spacing w:after="0" w:line="260" w:lineRule="atLeast"/>
      <w:jc w:val="center"/>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next w:val="MDPI31text"/>
    <w:qFormat/>
    <w:rsid w:val="00AD2242"/>
    <w:pPr>
      <w:adjustRightInd w:val="0"/>
      <w:snapToGrid w:val="0"/>
      <w:spacing w:after="0" w:line="280" w:lineRule="atLeast"/>
      <w:ind w:left="2608"/>
      <w:jc w:val="both"/>
    </w:pPr>
    <w:rPr>
      <w:rFonts w:ascii="Palatino Linotype" w:eastAsia="Times New Roman" w:hAnsi="Palatino Linotype" w:cs="Cordia New"/>
      <w:color w:val="000000"/>
      <w:sz w:val="18"/>
      <w:lang w:val="en-US" w:eastAsia="de-DE" w:bidi="en-US"/>
    </w:rPr>
  </w:style>
  <w:style w:type="paragraph" w:customStyle="1" w:styleId="MDPI511onefigurecaption">
    <w:name w:val="MDPI_5.1.1_one_figure_caption"/>
    <w:qFormat/>
    <w:rsid w:val="00AD2242"/>
    <w:pPr>
      <w:adjustRightInd w:val="0"/>
      <w:snapToGrid w:val="0"/>
      <w:spacing w:before="240" w:after="120" w:line="280" w:lineRule="atLeast"/>
      <w:jc w:val="center"/>
    </w:pPr>
    <w:rPr>
      <w:rFonts w:ascii="Palatino Linotype" w:eastAsia="SimSun" w:hAnsi="Palatino Linotype"/>
      <w:noProof/>
      <w:color w:val="000000"/>
      <w:sz w:val="18"/>
      <w:szCs w:val="20"/>
      <w:lang w:val="en-US" w:eastAsia="zh-CN" w:bidi="en-US"/>
    </w:rPr>
  </w:style>
  <w:style w:type="paragraph" w:customStyle="1" w:styleId="MDPI51figurecaption">
    <w:name w:val="MDPI_5.1_figure_caption"/>
    <w:qFormat/>
    <w:rsid w:val="00AD2242"/>
    <w:pPr>
      <w:adjustRightInd w:val="0"/>
      <w:snapToGrid w:val="0"/>
      <w:spacing w:before="120" w:after="240" w:line="280" w:lineRule="atLeast"/>
      <w:ind w:left="2608"/>
      <w:jc w:val="both"/>
    </w:pPr>
    <w:rPr>
      <w:rFonts w:ascii="Palatino Linotype" w:eastAsia="Times New Roman" w:hAnsi="Palatino Linotype"/>
      <w:color w:val="000000"/>
      <w:sz w:val="18"/>
      <w:szCs w:val="20"/>
      <w:lang w:val="en-US" w:eastAsia="de-DE" w:bidi="en-US"/>
    </w:rPr>
  </w:style>
  <w:style w:type="paragraph" w:customStyle="1" w:styleId="MDPI52figure">
    <w:name w:val="MDPI_5.2_figure"/>
    <w:qFormat/>
    <w:rsid w:val="00AD2242"/>
    <w:pPr>
      <w:adjustRightInd w:val="0"/>
      <w:snapToGrid w:val="0"/>
      <w:spacing w:before="240" w:after="120" w:line="240" w:lineRule="auto"/>
      <w:jc w:val="center"/>
    </w:pPr>
    <w:rPr>
      <w:rFonts w:ascii="Palatino Linotype" w:eastAsia="Times New Roman" w:hAnsi="Palatino Linotype"/>
      <w:snapToGrid w:val="0"/>
      <w:color w:val="000000"/>
      <w:sz w:val="20"/>
      <w:szCs w:val="20"/>
      <w:lang w:val="en-US" w:eastAsia="de-DE" w:bidi="en-US"/>
    </w:rPr>
  </w:style>
  <w:style w:type="paragraph" w:customStyle="1" w:styleId="MDPI61citation">
    <w:name w:val="MDPI_6.1_citation"/>
    <w:qFormat/>
    <w:rsid w:val="00AD2242"/>
    <w:pPr>
      <w:adjustRightInd w:val="0"/>
      <w:snapToGrid w:val="0"/>
      <w:spacing w:before="120" w:after="120" w:line="240" w:lineRule="atLeast"/>
      <w:ind w:right="113"/>
    </w:pPr>
    <w:rPr>
      <w:rFonts w:ascii="Palatino Linotype" w:eastAsia="SimSun" w:hAnsi="Palatino Linotype" w:cs="Cordia New"/>
      <w:sz w:val="14"/>
      <w:lang w:val="en-US" w:eastAsia="zh-CN"/>
    </w:rPr>
  </w:style>
  <w:style w:type="paragraph" w:customStyle="1" w:styleId="MDPI62backmatter">
    <w:name w:val="MDPI_6.2_back_matter"/>
    <w:qFormat/>
    <w:rsid w:val="00AD2242"/>
    <w:pPr>
      <w:adjustRightInd w:val="0"/>
      <w:snapToGrid w:val="0"/>
      <w:spacing w:after="120" w:line="280" w:lineRule="atLeast"/>
      <w:ind w:left="2608"/>
      <w:jc w:val="both"/>
    </w:pPr>
    <w:rPr>
      <w:rFonts w:ascii="Palatino Linotype" w:eastAsia="Times New Roman" w:hAnsi="Palatino Linotype"/>
      <w:snapToGrid w:val="0"/>
      <w:color w:val="000000"/>
      <w:sz w:val="18"/>
      <w:szCs w:val="20"/>
      <w:lang w:val="en-US" w:bidi="en-US"/>
    </w:rPr>
  </w:style>
  <w:style w:type="paragraph" w:customStyle="1" w:styleId="MDPI63notes">
    <w:name w:val="MDPI_6.3_notes"/>
    <w:qFormat/>
    <w:rsid w:val="00AD2242"/>
    <w:pPr>
      <w:adjustRightInd w:val="0"/>
      <w:snapToGrid w:val="0"/>
      <w:spacing w:before="240" w:after="0" w:line="280" w:lineRule="atLeast"/>
      <w:jc w:val="both"/>
    </w:pPr>
    <w:rPr>
      <w:rFonts w:ascii="Palatino Linotype" w:eastAsia="SimSun" w:hAnsi="Palatino Linotype"/>
      <w:snapToGrid w:val="0"/>
      <w:color w:val="000000"/>
      <w:sz w:val="18"/>
      <w:szCs w:val="20"/>
      <w:lang w:val="en-US" w:bidi="en-US"/>
    </w:rPr>
  </w:style>
  <w:style w:type="paragraph" w:customStyle="1" w:styleId="MDPI71footnotes">
    <w:name w:val="MDPI_7.1_footnotes"/>
    <w:qFormat/>
    <w:rsid w:val="00AD2242"/>
    <w:pPr>
      <w:numPr>
        <w:numId w:val="3"/>
      </w:numPr>
      <w:adjustRightInd w:val="0"/>
      <w:snapToGrid w:val="0"/>
      <w:spacing w:after="0" w:line="280" w:lineRule="atLeast"/>
    </w:pPr>
    <w:rPr>
      <w:rFonts w:ascii="Palatino Linotype" w:eastAsiaTheme="minorEastAsia" w:hAnsi="Palatino Linotype"/>
      <w:noProof/>
      <w:color w:val="000000"/>
      <w:sz w:val="18"/>
      <w:szCs w:val="20"/>
      <w:lang w:val="en-US" w:eastAsia="zh-CN"/>
    </w:rPr>
  </w:style>
  <w:style w:type="paragraph" w:customStyle="1" w:styleId="MDPI72copyright">
    <w:name w:val="MDPI_7.2_copyright"/>
    <w:qFormat/>
    <w:rsid w:val="00AD2242"/>
    <w:pPr>
      <w:adjustRightInd w:val="0"/>
      <w:snapToGrid w:val="0"/>
      <w:spacing w:before="120" w:after="0" w:line="240" w:lineRule="atLeast"/>
      <w:ind w:right="113"/>
    </w:pPr>
    <w:rPr>
      <w:rFonts w:ascii="Palatino Linotype" w:eastAsia="Times New Roman" w:hAnsi="Palatino Linotype"/>
      <w:noProof/>
      <w:snapToGrid w:val="0"/>
      <w:color w:val="000000"/>
      <w:sz w:val="14"/>
      <w:szCs w:val="20"/>
      <w:lang w:val="en-GB" w:eastAsia="en-GB"/>
    </w:rPr>
  </w:style>
  <w:style w:type="paragraph" w:customStyle="1" w:styleId="MDPI81references">
    <w:name w:val="MDPI_8.1_references"/>
    <w:qFormat/>
    <w:rsid w:val="00AD2242"/>
    <w:pPr>
      <w:numPr>
        <w:numId w:val="4"/>
      </w:numPr>
      <w:adjustRightInd w:val="0"/>
      <w:snapToGrid w:val="0"/>
      <w:spacing w:after="0" w:line="280" w:lineRule="atLeast"/>
      <w:jc w:val="both"/>
    </w:pPr>
    <w:rPr>
      <w:rFonts w:ascii="Palatino Linotype" w:eastAsia="Times New Roman" w:hAnsi="Palatino Linotype"/>
      <w:color w:val="000000"/>
      <w:sz w:val="18"/>
      <w:szCs w:val="20"/>
      <w:lang w:val="en-US" w:eastAsia="de-DE" w:bidi="en-US"/>
    </w:rPr>
  </w:style>
  <w:style w:type="paragraph" w:customStyle="1" w:styleId="MDPI82theorem">
    <w:name w:val="MDPI_8.2_theorem"/>
    <w:qFormat/>
    <w:rsid w:val="00AD2242"/>
    <w:pPr>
      <w:adjustRightInd w:val="0"/>
      <w:snapToGrid w:val="0"/>
      <w:spacing w:after="0" w:line="280" w:lineRule="atLeast"/>
      <w:ind w:left="2608"/>
      <w:jc w:val="both"/>
    </w:pPr>
    <w:rPr>
      <w:rFonts w:ascii="Palatino Linotype" w:eastAsia="Times New Roman" w:hAnsi="Palatino Linotype"/>
      <w:i/>
      <w:snapToGrid w:val="0"/>
      <w:color w:val="000000"/>
      <w:sz w:val="20"/>
      <w:lang w:val="en-US" w:eastAsia="de-DE" w:bidi="en-US"/>
    </w:rPr>
  </w:style>
  <w:style w:type="paragraph" w:customStyle="1" w:styleId="MDPI83proof">
    <w:name w:val="MDPI_8.3_proof"/>
    <w:qFormat/>
    <w:rsid w:val="00AD2242"/>
    <w:pPr>
      <w:adjustRightInd w:val="0"/>
      <w:snapToGrid w:val="0"/>
      <w:spacing w:after="0" w:line="280" w:lineRule="atLeast"/>
      <w:ind w:left="2608"/>
      <w:jc w:val="both"/>
    </w:pPr>
    <w:rPr>
      <w:rFonts w:ascii="Palatino Linotype" w:eastAsia="Times New Roman" w:hAnsi="Palatino Linotype"/>
      <w:snapToGrid w:val="0"/>
      <w:color w:val="000000"/>
      <w:sz w:val="20"/>
      <w:lang w:val="en-US" w:eastAsia="de-DE" w:bidi="en-US"/>
    </w:rPr>
  </w:style>
  <w:style w:type="table" w:customStyle="1" w:styleId="MDPItable">
    <w:name w:val="MDPI_table"/>
    <w:basedOn w:val="TableNormal"/>
    <w:uiPriority w:val="99"/>
    <w:rsid w:val="00AD2242"/>
    <w:pPr>
      <w:spacing w:after="0" w:line="240" w:lineRule="auto"/>
    </w:pPr>
    <w:rPr>
      <w:rFonts w:ascii="Palatino Linotype" w:eastAsia="SimSun" w:hAnsi="Palatino Linotype"/>
      <w:color w:val="000000"/>
      <w:sz w:val="20"/>
      <w:szCs w:val="20"/>
      <w:lang w:val="en-CA"/>
    </w:rPr>
    <w:tblPr>
      <w:tblCellMar>
        <w:left w:w="0" w:type="dxa"/>
        <w:right w:w="0" w:type="dxa"/>
      </w:tblCellMar>
    </w:tblPr>
  </w:style>
  <w:style w:type="paragraph" w:styleId="NormalWeb">
    <w:name w:val="Normal (Web)"/>
    <w:basedOn w:val="Normal"/>
    <w:uiPriority w:val="99"/>
    <w:rsid w:val="00AD2242"/>
    <w:rPr>
      <w:szCs w:val="24"/>
    </w:rPr>
  </w:style>
  <w:style w:type="paragraph" w:customStyle="1" w:styleId="MsoFootnoteText0">
    <w:name w:val="MsoFootnoteText"/>
    <w:basedOn w:val="NormalWeb"/>
    <w:qFormat/>
    <w:rsid w:val="00AD2242"/>
    <w:rPr>
      <w:rFonts w:ascii="Times New Roman" w:hAnsi="Times New Roman"/>
    </w:rPr>
  </w:style>
  <w:style w:type="character" w:styleId="PageNumber">
    <w:name w:val="page number"/>
    <w:rsid w:val="00AD2242"/>
  </w:style>
  <w:style w:type="character" w:styleId="PlaceholderText">
    <w:name w:val="Placeholder Text"/>
    <w:uiPriority w:val="99"/>
    <w:semiHidden/>
    <w:rsid w:val="00AD2242"/>
    <w:rPr>
      <w:color w:val="808080"/>
    </w:rPr>
  </w:style>
  <w:style w:type="table" w:styleId="PlainTable4">
    <w:name w:val="Plain Table 4"/>
    <w:basedOn w:val="TableNormal"/>
    <w:uiPriority w:val="44"/>
    <w:rsid w:val="00AD2242"/>
    <w:pPr>
      <w:spacing w:after="0" w:line="240" w:lineRule="auto"/>
    </w:pPr>
    <w:rPr>
      <w:rFonts w:ascii="Calibri" w:eastAsia="SimSun" w:hAnsi="Calibri"/>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59"/>
    <w:rsid w:val="00AD2242"/>
    <w:pPr>
      <w:spacing w:after="0" w:line="260" w:lineRule="atLeast"/>
      <w:jc w:val="both"/>
    </w:pPr>
    <w:rPr>
      <w:rFonts w:ascii="Palatino Linotype" w:eastAsia="SimSun" w:hAnsi="Palatino Linotype"/>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D2242"/>
    <w:rPr>
      <w:color w:val="605E5C"/>
      <w:shd w:val="clear" w:color="auto" w:fill="E1DFDD"/>
    </w:rPr>
  </w:style>
  <w:style w:type="paragraph" w:customStyle="1" w:styleId="MDPI61Citation0">
    <w:name w:val="MDPI_6.1_Citation"/>
    <w:qFormat/>
    <w:rsid w:val="00AD2242"/>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72Copyright0">
    <w:name w:val="MDPI_7.2_Copyright"/>
    <w:qFormat/>
    <w:rsid w:val="00AD2242"/>
    <w:pPr>
      <w:adjustRightInd w:val="0"/>
      <w:snapToGrid w:val="0"/>
      <w:spacing w:before="60" w:after="0" w:line="240" w:lineRule="atLeast"/>
      <w:ind w:right="113"/>
      <w:jc w:val="both"/>
    </w:pPr>
    <w:rPr>
      <w:rFonts w:ascii="Palatino Linotype" w:eastAsia="Times New Roman" w:hAnsi="Palatino Linotype"/>
      <w:noProof/>
      <w:snapToGrid w:val="0"/>
      <w:color w:val="000000"/>
      <w:sz w:val="1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C082841-362B-4164-A5F1-13420ADE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4441</Words>
  <Characters>25317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Karishma Jain [Ph.D (SBS) - 2022]</dc:creator>
  <cp:keywords/>
  <dc:description/>
  <cp:lastModifiedBy>Karishma Jain [Ph.D (SBS) - 2022]</cp:lastModifiedBy>
  <cp:revision>38</cp:revision>
  <dcterms:created xsi:type="dcterms:W3CDTF">2025-02-27T20:04:00Z</dcterms:created>
  <dcterms:modified xsi:type="dcterms:W3CDTF">2025-08-09T23:46:00Z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http://www.zotero.org/styles/carbon</vt:lpwstr>
  </property>
  <property fmtid="{D5CDD505-2E9C-101B-9397-08002B2CF9AE}" pid="3" name="Mendeley Recent Style Name 0_1">
    <vt:lpwstr>Carbon</vt:lpwstr>
  </property>
  <property fmtid="{D5CDD505-2E9C-101B-9397-08002B2CF9AE}" pid="4" name="Mendeley Recent Style Id 1_1">
    <vt:lpwstr>http://www.zotero.org/styles/ceramics-international</vt:lpwstr>
  </property>
  <property fmtid="{D5CDD505-2E9C-101B-9397-08002B2CF9AE}" pid="5" name="Mendeley Recent Style Name 1_1">
    <vt:lpwstr>Ceramics International</vt:lpwstr>
  </property>
  <property fmtid="{D5CDD505-2E9C-101B-9397-08002B2CF9AE}" pid="6" name="Mendeley Recent Style Id 2_1">
    <vt:lpwstr>http://www.zotero.org/styles/discover-food</vt:lpwstr>
  </property>
  <property fmtid="{D5CDD505-2E9C-101B-9397-08002B2CF9AE}" pid="7" name="Mendeley Recent Style Name 2_1">
    <vt:lpwstr>Discover Food</vt:lpwstr>
  </property>
  <property fmtid="{D5CDD505-2E9C-101B-9397-08002B2CF9AE}" pid="8" name="Mendeley Recent Style Id 3_1">
    <vt:lpwstr>http://www.zotero.org/styles/environmental-science-and-pollution-research</vt:lpwstr>
  </property>
  <property fmtid="{D5CDD505-2E9C-101B-9397-08002B2CF9AE}" pid="9" name="Mendeley Recent Style Name 3_1">
    <vt:lpwstr>Environmental Science and Pollution Research</vt:lpwstr>
  </property>
  <property fmtid="{D5CDD505-2E9C-101B-9397-08002B2CF9AE}" pid="10" name="Mendeley Recent Style Id 4_1">
    <vt:lpwstr>http://www.zotero.org/styles/european-journal-of-physics</vt:lpwstr>
  </property>
  <property fmtid="{D5CDD505-2E9C-101B-9397-08002B2CF9AE}" pid="11" name="Mendeley Recent Style Name 4_1">
    <vt:lpwstr>European Journal of Physics</vt:lpwstr>
  </property>
  <property fmtid="{D5CDD505-2E9C-101B-9397-08002B2CF9AE}" pid="12" name="Mendeley Recent Style Id 5_1">
    <vt:lpwstr>http://www.zotero.org/styles/inorganic-chemistry-communications</vt:lpwstr>
  </property>
  <property fmtid="{D5CDD505-2E9C-101B-9397-08002B2CF9AE}" pid="13" name="Mendeley Recent Style Name 5_1">
    <vt:lpwstr>Inorganic Chemistry Communications</vt:lpwstr>
  </property>
  <property fmtid="{D5CDD505-2E9C-101B-9397-08002B2CF9AE}" pid="14" name="Mendeley Recent Style Id 6_1">
    <vt:lpwstr>http://www.zotero.org/styles/materials-letters</vt:lpwstr>
  </property>
  <property fmtid="{D5CDD505-2E9C-101B-9397-08002B2CF9AE}" pid="15" name="Mendeley Recent Style Name 6_1">
    <vt:lpwstr>Materials Letters</vt:lpwstr>
  </property>
  <property fmtid="{D5CDD505-2E9C-101B-9397-08002B2CF9AE}" pid="16" name="Mendeley Recent Style Id 7_1">
    <vt:lpwstr>http://www.zotero.org/styles/materials-today-proceedings</vt:lpwstr>
  </property>
  <property fmtid="{D5CDD505-2E9C-101B-9397-08002B2CF9AE}" pid="17" name="Mendeley Recent Style Name 7_1">
    <vt:lpwstr>Materials Today: Proceedings</vt:lpwstr>
  </property>
  <property fmtid="{D5CDD505-2E9C-101B-9397-08002B2CF9AE}" pid="18" name="Mendeley Recent Style Id 8_1">
    <vt:lpwstr>http://www.zotero.org/styles/multidisciplinary-digital-publishing-institute</vt:lpwstr>
  </property>
  <property fmtid="{D5CDD505-2E9C-101B-9397-08002B2CF9AE}" pid="19" name="Mendeley Recent Style Name 8_1">
    <vt:lpwstr>Multidisciplinary Digital Publishing Institute</vt:lpwstr>
  </property>
  <property fmtid="{D5CDD505-2E9C-101B-9397-08002B2CF9AE}" pid="20" name="Mendeley Recent Style Id 9_1">
    <vt:lpwstr>http://csl.mendeley.com/styles/698558541/ESPR-VGU</vt:lpwstr>
  </property>
  <property fmtid="{D5CDD505-2E9C-101B-9397-08002B2CF9AE}" pid="21" name="Mendeley Recent Style Name 9_1">
    <vt:lpwstr>Springer - Basic (author-date) - karishma  jain</vt:lpwstr>
  </property>
  <property fmtid="{D5CDD505-2E9C-101B-9397-08002B2CF9AE}" pid="22" name="Mendeley Document_1">
    <vt:lpwstr>True</vt:lpwstr>
  </property>
  <property fmtid="{D5CDD505-2E9C-101B-9397-08002B2CF9AE}" pid="23" name="Mendeley Unique User Id_1">
    <vt:lpwstr>d683587c-429b-3271-a697-7336cbbb2e04</vt:lpwstr>
  </property>
  <property fmtid="{D5CDD505-2E9C-101B-9397-08002B2CF9AE}" pid="24" name="Mendeley Citation Style_1">
    <vt:lpwstr>http://www.zotero.org/styles/discover-food</vt:lpwstr>
  </property>
</Properties>
</file>