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DCE255">
      <w:pPr>
        <w:widowControl/>
        <w:spacing w:after="200" w:line="480" w:lineRule="auto"/>
        <w:jc w:val="center"/>
        <w:rPr>
          <w:rFonts w:ascii="Times New Roman" w:hAnsi="Times New Roman" w:eastAsia="MS Mincho" w:cs="Times New Roman"/>
          <w:i/>
          <w:iCs/>
          <w:color w:val="000000"/>
          <w:kern w:val="0"/>
          <w:sz w:val="36"/>
          <w:szCs w:val="36"/>
        </w:rPr>
      </w:pPr>
      <w:bookmarkStart w:id="0" w:name="_Hlk140133928"/>
      <w:bookmarkStart w:id="1" w:name="OLE_LINK4"/>
      <w:bookmarkStart w:id="2" w:name="OLE_LINK54"/>
      <w:r>
        <w:rPr>
          <w:rFonts w:ascii="Times New Roman" w:hAnsi="Times New Roman" w:cs="Times New Roman"/>
          <w:b/>
          <w:sz w:val="36"/>
          <w:lang w:eastAsia="ja-JP"/>
        </w:rPr>
        <w:t>Supporting information</w:t>
      </w:r>
    </w:p>
    <w:p w14:paraId="26B4BB20">
      <w:pPr>
        <w:widowControl/>
        <w:spacing w:after="200" w:line="480" w:lineRule="auto"/>
        <w:rPr>
          <w:rFonts w:ascii="Times New Roman" w:hAnsi="Times New Roman" w:eastAsia="MS Mincho" w:cs="Times New Roman"/>
          <w:i/>
          <w:iCs/>
          <w:color w:val="000000"/>
          <w:kern w:val="0"/>
          <w:sz w:val="36"/>
          <w:szCs w:val="36"/>
        </w:rPr>
      </w:pPr>
      <w:r>
        <w:rPr>
          <w:rFonts w:ascii="Times New Roman" w:hAnsi="Times New Roman" w:eastAsia="MS Mincho" w:cs="Times New Roman"/>
          <w:i/>
          <w:iCs/>
          <w:color w:val="000000"/>
          <w:kern w:val="0"/>
          <w:sz w:val="36"/>
          <w:szCs w:val="36"/>
        </w:rPr>
        <w:t xml:space="preserve">Assessing the </w:t>
      </w:r>
      <w:r>
        <w:rPr>
          <w:rFonts w:hint="eastAsia" w:ascii="Times New Roman" w:hAnsi="Times New Roman" w:eastAsia="宋体" w:cs="Times New Roman"/>
          <w:i/>
          <w:iCs/>
          <w:color w:val="000000"/>
          <w:kern w:val="0"/>
          <w:sz w:val="36"/>
          <w:szCs w:val="36"/>
          <w:lang w:val="en-US" w:eastAsia="zh-CN"/>
        </w:rPr>
        <w:t>p</w:t>
      </w:r>
      <w:r>
        <w:rPr>
          <w:rFonts w:ascii="Times New Roman" w:hAnsi="Times New Roman" w:eastAsia="MS Mincho" w:cs="Times New Roman"/>
          <w:i/>
          <w:iCs/>
          <w:color w:val="000000"/>
          <w:kern w:val="0"/>
          <w:sz w:val="36"/>
          <w:szCs w:val="36"/>
        </w:rPr>
        <w:t xml:space="preserve">otential </w:t>
      </w:r>
      <w:r>
        <w:rPr>
          <w:rFonts w:hint="eastAsia" w:ascii="Times New Roman" w:hAnsi="Times New Roman" w:eastAsia="宋体" w:cs="Times New Roman"/>
          <w:i/>
          <w:iCs/>
          <w:color w:val="000000"/>
          <w:kern w:val="0"/>
          <w:sz w:val="36"/>
          <w:szCs w:val="36"/>
          <w:lang w:val="en-US" w:eastAsia="zh-CN"/>
        </w:rPr>
        <w:t>e</w:t>
      </w:r>
      <w:r>
        <w:rPr>
          <w:rFonts w:ascii="Times New Roman" w:hAnsi="Times New Roman" w:eastAsia="MS Mincho" w:cs="Times New Roman"/>
          <w:i/>
          <w:iCs/>
          <w:color w:val="000000"/>
          <w:kern w:val="0"/>
          <w:sz w:val="36"/>
          <w:szCs w:val="36"/>
        </w:rPr>
        <w:t xml:space="preserve">nvironmental </w:t>
      </w:r>
      <w:r>
        <w:rPr>
          <w:rFonts w:hint="eastAsia" w:ascii="Times New Roman" w:hAnsi="Times New Roman" w:eastAsia="宋体" w:cs="Times New Roman"/>
          <w:i/>
          <w:iCs/>
          <w:color w:val="000000"/>
          <w:kern w:val="0"/>
          <w:sz w:val="36"/>
          <w:szCs w:val="36"/>
          <w:lang w:val="en-US" w:eastAsia="zh-CN"/>
        </w:rPr>
        <w:t>b</w:t>
      </w:r>
      <w:r>
        <w:rPr>
          <w:rFonts w:ascii="Times New Roman" w:hAnsi="Times New Roman" w:eastAsia="MS Mincho" w:cs="Times New Roman"/>
          <w:i/>
          <w:iCs/>
          <w:color w:val="000000"/>
          <w:kern w:val="0"/>
          <w:sz w:val="36"/>
          <w:szCs w:val="36"/>
        </w:rPr>
        <w:t xml:space="preserve">enefits of PVC </w:t>
      </w:r>
      <w:r>
        <w:rPr>
          <w:rFonts w:hint="eastAsia" w:ascii="Times New Roman" w:hAnsi="Times New Roman" w:eastAsia="宋体" w:cs="Times New Roman"/>
          <w:i/>
          <w:iCs/>
          <w:color w:val="000000"/>
          <w:kern w:val="0"/>
          <w:sz w:val="36"/>
          <w:szCs w:val="36"/>
          <w:lang w:val="en-US" w:eastAsia="zh-CN"/>
        </w:rPr>
        <w:t>w</w:t>
      </w:r>
      <w:r>
        <w:rPr>
          <w:rFonts w:ascii="Times New Roman" w:hAnsi="Times New Roman" w:eastAsia="MS Mincho" w:cs="Times New Roman"/>
          <w:i/>
          <w:iCs/>
          <w:color w:val="000000"/>
          <w:kern w:val="0"/>
          <w:sz w:val="36"/>
          <w:szCs w:val="36"/>
        </w:rPr>
        <w:t xml:space="preserve">aste </w:t>
      </w:r>
      <w:r>
        <w:rPr>
          <w:rFonts w:hint="eastAsia" w:ascii="Times New Roman" w:hAnsi="Times New Roman" w:eastAsia="宋体" w:cs="Times New Roman"/>
          <w:i/>
          <w:iCs/>
          <w:color w:val="000000"/>
          <w:kern w:val="0"/>
          <w:sz w:val="36"/>
          <w:szCs w:val="36"/>
          <w:lang w:val="en-US" w:eastAsia="zh-CN"/>
        </w:rPr>
        <w:t>r</w:t>
      </w:r>
      <w:r>
        <w:rPr>
          <w:rFonts w:ascii="Times New Roman" w:hAnsi="Times New Roman" w:eastAsia="MS Mincho" w:cs="Times New Roman"/>
          <w:i/>
          <w:iCs/>
          <w:color w:val="000000"/>
          <w:kern w:val="0"/>
          <w:sz w:val="36"/>
          <w:szCs w:val="36"/>
        </w:rPr>
        <w:t xml:space="preserve">ecycling in China toward </w:t>
      </w:r>
      <w:r>
        <w:rPr>
          <w:rFonts w:hint="eastAsia" w:ascii="Times New Roman" w:hAnsi="Times New Roman" w:eastAsia="宋体" w:cs="Times New Roman"/>
          <w:i/>
          <w:iCs/>
          <w:color w:val="000000"/>
          <w:kern w:val="0"/>
          <w:sz w:val="36"/>
          <w:szCs w:val="36"/>
          <w:lang w:val="en-US" w:eastAsia="zh-CN"/>
        </w:rPr>
        <w:t>c</w:t>
      </w:r>
      <w:r>
        <w:rPr>
          <w:rFonts w:ascii="Times New Roman" w:hAnsi="Times New Roman" w:eastAsia="MS Mincho" w:cs="Times New Roman"/>
          <w:i/>
          <w:iCs/>
          <w:color w:val="000000"/>
          <w:kern w:val="0"/>
          <w:sz w:val="36"/>
          <w:szCs w:val="36"/>
        </w:rPr>
        <w:t xml:space="preserve">arbon </w:t>
      </w:r>
      <w:r>
        <w:rPr>
          <w:rFonts w:hint="eastAsia" w:ascii="Times New Roman" w:hAnsi="Times New Roman" w:eastAsia="宋体" w:cs="Times New Roman"/>
          <w:i/>
          <w:iCs/>
          <w:color w:val="000000"/>
          <w:kern w:val="0"/>
          <w:sz w:val="36"/>
          <w:szCs w:val="36"/>
          <w:lang w:val="en-US" w:eastAsia="zh-CN"/>
        </w:rPr>
        <w:t>n</w:t>
      </w:r>
      <w:r>
        <w:rPr>
          <w:rFonts w:ascii="Times New Roman" w:hAnsi="Times New Roman" w:eastAsia="MS Mincho" w:cs="Times New Roman"/>
          <w:i/>
          <w:iCs/>
          <w:color w:val="000000"/>
          <w:kern w:val="0"/>
          <w:sz w:val="36"/>
          <w:szCs w:val="36"/>
        </w:rPr>
        <w:t>eutrality</w:t>
      </w:r>
    </w:p>
    <w:bookmarkEnd w:id="0"/>
    <w:bookmarkEnd w:id="1"/>
    <w:bookmarkEnd w:id="2"/>
    <w:p w14:paraId="35092FD6">
      <w:pPr>
        <w:widowControl/>
        <w:spacing w:after="200" w:line="480" w:lineRule="auto"/>
        <w:rPr>
          <w:rFonts w:ascii="Times New Roman" w:hAnsi="Times New Roman" w:eastAsia="宋体" w:cs="Times New Roman"/>
          <w:i/>
          <w:color w:val="000000"/>
          <w:kern w:val="0"/>
          <w:sz w:val="24"/>
          <w:szCs w:val="20"/>
        </w:rPr>
      </w:pPr>
      <w:r>
        <w:rPr>
          <w:rFonts w:ascii="Times New Roman" w:hAnsi="Times New Roman" w:eastAsia="宋体" w:cs="Times New Roman"/>
          <w:i/>
          <w:color w:val="000000"/>
          <w:kern w:val="0"/>
          <w:sz w:val="24"/>
          <w:szCs w:val="20"/>
        </w:rPr>
        <w:t>Mengqi Han</w:t>
      </w:r>
      <w:r>
        <w:rPr>
          <w:rFonts w:ascii="Times New Roman" w:hAnsi="Times New Roman" w:eastAsia="宋体" w:cs="Times New Roman"/>
          <w:i/>
          <w:color w:val="000000"/>
          <w:kern w:val="0"/>
          <w:sz w:val="24"/>
          <w:szCs w:val="20"/>
          <w:vertAlign w:val="superscript"/>
        </w:rPr>
        <w:t>a,b</w:t>
      </w:r>
      <w:r>
        <w:rPr>
          <w:rFonts w:ascii="Times New Roman" w:hAnsi="Times New Roman" w:eastAsia="宋体" w:cs="Times New Roman"/>
          <w:i/>
          <w:color w:val="000000"/>
          <w:kern w:val="0"/>
          <w:sz w:val="24"/>
          <w:szCs w:val="20"/>
        </w:rPr>
        <w:t xml:space="preserve">, </w:t>
      </w:r>
      <w:bookmarkStart w:id="3" w:name="OLE_LINK32"/>
      <w:r>
        <w:rPr>
          <w:rFonts w:ascii="Times New Roman" w:hAnsi="Times New Roman" w:eastAsia="宋体" w:cs="Times New Roman"/>
          <w:i/>
          <w:color w:val="000000"/>
          <w:kern w:val="0"/>
          <w:sz w:val="24"/>
          <w:szCs w:val="20"/>
        </w:rPr>
        <w:t>Xiaofeng Gao</w:t>
      </w:r>
      <w:bookmarkEnd w:id="3"/>
      <w:r>
        <w:rPr>
          <w:rFonts w:ascii="Times New Roman" w:hAnsi="Times New Roman" w:eastAsia="宋体" w:cs="Times New Roman"/>
          <w:i/>
          <w:color w:val="000000"/>
          <w:kern w:val="0"/>
          <w:sz w:val="24"/>
          <w:szCs w:val="20"/>
          <w:vertAlign w:val="superscript"/>
        </w:rPr>
        <w:t>c</w:t>
      </w:r>
      <w:r>
        <w:rPr>
          <w:rFonts w:ascii="Times New Roman" w:hAnsi="Times New Roman" w:eastAsia="宋体" w:cs="Times New Roman"/>
          <w:i/>
          <w:color w:val="000000"/>
          <w:kern w:val="0"/>
          <w:sz w:val="24"/>
          <w:szCs w:val="20"/>
        </w:rPr>
        <w:t>,</w:t>
      </w:r>
      <w:bookmarkStart w:id="4" w:name="_Hlk183760971"/>
      <w:r>
        <w:rPr>
          <w:rFonts w:ascii="Times New Roman" w:hAnsi="Times New Roman" w:eastAsia="宋体" w:cs="Times New Roman"/>
          <w:i/>
          <w:color w:val="000000"/>
          <w:kern w:val="0"/>
          <w:sz w:val="24"/>
          <w:szCs w:val="20"/>
        </w:rPr>
        <w:t xml:space="preserve"> Zhaoqing Wang</w:t>
      </w:r>
      <w:r>
        <w:rPr>
          <w:rFonts w:ascii="Times New Roman" w:hAnsi="Times New Roman" w:eastAsia="宋体" w:cs="Times New Roman"/>
          <w:i/>
          <w:color w:val="000000"/>
          <w:kern w:val="0"/>
          <w:sz w:val="24"/>
          <w:szCs w:val="20"/>
          <w:vertAlign w:val="superscript"/>
        </w:rPr>
        <w:t>d</w:t>
      </w:r>
      <w:r>
        <w:rPr>
          <w:rFonts w:ascii="Times New Roman" w:hAnsi="Times New Roman" w:eastAsia="宋体" w:cs="Times New Roman"/>
          <w:i/>
          <w:color w:val="000000"/>
          <w:kern w:val="0"/>
          <w:sz w:val="24"/>
          <w:szCs w:val="20"/>
        </w:rPr>
        <w:t>, Shogo Kumagai</w:t>
      </w:r>
      <w:bookmarkEnd w:id="4"/>
      <w:r>
        <w:rPr>
          <w:rFonts w:ascii="Times New Roman" w:hAnsi="Times New Roman" w:eastAsia="宋体" w:cs="Times New Roman"/>
          <w:i/>
          <w:color w:val="000000"/>
          <w:kern w:val="0"/>
          <w:sz w:val="24"/>
          <w:szCs w:val="20"/>
          <w:vertAlign w:val="superscript"/>
        </w:rPr>
        <w:t>a,e,</w:t>
      </w:r>
      <w:r>
        <w:rPr>
          <w:rFonts w:ascii="Times New Roman" w:hAnsi="Times New Roman" w:eastAsia="宋体" w:cs="Times New Roman"/>
          <w:i/>
          <w:color w:val="000000"/>
          <w:kern w:val="0"/>
          <w:sz w:val="24"/>
          <w:szCs w:val="20"/>
        </w:rPr>
        <w:t>*, Yuko Saito</w:t>
      </w:r>
      <w:r>
        <w:rPr>
          <w:rFonts w:ascii="Times New Roman" w:hAnsi="Times New Roman" w:eastAsia="宋体" w:cs="Times New Roman"/>
          <w:i/>
          <w:color w:val="000000"/>
          <w:kern w:val="0"/>
          <w:sz w:val="24"/>
          <w:szCs w:val="20"/>
          <w:vertAlign w:val="superscript"/>
        </w:rPr>
        <w:t>a</w:t>
      </w:r>
      <w:r>
        <w:rPr>
          <w:rFonts w:ascii="Times New Roman" w:hAnsi="Times New Roman" w:eastAsia="宋体" w:cs="Times New Roman"/>
          <w:i/>
          <w:color w:val="000000"/>
          <w:kern w:val="0"/>
          <w:sz w:val="24"/>
          <w:szCs w:val="20"/>
        </w:rPr>
        <w:t>, Toshiaki Yoshioka</w:t>
      </w:r>
      <w:r>
        <w:rPr>
          <w:rFonts w:ascii="Times New Roman" w:hAnsi="Times New Roman" w:eastAsia="宋体" w:cs="Times New Roman"/>
          <w:i/>
          <w:color w:val="000000"/>
          <w:kern w:val="0"/>
          <w:sz w:val="24"/>
          <w:szCs w:val="20"/>
          <w:vertAlign w:val="superscript"/>
        </w:rPr>
        <w:t>a,</w:t>
      </w:r>
      <w:r>
        <w:rPr>
          <w:rFonts w:ascii="Times New Roman" w:hAnsi="Times New Roman" w:eastAsia="宋体" w:cs="Times New Roman"/>
          <w:i/>
          <w:color w:val="000000"/>
          <w:kern w:val="0"/>
          <w:sz w:val="24"/>
          <w:szCs w:val="20"/>
        </w:rPr>
        <w:t>*, Dungang Gu</w:t>
      </w:r>
      <w:r>
        <w:rPr>
          <w:rFonts w:ascii="Times New Roman" w:hAnsi="Times New Roman" w:eastAsia="宋体" w:cs="Times New Roman"/>
          <w:i/>
          <w:color w:val="000000"/>
          <w:kern w:val="0"/>
          <w:sz w:val="24"/>
          <w:szCs w:val="20"/>
          <w:vertAlign w:val="superscript"/>
        </w:rPr>
        <w:t>b</w:t>
      </w:r>
      <w:r>
        <w:rPr>
          <w:rFonts w:ascii="Times New Roman" w:hAnsi="Times New Roman" w:eastAsia="宋体" w:cs="Times New Roman"/>
          <w:i/>
          <w:color w:val="000000"/>
          <w:kern w:val="0"/>
          <w:sz w:val="24"/>
          <w:szCs w:val="20"/>
        </w:rPr>
        <w:t>, Tingting Hu</w:t>
      </w:r>
      <w:r>
        <w:rPr>
          <w:rFonts w:ascii="Times New Roman" w:hAnsi="Times New Roman" w:eastAsia="宋体" w:cs="Times New Roman"/>
          <w:i/>
          <w:color w:val="000000"/>
          <w:kern w:val="0"/>
          <w:sz w:val="24"/>
          <w:szCs w:val="20"/>
          <w:vertAlign w:val="superscript"/>
        </w:rPr>
        <w:t>b</w:t>
      </w:r>
      <w:r>
        <w:rPr>
          <w:rFonts w:ascii="Times New Roman" w:hAnsi="Times New Roman" w:eastAsia="宋体" w:cs="Times New Roman"/>
          <w:i/>
          <w:color w:val="000000"/>
          <w:kern w:val="0"/>
          <w:sz w:val="24"/>
          <w:szCs w:val="20"/>
        </w:rPr>
        <w:t>, Guanghui Li</w:t>
      </w:r>
      <w:r>
        <w:rPr>
          <w:rFonts w:ascii="Times New Roman" w:hAnsi="Times New Roman" w:eastAsia="宋体" w:cs="Times New Roman"/>
          <w:i/>
          <w:color w:val="000000"/>
          <w:kern w:val="0"/>
          <w:sz w:val="24"/>
          <w:szCs w:val="20"/>
          <w:vertAlign w:val="superscript"/>
        </w:rPr>
        <w:t>b</w:t>
      </w:r>
      <w:r>
        <w:rPr>
          <w:rFonts w:ascii="Times New Roman" w:hAnsi="Times New Roman" w:eastAsia="宋体" w:cs="Times New Roman"/>
          <w:i/>
          <w:color w:val="000000"/>
          <w:kern w:val="0"/>
          <w:sz w:val="24"/>
          <w:szCs w:val="20"/>
        </w:rPr>
        <w:t>, Jiaqi Lu</w:t>
      </w:r>
      <w:r>
        <w:rPr>
          <w:rFonts w:ascii="Times New Roman" w:hAnsi="Times New Roman" w:eastAsia="宋体" w:cs="Times New Roman"/>
          <w:i/>
          <w:color w:val="000000"/>
          <w:kern w:val="0"/>
          <w:sz w:val="24"/>
          <w:szCs w:val="20"/>
          <w:vertAlign w:val="superscript"/>
        </w:rPr>
        <w:t>b,</w:t>
      </w:r>
      <w:r>
        <w:rPr>
          <w:rFonts w:ascii="Times New Roman" w:hAnsi="Times New Roman" w:eastAsia="宋体" w:cs="Times New Roman"/>
          <w:i/>
          <w:color w:val="000000"/>
          <w:kern w:val="0"/>
          <w:sz w:val="24"/>
          <w:szCs w:val="20"/>
        </w:rPr>
        <w:t>*</w:t>
      </w:r>
    </w:p>
    <w:p w14:paraId="3F6C7DDC">
      <w:pPr>
        <w:widowControl/>
        <w:spacing w:line="480" w:lineRule="auto"/>
        <w:rPr>
          <w:rFonts w:ascii="Times New Roman" w:hAnsi="Times New Roman" w:eastAsia="宋体" w:cs="Times New Roman"/>
          <w:color w:val="000000"/>
          <w:kern w:val="0"/>
          <w:sz w:val="24"/>
          <w:szCs w:val="20"/>
        </w:rPr>
      </w:pPr>
      <w:r>
        <w:rPr>
          <w:rFonts w:ascii="Times New Roman" w:hAnsi="Times New Roman" w:eastAsia="宋体" w:cs="Times New Roman"/>
          <w:i/>
          <w:color w:val="000000"/>
          <w:kern w:val="0"/>
          <w:sz w:val="24"/>
          <w:szCs w:val="20"/>
          <w:vertAlign w:val="superscript"/>
        </w:rPr>
        <w:t xml:space="preserve">a </w:t>
      </w:r>
      <w:r>
        <w:rPr>
          <w:rFonts w:ascii="Times New Roman" w:hAnsi="Times New Roman" w:eastAsia="宋体" w:cs="Times New Roman"/>
          <w:color w:val="000000"/>
          <w:kern w:val="0"/>
          <w:sz w:val="24"/>
          <w:szCs w:val="20"/>
        </w:rPr>
        <w:t>Graduate School of Environmental Studies, Tohoku University, 6-6-07 Aoba, Aramaki-aza, Aoba-ku, Sendai, Miyagi 980-8579, Japan</w:t>
      </w:r>
    </w:p>
    <w:p w14:paraId="4AC3F68F">
      <w:pPr>
        <w:widowControl/>
        <w:spacing w:line="480" w:lineRule="auto"/>
        <w:rPr>
          <w:rFonts w:ascii="Times New Roman" w:hAnsi="Times New Roman" w:eastAsia="宋体" w:cs="Times New Roman"/>
          <w:color w:val="000000"/>
          <w:kern w:val="0"/>
          <w:sz w:val="24"/>
          <w:szCs w:val="20"/>
        </w:rPr>
      </w:pPr>
      <w:r>
        <w:rPr>
          <w:rFonts w:ascii="Times New Roman" w:hAnsi="Times New Roman" w:eastAsia="宋体" w:cs="Times New Roman"/>
          <w:i/>
          <w:iCs/>
          <w:color w:val="000000"/>
          <w:kern w:val="0"/>
          <w:sz w:val="24"/>
          <w:szCs w:val="20"/>
          <w:vertAlign w:val="superscript"/>
        </w:rPr>
        <w:t>b</w:t>
      </w:r>
      <w:r>
        <w:rPr>
          <w:rFonts w:ascii="Times New Roman" w:hAnsi="Times New Roman" w:eastAsia="宋体" w:cs="Times New Roman"/>
          <w:color w:val="000000"/>
          <w:kern w:val="0"/>
          <w:sz w:val="24"/>
          <w:szCs w:val="20"/>
        </w:rPr>
        <w:t xml:space="preserve"> </w:t>
      </w:r>
      <w:bookmarkStart w:id="5" w:name="OLE_LINK6"/>
      <w:r>
        <w:rPr>
          <w:rFonts w:ascii="Times New Roman" w:hAnsi="Times New Roman" w:eastAsia="宋体" w:cs="Times New Roman"/>
          <w:color w:val="000000"/>
          <w:kern w:val="0"/>
          <w:sz w:val="24"/>
          <w:szCs w:val="20"/>
        </w:rPr>
        <w:t>Innovation Centre for Environment and Resources, School of Chemistry and Chemical Engineering, Shanghai University of Engineering Science</w:t>
      </w:r>
      <w:bookmarkEnd w:id="5"/>
      <w:r>
        <w:rPr>
          <w:rFonts w:ascii="Times New Roman" w:hAnsi="Times New Roman" w:eastAsia="宋体" w:cs="Times New Roman"/>
          <w:color w:val="000000"/>
          <w:kern w:val="0"/>
          <w:sz w:val="24"/>
          <w:szCs w:val="20"/>
        </w:rPr>
        <w:t>, No.333 Long teng Road, Songjiang District, Shanghai 201620, China</w:t>
      </w:r>
    </w:p>
    <w:p w14:paraId="2A5E35BE">
      <w:pPr>
        <w:widowControl/>
        <w:spacing w:line="480" w:lineRule="auto"/>
        <w:rPr>
          <w:rFonts w:ascii="Times New Roman" w:hAnsi="Times New Roman" w:eastAsia="宋体" w:cs="Times New Roman"/>
          <w:color w:val="000000"/>
          <w:kern w:val="0"/>
          <w:sz w:val="24"/>
          <w:szCs w:val="20"/>
        </w:rPr>
      </w:pPr>
      <w:r>
        <w:rPr>
          <w:rFonts w:ascii="Times New Roman" w:hAnsi="Times New Roman" w:eastAsia="宋体" w:cs="Times New Roman"/>
          <w:i/>
          <w:iCs/>
          <w:color w:val="000000"/>
          <w:kern w:val="0"/>
          <w:sz w:val="24"/>
          <w:szCs w:val="20"/>
          <w:vertAlign w:val="superscript"/>
        </w:rPr>
        <w:t>c</w:t>
      </w:r>
      <w:r>
        <w:rPr>
          <w:rFonts w:ascii="Times New Roman" w:hAnsi="Times New Roman" w:eastAsia="宋体" w:cs="Times New Roman"/>
          <w:color w:val="000000"/>
          <w:kern w:val="0"/>
          <w:sz w:val="24"/>
          <w:szCs w:val="20"/>
          <w:vertAlign w:val="superscript"/>
        </w:rPr>
        <w:t xml:space="preserve"> </w:t>
      </w:r>
      <w:bookmarkStart w:id="6" w:name="OLE_LINK37"/>
      <w:r>
        <w:rPr>
          <w:rFonts w:ascii="Times New Roman" w:hAnsi="Times New Roman" w:eastAsia="宋体" w:cs="Times New Roman"/>
          <w:color w:val="000000"/>
          <w:kern w:val="0"/>
          <w:sz w:val="24"/>
          <w:szCs w:val="20"/>
        </w:rPr>
        <w:t>Key Laboratory of the Three Gorges Reservoir Region’s Eco-Environment, Ministry of Education, College of Environment and Ecology, Chongqing University</w:t>
      </w:r>
      <w:bookmarkEnd w:id="6"/>
      <w:r>
        <w:rPr>
          <w:rFonts w:ascii="Times New Roman" w:hAnsi="Times New Roman" w:eastAsia="宋体" w:cs="Times New Roman"/>
          <w:color w:val="000000"/>
          <w:kern w:val="0"/>
          <w:sz w:val="24"/>
          <w:szCs w:val="20"/>
        </w:rPr>
        <w:t xml:space="preserve">, </w:t>
      </w:r>
      <w:bookmarkStart w:id="7" w:name="OLE_LINK22"/>
      <w:r>
        <w:rPr>
          <w:rFonts w:ascii="Times New Roman" w:hAnsi="Times New Roman" w:eastAsia="MS Mincho" w:cs="Times New Roman"/>
          <w:kern w:val="0"/>
          <w:sz w:val="24"/>
          <w:szCs w:val="20"/>
        </w:rPr>
        <w:t xml:space="preserve">174 Sha zheng </w:t>
      </w:r>
      <w:r>
        <w:rPr>
          <w:rFonts w:ascii="Times New Roman" w:hAnsi="Times New Roman" w:eastAsia="宋体" w:cs="Times New Roman"/>
          <w:kern w:val="0"/>
          <w:sz w:val="24"/>
          <w:szCs w:val="20"/>
        </w:rPr>
        <w:t>Road</w:t>
      </w:r>
      <w:r>
        <w:rPr>
          <w:rFonts w:ascii="Times New Roman" w:hAnsi="Times New Roman" w:eastAsia="MS Mincho" w:cs="Times New Roman"/>
          <w:kern w:val="0"/>
          <w:sz w:val="24"/>
          <w:szCs w:val="20"/>
        </w:rPr>
        <w:t>,</w:t>
      </w:r>
      <w:bookmarkEnd w:id="7"/>
      <w:r>
        <w:rPr>
          <w:rFonts w:ascii="Times New Roman" w:hAnsi="Times New Roman" w:eastAsia="宋体" w:cs="Times New Roman"/>
          <w:kern w:val="0"/>
          <w:sz w:val="24"/>
          <w:szCs w:val="20"/>
        </w:rPr>
        <w:t xml:space="preserve"> Shapingba District, </w:t>
      </w:r>
      <w:r>
        <w:rPr>
          <w:rFonts w:ascii="Times New Roman" w:hAnsi="Times New Roman" w:eastAsia="宋体" w:cs="Times New Roman"/>
          <w:color w:val="000000"/>
          <w:kern w:val="0"/>
          <w:sz w:val="24"/>
          <w:szCs w:val="20"/>
        </w:rPr>
        <w:t>Chongqing 400044, China</w:t>
      </w:r>
    </w:p>
    <w:p w14:paraId="6F67A00B">
      <w:pPr>
        <w:widowControl/>
        <w:spacing w:line="480" w:lineRule="auto"/>
        <w:rPr>
          <w:rFonts w:ascii="Times New Roman" w:hAnsi="Times New Roman" w:eastAsia="宋体" w:cs="Times New Roman"/>
          <w:color w:val="000000"/>
          <w:kern w:val="0"/>
          <w:sz w:val="24"/>
          <w:szCs w:val="20"/>
        </w:rPr>
      </w:pPr>
      <w:bookmarkStart w:id="8" w:name="OLE_LINK67"/>
      <w:r>
        <w:rPr>
          <w:rFonts w:ascii="Times New Roman" w:hAnsi="Times New Roman" w:eastAsia="宋体" w:cs="Times New Roman"/>
          <w:i/>
          <w:iCs/>
          <w:color w:val="000000"/>
          <w:kern w:val="0"/>
          <w:sz w:val="24"/>
          <w:szCs w:val="20"/>
          <w:vertAlign w:val="superscript"/>
        </w:rPr>
        <w:t>d</w:t>
      </w:r>
      <w:r>
        <w:rPr>
          <w:rFonts w:ascii="Times New Roman" w:hAnsi="Times New Roman" w:eastAsia="宋体" w:cs="Times New Roman"/>
          <w:color w:val="000000"/>
          <w:kern w:val="0"/>
          <w:sz w:val="24"/>
          <w:szCs w:val="20"/>
        </w:rPr>
        <w:t xml:space="preserve"> Department of Environment and Social Development, School of Marxism, Chang 'an University, No. 126, the Middle Section of 2nd Ring Road, Xi' an 710064, China</w:t>
      </w:r>
    </w:p>
    <w:p w14:paraId="245211BD">
      <w:pPr>
        <w:widowControl/>
        <w:spacing w:line="480" w:lineRule="auto"/>
        <w:rPr>
          <w:rFonts w:ascii="Times New Roman" w:hAnsi="Times New Roman" w:eastAsia="宋体" w:cs="Times New Roman"/>
          <w:color w:val="000000"/>
          <w:kern w:val="0"/>
          <w:sz w:val="24"/>
          <w:szCs w:val="20"/>
        </w:rPr>
      </w:pPr>
      <w:r>
        <w:rPr>
          <w:rFonts w:ascii="Times New Roman" w:hAnsi="Times New Roman" w:eastAsia="宋体" w:cs="Times New Roman"/>
          <w:i/>
          <w:color w:val="000000"/>
          <w:kern w:val="0"/>
          <w:sz w:val="24"/>
          <w:szCs w:val="20"/>
          <w:vertAlign w:val="superscript"/>
        </w:rPr>
        <w:t xml:space="preserve">e </w:t>
      </w:r>
      <w:r>
        <w:rPr>
          <w:rFonts w:ascii="Times New Roman" w:hAnsi="Times New Roman" w:eastAsia="宋体" w:cs="Times New Roman"/>
          <w:color w:val="000000"/>
          <w:kern w:val="0"/>
          <w:sz w:val="24"/>
          <w:szCs w:val="20"/>
        </w:rPr>
        <w:t>Graduate School of Engineering, Tohoku University, 6-6-07 Aoba, Aramaki-aza, Aoba-ku, Sendai, Miyagi 980-8579, Japan</w:t>
      </w:r>
    </w:p>
    <w:bookmarkEnd w:id="8"/>
    <w:p w14:paraId="63667C64">
      <w:pPr>
        <w:spacing w:before="200" w:line="480" w:lineRule="auto"/>
        <w:rPr>
          <w:rFonts w:ascii="Times New Roman" w:hAnsi="Times New Roman" w:cs="Times New Roman"/>
          <w:sz w:val="24"/>
        </w:rPr>
      </w:pPr>
      <w:r>
        <w:rPr>
          <w:rFonts w:ascii="Times New Roman" w:hAnsi="Times New Roman" w:cs="Times New Roman"/>
          <w:sz w:val="24"/>
        </w:rPr>
        <w:t>* Corresponding author:</w:t>
      </w:r>
    </w:p>
    <w:p w14:paraId="5379F0CA">
      <w:pPr>
        <w:spacing w:line="480" w:lineRule="auto"/>
        <w:rPr>
          <w:rFonts w:ascii="Times New Roman" w:hAnsi="Times New Roman" w:cs="Times New Roman"/>
          <w:sz w:val="24"/>
        </w:rPr>
      </w:pPr>
      <w:r>
        <w:rPr>
          <w:rFonts w:ascii="Times New Roman" w:hAnsi="Times New Roman" w:cs="Times New Roman"/>
          <w:sz w:val="24"/>
        </w:rPr>
        <w:t>Jiaqi Lu: wilsherelu@foxmail.com</w:t>
      </w:r>
    </w:p>
    <w:p w14:paraId="4A344F81">
      <w:pPr>
        <w:widowControl/>
        <w:spacing w:after="200" w:line="480" w:lineRule="auto"/>
        <w:jc w:val="left"/>
        <w:rPr>
          <w:rFonts w:ascii="Times New Roman" w:hAnsi="Times New Roman" w:cs="Times New Roman"/>
        </w:rPr>
      </w:pPr>
      <w:r>
        <w:rPr>
          <w:rFonts w:ascii="Times New Roman" w:hAnsi="Times New Roman" w:eastAsia="MS Mincho" w:cs="Times New Roman"/>
          <w:kern w:val="0"/>
          <w:sz w:val="24"/>
          <w:szCs w:val="20"/>
        </w:rPr>
        <w:t>Shogo Kumagai</w:t>
      </w:r>
      <w:r>
        <w:rPr>
          <w:rFonts w:ascii="Times New Roman" w:hAnsi="Times New Roman" w:cs="Times New Roman"/>
          <w:kern w:val="0"/>
          <w:sz w:val="24"/>
          <w:szCs w:val="20"/>
        </w:rPr>
        <w:t xml:space="preserve">: </w:t>
      </w:r>
      <w:r>
        <w:fldChar w:fldCharType="begin"/>
      </w:r>
      <w:r>
        <w:instrText xml:space="preserve"> HYPERLINK "mailto:kumagai@tohoku.ac.jp" </w:instrText>
      </w:r>
      <w:r>
        <w:fldChar w:fldCharType="separate"/>
      </w:r>
      <w:r>
        <w:rPr>
          <w:rStyle w:val="9"/>
          <w:rFonts w:ascii="Times New Roman" w:hAnsi="Times New Roman" w:cs="Times New Roman"/>
          <w:kern w:val="0"/>
          <w:sz w:val="24"/>
          <w:szCs w:val="20"/>
        </w:rPr>
        <w:t>kumagai@tohoku.ac.jp</w:t>
      </w:r>
      <w:r>
        <w:rPr>
          <w:rStyle w:val="9"/>
          <w:rFonts w:ascii="Times New Roman" w:hAnsi="Times New Roman" w:cs="Times New Roman"/>
          <w:kern w:val="0"/>
          <w:sz w:val="24"/>
          <w:szCs w:val="20"/>
        </w:rPr>
        <w:fldChar w:fldCharType="end"/>
      </w:r>
      <w:r>
        <w:rPr>
          <w:rFonts w:ascii="Times New Roman" w:hAnsi="Times New Roman" w:cs="Times New Roman"/>
          <w:kern w:val="0"/>
          <w:sz w:val="24"/>
          <w:szCs w:val="20"/>
        </w:rPr>
        <w:br w:type="textWrapping"/>
      </w:r>
      <w:r>
        <w:rPr>
          <w:rFonts w:ascii="Times New Roman" w:hAnsi="Times New Roman" w:cs="Times New Roman"/>
          <w:kern w:val="0"/>
          <w:sz w:val="24"/>
          <w:szCs w:val="20"/>
        </w:rPr>
        <w:t>Toshiaki Yoshioka: yoshioka@tohoku.ac.jp</w:t>
      </w:r>
      <w:r>
        <w:rPr>
          <w:rFonts w:ascii="Times New Roman" w:hAnsi="Times New Roman" w:cs="Times New Roman"/>
        </w:rPr>
        <w:br w:type="page"/>
      </w:r>
    </w:p>
    <w:p w14:paraId="65394C8F">
      <w:pPr>
        <w:widowControl/>
        <w:spacing w:after="200"/>
        <w:rPr>
          <w:rFonts w:ascii="Times New Roman" w:hAnsi="Times New Roman" w:eastAsia="等线" w:cs="Times New Roman"/>
          <w:b/>
          <w:bCs/>
          <w:kern w:val="0"/>
          <w:sz w:val="24"/>
        </w:rPr>
      </w:pPr>
      <w:r>
        <w:rPr>
          <w:rFonts w:ascii="Times New Roman" w:hAnsi="Times New Roman" w:eastAsia="等线" w:cs="Times New Roman"/>
          <w:b/>
          <w:bCs/>
          <w:kern w:val="0"/>
          <w:sz w:val="24"/>
        </w:rPr>
        <w:t>Contents</w:t>
      </w:r>
    </w:p>
    <w:p w14:paraId="39A5813F">
      <w:pPr>
        <w:widowControl/>
        <w:spacing w:after="200"/>
        <w:rPr>
          <w:rFonts w:ascii="Times New Roman" w:hAnsi="Times New Roman" w:eastAsia="等线" w:cs="Times New Roman"/>
          <w:b/>
          <w:bCs/>
          <w:i/>
          <w:iCs/>
          <w:color w:val="000000"/>
          <w:kern w:val="0"/>
          <w:sz w:val="22"/>
          <w:szCs w:val="22"/>
        </w:rPr>
      </w:pPr>
      <w:r>
        <w:rPr>
          <w:rFonts w:ascii="Times New Roman" w:hAnsi="Times New Roman" w:eastAsia="等线" w:cs="Times New Roman"/>
          <w:b/>
          <w:bCs/>
          <w:i/>
          <w:iCs/>
          <w:kern w:val="0"/>
          <w:sz w:val="22"/>
          <w:szCs w:val="22"/>
        </w:rPr>
        <w:t>1.</w:t>
      </w:r>
      <w:r>
        <w:rPr>
          <w:rFonts w:ascii="Times New Roman" w:hAnsi="Times New Roman" w:eastAsia="等线" w:cs="Times New Roman"/>
          <w:b/>
          <w:bCs/>
          <w:i/>
          <w:iCs/>
          <w:color w:val="000000"/>
          <w:kern w:val="0"/>
          <w:sz w:val="22"/>
          <w:szCs w:val="22"/>
        </w:rPr>
        <w:t xml:space="preserve"> Data preparation for the calculation of life cycle assessment (Table S1-3 and Figure S1-8)</w:t>
      </w:r>
    </w:p>
    <w:p w14:paraId="7D8B6D0B">
      <w:pPr>
        <w:widowControl/>
        <w:tabs>
          <w:tab w:val="left" w:pos="645"/>
        </w:tabs>
        <w:spacing w:after="200"/>
        <w:rPr>
          <w:rFonts w:ascii="Times New Roman" w:hAnsi="Times New Roman" w:eastAsia="等线" w:cs="Times New Roman"/>
          <w:b/>
          <w:bCs/>
          <w:i/>
          <w:iCs/>
          <w:kern w:val="0"/>
          <w:sz w:val="22"/>
          <w:szCs w:val="22"/>
        </w:rPr>
      </w:pPr>
      <w:r>
        <w:rPr>
          <w:rFonts w:ascii="Times New Roman" w:hAnsi="Times New Roman" w:eastAsia="等线" w:cs="Times New Roman"/>
          <w:b/>
          <w:bCs/>
          <w:i/>
          <w:iCs/>
          <w:kern w:val="0"/>
          <w:sz w:val="22"/>
          <w:szCs w:val="22"/>
        </w:rPr>
        <w:t>2. Scenario description in China from 2020 to 2050 (Table S4-6)</w:t>
      </w:r>
      <w:r>
        <w:rPr>
          <w:rFonts w:ascii="Times New Roman" w:hAnsi="Times New Roman" w:eastAsia="等线" w:cs="Times New Roman"/>
          <w:b/>
          <w:bCs/>
          <w:i/>
          <w:iCs/>
          <w:kern w:val="0"/>
          <w:sz w:val="22"/>
          <w:szCs w:val="22"/>
        </w:rPr>
        <w:tab/>
      </w:r>
    </w:p>
    <w:p w14:paraId="577D03EF">
      <w:pPr>
        <w:widowControl/>
        <w:spacing w:after="200"/>
        <w:rPr>
          <w:rFonts w:ascii="Times New Roman" w:hAnsi="Times New Roman" w:eastAsia="等线" w:cs="Times New Roman"/>
          <w:b/>
          <w:bCs/>
          <w:i/>
          <w:iCs/>
          <w:kern w:val="0"/>
          <w:sz w:val="22"/>
          <w:szCs w:val="22"/>
        </w:rPr>
      </w:pPr>
      <w:r>
        <w:rPr>
          <w:rFonts w:ascii="Times New Roman" w:hAnsi="Times New Roman" w:eastAsia="等线" w:cs="Times New Roman"/>
          <w:b/>
          <w:bCs/>
          <w:i/>
          <w:iCs/>
          <w:kern w:val="0"/>
          <w:sz w:val="22"/>
          <w:szCs w:val="22"/>
        </w:rPr>
        <w:t>3. The environmental impacts of 1 kg PVC waste recycling (Table S7-9 and Figure S9)</w:t>
      </w:r>
    </w:p>
    <w:p w14:paraId="568CB8C4">
      <w:pPr>
        <w:widowControl/>
        <w:spacing w:after="200"/>
        <w:rPr>
          <w:rFonts w:ascii="Times New Roman" w:hAnsi="Times New Roman" w:eastAsia="等线" w:cs="Times New Roman"/>
          <w:b/>
          <w:bCs/>
          <w:i/>
          <w:iCs/>
          <w:kern w:val="0"/>
          <w:sz w:val="22"/>
          <w:szCs w:val="22"/>
        </w:rPr>
      </w:pPr>
      <w:r>
        <w:rPr>
          <w:rFonts w:ascii="Times New Roman" w:hAnsi="Times New Roman" w:eastAsia="等线" w:cs="Times New Roman"/>
          <w:b/>
          <w:bCs/>
          <w:i/>
          <w:iCs/>
          <w:kern w:val="0"/>
          <w:sz w:val="22"/>
          <w:szCs w:val="22"/>
        </w:rPr>
        <w:t>4. Scenario analysis for treating 1 kg PVC waste by ER, MR,CR methods (Figure S10)</w:t>
      </w:r>
    </w:p>
    <w:p w14:paraId="6C0123AC">
      <w:pPr>
        <w:widowControl/>
        <w:spacing w:after="200"/>
        <w:rPr>
          <w:rFonts w:ascii="Times New Roman" w:hAnsi="Times New Roman" w:eastAsia="等线" w:cs="Times New Roman"/>
          <w:b/>
          <w:bCs/>
          <w:i/>
          <w:iCs/>
          <w:kern w:val="0"/>
          <w:sz w:val="22"/>
          <w:szCs w:val="22"/>
        </w:rPr>
      </w:pPr>
      <w:r>
        <w:rPr>
          <w:rFonts w:ascii="Times New Roman" w:hAnsi="Times New Roman" w:eastAsia="等线" w:cs="Times New Roman"/>
          <w:b/>
          <w:bCs/>
          <w:i/>
          <w:iCs/>
          <w:kern w:val="0"/>
          <w:sz w:val="22"/>
          <w:szCs w:val="22"/>
        </w:rPr>
        <w:t>5. Sensitivity analysis of electricity and PVC waste amount (Table S10-11)</w:t>
      </w:r>
    </w:p>
    <w:p w14:paraId="5E2887AC">
      <w:pPr>
        <w:widowControl/>
        <w:spacing w:after="200"/>
        <w:rPr>
          <w:rFonts w:ascii="Times New Roman" w:hAnsi="Times New Roman" w:eastAsia="等线" w:cs="Times New Roman"/>
          <w:b/>
          <w:bCs/>
          <w:i/>
          <w:iCs/>
          <w:kern w:val="0"/>
          <w:sz w:val="22"/>
          <w:szCs w:val="22"/>
        </w:rPr>
      </w:pPr>
      <w:r>
        <w:rPr>
          <w:rFonts w:ascii="Times New Roman" w:hAnsi="Times New Roman" w:eastAsia="等线" w:cs="Times New Roman"/>
          <w:b/>
          <w:bCs/>
          <w:i/>
          <w:iCs/>
          <w:kern w:val="0"/>
          <w:sz w:val="22"/>
          <w:szCs w:val="22"/>
        </w:rPr>
        <w:t>6. Provincial and interprovincial transportation models(Table S12-19 and Figure S11)</w:t>
      </w:r>
    </w:p>
    <w:p w14:paraId="7C25C84F">
      <w:pPr>
        <w:spacing w:line="360" w:lineRule="auto"/>
        <w:rPr>
          <w:rFonts w:ascii="Times New Roman" w:hAnsi="Times New Roman" w:cs="Times New Roman"/>
          <w:sz w:val="22"/>
          <w:szCs w:val="22"/>
        </w:rPr>
      </w:pPr>
      <w:r>
        <w:rPr>
          <w:rFonts w:ascii="Times New Roman" w:hAnsi="Times New Roman" w:cs="Times New Roman"/>
          <w:sz w:val="22"/>
          <w:szCs w:val="22"/>
        </w:rPr>
        <w:t>Summary Information</w:t>
      </w:r>
    </w:p>
    <w:p w14:paraId="1EAC8698">
      <w:pPr>
        <w:spacing w:line="360" w:lineRule="auto"/>
        <w:rPr>
          <w:rFonts w:ascii="Times New Roman" w:hAnsi="Times New Roman" w:cs="Times New Roman"/>
          <w:sz w:val="22"/>
          <w:szCs w:val="22"/>
        </w:rPr>
      </w:pPr>
      <w:r>
        <w:rPr>
          <w:rFonts w:ascii="Times New Roman" w:hAnsi="Times New Roman" w:cs="Times New Roman"/>
          <w:sz w:val="22"/>
          <w:szCs w:val="22"/>
        </w:rPr>
        <w:t>Number of pages: 3</w:t>
      </w:r>
      <w:r>
        <w:rPr>
          <w:rFonts w:hint="eastAsia" w:ascii="Times New Roman" w:hAnsi="Times New Roman" w:cs="Times New Roman"/>
          <w:sz w:val="22"/>
          <w:szCs w:val="22"/>
        </w:rPr>
        <w:t>6</w:t>
      </w:r>
    </w:p>
    <w:p w14:paraId="1E04C001">
      <w:pPr>
        <w:spacing w:line="360" w:lineRule="auto"/>
        <w:rPr>
          <w:rFonts w:ascii="Times New Roman" w:hAnsi="Times New Roman" w:cs="Times New Roman"/>
          <w:sz w:val="22"/>
          <w:szCs w:val="22"/>
        </w:rPr>
      </w:pPr>
      <w:r>
        <w:rPr>
          <w:rFonts w:ascii="Times New Roman" w:hAnsi="Times New Roman" w:cs="Times New Roman"/>
          <w:sz w:val="22"/>
          <w:szCs w:val="22"/>
        </w:rPr>
        <w:t>Figures：11</w:t>
      </w:r>
    </w:p>
    <w:p w14:paraId="0D5FB912">
      <w:pPr>
        <w:spacing w:line="360" w:lineRule="auto"/>
        <w:rPr>
          <w:rFonts w:ascii="Times New Roman" w:hAnsi="Times New Roman" w:cs="Times New Roman"/>
        </w:rPr>
      </w:pPr>
      <w:r>
        <w:rPr>
          <w:rFonts w:ascii="Times New Roman" w:hAnsi="Times New Roman" w:cs="Times New Roman"/>
          <w:sz w:val="22"/>
          <w:szCs w:val="22"/>
        </w:rPr>
        <w:t xml:space="preserve">Tables: </w:t>
      </w:r>
      <w:r>
        <w:rPr>
          <w:rFonts w:hint="eastAsia" w:ascii="Times New Roman" w:hAnsi="Times New Roman" w:cs="Times New Roman"/>
          <w:sz w:val="22"/>
          <w:szCs w:val="22"/>
        </w:rPr>
        <w:t>23</w:t>
      </w:r>
      <w:r>
        <w:rPr>
          <w:rFonts w:ascii="Times New Roman" w:hAnsi="Times New Roman" w:cs="Times New Roman"/>
        </w:rPr>
        <w:br w:type="page"/>
      </w:r>
    </w:p>
    <w:p w14:paraId="33EA6E13">
      <w:pPr>
        <w:widowControl/>
        <w:spacing w:after="200"/>
        <w:rPr>
          <w:rFonts w:ascii="Times New Roman" w:hAnsi="Times New Roman" w:eastAsia="等线" w:cs="Times New Roman"/>
          <w:b/>
          <w:bCs/>
          <w:i/>
          <w:iCs/>
          <w:color w:val="000000"/>
          <w:kern w:val="0"/>
          <w:sz w:val="24"/>
        </w:rPr>
      </w:pPr>
      <w:r>
        <w:rPr>
          <w:rFonts w:ascii="Times New Roman" w:hAnsi="Times New Roman" w:eastAsia="等线" w:cs="Times New Roman"/>
          <w:b/>
          <w:bCs/>
          <w:i/>
          <w:iCs/>
          <w:kern w:val="0"/>
          <w:sz w:val="24"/>
        </w:rPr>
        <w:t>1.</w:t>
      </w:r>
      <w:r>
        <w:rPr>
          <w:rFonts w:ascii="Times New Roman" w:hAnsi="Times New Roman" w:eastAsia="等线" w:cs="Times New Roman"/>
          <w:b/>
          <w:bCs/>
          <w:i/>
          <w:iCs/>
          <w:color w:val="000000"/>
          <w:kern w:val="0"/>
          <w:sz w:val="24"/>
        </w:rPr>
        <w:t xml:space="preserve"> Data preparation for the calculation of life cycle assessment</w:t>
      </w:r>
    </w:p>
    <w:p w14:paraId="4A5627BB">
      <w:pPr>
        <w:spacing w:line="480" w:lineRule="auto"/>
        <w:rPr>
          <w:rFonts w:ascii="Times New Roman" w:hAnsi="Times New Roman" w:cs="Times New Roman"/>
          <w:i/>
          <w:iCs/>
          <w:sz w:val="24"/>
        </w:rPr>
      </w:pPr>
      <w:r>
        <w:rPr>
          <w:rFonts w:ascii="Times New Roman" w:hAnsi="Times New Roman" w:cs="Times New Roman"/>
          <w:i/>
          <w:iCs/>
          <w:sz w:val="24"/>
        </w:rPr>
        <w:t>1.1 Data preparation for LCA</w:t>
      </w:r>
    </w:p>
    <w:p w14:paraId="631A9752">
      <w:pPr>
        <w:spacing w:line="480" w:lineRule="auto"/>
        <w:ind w:firstLine="480" w:firstLineChars="200"/>
        <w:rPr>
          <w:rFonts w:ascii="Times New Roman" w:hAnsi="Times New Roman" w:cs="Times New Roman"/>
          <w:sz w:val="24"/>
        </w:rPr>
      </w:pPr>
      <w:r>
        <w:rPr>
          <w:rFonts w:ascii="Times New Roman" w:hAnsi="Times New Roman" w:cs="Times New Roman"/>
          <w:sz w:val="24"/>
        </w:rPr>
        <w:t>Based on the defined goal and scope, the life cycle inventory data should be prepared for the calculation of LCA. The process can be divided into two parts: first is data collection; second is data inventory.</w:t>
      </w:r>
    </w:p>
    <w:p w14:paraId="071E2C4E">
      <w:pPr>
        <w:spacing w:line="480" w:lineRule="auto"/>
        <w:rPr>
          <w:rFonts w:ascii="Times New Roman" w:hAnsi="Times New Roman" w:cs="Times New Roman"/>
          <w:i/>
          <w:iCs/>
          <w:sz w:val="24"/>
        </w:rPr>
      </w:pPr>
      <w:r>
        <w:rPr>
          <w:rFonts w:ascii="Times New Roman" w:hAnsi="Times New Roman" w:cs="Times New Roman"/>
          <w:i/>
          <w:iCs/>
          <w:sz w:val="24"/>
        </w:rPr>
        <w:t>1.1.1 Data collection</w:t>
      </w:r>
    </w:p>
    <w:p w14:paraId="151714E3">
      <w:pPr>
        <w:spacing w:line="480" w:lineRule="auto"/>
        <w:ind w:firstLine="480" w:firstLineChars="200"/>
        <w:rPr>
          <w:rFonts w:ascii="Times New Roman" w:hAnsi="Times New Roman" w:cs="Times New Roman"/>
          <w:sz w:val="24"/>
        </w:rPr>
      </w:pPr>
      <w:r>
        <w:rPr>
          <w:rFonts w:ascii="Times New Roman" w:hAnsi="Times New Roman" w:cs="Times New Roman"/>
          <w:sz w:val="24"/>
        </w:rPr>
        <w:t>Three important data information should be supplied to inventory by previous researches.</w:t>
      </w:r>
    </w:p>
    <w:p w14:paraId="4F89AB24">
      <w:pPr>
        <w:numPr>
          <w:ilvl w:val="0"/>
          <w:numId w:val="1"/>
        </w:numPr>
        <w:spacing w:line="480" w:lineRule="auto"/>
        <w:rPr>
          <w:rFonts w:ascii="Times New Roman" w:hAnsi="Times New Roman" w:cs="Times New Roman"/>
          <w:sz w:val="24"/>
        </w:rPr>
      </w:pPr>
      <w:r>
        <w:rPr>
          <w:rFonts w:ascii="Times New Roman" w:hAnsi="Times New Roman" w:cs="Times New Roman"/>
          <w:sz w:val="24"/>
        </w:rPr>
        <w:t>Energy recovery (ER)</w:t>
      </w:r>
    </w:p>
    <w:p w14:paraId="173B30CB">
      <w:pPr>
        <w:spacing w:line="480" w:lineRule="auto"/>
        <w:ind w:firstLine="480" w:firstLineChars="200"/>
        <w:rPr>
          <w:rFonts w:ascii="Times New Roman" w:hAnsi="Times New Roman" w:cs="Times New Roman"/>
          <w:sz w:val="24"/>
        </w:rPr>
      </w:pPr>
      <w:r>
        <w:rPr>
          <w:rFonts w:ascii="Times New Roman" w:hAnsi="Times New Roman" w:cs="Times New Roman"/>
          <w:sz w:val="24"/>
        </w:rPr>
        <w:t>The information of PVC waste ER were collected by combining the amount emission and the regenerated electricity based on characteristic of PVC waste. PVC waste is incinerated and converted into energy including the process of using activated carbon to adsorb dioxin like substances.</w:t>
      </w:r>
    </w:p>
    <w:p w14:paraId="67F4FC61">
      <w:pPr>
        <w:spacing w:line="480" w:lineRule="auto"/>
        <w:ind w:firstLine="480" w:firstLineChars="20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The amount emission and the regenerated electricity can be calculated by the study: Plasma gasification versus incineration of plastic waste: Energy, economic and environmental analysis</w:t>
      </w:r>
      <w:r>
        <w:rPr>
          <w:rFonts w:hint="eastAsia" w:ascii="Times New Roman" w:hAnsi="Times New Roman" w:cs="Times New Roman"/>
          <w:sz w:val="24"/>
          <w:lang w:val="en-US" w:eastAsia="zh-CN"/>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&lt;EndNote&gt;&lt;Cite&gt;&lt;Author&gt;Cudjoe&lt;/Author&gt;&lt;Year&gt;2022&lt;/Year&gt;&lt;RecNum&gt;759&lt;/RecNum&gt;&lt;DisplayText&gt;(Cudjoe 2022)&lt;/DisplayText&gt;&lt;record&gt;&lt;rec-number&gt;759&lt;/rec-number&gt;&lt;foreign-keys&gt;&lt;key app="EN" db-id="a0vx9dvem9p0duex9flv0fpn0a2tsfpe5dxp" timestamp="1714744988"&gt;759&lt;/key&gt;&lt;/foreign-keys&gt;&lt;ref-type name="Journal Article"&gt;17&lt;/ref-type&gt;&lt;contributors&gt;&lt;authors&gt;&lt;author&gt;Cudjoe, Dan&lt;/author&gt;&lt;author&gt;Wang, Hong&lt;/author&gt;&lt;/authors&gt;&lt;/contributors&gt;&lt;titles&gt;&lt;title&gt;Plasma gasification versus incineration of plastic waste: Energy, economic and environmental analysis&lt;/title&gt;&lt;secondary-title&gt;Fuel Processing Technology&lt;/secondary-title&gt;&lt;/titles&gt;&lt;periodical&gt;&lt;full-title&gt;Fuel Processing Technology&lt;/full-title&gt;&lt;/periodical&gt;&lt;pages&gt;107470&lt;/pages&gt;&lt;volume&gt;237&lt;/volume&gt;&lt;keywords&gt;&lt;keyword&gt;Plastic waste&lt;/keyword&gt;&lt;keyword&gt;Plasma gasification&lt;/keyword&gt;&lt;keyword&gt;Incineration&lt;/keyword&gt;&lt;keyword&gt;Electricity&lt;/keyword&gt;&lt;keyword&gt;Economy&lt;/keyword&gt;&lt;keyword&gt;Environment&lt;/keyword&gt;&lt;/keywords&gt;&lt;dates&gt;&lt;year&gt;2022&lt;/year&gt;&lt;pub-dates&gt;&lt;date&gt;2022/12/01/&lt;/date&gt;&lt;/pub-dates&gt;&lt;/dates&gt;&lt;isbn&gt;0378-3820&lt;/isbn&gt;&lt;urls&gt;&lt;related-urls&gt;&lt;url&gt;https://www.sciencedirect.com/science/article/pii/S0378382022003101&lt;/url&gt;&lt;/related-urls&gt;&lt;/urls&gt;&lt;electronic-resource-num&gt;https://doi.org/10.1016/j.fuproc.2022.107470&lt;/electronic-resource-num&gt;&lt;/record&gt;&lt;/Cite&gt;&lt;/EndNote&gt;</w:instrText>
      </w:r>
      <w:r>
        <w:rPr>
          <w:rFonts w:ascii="Times New Roman" w:hAnsi="Times New Roman" w:cs="Times New Roman"/>
          <w:sz w:val="24"/>
        </w:rPr>
        <w:fldChar w:fldCharType="separate"/>
      </w:r>
      <w:r>
        <w:rPr>
          <w:rFonts w:ascii="Times New Roman" w:hAnsi="Times New Roman" w:cs="Times New Roman"/>
          <w:sz w:val="24"/>
        </w:rPr>
        <w:t>(Cudjoe 2022)</w:t>
      </w:r>
      <w:r>
        <w:rPr>
          <w:rFonts w:ascii="Times New Roman" w:hAnsi="Times New Roman" w:cs="Times New Roman"/>
          <w:sz w:val="24"/>
        </w:rPr>
        <w:fldChar w:fldCharType="end"/>
      </w:r>
      <w:r>
        <w:rPr>
          <w:rFonts w:ascii="Times New Roman" w:hAnsi="Times New Roman" w:cs="Times New Roman"/>
          <w:color w:val="000000" w:themeColor="text1"/>
          <w:sz w:val="24"/>
          <w14:textFill>
            <w14:solidFill>
              <w14:schemeClr w14:val="tx1"/>
            </w14:solidFill>
          </w14:textFill>
        </w:rPr>
        <w:t xml:space="preserve">. </w:t>
      </w:r>
    </w:p>
    <w:p w14:paraId="2EF736A1">
      <w:pPr>
        <w:pStyle w:val="2"/>
        <w:rPr>
          <w:rFonts w:ascii="Times New Roman" w:hAnsi="Times New Roman" w:cs="Times New Roman"/>
        </w:rPr>
      </w:pPr>
      <w:r>
        <w:rPr>
          <w:rFonts w:ascii="Times New Roman" w:hAnsi="Times New Roman" w:cs="Times New Roman"/>
          <w:sz w:val="21"/>
          <w:szCs w:val="21"/>
        </w:rPr>
        <w:t>Table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表 \* ARABIC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ascii="Times New Roman" w:hAnsi="Times New Roman" w:cs="Times New Roman"/>
          <w:sz w:val="21"/>
          <w:szCs w:val="21"/>
        </w:rPr>
        <w:t>. The content of PVC</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1201"/>
        <w:gridCol w:w="1197"/>
        <w:gridCol w:w="1201"/>
        <w:gridCol w:w="1198"/>
        <w:gridCol w:w="1188"/>
        <w:gridCol w:w="1201"/>
      </w:tblGrid>
      <w:tr w14:paraId="3804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Borders>
              <w:top w:val="single" w:color="auto" w:sz="12" w:space="0"/>
              <w:bottom w:val="single" w:color="auto" w:sz="4" w:space="0"/>
              <w:right w:val="nil"/>
            </w:tcBorders>
          </w:tcPr>
          <w:p w14:paraId="437D3F6C">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Content(%)</w:t>
            </w:r>
          </w:p>
        </w:tc>
        <w:tc>
          <w:tcPr>
            <w:tcW w:w="1217" w:type="dxa"/>
            <w:tcBorders>
              <w:top w:val="single" w:color="auto" w:sz="12" w:space="0"/>
              <w:left w:val="nil"/>
              <w:bottom w:val="single" w:color="auto" w:sz="4" w:space="0"/>
              <w:right w:val="nil"/>
            </w:tcBorders>
          </w:tcPr>
          <w:p w14:paraId="464B24C9">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C</w:t>
            </w:r>
          </w:p>
        </w:tc>
        <w:tc>
          <w:tcPr>
            <w:tcW w:w="1217" w:type="dxa"/>
            <w:tcBorders>
              <w:top w:val="single" w:color="auto" w:sz="12" w:space="0"/>
              <w:left w:val="nil"/>
              <w:bottom w:val="single" w:color="auto" w:sz="4" w:space="0"/>
              <w:right w:val="nil"/>
            </w:tcBorders>
            <w:vAlign w:val="center"/>
          </w:tcPr>
          <w:p w14:paraId="008DA67E">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H</w:t>
            </w:r>
          </w:p>
        </w:tc>
        <w:tc>
          <w:tcPr>
            <w:tcW w:w="1217" w:type="dxa"/>
            <w:tcBorders>
              <w:top w:val="single" w:color="auto" w:sz="12" w:space="0"/>
              <w:left w:val="nil"/>
              <w:bottom w:val="single" w:color="auto" w:sz="4" w:space="0"/>
              <w:right w:val="nil"/>
            </w:tcBorders>
            <w:vAlign w:val="center"/>
          </w:tcPr>
          <w:p w14:paraId="77E2E91A">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Cl</w:t>
            </w:r>
          </w:p>
        </w:tc>
        <w:tc>
          <w:tcPr>
            <w:tcW w:w="1218" w:type="dxa"/>
            <w:tcBorders>
              <w:top w:val="single" w:color="auto" w:sz="12" w:space="0"/>
              <w:left w:val="nil"/>
              <w:bottom w:val="single" w:color="auto" w:sz="4" w:space="0"/>
              <w:right w:val="nil"/>
            </w:tcBorders>
            <w:vAlign w:val="center"/>
          </w:tcPr>
          <w:p w14:paraId="68845CA2">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N</w:t>
            </w:r>
          </w:p>
        </w:tc>
        <w:tc>
          <w:tcPr>
            <w:tcW w:w="1218" w:type="dxa"/>
            <w:tcBorders>
              <w:top w:val="single" w:color="auto" w:sz="12" w:space="0"/>
              <w:left w:val="nil"/>
              <w:bottom w:val="single" w:color="auto" w:sz="4" w:space="0"/>
              <w:right w:val="nil"/>
            </w:tcBorders>
            <w:vAlign w:val="center"/>
          </w:tcPr>
          <w:p w14:paraId="644492EF">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S</w:t>
            </w:r>
          </w:p>
        </w:tc>
        <w:tc>
          <w:tcPr>
            <w:tcW w:w="1218" w:type="dxa"/>
            <w:tcBorders>
              <w:top w:val="single" w:color="auto" w:sz="12" w:space="0"/>
              <w:left w:val="nil"/>
              <w:bottom w:val="single" w:color="auto" w:sz="4" w:space="0"/>
            </w:tcBorders>
            <w:vAlign w:val="center"/>
          </w:tcPr>
          <w:p w14:paraId="426725F5">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ASH</w:t>
            </w:r>
          </w:p>
        </w:tc>
      </w:tr>
      <w:tr w14:paraId="200E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Borders>
              <w:top w:val="single" w:color="auto" w:sz="4" w:space="0"/>
              <w:bottom w:val="single" w:color="auto" w:sz="12" w:space="0"/>
              <w:right w:val="nil"/>
            </w:tcBorders>
          </w:tcPr>
          <w:p w14:paraId="42BAA94E">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PVC</w:t>
            </w:r>
          </w:p>
        </w:tc>
        <w:tc>
          <w:tcPr>
            <w:tcW w:w="1217" w:type="dxa"/>
            <w:tcBorders>
              <w:top w:val="single" w:color="auto" w:sz="4" w:space="0"/>
              <w:left w:val="nil"/>
              <w:bottom w:val="single" w:color="auto" w:sz="12" w:space="0"/>
              <w:right w:val="nil"/>
            </w:tcBorders>
            <w:vAlign w:val="center"/>
          </w:tcPr>
          <w:p w14:paraId="51220ED3">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38.34</w:t>
            </w:r>
          </w:p>
        </w:tc>
        <w:tc>
          <w:tcPr>
            <w:tcW w:w="1217" w:type="dxa"/>
            <w:tcBorders>
              <w:top w:val="single" w:color="auto" w:sz="4" w:space="0"/>
              <w:left w:val="nil"/>
              <w:bottom w:val="single" w:color="auto" w:sz="12" w:space="0"/>
              <w:right w:val="nil"/>
            </w:tcBorders>
            <w:vAlign w:val="center"/>
          </w:tcPr>
          <w:p w14:paraId="1431A772">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4.47</w:t>
            </w:r>
          </w:p>
        </w:tc>
        <w:tc>
          <w:tcPr>
            <w:tcW w:w="1217" w:type="dxa"/>
            <w:tcBorders>
              <w:top w:val="single" w:color="auto" w:sz="4" w:space="0"/>
              <w:left w:val="nil"/>
              <w:bottom w:val="single" w:color="auto" w:sz="12" w:space="0"/>
              <w:right w:val="nil"/>
            </w:tcBorders>
            <w:vAlign w:val="center"/>
          </w:tcPr>
          <w:p w14:paraId="71F58ED1">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56.96</w:t>
            </w:r>
          </w:p>
        </w:tc>
        <w:tc>
          <w:tcPr>
            <w:tcW w:w="1218" w:type="dxa"/>
            <w:tcBorders>
              <w:top w:val="single" w:color="auto" w:sz="4" w:space="0"/>
              <w:left w:val="nil"/>
              <w:bottom w:val="single" w:color="auto" w:sz="12" w:space="0"/>
              <w:right w:val="nil"/>
            </w:tcBorders>
            <w:vAlign w:val="center"/>
          </w:tcPr>
          <w:p w14:paraId="1A6762CF">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0.23</w:t>
            </w:r>
          </w:p>
        </w:tc>
        <w:tc>
          <w:tcPr>
            <w:tcW w:w="1218" w:type="dxa"/>
            <w:tcBorders>
              <w:top w:val="single" w:color="auto" w:sz="4" w:space="0"/>
              <w:left w:val="nil"/>
              <w:bottom w:val="single" w:color="auto" w:sz="12" w:space="0"/>
              <w:right w:val="nil"/>
            </w:tcBorders>
            <w:vAlign w:val="center"/>
          </w:tcPr>
          <w:p w14:paraId="6464DACB">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0</w:t>
            </w:r>
          </w:p>
        </w:tc>
        <w:tc>
          <w:tcPr>
            <w:tcW w:w="1218" w:type="dxa"/>
            <w:tcBorders>
              <w:top w:val="single" w:color="auto" w:sz="4" w:space="0"/>
              <w:left w:val="nil"/>
              <w:bottom w:val="single" w:color="auto" w:sz="12" w:space="0"/>
            </w:tcBorders>
            <w:vAlign w:val="center"/>
          </w:tcPr>
          <w:p w14:paraId="2441F25F">
            <w:pP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0</w:t>
            </w:r>
          </w:p>
        </w:tc>
      </w:tr>
    </w:tbl>
    <w:p w14:paraId="0F7D9654">
      <w:pPr>
        <w:spacing w:line="48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Calculation process of regenerated electricity:</w:t>
      </w:r>
    </w:p>
    <w:p w14:paraId="7072E505">
      <w:pPr>
        <w:spacing w:line="48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①The electricity generation formula:</w:t>
      </w:r>
    </w:p>
    <w:p w14:paraId="2BAA0752">
      <w:pPr>
        <w:spacing w:line="480" w:lineRule="auto"/>
        <w:rPr>
          <w:rFonts w:ascii="Times New Roman" w:hAnsi="Times New Roman" w:cs="Times New Roman"/>
          <w:i/>
          <w:color w:val="000000" w:themeColor="text1"/>
          <w:sz w:val="24"/>
          <w14:textFill>
            <w14:solidFill>
              <w14:schemeClr w14:val="tx1"/>
            </w14:solidFill>
          </w14:textFill>
        </w:rPr>
      </w:pPr>
      <m:oMathPara>
        <m:oMath>
          <m:sSub>
            <m:sSubPr>
              <m:ctrlPr>
                <w:rPr>
                  <w:rFonts w:ascii="Cambria Math" w:hAnsi="Cambria Math" w:cs="Times New Roman"/>
                  <w:i/>
                  <w:color w:val="000000" w:themeColor="text1"/>
                  <w:sz w:val="24"/>
                  <w14:textFill>
                    <w14:solidFill>
                      <w14:schemeClr w14:val="tx1"/>
                    </w14:solidFill>
                  </w14:textFill>
                </w:rPr>
              </m:ctrlPr>
            </m:sSubPr>
            <m:e>
              <m:r>
                <m:rPr/>
                <w:rPr>
                  <w:rFonts w:ascii="Cambria Math" w:hAnsi="Cambria Math" w:cs="Times New Roman"/>
                  <w:color w:val="000000" w:themeColor="text1"/>
                  <w:sz w:val="24"/>
                  <w14:textFill>
                    <w14:solidFill>
                      <w14:schemeClr w14:val="tx1"/>
                    </w14:solidFill>
                  </w14:textFill>
                </w:rPr>
                <m:t>E</m:t>
              </m:r>
              <m:ctrlPr>
                <w:rPr>
                  <w:rFonts w:ascii="Cambria Math" w:hAnsi="Cambria Math" w:cs="Times New Roman"/>
                  <w:i/>
                  <w:color w:val="000000" w:themeColor="text1"/>
                  <w:sz w:val="24"/>
                  <w14:textFill>
                    <w14:solidFill>
                      <w14:schemeClr w14:val="tx1"/>
                    </w14:solidFill>
                  </w14:textFill>
                </w:rPr>
              </m:ctrlPr>
            </m:e>
            <m:sub>
              <m:r>
                <m:rPr/>
                <w:rPr>
                  <w:rFonts w:ascii="Cambria Math" w:hAnsi="Cambria Math" w:cs="Times New Roman"/>
                  <w:color w:val="000000" w:themeColor="text1"/>
                  <w:sz w:val="24"/>
                  <w14:textFill>
                    <w14:solidFill>
                      <w14:schemeClr w14:val="tx1"/>
                    </w14:solidFill>
                  </w14:textFill>
                </w:rPr>
                <m:t>INC</m:t>
              </m:r>
              <m:ctrlPr>
                <w:rPr>
                  <w:rFonts w:ascii="Cambria Math" w:hAnsi="Cambria Math" w:cs="Times New Roman"/>
                  <w:i/>
                  <w:color w:val="000000" w:themeColor="text1"/>
                  <w:sz w:val="24"/>
                  <w14:textFill>
                    <w14:solidFill>
                      <w14:schemeClr w14:val="tx1"/>
                    </w14:solidFill>
                  </w14:textFill>
                </w:rPr>
              </m:ctrlPr>
            </m:sub>
          </m:sSub>
          <m:r>
            <m:rPr/>
            <w:rPr>
              <w:rFonts w:ascii="Cambria Math" w:hAnsi="Cambria Math" w:cs="Times New Roman"/>
              <w:color w:val="000000" w:themeColor="text1"/>
              <w:sz w:val="24"/>
              <w14:textFill>
                <w14:solidFill>
                  <w14:schemeClr w14:val="tx1"/>
                </w14:solidFill>
              </w14:textFill>
            </w:rPr>
            <m:t>=PVC×</m:t>
          </m:r>
          <m:f>
            <m:fPr>
              <m:ctrlPr>
                <w:rPr>
                  <w:rFonts w:ascii="Cambria Math" w:hAnsi="Cambria Math" w:cs="Times New Roman"/>
                  <w:i/>
                  <w:color w:val="000000" w:themeColor="text1"/>
                  <w:sz w:val="24"/>
                  <w14:textFill>
                    <w14:solidFill>
                      <w14:schemeClr w14:val="tx1"/>
                    </w14:solidFill>
                  </w14:textFill>
                </w:rPr>
              </m:ctrlPr>
            </m:fPr>
            <m:num>
              <m:sSub>
                <m:sSubPr>
                  <m:ctrlPr>
                    <w:rPr>
                      <w:rFonts w:ascii="Cambria Math" w:hAnsi="Cambria Math" w:cs="Times New Roman"/>
                      <w:i/>
                      <w:color w:val="000000" w:themeColor="text1"/>
                      <w:sz w:val="24"/>
                      <w14:textFill>
                        <w14:solidFill>
                          <w14:schemeClr w14:val="tx1"/>
                        </w14:solidFill>
                      </w14:textFill>
                    </w:rPr>
                  </m:ctrlPr>
                </m:sSubPr>
                <m:e>
                  <m:r>
                    <m:rPr/>
                    <w:rPr>
                      <w:rFonts w:ascii="Cambria Math" w:hAnsi="Cambria Math" w:cs="Times New Roman"/>
                      <w:color w:val="000000" w:themeColor="text1"/>
                      <w:sz w:val="24"/>
                      <w14:textFill>
                        <w14:solidFill>
                          <w14:schemeClr w14:val="tx1"/>
                        </w14:solidFill>
                      </w14:textFill>
                    </w:rPr>
                    <m:t>LHV</m:t>
                  </m:r>
                  <m:ctrlPr>
                    <w:rPr>
                      <w:rFonts w:ascii="Cambria Math" w:hAnsi="Cambria Math" w:cs="Times New Roman"/>
                      <w:i/>
                      <w:color w:val="000000" w:themeColor="text1"/>
                      <w:sz w:val="24"/>
                      <w14:textFill>
                        <w14:solidFill>
                          <w14:schemeClr w14:val="tx1"/>
                        </w14:solidFill>
                      </w14:textFill>
                    </w:rPr>
                  </m:ctrlPr>
                </m:e>
                <m:sub>
                  <m:r>
                    <m:rPr/>
                    <w:rPr>
                      <w:rFonts w:ascii="Cambria Math" w:hAnsi="Cambria Math" w:cs="Times New Roman"/>
                      <w:color w:val="000000" w:themeColor="text1"/>
                      <w:sz w:val="24"/>
                      <w14:textFill>
                        <w14:solidFill>
                          <w14:schemeClr w14:val="tx1"/>
                        </w14:solidFill>
                      </w14:textFill>
                    </w:rPr>
                    <m:t>PVC</m:t>
                  </m:r>
                  <m:ctrlPr>
                    <w:rPr>
                      <w:rFonts w:ascii="Cambria Math" w:hAnsi="Cambria Math" w:cs="Times New Roman"/>
                      <w:i/>
                      <w:color w:val="000000" w:themeColor="text1"/>
                      <w:sz w:val="24"/>
                      <w14:textFill>
                        <w14:solidFill>
                          <w14:schemeClr w14:val="tx1"/>
                        </w14:solidFill>
                      </w14:textFill>
                    </w:rPr>
                  </m:ctrlPr>
                </m:sub>
              </m:sSub>
              <m:ctrlPr>
                <w:rPr>
                  <w:rFonts w:ascii="Cambria Math" w:hAnsi="Cambria Math" w:cs="Times New Roman"/>
                  <w:i/>
                  <w:color w:val="000000" w:themeColor="text1"/>
                  <w:sz w:val="24"/>
                  <w14:textFill>
                    <w14:solidFill>
                      <w14:schemeClr w14:val="tx1"/>
                    </w14:solidFill>
                  </w14:textFill>
                </w:rPr>
              </m:ctrlPr>
            </m:num>
            <m:den>
              <m:r>
                <m:rPr/>
                <w:rPr>
                  <w:rFonts w:ascii="Cambria Math" w:hAnsi="Cambria Math" w:cs="Times New Roman"/>
                  <w:color w:val="000000" w:themeColor="text1"/>
                  <w:sz w:val="24"/>
                  <w14:textFill>
                    <w14:solidFill>
                      <w14:schemeClr w14:val="tx1"/>
                    </w14:solidFill>
                  </w14:textFill>
                </w:rPr>
                <m:t>3.6</m:t>
              </m:r>
              <m:ctrlPr>
                <w:rPr>
                  <w:rFonts w:ascii="Cambria Math" w:hAnsi="Cambria Math" w:cs="Times New Roman"/>
                  <w:i/>
                  <w:color w:val="000000" w:themeColor="text1"/>
                  <w:sz w:val="24"/>
                  <w14:textFill>
                    <w14:solidFill>
                      <w14:schemeClr w14:val="tx1"/>
                    </w14:solidFill>
                  </w14:textFill>
                </w:rPr>
              </m:ctrlPr>
            </m:den>
          </m:f>
          <m:r>
            <m:rPr/>
            <w:rPr>
              <w:rFonts w:ascii="Cambria Math" w:hAnsi="Cambria Math" w:cs="Times New Roman"/>
              <w:color w:val="000000" w:themeColor="text1"/>
              <w:sz w:val="24"/>
              <w14:textFill>
                <w14:solidFill>
                  <w14:schemeClr w14:val="tx1"/>
                </w14:solidFill>
              </w14:textFill>
            </w:rPr>
            <m:t>×α</m:t>
          </m:r>
        </m:oMath>
      </m:oMathPara>
    </w:p>
    <w:p w14:paraId="0E8C5E7D">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②The low heat value formula:</w:t>
      </w:r>
    </w:p>
    <w:p w14:paraId="3FDAA19F">
      <w:pPr>
        <w:spacing w:line="480" w:lineRule="auto"/>
        <w:rPr>
          <w:rFonts w:ascii="Times New Roman" w:hAnsi="Times New Roman" w:cs="Times New Roman"/>
          <w:iCs/>
          <w:color w:val="000000" w:themeColor="text1"/>
          <w:sz w:val="24"/>
          <w14:textFill>
            <w14:solidFill>
              <w14:schemeClr w14:val="tx1"/>
            </w14:solidFill>
          </w14:textFill>
        </w:rPr>
      </w:pPr>
      <m:oMathPara>
        <m:oMath>
          <m:sSub>
            <m:sSubPr>
              <m:ctrlPr>
                <w:rPr>
                  <w:rFonts w:ascii="Cambria Math" w:hAnsi="Cambria Math" w:cs="Times New Roman"/>
                  <w:i/>
                  <w:iCs/>
                  <w:color w:val="000000" w:themeColor="text1"/>
                  <w:sz w:val="24"/>
                  <w14:textFill>
                    <w14:solidFill>
                      <w14:schemeClr w14:val="tx1"/>
                    </w14:solidFill>
                  </w14:textFill>
                </w:rPr>
              </m:ctrlPr>
            </m:sSubPr>
            <m:e>
              <m:r>
                <m:rPr/>
                <w:rPr>
                  <w:rFonts w:ascii="Cambria Math" w:hAnsi="Cambria Math" w:cs="Times New Roman"/>
                  <w:color w:val="000000" w:themeColor="text1"/>
                  <w:sz w:val="24"/>
                  <w14:textFill>
                    <w14:solidFill>
                      <w14:schemeClr w14:val="tx1"/>
                    </w14:solidFill>
                  </w14:textFill>
                </w:rPr>
                <m:t>LHV</m:t>
              </m:r>
              <m:ctrlPr>
                <w:rPr>
                  <w:rFonts w:ascii="Cambria Math" w:hAnsi="Cambria Math" w:cs="Times New Roman"/>
                  <w:i/>
                  <w:iCs/>
                  <w:color w:val="000000" w:themeColor="text1"/>
                  <w:sz w:val="24"/>
                  <w14:textFill>
                    <w14:solidFill>
                      <w14:schemeClr w14:val="tx1"/>
                    </w14:solidFill>
                  </w14:textFill>
                </w:rPr>
              </m:ctrlPr>
            </m:e>
            <m:sub>
              <m:r>
                <m:rPr/>
                <w:rPr>
                  <w:rFonts w:ascii="Cambria Math" w:hAnsi="Cambria Math" w:cs="Times New Roman"/>
                  <w:color w:val="000000" w:themeColor="text1"/>
                  <w:sz w:val="24"/>
                  <w14:textFill>
                    <w14:solidFill>
                      <w14:schemeClr w14:val="tx1"/>
                    </w14:solidFill>
                  </w14:textFill>
                </w:rPr>
                <m:t>PVC</m:t>
              </m:r>
              <m:ctrlPr>
                <w:rPr>
                  <w:rFonts w:ascii="Cambria Math" w:hAnsi="Cambria Math" w:cs="Times New Roman"/>
                  <w:i/>
                  <w:iCs/>
                  <w:color w:val="000000" w:themeColor="text1"/>
                  <w:sz w:val="24"/>
                  <w14:textFill>
                    <w14:solidFill>
                      <w14:schemeClr w14:val="tx1"/>
                    </w14:solidFill>
                  </w14:textFill>
                </w:rPr>
              </m:ctrlPr>
            </m:sub>
          </m:sSub>
          <m:r>
            <m:rPr/>
            <w:rPr>
              <w:rFonts w:ascii="Cambria Math" w:hAnsi="Cambria Math" w:cs="Times New Roman"/>
              <w:color w:val="000000" w:themeColor="text1"/>
              <w:sz w:val="24"/>
              <w14:textFill>
                <w14:solidFill>
                  <w14:schemeClr w14:val="tx1"/>
                </w14:solidFill>
              </w14:textFill>
            </w:rPr>
            <m:t>=</m:t>
          </m:r>
          <m:sSub>
            <m:sSubPr>
              <m:ctrlPr>
                <w:rPr>
                  <w:rFonts w:ascii="Cambria Math" w:hAnsi="Cambria Math" w:cs="Times New Roman"/>
                  <w:i/>
                  <w:iCs/>
                  <w:color w:val="000000" w:themeColor="text1"/>
                  <w:sz w:val="24"/>
                  <w14:textFill>
                    <w14:solidFill>
                      <w14:schemeClr w14:val="tx1"/>
                    </w14:solidFill>
                  </w14:textFill>
                </w:rPr>
              </m:ctrlPr>
            </m:sSubPr>
            <m:e>
              <m:r>
                <m:rPr/>
                <w:rPr>
                  <w:rFonts w:ascii="Cambria Math" w:hAnsi="Cambria Math" w:cs="Times New Roman"/>
                  <w:color w:val="000000" w:themeColor="text1"/>
                  <w:sz w:val="24"/>
                  <w14:textFill>
                    <w14:solidFill>
                      <w14:schemeClr w14:val="tx1"/>
                    </w14:solidFill>
                  </w14:textFill>
                </w:rPr>
                <m:t>HHV</m:t>
              </m:r>
              <m:ctrlPr>
                <w:rPr>
                  <w:rFonts w:ascii="Cambria Math" w:hAnsi="Cambria Math" w:cs="Times New Roman"/>
                  <w:i/>
                  <w:iCs/>
                  <w:color w:val="000000" w:themeColor="text1"/>
                  <w:sz w:val="24"/>
                  <w14:textFill>
                    <w14:solidFill>
                      <w14:schemeClr w14:val="tx1"/>
                    </w14:solidFill>
                  </w14:textFill>
                </w:rPr>
              </m:ctrlPr>
            </m:e>
            <m:sub>
              <m:r>
                <m:rPr/>
                <w:rPr>
                  <w:rFonts w:ascii="Cambria Math" w:hAnsi="Cambria Math" w:cs="Times New Roman"/>
                  <w:color w:val="000000" w:themeColor="text1"/>
                  <w:sz w:val="24"/>
                  <w14:textFill>
                    <w14:solidFill>
                      <w14:schemeClr w14:val="tx1"/>
                    </w14:solidFill>
                  </w14:textFill>
                </w:rPr>
                <m:t>PVC</m:t>
              </m:r>
              <m:ctrlPr>
                <w:rPr>
                  <w:rFonts w:ascii="Cambria Math" w:hAnsi="Cambria Math" w:cs="Times New Roman"/>
                  <w:i/>
                  <w:iCs/>
                  <w:color w:val="000000" w:themeColor="text1"/>
                  <w:sz w:val="24"/>
                  <w14:textFill>
                    <w14:solidFill>
                      <w14:schemeClr w14:val="tx1"/>
                    </w14:solidFill>
                  </w14:textFill>
                </w:rPr>
              </m:ctrlPr>
            </m:sub>
          </m:sSub>
          <m:r>
            <m:rPr/>
            <w:rPr>
              <w:rFonts w:ascii="Cambria Math" w:hAnsi="Cambria Math" w:cs="Times New Roman"/>
              <w:color w:val="000000" w:themeColor="text1"/>
              <w:sz w:val="24"/>
              <w14:textFill>
                <w14:solidFill>
                  <w14:schemeClr w14:val="tx1"/>
                </w14:solidFill>
              </w14:textFill>
            </w:rPr>
            <m:t>−(9×%H+%H20)×2.44</m:t>
          </m:r>
        </m:oMath>
      </m:oMathPara>
    </w:p>
    <w:p w14:paraId="6392BF66">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③The high heat value formula:</w:t>
      </w:r>
    </w:p>
    <w:p w14:paraId="413DECAC">
      <w:pPr>
        <w:spacing w:line="480" w:lineRule="auto"/>
        <w:rPr>
          <w:rFonts w:ascii="Times New Roman" w:hAnsi="Times New Roman" w:cs="Times New Roman"/>
          <w:iCs/>
          <w:color w:val="000000" w:themeColor="text1"/>
          <w:sz w:val="24"/>
          <w14:textFill>
            <w14:solidFill>
              <w14:schemeClr w14:val="tx1"/>
            </w14:solidFill>
          </w14:textFill>
        </w:rPr>
      </w:pPr>
      <m:oMathPara>
        <m:oMath>
          <m:sSub>
            <m:sSubPr>
              <m:ctrlPr>
                <w:rPr>
                  <w:rFonts w:ascii="Cambria Math" w:hAnsi="Cambria Math" w:cs="Times New Roman"/>
                  <w:i/>
                  <w:iCs/>
                  <w:color w:val="000000" w:themeColor="text1"/>
                  <w:sz w:val="24"/>
                  <w14:textFill>
                    <w14:solidFill>
                      <w14:schemeClr w14:val="tx1"/>
                    </w14:solidFill>
                  </w14:textFill>
                </w:rPr>
              </m:ctrlPr>
            </m:sSubPr>
            <m:e>
              <m:r>
                <m:rPr/>
                <w:rPr>
                  <w:rFonts w:ascii="Cambria Math" w:hAnsi="Cambria Math" w:cs="Times New Roman"/>
                  <w:color w:val="000000" w:themeColor="text1"/>
                  <w:sz w:val="24"/>
                  <w14:textFill>
                    <w14:solidFill>
                      <w14:schemeClr w14:val="tx1"/>
                    </w14:solidFill>
                  </w14:textFill>
                </w:rPr>
                <m:t>HHV</m:t>
              </m:r>
              <m:ctrlPr>
                <w:rPr>
                  <w:rFonts w:ascii="Cambria Math" w:hAnsi="Cambria Math" w:cs="Times New Roman"/>
                  <w:i/>
                  <w:iCs/>
                  <w:color w:val="000000" w:themeColor="text1"/>
                  <w:sz w:val="24"/>
                  <w14:textFill>
                    <w14:solidFill>
                      <w14:schemeClr w14:val="tx1"/>
                    </w14:solidFill>
                  </w14:textFill>
                </w:rPr>
              </m:ctrlPr>
            </m:e>
            <m:sub>
              <m:r>
                <m:rPr/>
                <w:rPr>
                  <w:rFonts w:ascii="Cambria Math" w:hAnsi="Cambria Math" w:cs="Times New Roman"/>
                  <w:color w:val="000000" w:themeColor="text1"/>
                  <w:sz w:val="24"/>
                  <w14:textFill>
                    <w14:solidFill>
                      <w14:schemeClr w14:val="tx1"/>
                    </w14:solidFill>
                  </w14:textFill>
                </w:rPr>
                <m:t>PVC</m:t>
              </m:r>
              <m:ctrlPr>
                <w:rPr>
                  <w:rFonts w:ascii="Cambria Math" w:hAnsi="Cambria Math" w:cs="Times New Roman"/>
                  <w:i/>
                  <w:iCs/>
                  <w:color w:val="000000" w:themeColor="text1"/>
                  <w:sz w:val="24"/>
                  <w14:textFill>
                    <w14:solidFill>
                      <w14:schemeClr w14:val="tx1"/>
                    </w14:solidFill>
                  </w14:textFill>
                </w:rPr>
              </m:ctrlPr>
            </m:sub>
          </m:sSub>
          <m:r>
            <m:rPr/>
            <w:rPr>
              <w:rFonts w:ascii="Cambria Math" w:hAnsi="Cambria Math" w:cs="Times New Roman"/>
              <w:color w:val="000000" w:themeColor="text1"/>
              <w:sz w:val="24"/>
              <w14:textFill>
                <w14:solidFill>
                  <w14:schemeClr w14:val="tx1"/>
                </w14:solidFill>
              </w14:textFill>
            </w:rPr>
            <m:t>=0.3491C+1.1783H+0.1005S−0.1034O−0.015N−0.0211A</m:t>
          </m:r>
        </m:oMath>
      </m:oMathPara>
    </w:p>
    <w:p w14:paraId="1ED5561D">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E</w:t>
      </w:r>
      <w:r>
        <w:rPr>
          <w:rFonts w:ascii="Times New Roman" w:hAnsi="Times New Roman" w:cs="Times New Roman"/>
          <w:iCs/>
          <w:color w:val="000000" w:themeColor="text1"/>
          <w:sz w:val="24"/>
          <w:vertAlign w:val="subscript"/>
          <w14:textFill>
            <w14:solidFill>
              <w14:schemeClr w14:val="tx1"/>
            </w14:solidFill>
          </w14:textFill>
        </w:rPr>
        <w:t>INC</w:t>
      </w:r>
      <w:r>
        <w:rPr>
          <w:rFonts w:ascii="Times New Roman" w:hAnsi="Times New Roman" w:cs="Times New Roman"/>
          <w:iCs/>
          <w:color w:val="000000" w:themeColor="text1"/>
          <w:sz w:val="24"/>
          <w14:textFill>
            <w14:solidFill>
              <w14:schemeClr w14:val="tx1"/>
            </w14:solidFill>
          </w14:textFill>
        </w:rPr>
        <w:t>: Energy generated by incineration</w:t>
      </w:r>
    </w:p>
    <w:p w14:paraId="4C847E34">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PVC: Mass of PVC waste</w:t>
      </w:r>
    </w:p>
    <w:p w14:paraId="4F9EFD9C">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LHV</w:t>
      </w:r>
      <w:r>
        <w:rPr>
          <w:rFonts w:ascii="Times New Roman" w:hAnsi="Times New Roman" w:cs="Times New Roman"/>
          <w:iCs/>
          <w:color w:val="000000" w:themeColor="text1"/>
          <w:sz w:val="24"/>
          <w:vertAlign w:val="subscript"/>
          <w14:textFill>
            <w14:solidFill>
              <w14:schemeClr w14:val="tx1"/>
            </w14:solidFill>
          </w14:textFill>
        </w:rPr>
        <w:t>PVC</w:t>
      </w:r>
      <w:r>
        <w:rPr>
          <w:rFonts w:ascii="Times New Roman" w:hAnsi="Times New Roman" w:cs="Times New Roman"/>
          <w:iCs/>
          <w:color w:val="000000" w:themeColor="text1"/>
          <w:sz w:val="24"/>
          <w14:textFill>
            <w14:solidFill>
              <w14:schemeClr w14:val="tx1"/>
            </w14:solidFill>
          </w14:textFill>
        </w:rPr>
        <w:t>: Lower heating value of the incinerated PVC waste</w:t>
      </w:r>
    </w:p>
    <w:p w14:paraId="3A1C0CFC">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α: Electrical efficiency of the steam turbine (taken as 29%)</w:t>
      </w:r>
    </w:p>
    <w:p w14:paraId="042A5C97">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HHV</w:t>
      </w:r>
      <w:r>
        <w:rPr>
          <w:rFonts w:ascii="Times New Roman" w:hAnsi="Times New Roman" w:cs="Times New Roman"/>
          <w:iCs/>
          <w:color w:val="000000" w:themeColor="text1"/>
          <w:sz w:val="24"/>
          <w:vertAlign w:val="subscript"/>
          <w14:textFill>
            <w14:solidFill>
              <w14:schemeClr w14:val="tx1"/>
            </w14:solidFill>
          </w14:textFill>
        </w:rPr>
        <w:t>PVC</w:t>
      </w:r>
      <w:r>
        <w:rPr>
          <w:rFonts w:ascii="Times New Roman" w:hAnsi="Times New Roman" w:cs="Times New Roman"/>
          <w:iCs/>
          <w:color w:val="000000" w:themeColor="text1"/>
          <w:sz w:val="24"/>
          <w14:textFill>
            <w14:solidFill>
              <w14:schemeClr w14:val="tx1"/>
            </w14:solidFill>
          </w14:textFill>
        </w:rPr>
        <w:t>: Higher heating value of the incinerated PVC waste</w:t>
      </w:r>
    </w:p>
    <w:p w14:paraId="1F92A805">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%H:Percentage weight of atomic hydrogen</w:t>
      </w:r>
    </w:p>
    <w:p w14:paraId="6AC710C8">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%H</w:t>
      </w:r>
      <w:r>
        <w:rPr>
          <w:rFonts w:ascii="Times New Roman" w:hAnsi="Times New Roman" w:cs="Times New Roman"/>
          <w:iCs/>
          <w:color w:val="000000" w:themeColor="text1"/>
          <w:sz w:val="24"/>
          <w:vertAlign w:val="subscript"/>
          <w14:textFill>
            <w14:solidFill>
              <w14:schemeClr w14:val="tx1"/>
            </w14:solidFill>
          </w14:textFill>
        </w:rPr>
        <w:t>2</w:t>
      </w:r>
      <w:r>
        <w:rPr>
          <w:rFonts w:ascii="Times New Roman" w:hAnsi="Times New Roman" w:cs="Times New Roman"/>
          <w:iCs/>
          <w:color w:val="000000" w:themeColor="text1"/>
          <w:sz w:val="24"/>
          <w14:textFill>
            <w14:solidFill>
              <w14:schemeClr w14:val="tx1"/>
            </w14:solidFill>
          </w14:textFill>
        </w:rPr>
        <w:t>O:Percentage weight of water</w:t>
      </w:r>
    </w:p>
    <w:p w14:paraId="2EA6919A">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C,H,S,O,N,A:Percentage weight of carbon, hydrogen, sulfur, oxygen, nitrogen, and ash.</w:t>
      </w:r>
    </w:p>
    <w:p w14:paraId="39BAA83C">
      <w:pPr>
        <w:spacing w:line="480" w:lineRule="auto"/>
        <w:ind w:firstLine="480" w:firstLineChars="200"/>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 xml:space="preserve">According to the study of </w:t>
      </w:r>
      <w:r>
        <w:rPr>
          <w:rFonts w:hint="eastAsia" w:ascii="Times New Roman" w:hAnsi="Times New Roman" w:cs="Times New Roman"/>
          <w:iCs/>
          <w:color w:val="000000" w:themeColor="text1"/>
          <w:sz w:val="24"/>
          <w:lang w:val="en-US" w:eastAsia="zh-CN"/>
          <w14:textFill>
            <w14:solidFill>
              <w14:schemeClr w14:val="tx1"/>
            </w14:solidFill>
          </w14:textFill>
        </w:rPr>
        <w:t xml:space="preserve">Sun </w:t>
      </w:r>
      <w:r>
        <w:rPr>
          <w:rFonts w:ascii="Times New Roman" w:hAnsi="Times New Roman" w:cs="Times New Roman"/>
          <w:iCs/>
          <w:color w:val="000000" w:themeColor="text1"/>
          <w:sz w:val="24"/>
          <w14:textFill>
            <w14:solidFill>
              <w14:schemeClr w14:val="tx1"/>
            </w14:solidFill>
          </w14:textFill>
        </w:rPr>
        <w:fldChar w:fldCharType="begin"/>
      </w:r>
      <w:r>
        <w:rPr>
          <w:rFonts w:hint="eastAsia" w:ascii="Times New Roman" w:hAnsi="Times New Roman" w:cs="Times New Roman"/>
          <w:iCs/>
          <w:color w:val="000000" w:themeColor="text1"/>
          <w:sz w:val="24"/>
          <w:lang w:eastAsia="zh-CN"/>
          <w14:textFill>
            <w14:solidFill>
              <w14:schemeClr w14:val="tx1"/>
            </w14:solidFill>
          </w14:textFill>
        </w:rPr>
        <w:instrText xml:space="preserve"> ADDIN EN.CITE &lt;EndNote&gt;&lt;Cite ExcludeAuth="1"&gt;&lt;Author&gt;Sun&lt;/Author&gt;&lt;Year&gt;2003&lt;/Year&gt;&lt;RecNum&gt;945&lt;/RecNum&gt;&lt;DisplayText&gt;(2003)&lt;/DisplayText&gt;&lt;record&gt;&lt;rec-number&gt;945&lt;/rec-number&gt;&lt;foreign-keys&gt;&lt;key app="EN" db-id="a0vx9dvem9p0duex9flv0fpn0a2tsfpe5dxp" timestamp="1734678341"&gt;945&lt;/key&gt;&lt;/foreign-keys&gt;&lt;ref-type name="Journal Article"&gt;17&lt;/ref-type&gt;&lt;contributors&gt;&lt;authors&gt;&lt;author&gt;Sun, Ren-De&lt;/author&gt;&lt;author&gt;Irie, Hiroshi&lt;/author&gt;&lt;author&gt;Nishikawa, Takashi&lt;/author&gt;&lt;author&gt;Nakajima, Akira&lt;/author&gt;&lt;author&gt;Watanabe, Toshiya&lt;/author&gt;&lt;author&gt;Hashimoto, Kazuhito&lt;/author&gt;&lt;/authors&gt;&lt;/contributors&gt;&lt;titles&gt;&lt;title&gt;Suppressing effect of CaCO3 on the dioxins emission from poly(vinyl chloride) (PVC) incineration&lt;/title&gt;&lt;secondary-title&gt;Polymer Degradation and Stability&lt;/secondary-title&gt;&lt;/titles&gt;&lt;periodical&gt;&lt;full-title&gt;Polymer Degradation and Stability&lt;/full-title&gt;&lt;/periodical&gt;&lt;pages&gt;253-256&lt;/pages&gt;&lt;volume&gt;79&lt;/volume&gt;&lt;number&gt;2&lt;/number&gt;&lt;keywords&gt;&lt;keyword&gt;Dioxins&lt;/keyword&gt;&lt;keyword&gt;CaCO&lt;/keyword&gt;&lt;keyword&gt;PVC&lt;/keyword&gt;&lt;keyword&gt;TiO photocatalyst&lt;/keyword&gt;&lt;/keywords&gt;&lt;dates&gt;&lt;year&gt;2003&lt;/year&gt;&lt;pub-dates&gt;&lt;date&gt;2003/01/01/&lt;/date&gt;&lt;/pub-dates&gt;&lt;/dates&gt;&lt;isbn&gt;0141-3910&lt;/isbn&gt;&lt;urls&gt;&lt;related-urls&gt;&lt;url&gt;https://www.sciencedirect.com/science/article/pii/S0141391002002884&lt;/url&gt;&lt;/related-urls&gt;&lt;/urls&gt;&lt;electronic-resource-num&gt;https://doi.org/10.1016/S0141-3910(02)00288-4&lt;/electronic-resource-num&gt;&lt;/record&gt;&lt;/Cite&gt;&lt;/EndNote&gt;</w:instrText>
      </w:r>
      <w:r>
        <w:rPr>
          <w:rFonts w:ascii="Times New Roman" w:hAnsi="Times New Roman" w:cs="Times New Roman"/>
          <w:iCs/>
          <w:color w:val="000000" w:themeColor="text1"/>
          <w:sz w:val="24"/>
          <w14:textFill>
            <w14:solidFill>
              <w14:schemeClr w14:val="tx1"/>
            </w14:solidFill>
          </w14:textFill>
        </w:rPr>
        <w:fldChar w:fldCharType="separate"/>
      </w:r>
      <w:r>
        <w:rPr>
          <w:rFonts w:hint="eastAsia" w:ascii="Times New Roman" w:hAnsi="Times New Roman" w:cs="Times New Roman" w:eastAsiaTheme="minorEastAsia"/>
          <w:iCs/>
          <w:color w:val="000000" w:themeColor="text1"/>
          <w:kern w:val="2"/>
          <w:sz w:val="24"/>
          <w:szCs w:val="24"/>
          <w:lang w:val="en-US" w:eastAsia="zh-CN" w:bidi="ar-SA"/>
          <w14:textFill>
            <w14:solidFill>
              <w14:schemeClr w14:val="tx1"/>
            </w14:solidFill>
          </w14:textFill>
        </w:rPr>
        <w:t>(2003)</w:t>
      </w:r>
      <w:r>
        <w:rPr>
          <w:rFonts w:ascii="Times New Roman" w:hAnsi="Times New Roman" w:cs="Times New Roman"/>
          <w:iCs/>
          <w:color w:val="000000" w:themeColor="text1"/>
          <w:sz w:val="24"/>
          <w14:textFill>
            <w14:solidFill>
              <w14:schemeClr w14:val="tx1"/>
            </w14:solidFill>
          </w14:textFill>
        </w:rPr>
        <w:fldChar w:fldCharType="end"/>
      </w:r>
      <w:r>
        <w:rPr>
          <w:rFonts w:ascii="Times New Roman" w:hAnsi="Times New Roman" w:cs="Times New Roman"/>
          <w:iCs/>
          <w:color w:val="000000" w:themeColor="text1"/>
          <w:sz w:val="24"/>
          <w14:textFill>
            <w14:solidFill>
              <w14:schemeClr w14:val="tx1"/>
            </w14:solidFill>
          </w14:textFill>
        </w:rPr>
        <w:t xml:space="preserve"> and Wang</w:t>
      </w:r>
      <w:r>
        <w:rPr>
          <w:rFonts w:hint="eastAsia" w:ascii="Times New Roman" w:hAnsi="Times New Roman" w:cs="Times New Roman"/>
          <w:iCs/>
          <w:color w:val="000000" w:themeColor="text1"/>
          <w:sz w:val="24"/>
          <w:lang w:val="en-US" w:eastAsia="zh-CN"/>
          <w14:textFill>
            <w14:solidFill>
              <w14:schemeClr w14:val="tx1"/>
            </w14:solidFill>
          </w14:textFill>
        </w:rPr>
        <w:t xml:space="preserve"> </w:t>
      </w:r>
      <w:r>
        <w:rPr>
          <w:rFonts w:ascii="Times New Roman" w:hAnsi="Times New Roman" w:cs="Times New Roman"/>
          <w:iCs/>
          <w:color w:val="000000" w:themeColor="text1"/>
          <w:sz w:val="24"/>
          <w14:textFill>
            <w14:solidFill>
              <w14:schemeClr w14:val="tx1"/>
            </w14:solidFill>
          </w14:textFill>
        </w:rPr>
        <w:fldChar w:fldCharType="begin"/>
      </w:r>
      <w:r>
        <w:rPr>
          <w:rFonts w:hint="eastAsia" w:ascii="Times New Roman" w:hAnsi="Times New Roman" w:cs="Times New Roman"/>
          <w:iCs/>
          <w:color w:val="000000" w:themeColor="text1"/>
          <w:sz w:val="24"/>
          <w:lang w:eastAsia="zh-CN"/>
          <w14:textFill>
            <w14:solidFill>
              <w14:schemeClr w14:val="tx1"/>
            </w14:solidFill>
          </w14:textFill>
        </w:rPr>
        <w:instrText xml:space="preserve"> ADDIN EN.CITE &lt;EndNote&gt;&lt;Cite ExcludeAuth="1"&gt;&lt;Author&gt;Wang&lt;/Author&gt;&lt;Year&gt;2024&lt;/Year&gt;&lt;RecNum&gt;888&lt;/RecNum&gt;&lt;DisplayText&gt;(2024)&lt;/DisplayText&gt;&lt;record&gt;&lt;rec-number&gt;888&lt;/rec-number&gt;&lt;foreign-keys&gt;&lt;key app="EN" db-id="a0vx9dvem9p0duex9flv0fpn0a2tsfpe5dxp" timestamp="1732455333"&gt;888&lt;/key&gt;&lt;/foreign-keys&gt;&lt;ref-type name="Thesis"&gt;32&lt;/ref-type&gt;&lt;contributors&gt;&lt;authors&gt;&lt;author&gt;Peiyue Wang&lt;/author&gt;&lt;/authors&gt;&lt;tertiary-authors&gt;&lt;author&gt;Xiaodong Li&lt;/author&gt;&lt;/tertiary-authors&gt;&lt;/contributors&gt;&lt;titles&gt;&lt;title&gt;Performance Evaluation and Experimental Study &amp;#xD;on the Adsorption of Gas-phase PCDD/Fs by &amp;#xD;Activated Carbon&lt;/title&gt;&lt;/titles&gt;&lt;keywords&gt;&lt;keyword&gt;Activated Carbon&lt;/keyword&gt;&lt;keyword&gt;Gas-Phase PCDD/Fs&lt;/keyword&gt;&lt;keyword&gt;Performance Evaluation&lt;/keyword&gt;&lt;keyword&gt;Adsorption&lt;/keyword&gt;&lt;keyword&gt;Influencing Factors&lt;/keyword&gt;&lt;keyword&gt;Sulfur Dioxide&lt;/keyword&gt;&lt;keyword&gt;Calcium Oxide&lt;/keyword&gt;&lt;keyword&gt;Microscopic Adsorption Mechanism&lt;/keyword&gt;&lt;/keywords&gt;&lt;dates&gt;&lt;year&gt;2024&lt;/year&gt;&lt;/dates&gt;&lt;publisher&gt;Zhejiang University&lt;/publisher&gt;&lt;work-type&gt;Doctor&lt;/work-type&gt;&lt;urls&gt;&lt;/urls&gt;&lt;electronic-resource-num&gt;10.27461/d.cnki.gzjdx.2024.000024.&lt;/electronic-resource-num&gt;&lt;remote-database-provider&gt;Cnki&lt;/remote-database-provider&gt;&lt;/record&gt;&lt;/Cite&gt;&lt;/EndNote&gt;</w:instrText>
      </w:r>
      <w:r>
        <w:rPr>
          <w:rFonts w:ascii="Times New Roman" w:hAnsi="Times New Roman" w:cs="Times New Roman"/>
          <w:iCs/>
          <w:color w:val="000000" w:themeColor="text1"/>
          <w:sz w:val="24"/>
          <w14:textFill>
            <w14:solidFill>
              <w14:schemeClr w14:val="tx1"/>
            </w14:solidFill>
          </w14:textFill>
        </w:rPr>
        <w:fldChar w:fldCharType="separate"/>
      </w:r>
      <w:r>
        <w:rPr>
          <w:rFonts w:hint="eastAsia" w:ascii="Times New Roman" w:hAnsi="Times New Roman" w:cs="Times New Roman" w:eastAsiaTheme="minorEastAsia"/>
          <w:iCs/>
          <w:color w:val="000000" w:themeColor="text1"/>
          <w:kern w:val="2"/>
          <w:sz w:val="24"/>
          <w:szCs w:val="24"/>
          <w:lang w:val="en-US" w:eastAsia="zh-CN" w:bidi="ar-SA"/>
          <w14:textFill>
            <w14:solidFill>
              <w14:schemeClr w14:val="tx1"/>
            </w14:solidFill>
          </w14:textFill>
        </w:rPr>
        <w:t>(2024)</w:t>
      </w:r>
      <w:r>
        <w:rPr>
          <w:rFonts w:ascii="Times New Roman" w:hAnsi="Times New Roman" w:cs="Times New Roman"/>
          <w:iCs/>
          <w:color w:val="000000" w:themeColor="text1"/>
          <w:sz w:val="24"/>
          <w14:textFill>
            <w14:solidFill>
              <w14:schemeClr w14:val="tx1"/>
            </w14:solidFill>
          </w14:textFill>
        </w:rPr>
        <w:fldChar w:fldCharType="end"/>
      </w:r>
      <w:r>
        <w:rPr>
          <w:rFonts w:ascii="Times New Roman" w:hAnsi="Times New Roman" w:cs="Times New Roman"/>
          <w:iCs/>
          <w:color w:val="000000" w:themeColor="text1"/>
          <w:sz w:val="24"/>
          <w14:textFill>
            <w14:solidFill>
              <w14:schemeClr w14:val="tx1"/>
            </w14:solidFill>
          </w14:textFill>
        </w:rPr>
        <w:t>, we calculated the consumed activated carbon for the absorption of dioxin.</w:t>
      </w:r>
    </w:p>
    <w:p w14:paraId="7F12C46A">
      <w:pPr>
        <w:spacing w:line="480" w:lineRule="auto"/>
        <w:ind w:firstLine="480" w:firstLineChars="200"/>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Combination with the dioxins emission from PVC waste incineration process, the Cl content of PVC waste will release into bottom ash (0.023kg), fly ash (0.031kg) and absorption by CaO (0.516kg), which refers to the research of Ren-De Sun. According to the emission standard for dioxins in incinerators released by China in 2019 was 0.1ng (TEQ/Nm</w:t>
      </w:r>
      <w:r>
        <w:rPr>
          <w:rFonts w:ascii="Times New Roman" w:hAnsi="Times New Roman" w:cs="Times New Roman"/>
          <w:iCs/>
          <w:color w:val="000000" w:themeColor="text1"/>
          <w:sz w:val="24"/>
          <w:vertAlign w:val="superscript"/>
          <w14:textFill>
            <w14:solidFill>
              <w14:schemeClr w14:val="tx1"/>
            </w14:solidFill>
          </w14:textFill>
        </w:rPr>
        <w:t>3</w:t>
      </w:r>
      <w:r>
        <w:rPr>
          <w:rFonts w:ascii="Times New Roman" w:hAnsi="Times New Roman" w:cs="Times New Roman"/>
          <w:iCs/>
          <w:color w:val="000000" w:themeColor="text1"/>
          <w:sz w:val="24"/>
          <w:vertAlign w:val="baseline"/>
          <w14:textFill>
            <w14:solidFill>
              <w14:schemeClr w14:val="tx1"/>
            </w14:solidFill>
          </w14:textFill>
        </w:rPr>
        <w:t>)</w:t>
      </w:r>
      <w:r>
        <w:rPr>
          <w:rFonts w:hint="eastAsia" w:ascii="Times New Roman" w:hAnsi="Times New Roman" w:cs="Times New Roman"/>
          <w:iCs/>
          <w:color w:val="000000" w:themeColor="text1"/>
          <w:sz w:val="24"/>
          <w:vertAlign w:val="baseline"/>
          <w:lang w:val="en-US" w:eastAsia="zh-CN"/>
          <w14:textFill>
            <w14:solidFill>
              <w14:schemeClr w14:val="tx1"/>
            </w14:solidFill>
          </w14:textFill>
        </w:rPr>
        <w:t xml:space="preserve"> </w:t>
      </w:r>
      <w:r>
        <w:rPr>
          <w:rFonts w:ascii="Times New Roman" w:hAnsi="Times New Roman" w:cs="Times New Roman"/>
          <w:iCs/>
          <w:color w:val="000000" w:themeColor="text1"/>
          <w:sz w:val="24"/>
          <w:vertAlign w:val="baseline"/>
          <w14:textFill>
            <w14:solidFill>
              <w14:schemeClr w14:val="tx1"/>
            </w14:solidFill>
          </w14:textFill>
        </w:rPr>
        <w:fldChar w:fldCharType="begin"/>
      </w:r>
      <w:r>
        <w:rPr>
          <w:rFonts w:ascii="Times New Roman" w:hAnsi="Times New Roman" w:cs="Times New Roman"/>
          <w:iCs/>
          <w:color w:val="000000" w:themeColor="text1"/>
          <w:sz w:val="24"/>
          <w:vertAlign w:val="baseline"/>
          <w14:textFill>
            <w14:solidFill>
              <w14:schemeClr w14:val="tx1"/>
            </w14:solidFill>
          </w14:textFill>
        </w:rPr>
        <w:instrText xml:space="preserve"> ADDIN EN.CITE &lt;EndNote&gt;&lt;Cite&gt;&lt;Author&gt;China&lt;/Author&gt;&lt;Year&gt;2019&lt;/Year&gt;&lt;RecNum&gt;1018&lt;/RecNum&gt;&lt;DisplayText&gt;(China 2019)&lt;/DisplayText&gt;&lt;record&gt;&lt;rec-number&gt;1018&lt;/rec-number&gt;&lt;foreign-keys&gt;&lt;key app="EN" db-id="a0vx9dvem9p0duex9flv0fpn0a2tsfpe5dxp" timestamp="1740824023"&gt;1018&lt;/key&gt;&lt;/foreign-keys&gt;&lt;ref-type name="Standard"&gt;58&lt;/ref-type&gt;&lt;contributors&gt;&lt;authors&gt;&lt;author&gt;China&lt;/author&gt;&lt;/authors&gt;&lt;/contributors&gt;&lt;titles&gt;&lt;title&gt;GB 18485-2014/XG1-2019: Standard for pollution control on the municipal solid waste incineration, includes Amendment 1&lt;/title&gt;&lt;/titles&gt;&lt;dates&gt;&lt;year&gt;2019&lt;/year&gt;&lt;/dates&gt;&lt;urls&gt;&lt;related-urls&gt;&lt;url&gt;https://www.codeofchina.com/standard/GB18485-2014XG1-2019.html&lt;/url&gt;&lt;/related-urls&gt;&lt;/urls&gt;&lt;/record&gt;&lt;/Cite&gt;&lt;/EndNote&gt;</w:instrText>
      </w:r>
      <w:r>
        <w:rPr>
          <w:rFonts w:ascii="Times New Roman" w:hAnsi="Times New Roman" w:cs="Times New Roman"/>
          <w:iCs/>
          <w:color w:val="000000" w:themeColor="text1"/>
          <w:sz w:val="24"/>
          <w:vertAlign w:val="baseline"/>
          <w14:textFill>
            <w14:solidFill>
              <w14:schemeClr w14:val="tx1"/>
            </w14:solidFill>
          </w14:textFill>
        </w:rPr>
        <w:fldChar w:fldCharType="separate"/>
      </w:r>
      <w:r>
        <w:rPr>
          <w:rFonts w:ascii="Times New Roman" w:hAnsi="Times New Roman" w:cs="Times New Roman"/>
          <w:iCs/>
          <w:color w:val="000000" w:themeColor="text1"/>
          <w:sz w:val="24"/>
          <w:vertAlign w:val="baseline"/>
          <w14:textFill>
            <w14:solidFill>
              <w14:schemeClr w14:val="tx1"/>
            </w14:solidFill>
          </w14:textFill>
        </w:rPr>
        <w:t>(China 2019)</w:t>
      </w:r>
      <w:r>
        <w:rPr>
          <w:rFonts w:ascii="Times New Roman" w:hAnsi="Times New Roman" w:cs="Times New Roman"/>
          <w:iCs/>
          <w:color w:val="000000" w:themeColor="text1"/>
          <w:sz w:val="24"/>
          <w:vertAlign w:val="baseline"/>
          <w14:textFill>
            <w14:solidFill>
              <w14:schemeClr w14:val="tx1"/>
            </w14:solidFill>
          </w14:textFill>
        </w:rPr>
        <w:fldChar w:fldCharType="end"/>
      </w:r>
      <w:r>
        <w:rPr>
          <w:rFonts w:ascii="Times New Roman" w:hAnsi="Times New Roman" w:cs="Times New Roman"/>
          <w:iCs/>
          <w:color w:val="000000" w:themeColor="text1"/>
          <w:sz w:val="24"/>
          <w14:textFill>
            <w14:solidFill>
              <w14:schemeClr w14:val="tx1"/>
            </w14:solidFill>
          </w14:textFill>
        </w:rPr>
        <w:t>,while the dioxin concentration from PVC waste incineration is 13.84 ng/kg, which is equaling to 7.974ng (TEQ/Nm</w:t>
      </w:r>
      <w:r>
        <w:rPr>
          <w:rFonts w:ascii="Times New Roman" w:hAnsi="Times New Roman" w:cs="Times New Roman"/>
          <w:iCs/>
          <w:color w:val="000000" w:themeColor="text1"/>
          <w:sz w:val="24"/>
          <w:vertAlign w:val="superscript"/>
          <w14:textFill>
            <w14:solidFill>
              <w14:schemeClr w14:val="tx1"/>
            </w14:solidFill>
          </w14:textFill>
        </w:rPr>
        <w:t>3</w:t>
      </w:r>
      <w:r>
        <w:rPr>
          <w:rFonts w:ascii="Times New Roman" w:hAnsi="Times New Roman" w:cs="Times New Roman"/>
          <w:iCs/>
          <w:color w:val="000000" w:themeColor="text1"/>
          <w:sz w:val="24"/>
          <w14:textFill>
            <w14:solidFill>
              <w14:schemeClr w14:val="tx1"/>
            </w14:solidFill>
          </w14:textFill>
        </w:rPr>
        <w:t>). In order to achieve the demand of standard, it is necessary to decrease the emission of dioxins by activated carbon. Based on the study of Wang, the correlation between activated carbon dosage and dioxin removal efficiency can be calculated by the below formula:</w:t>
      </w:r>
    </w:p>
    <w:p w14:paraId="75CC1589">
      <w:pPr>
        <w:spacing w:line="480" w:lineRule="auto"/>
        <w:rPr>
          <w:rFonts w:ascii="Times New Roman" w:hAnsi="Times New Roman" w:cs="Times New Roman"/>
          <w:iCs/>
          <w:color w:val="000000" w:themeColor="text1"/>
          <w:sz w:val="24"/>
          <w14:textFill>
            <w14:solidFill>
              <w14:schemeClr w14:val="tx1"/>
            </w14:solidFill>
          </w14:textFill>
        </w:rPr>
      </w:pPr>
      <m:oMathPara>
        <m:oMath>
          <m:r>
            <m:rPr>
              <m:sty m:val="p"/>
            </m:rPr>
            <w:rPr>
              <w:rFonts w:ascii="Cambria Math" w:hAnsi="Cambria Math" w:cs="Times New Roman"/>
              <w:color w:val="000000" w:themeColor="text1"/>
              <w:sz w:val="24"/>
              <w14:textFill>
                <w14:solidFill>
                  <w14:schemeClr w14:val="tx1"/>
                </w14:solidFill>
              </w14:textFill>
            </w:rPr>
            <m:t>Y=</m:t>
          </m:r>
          <m:d>
            <m:dPr>
              <m:begChr m:val="["/>
              <m:endChr m:val="]"/>
              <m:ctrlPr>
                <w:rPr>
                  <w:rFonts w:ascii="Cambria Math" w:hAnsi="Cambria Math" w:cs="Times New Roman"/>
                  <w:iCs/>
                  <w:color w:val="000000" w:themeColor="text1"/>
                  <w:sz w:val="24"/>
                  <w14:textFill>
                    <w14:solidFill>
                      <w14:schemeClr w14:val="tx1"/>
                    </w14:solidFill>
                  </w14:textFill>
                </w:rPr>
              </m:ctrlPr>
            </m:dPr>
            <m:e>
              <m:r>
                <m:rPr>
                  <m:sty m:val="p"/>
                </m:rPr>
                <w:rPr>
                  <w:rFonts w:ascii="Cambria Math" w:hAnsi="Cambria Math" w:cs="Times New Roman"/>
                  <w:color w:val="000000" w:themeColor="text1"/>
                  <w:sz w:val="24"/>
                  <w14:textFill>
                    <w14:solidFill>
                      <w14:schemeClr w14:val="tx1"/>
                    </w14:solidFill>
                  </w14:textFill>
                </w:rPr>
                <m:t>−140.3∗</m:t>
              </m:r>
              <m:sSup>
                <m:sSupPr>
                  <m:ctrlPr>
                    <w:rPr>
                      <w:rFonts w:ascii="Cambria Math" w:hAnsi="Cambria Math" w:cs="Times New Roman"/>
                      <w:iCs/>
                      <w:color w:val="000000" w:themeColor="text1"/>
                      <w:sz w:val="24"/>
                      <w14:textFill>
                        <w14:solidFill>
                          <w14:schemeClr w14:val="tx1"/>
                        </w14:solidFill>
                      </w14:textFill>
                    </w:rPr>
                  </m:ctrlPr>
                </m:sSupPr>
                <m:e>
                  <m:r>
                    <m:rPr>
                      <m:sty m:val="p"/>
                    </m:rPr>
                    <w:rPr>
                      <w:rFonts w:ascii="Cambria Math" w:hAnsi="Cambria Math" w:cs="Times New Roman"/>
                      <w:color w:val="000000" w:themeColor="text1"/>
                      <w:sz w:val="24"/>
                      <w14:textFill>
                        <w14:solidFill>
                          <w14:schemeClr w14:val="tx1"/>
                        </w14:solidFill>
                      </w14:textFill>
                    </w:rPr>
                    <m:t>e</m:t>
                  </m:r>
                  <m:ctrlPr>
                    <w:rPr>
                      <w:rFonts w:ascii="Cambria Math" w:hAnsi="Cambria Math" w:cs="Times New Roman"/>
                      <w:iCs/>
                      <w:color w:val="000000" w:themeColor="text1"/>
                      <w:sz w:val="24"/>
                      <w14:textFill>
                        <w14:solidFill>
                          <w14:schemeClr w14:val="tx1"/>
                        </w14:solidFill>
                      </w14:textFill>
                    </w:rPr>
                  </m:ctrlPr>
                </m:e>
                <m:sup>
                  <m:d>
                    <m:dPr>
                      <m:ctrlPr>
                        <w:rPr>
                          <w:rFonts w:ascii="Cambria Math" w:hAnsi="Cambria Math" w:cs="Times New Roman"/>
                          <w:iCs/>
                          <w:color w:val="000000" w:themeColor="text1"/>
                          <w:sz w:val="24"/>
                          <w14:textFill>
                            <w14:solidFill>
                              <w14:schemeClr w14:val="tx1"/>
                            </w14:solidFill>
                          </w14:textFill>
                        </w:rPr>
                      </m:ctrlPr>
                    </m:dPr>
                    <m:e>
                      <m:r>
                        <m:rPr>
                          <m:sty m:val="p"/>
                        </m:rPr>
                        <w:rPr>
                          <w:rFonts w:ascii="Cambria Math" w:hAnsi="Cambria Math" w:cs="Times New Roman"/>
                          <w:color w:val="000000" w:themeColor="text1"/>
                          <w:sz w:val="24"/>
                          <w14:textFill>
                            <w14:solidFill>
                              <w14:schemeClr w14:val="tx1"/>
                            </w14:solidFill>
                          </w14:textFill>
                        </w:rPr>
                        <m:t>−</m:t>
                      </m:r>
                      <m:f>
                        <m:fPr>
                          <m:ctrlPr>
                            <w:rPr>
                              <w:rFonts w:ascii="Cambria Math" w:hAnsi="Cambria Math" w:cs="Times New Roman"/>
                              <w:iCs/>
                              <w:color w:val="000000" w:themeColor="text1"/>
                              <w:sz w:val="24"/>
                              <w14:textFill>
                                <w14:solidFill>
                                  <w14:schemeClr w14:val="tx1"/>
                                </w14:solidFill>
                              </w14:textFill>
                            </w:rPr>
                          </m:ctrlPr>
                        </m:fPr>
                        <m:num>
                          <m:r>
                            <m:rPr>
                              <m:sty m:val="p"/>
                            </m:rPr>
                            <w:rPr>
                              <w:rFonts w:ascii="Cambria Math" w:hAnsi="Cambria Math" w:cs="Times New Roman"/>
                              <w:color w:val="000000" w:themeColor="text1"/>
                              <w:sz w:val="24"/>
                              <w14:textFill>
                                <w14:solidFill>
                                  <w14:schemeClr w14:val="tx1"/>
                                </w14:solidFill>
                              </w14:textFill>
                            </w:rPr>
                            <m:t>x</m:t>
                          </m:r>
                          <m:ctrlPr>
                            <w:rPr>
                              <w:rFonts w:ascii="Cambria Math" w:hAnsi="Cambria Math" w:cs="Times New Roman"/>
                              <w:iCs/>
                              <w:color w:val="000000" w:themeColor="text1"/>
                              <w:sz w:val="24"/>
                              <w14:textFill>
                                <w14:solidFill>
                                  <w14:schemeClr w14:val="tx1"/>
                                </w14:solidFill>
                              </w14:textFill>
                            </w:rPr>
                          </m:ctrlPr>
                        </m:num>
                        <m:den>
                          <m:r>
                            <m:rPr>
                              <m:sty m:val="p"/>
                            </m:rPr>
                            <w:rPr>
                              <w:rFonts w:ascii="Cambria Math" w:hAnsi="Cambria Math" w:cs="Times New Roman"/>
                              <w:color w:val="000000" w:themeColor="text1"/>
                              <w:sz w:val="24"/>
                              <w14:textFill>
                                <w14:solidFill>
                                  <w14:schemeClr w14:val="tx1"/>
                                </w14:solidFill>
                              </w14:textFill>
                            </w:rPr>
                            <m:t>0.075</m:t>
                          </m:r>
                          <m:ctrlPr>
                            <w:rPr>
                              <w:rFonts w:ascii="Cambria Math" w:hAnsi="Cambria Math" w:cs="Times New Roman"/>
                              <w:iCs/>
                              <w:color w:val="000000" w:themeColor="text1"/>
                              <w:sz w:val="24"/>
                              <w14:textFill>
                                <w14:solidFill>
                                  <w14:schemeClr w14:val="tx1"/>
                                </w14:solidFill>
                              </w14:textFill>
                            </w:rPr>
                          </m:ctrlPr>
                        </m:den>
                      </m:f>
                      <m:ctrlPr>
                        <w:rPr>
                          <w:rFonts w:ascii="Cambria Math" w:hAnsi="Cambria Math" w:cs="Times New Roman"/>
                          <w:iCs/>
                          <w:color w:val="000000" w:themeColor="text1"/>
                          <w:sz w:val="24"/>
                          <w14:textFill>
                            <w14:solidFill>
                              <w14:schemeClr w14:val="tx1"/>
                            </w14:solidFill>
                          </w14:textFill>
                        </w:rPr>
                      </m:ctrlPr>
                    </m:e>
                  </m:d>
                  <m:ctrlPr>
                    <w:rPr>
                      <w:rFonts w:ascii="Cambria Math" w:hAnsi="Cambria Math" w:cs="Times New Roman"/>
                      <w:iCs/>
                      <w:color w:val="000000" w:themeColor="text1"/>
                      <w:sz w:val="24"/>
                      <w14:textFill>
                        <w14:solidFill>
                          <w14:schemeClr w14:val="tx1"/>
                        </w14:solidFill>
                      </w14:textFill>
                    </w:rPr>
                  </m:ctrlPr>
                </m:sup>
              </m:sSup>
              <m:ctrlPr>
                <w:rPr>
                  <w:rFonts w:ascii="Cambria Math" w:hAnsi="Cambria Math" w:cs="Times New Roman"/>
                  <w:iCs/>
                  <w:color w:val="000000" w:themeColor="text1"/>
                  <w:sz w:val="24"/>
                  <w14:textFill>
                    <w14:solidFill>
                      <w14:schemeClr w14:val="tx1"/>
                    </w14:solidFill>
                  </w14:textFill>
                </w:rPr>
              </m:ctrlPr>
            </m:e>
          </m:d>
          <m:r>
            <m:rPr>
              <m:sty m:val="p"/>
            </m:rPr>
            <w:rPr>
              <w:rFonts w:ascii="Cambria Math" w:hAnsi="Cambria Math" w:cs="Times New Roman"/>
              <w:color w:val="000000" w:themeColor="text1"/>
              <w:sz w:val="24"/>
              <w14:textFill>
                <w14:solidFill>
                  <w14:schemeClr w14:val="tx1"/>
                </w14:solidFill>
              </w14:textFill>
            </w:rPr>
            <m:t>+102.7</m:t>
          </m:r>
        </m:oMath>
      </m:oMathPara>
    </w:p>
    <w:p w14:paraId="649CC26B">
      <w:pPr>
        <w:spacing w:line="480" w:lineRule="auto"/>
        <w:rPr>
          <w:rFonts w:ascii="Times New Roman" w:hAnsi="Times New Roman" w:cs="Times New Roman"/>
          <w:iCs/>
          <w:color w:val="000000" w:themeColor="text1"/>
          <w:sz w:val="24"/>
          <w14:textFill>
            <w14:solidFill>
              <w14:schemeClr w14:val="tx1"/>
            </w14:solidFill>
          </w14:textFill>
        </w:rPr>
      </w:pPr>
    </w:p>
    <w:p w14:paraId="52586925">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Y: the dioxin removal efficiency(%)</w:t>
      </w:r>
    </w:p>
    <w:p w14:paraId="75D1605C">
      <w:pPr>
        <w:spacing w:line="480" w:lineRule="auto"/>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x: the activated carbon consumption(g)</w:t>
      </w:r>
    </w:p>
    <w:p w14:paraId="41F70590">
      <w:pPr>
        <w:spacing w:line="480" w:lineRule="auto"/>
        <w:ind w:firstLine="480" w:firstLineChars="200"/>
        <w:rPr>
          <w:rFonts w:ascii="Times New Roman" w:hAnsi="Times New Roman" w:cs="Times New Roman"/>
          <w:iCs/>
          <w:color w:val="000000" w:themeColor="text1"/>
          <w:sz w:val="24"/>
          <w14:textFill>
            <w14:solidFill>
              <w14:schemeClr w14:val="tx1"/>
            </w14:solidFill>
          </w14:textFill>
        </w:rPr>
      </w:pPr>
      <w:r>
        <w:rPr>
          <w:rFonts w:ascii="Times New Roman" w:hAnsi="Times New Roman" w:cs="Times New Roman"/>
          <w:iCs/>
          <w:color w:val="000000" w:themeColor="text1"/>
          <w:sz w:val="24"/>
          <w14:textFill>
            <w14:solidFill>
              <w14:schemeClr w14:val="tx1"/>
            </w14:solidFill>
          </w14:textFill>
        </w:rPr>
        <w:t>By this function, the activated carbon will be consumed 0.268g, when the removal efficiency is 98.75%.</w:t>
      </w:r>
    </w:p>
    <w:p w14:paraId="52C71650">
      <w:pPr>
        <w:numPr>
          <w:ilvl w:val="0"/>
          <w:numId w:val="1"/>
        </w:numPr>
        <w:spacing w:line="480" w:lineRule="auto"/>
        <w:rPr>
          <w:rFonts w:ascii="Times New Roman" w:hAnsi="Times New Roman" w:cs="Times New Roman"/>
          <w:sz w:val="24"/>
        </w:rPr>
      </w:pPr>
      <w:r>
        <w:rPr>
          <w:rFonts w:ascii="Times New Roman" w:hAnsi="Times New Roman" w:cs="Times New Roman"/>
          <w:sz w:val="24"/>
        </w:rPr>
        <w:t>Mechanical recycling (MR)</w:t>
      </w:r>
    </w:p>
    <w:p w14:paraId="06E09483">
      <w:pPr>
        <w:spacing w:line="480" w:lineRule="auto"/>
        <w:ind w:firstLine="480" w:firstLineChars="20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Data on the MR treatment process of PVC waste was collected through the previous research on the recycling process of waste plastic, which has been published</w:t>
      </w:r>
      <w:r>
        <w:rPr>
          <w:rFonts w:hint="eastAsia" w:ascii="Times New Roman" w:hAnsi="Times New Roman" w:cs="Times New Roman"/>
          <w:color w:val="000000" w:themeColor="text1"/>
          <w:sz w:val="24"/>
          <w:lang w:val="en-US" w:eastAsia="zh-CN"/>
          <w14:textFill>
            <w14:solidFill>
              <w14:schemeClr w14:val="tx1"/>
            </w14:solidFill>
          </w14:textFill>
        </w:rPr>
        <w:t xml:space="preserve"> </w:t>
      </w: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ADDIN EN.CITE &lt;EndNote&gt;&lt;Cite&gt;&lt;Author&gt;Han&lt;/Author&gt;&lt;Year&gt;2024&lt;/Year&gt;&lt;RecNum&gt;292&lt;/RecNum&gt;&lt;DisplayText&gt;(Han 2024)&lt;/DisplayText&gt;&lt;record&gt;&lt;rec-number&gt;292&lt;/rec-number&gt;&lt;foreign-keys&gt;&lt;key app="EN" db-id="a0vx9dvem9p0duex9flv0fpn0a2tsfpe5dxp" timestamp="1699446710"&gt;292&lt;/key&gt;&lt;/foreign-keys&gt;&lt;ref-type name="Journal Article"&gt;17&lt;/ref-type&gt;&lt;contributors&gt;&lt;authors&gt;&lt;author&gt;Han, Mengqi&lt;/author&gt;&lt;author&gt;Wu, Yinglei&lt;/author&gt;&lt;author&gt;Sun, Jian&lt;/author&gt;&lt;author&gt;Geng, Xiaomeng&lt;/author&gt;&lt;author&gt;Gao, Xiaofeng&lt;/author&gt;&lt;author&gt;Zhou, Tao&lt;/author&gt;&lt;author&gt;Lu, Jiaqi&lt;/author&gt;&lt;/authors&gt;&lt;/contributors&gt;&lt;titles&gt;&lt;title&gt;Carbon feasibility of terminating plastic waste leakage by landfill mining: A case study based on practical projects in China&lt;/title&gt;&lt;secondary-title&gt;Science of The Total Environment&lt;/secondary-title&gt;&lt;/titles&gt;&lt;periodical&gt;&lt;full-title&gt;Science of The Total Environment&lt;/full-title&gt;&lt;/periodical&gt;&lt;pages&gt;167461&lt;/pages&gt;&lt;volume&gt;906&lt;/volume&gt;&lt;keywords&gt;&lt;keyword&gt;Aged-refuse&lt;/keyword&gt;&lt;keyword&gt;Plastic waste&lt;/keyword&gt;&lt;keyword&gt;Landfill mining&lt;/keyword&gt;&lt;keyword&gt;Carbon footprint&lt;/keyword&gt;&lt;keyword&gt;Decarbonization&lt;/keyword&gt;&lt;keyword&gt;Substance flow analysis&lt;/keyword&gt;&lt;/keywords&gt;&lt;dates&gt;&lt;year&gt;2024&lt;/year&gt;&lt;pub-dates&gt;&lt;date&gt;2024/01/01/&lt;/date&gt;&lt;/pub-dates&gt;&lt;/dates&gt;&lt;isbn&gt;0048-9697&lt;/isbn&gt;&lt;urls&gt;&lt;related-urls&gt;&lt;url&gt;https://www.sciencedirect.com/science/article/pii/S0048969723060886&lt;/url&gt;&lt;/related-urls&gt;&lt;/urls&gt;&lt;electronic-resource-num&gt;https://doi.org/10.1016/j.scitotenv.2023.167461&lt;/electronic-resource-num&gt;&lt;/record&gt;&lt;/Cite&gt;&lt;/EndNote&gt;</w:instrText>
      </w:r>
      <w:r>
        <w:rPr>
          <w:rFonts w:ascii="Times New Roman" w:hAnsi="Times New Roman" w:cs="Times New Roman"/>
          <w:color w:val="000000" w:themeColor="text1"/>
          <w:sz w:val="24"/>
          <w14:textFill>
            <w14:solidFill>
              <w14:schemeClr w14:val="tx1"/>
            </w14:solidFill>
          </w14:textFill>
        </w:rPr>
        <w:fldChar w:fldCharType="separate"/>
      </w:r>
      <w:r>
        <w:rPr>
          <w:rFonts w:ascii="Times New Roman" w:hAnsi="Times New Roman" w:cs="Times New Roman"/>
          <w:color w:val="000000" w:themeColor="text1"/>
          <w:sz w:val="24"/>
          <w14:textFill>
            <w14:solidFill>
              <w14:schemeClr w14:val="tx1"/>
            </w14:solidFill>
          </w14:textFill>
        </w:rPr>
        <w:t>(Han 2024)</w:t>
      </w:r>
      <w:r>
        <w:rPr>
          <w:rFonts w:ascii="Times New Roman" w:hAnsi="Times New Roman" w:cs="Times New Roman"/>
          <w:color w:val="000000" w:themeColor="text1"/>
          <w:sz w:val="24"/>
          <w14:textFill>
            <w14:solidFill>
              <w14:schemeClr w14:val="tx1"/>
            </w14:solidFill>
          </w14:textFill>
        </w:rPr>
        <w:fldChar w:fldCharType="end"/>
      </w:r>
      <w:r>
        <w:rPr>
          <w:rFonts w:ascii="Times New Roman" w:hAnsi="Times New Roman" w:cs="Times New Roman"/>
          <w:color w:val="000000" w:themeColor="text1"/>
          <w:sz w:val="24"/>
          <w14:textFill>
            <w14:solidFill>
              <w14:schemeClr w14:val="tx1"/>
            </w14:solidFill>
          </w14:textFill>
        </w:rPr>
        <w:t>.</w:t>
      </w:r>
    </w:p>
    <w:p w14:paraId="1D54191E">
      <w:pPr>
        <w:numPr>
          <w:ilvl w:val="0"/>
          <w:numId w:val="1"/>
        </w:numPr>
        <w:spacing w:line="480" w:lineRule="auto"/>
        <w:rPr>
          <w:rFonts w:ascii="Times New Roman" w:hAnsi="Times New Roman" w:cs="Times New Roman"/>
          <w:sz w:val="24"/>
        </w:rPr>
      </w:pPr>
      <w:r>
        <w:rPr>
          <w:rFonts w:ascii="Times New Roman" w:hAnsi="Times New Roman" w:cs="Times New Roman"/>
          <w:sz w:val="24"/>
        </w:rPr>
        <w:t>Chemical recycling (CR)</w:t>
      </w:r>
    </w:p>
    <w:p w14:paraId="12BA36E1">
      <w:pPr>
        <w:spacing w:line="480" w:lineRule="auto"/>
        <w:ind w:firstLine="480" w:firstLineChars="200"/>
        <w:rPr>
          <w:rFonts w:ascii="Times New Roman" w:hAnsi="Times New Roman" w:cs="Times New Roman"/>
          <w:sz w:val="24"/>
        </w:rPr>
      </w:pPr>
      <w:r>
        <w:rPr>
          <w:rFonts w:ascii="Times New Roman" w:hAnsi="Times New Roman" w:cs="Times New Roman"/>
          <w:sz w:val="24"/>
        </w:rPr>
        <w:t xml:space="preserve">The foreground data of the CR process of PVC waste were obtained from the literature of Lu </w:t>
      </w:r>
      <w:r>
        <w:rPr>
          <w:rFonts w:ascii="Times New Roman" w:hAnsi="Times New Roman" w:cs="Times New Roman"/>
          <w:sz w:val="24"/>
        </w:rPr>
        <w:fldChar w:fldCharType="begin"/>
      </w:r>
      <w:r>
        <w:rPr>
          <w:rFonts w:hint="eastAsia" w:ascii="Times New Roman" w:hAnsi="Times New Roman" w:cs="Times New Roman"/>
          <w:sz w:val="24"/>
          <w:lang w:eastAsia="zh-CN"/>
        </w:rPr>
        <w:instrText xml:space="preserve"> ADDIN EN.CITE &lt;EndNote&gt;&lt;Cite ExcludeAuth="1"&gt;&lt;Author&gt;Lu&lt;/Author&gt;&lt;Year&gt;2020&lt;/Year&gt;&lt;RecNum&gt;224&lt;/RecNum&gt;&lt;DisplayText&gt;(2020)&lt;/DisplayText&gt;&lt;record&gt;&lt;rec-number&gt;224&lt;/rec-number&gt;&lt;foreign-keys&gt;&lt;key app="EN" db-id="a0vx9dvem9p0duex9flv0fpn0a2tsfpe5dxp" timestamp="1688283292"&gt;224&lt;/key&gt;&lt;/foreign-keys&gt;&lt;ref-type name="Journal Article"&gt;17&lt;/ref-type&gt;&lt;contributors&gt;&lt;authors&gt;&lt;author&gt;Lu, Jiaqi&lt;/author&gt;&lt;author&gt;Kumagai, Shogo&lt;/author&gt;&lt;author&gt;Fukushima, Yasuhiro&lt;/author&gt;&lt;author&gt;Ohno, Hajime&lt;/author&gt;&lt;author&gt;Kameda, Tomohito&lt;/author&gt;&lt;author&gt;Saito, Yuko&lt;/author&gt;&lt;author&gt;Yoshioka, Toshiaki&lt;/author&gt;&lt;/authors&gt;&lt;/contributors&gt;&lt;titles&gt;&lt;title&gt;Combined experiment, simulation, and Ex-ante LCA approach for sustainable Cl recovery from NaCl/ethylene glycol by electrodialysis&lt;/title&gt;&lt;secondary-title&gt;Industrial &amp;amp; Engineering Chemistry Research&lt;/secondary-title&gt;&lt;/titles&gt;&lt;pages&gt;20112-20122&lt;/pages&gt;&lt;volume&gt;59&lt;/volume&gt;&lt;number&gt;45&lt;/number&gt;&lt;dates&gt;&lt;year&gt;2020&lt;/year&gt;&lt;pub-dates&gt;&lt;date&gt;2020/11/11&lt;/date&gt;&lt;/pub-dates&gt;&lt;/dates&gt;&lt;publisher&gt;American Chemical Society&lt;/publisher&gt;&lt;isbn&gt;0888-5885&lt;/isbn&gt;&lt;urls&gt;&lt;related-urls&gt;&lt;url&gt;https://doi.org/10.1021/acs.iecr.0c03565&lt;/url&gt;&lt;/related-urls&gt;&lt;/urls&gt;&lt;electronic-resource-num&gt;10.1021/acs.iecr.0c03565&lt;/electronic-resource-num&gt;&lt;/record&gt;&lt;/Cite&gt;&lt;/EndNote&gt;</w:instrText>
      </w:r>
      <w:r>
        <w:rPr>
          <w:rFonts w:ascii="Times New Roman" w:hAnsi="Times New Roman" w:cs="Times New Roman"/>
          <w:sz w:val="24"/>
        </w:rPr>
        <w:fldChar w:fldCharType="separate"/>
      </w:r>
      <w:r>
        <w:rPr>
          <w:rFonts w:hint="eastAsia" w:ascii="Times New Roman" w:hAnsi="Times New Roman" w:cs="Times New Roman" w:eastAsiaTheme="minorEastAsia"/>
          <w:kern w:val="2"/>
          <w:sz w:val="24"/>
          <w:szCs w:val="24"/>
          <w:lang w:val="en-US" w:eastAsia="zh-CN" w:bidi="ar-SA"/>
        </w:rPr>
        <w:t>(2020)</w:t>
      </w:r>
      <w:r>
        <w:rPr>
          <w:rFonts w:ascii="Times New Roman" w:hAnsi="Times New Roman" w:cs="Times New Roman"/>
          <w:sz w:val="24"/>
        </w:rPr>
        <w:fldChar w:fldCharType="end"/>
      </w:r>
      <w:r>
        <w:rPr>
          <w:rFonts w:ascii="Times New Roman" w:hAnsi="Times New Roman" w:cs="Times New Roman"/>
          <w:sz w:val="24"/>
        </w:rPr>
        <w:t xml:space="preserve"> and factory research, which respectively analyzed the chlorine recovery process of PVC waste, in which pre-dechlorination treatment is carried out by using a ball mill at 190 ℃ to remove chlorine from PVC waste in the form of chloride salts through sodium hydroxide and ethylene glycol solutions, obtaining a sodium chloride/ethylene glycol solution. Sodium chloride/ethylene glycol solution is separated by electrodialysis treatment, and the obtained chloride salt solution forms solid sodium chloride through evaporation crystallization. The separated ethylene glycol solution enters the dechlorination process again, reducing the waste of organic solution. The dechlorinated hydrocarbons are converted into petrochemical products through cracking treatment.</w:t>
      </w:r>
    </w:p>
    <w:p w14:paraId="3CFC3EBA">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3515995" cy="3744595"/>
            <wp:effectExtent l="0" t="0" r="825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515995" cy="3744595"/>
                    </a:xfrm>
                    <a:prstGeom prst="rect">
                      <a:avLst/>
                    </a:prstGeom>
                    <a:noFill/>
                    <a:ln>
                      <a:noFill/>
                    </a:ln>
                  </pic:spPr>
                </pic:pic>
              </a:graphicData>
            </a:graphic>
          </wp:inline>
        </w:drawing>
      </w:r>
    </w:p>
    <w:p w14:paraId="50869DCF">
      <w:pPr>
        <w:pStyle w:val="2"/>
        <w:jc w:val="center"/>
        <w:rPr>
          <w:rFonts w:ascii="Times New Roman" w:hAnsi="Times New Roman" w:cs="Times New Roman"/>
          <w:sz w:val="21"/>
          <w:szCs w:val="21"/>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ascii="Times New Roman" w:hAnsi="Times New Roman" w:cs="Times New Roman"/>
          <w:sz w:val="21"/>
          <w:szCs w:val="21"/>
        </w:rPr>
        <w:t xml:space="preserve">. The chemical recycling system of PVC waste </w:t>
      </w:r>
    </w:p>
    <w:p w14:paraId="66C5247F">
      <w:pPr>
        <w:rPr>
          <w:rFonts w:ascii="Times New Roman" w:hAnsi="Times New Roman" w:cs="Times New Roman"/>
          <w:i/>
          <w:iCs/>
          <w:sz w:val="24"/>
        </w:rPr>
      </w:pPr>
      <w:r>
        <w:rPr>
          <w:rFonts w:ascii="Times New Roman" w:hAnsi="Times New Roman" w:cs="Times New Roman"/>
          <w:i/>
          <w:iCs/>
          <w:sz w:val="24"/>
        </w:rPr>
        <w:br w:type="page"/>
      </w:r>
    </w:p>
    <w:p w14:paraId="5475169F">
      <w:pPr>
        <w:spacing w:line="480" w:lineRule="auto"/>
        <w:rPr>
          <w:rFonts w:ascii="Times New Roman" w:hAnsi="Times New Roman" w:cs="Times New Roman"/>
          <w:i/>
          <w:iCs/>
          <w:sz w:val="24"/>
        </w:rPr>
      </w:pPr>
      <w:r>
        <w:rPr>
          <w:rFonts w:ascii="Times New Roman" w:hAnsi="Times New Roman" w:cs="Times New Roman"/>
          <w:i/>
          <w:iCs/>
          <w:sz w:val="24"/>
        </w:rPr>
        <w:t>1.1.2 Data inventory</w:t>
      </w:r>
    </w:p>
    <w:p w14:paraId="7F84473B">
      <w:pPr>
        <w:pStyle w:val="2"/>
        <w:rPr>
          <w:rFonts w:ascii="Times New Roman" w:hAnsi="Times New Roman" w:cs="Times New Roman"/>
          <w:sz w:val="21"/>
          <w:szCs w:val="21"/>
        </w:rPr>
      </w:pPr>
      <w:r>
        <w:rPr>
          <w:rFonts w:ascii="Times New Roman" w:hAnsi="Times New Roman" w:cs="Times New Roman"/>
          <w:sz w:val="21"/>
          <w:szCs w:val="21"/>
        </w:rPr>
        <w:t>Table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表 \* ARABIC </w:instrText>
      </w:r>
      <w:r>
        <w:rPr>
          <w:rFonts w:ascii="Times New Roman" w:hAnsi="Times New Roman" w:cs="Times New Roman"/>
          <w:sz w:val="21"/>
          <w:szCs w:val="21"/>
        </w:rPr>
        <w:fldChar w:fldCharType="separate"/>
      </w:r>
      <w:r>
        <w:rPr>
          <w:rFonts w:ascii="Times New Roman" w:hAnsi="Times New Roman" w:cs="Times New Roman"/>
          <w:sz w:val="21"/>
          <w:szCs w:val="21"/>
        </w:rPr>
        <w:t>2</w:t>
      </w:r>
      <w:r>
        <w:rPr>
          <w:rFonts w:ascii="Times New Roman" w:hAnsi="Times New Roman" w:cs="Times New Roman"/>
          <w:sz w:val="21"/>
          <w:szCs w:val="21"/>
        </w:rPr>
        <w:fldChar w:fldCharType="end"/>
      </w:r>
      <w:r>
        <w:rPr>
          <w:rFonts w:ascii="Times New Roman" w:hAnsi="Times New Roman" w:cs="Times New Roman"/>
          <w:sz w:val="21"/>
          <w:szCs w:val="21"/>
        </w:rPr>
        <w:t>. The background data sources of various PVC treatment methods</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5"/>
        <w:gridCol w:w="6014"/>
      </w:tblGrid>
      <w:tr w14:paraId="2626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2225" w:type="dxa"/>
            <w:tcBorders>
              <w:top w:val="single" w:color="auto" w:sz="12" w:space="0"/>
              <w:left w:val="nil"/>
              <w:bottom w:val="single" w:color="auto" w:sz="8" w:space="0"/>
              <w:right w:val="nil"/>
            </w:tcBorders>
          </w:tcPr>
          <w:p w14:paraId="3E32A0A2">
            <w:pPr>
              <w:widowControl/>
              <w:jc w:val="center"/>
              <w:rPr>
                <w:rFonts w:ascii="Times New Roman" w:hAnsi="Times New Roman" w:cs="Times New Roman"/>
              </w:rPr>
            </w:pPr>
            <w:r>
              <w:rPr>
                <w:rFonts w:ascii="Times New Roman" w:hAnsi="Times New Roman" w:eastAsia="宋体" w:cs="Times New Roman"/>
                <w:kern w:val="0"/>
                <w:sz w:val="24"/>
                <w:szCs w:val="20"/>
                <w:lang w:eastAsia="en-US"/>
              </w:rPr>
              <w:t>Items</w:t>
            </w:r>
          </w:p>
        </w:tc>
        <w:tc>
          <w:tcPr>
            <w:tcW w:w="6014" w:type="dxa"/>
            <w:tcBorders>
              <w:top w:val="single" w:color="auto" w:sz="12" w:space="0"/>
              <w:left w:val="nil"/>
              <w:bottom w:val="single" w:color="auto" w:sz="8" w:space="0"/>
              <w:right w:val="nil"/>
            </w:tcBorders>
          </w:tcPr>
          <w:p w14:paraId="59157058">
            <w:pPr>
              <w:widowControl/>
              <w:jc w:val="center"/>
              <w:rPr>
                <w:rFonts w:ascii="Times New Roman" w:hAnsi="Times New Roman" w:cs="Times New Roman"/>
              </w:rPr>
            </w:pPr>
            <w:r>
              <w:rPr>
                <w:rFonts w:ascii="Times New Roman" w:hAnsi="Times New Roman" w:cs="Times New Roman"/>
              </w:rPr>
              <w:t>Sources</w:t>
            </w:r>
          </w:p>
        </w:tc>
      </w:tr>
      <w:tr w14:paraId="4825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2225" w:type="dxa"/>
            <w:tcBorders>
              <w:top w:val="nil"/>
              <w:left w:val="nil"/>
              <w:bottom w:val="nil"/>
              <w:right w:val="nil"/>
            </w:tcBorders>
            <w:shd w:val="clear" w:color="auto" w:fill="auto"/>
          </w:tcPr>
          <w:p w14:paraId="064DA84F">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Activated carbon</w:t>
            </w:r>
          </w:p>
        </w:tc>
        <w:tc>
          <w:tcPr>
            <w:tcW w:w="6014" w:type="dxa"/>
            <w:tcBorders>
              <w:top w:val="nil"/>
              <w:left w:val="nil"/>
              <w:bottom w:val="nil"/>
              <w:right w:val="nil"/>
            </w:tcBorders>
            <w:shd w:val="clear" w:color="auto" w:fill="auto"/>
            <w:vAlign w:val="center"/>
          </w:tcPr>
          <w:p w14:paraId="419109BF">
            <w:pPr>
              <w:jc w:val="center"/>
              <w:rPr>
                <w:rFonts w:ascii="Times New Roman" w:hAnsi="Times New Roman" w:cs="Times New Roman"/>
                <w:szCs w:val="21"/>
              </w:rPr>
            </w:pPr>
            <w:r>
              <w:rPr>
                <w:rFonts w:ascii="Times New Roman" w:hAnsi="Times New Roman" w:cs="Times New Roman"/>
                <w:szCs w:val="21"/>
              </w:rPr>
              <w:t>Activated carbon production, granular from hard coal|activated carbon granular | Cutoff, U-Row</w:t>
            </w:r>
          </w:p>
        </w:tc>
      </w:tr>
      <w:tr w14:paraId="4E8B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25" w:type="dxa"/>
            <w:tcBorders>
              <w:top w:val="nil"/>
              <w:left w:val="nil"/>
              <w:bottom w:val="nil"/>
              <w:right w:val="nil"/>
            </w:tcBorders>
            <w:shd w:val="clear" w:color="auto" w:fill="auto"/>
          </w:tcPr>
          <w:p w14:paraId="15308BB4">
            <w:pPr>
              <w:widowControl/>
              <w:jc w:val="center"/>
              <w:rPr>
                <w:rFonts w:ascii="Times New Roman" w:hAnsi="Times New Roman" w:eastAsia="宋体" w:cs="Times New Roman"/>
                <w:kern w:val="0"/>
                <w:szCs w:val="21"/>
                <w:lang w:eastAsia="en-US"/>
              </w:rPr>
            </w:pPr>
            <w:bookmarkStart w:id="9" w:name="OLE_LINK11"/>
            <w:r>
              <w:rPr>
                <w:rFonts w:ascii="Times New Roman" w:hAnsi="Times New Roman" w:eastAsia="宋体" w:cs="Times New Roman"/>
                <w:kern w:val="0"/>
                <w:szCs w:val="21"/>
              </w:rPr>
              <w:t>CaO</w:t>
            </w:r>
            <w:bookmarkEnd w:id="9"/>
          </w:p>
        </w:tc>
        <w:tc>
          <w:tcPr>
            <w:tcW w:w="6014" w:type="dxa"/>
            <w:tcBorders>
              <w:top w:val="nil"/>
              <w:left w:val="nil"/>
              <w:bottom w:val="nil"/>
              <w:right w:val="nil"/>
            </w:tcBorders>
            <w:shd w:val="clear" w:color="auto" w:fill="auto"/>
            <w:vAlign w:val="center"/>
          </w:tcPr>
          <w:p w14:paraId="099F0791">
            <w:pPr>
              <w:jc w:val="center"/>
              <w:rPr>
                <w:rFonts w:ascii="Times New Roman" w:hAnsi="Times New Roman" w:cs="Times New Roman"/>
                <w:szCs w:val="21"/>
              </w:rPr>
            </w:pPr>
            <w:r>
              <w:rPr>
                <w:rFonts w:ascii="Times New Roman" w:hAnsi="Times New Roman" w:cs="Times New Roman"/>
                <w:szCs w:val="21"/>
              </w:rPr>
              <w:t>quicklime production, in pieces, loose | quicklime, in pieces, loose | Cutoff, U</w:t>
            </w:r>
          </w:p>
        </w:tc>
      </w:tr>
      <w:tr w14:paraId="2C1F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225" w:type="dxa"/>
            <w:tcBorders>
              <w:top w:val="nil"/>
              <w:left w:val="nil"/>
              <w:bottom w:val="nil"/>
              <w:right w:val="nil"/>
            </w:tcBorders>
            <w:shd w:val="clear" w:color="auto" w:fill="auto"/>
          </w:tcPr>
          <w:p w14:paraId="55AEE325">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lang w:eastAsia="en-US"/>
              </w:rPr>
              <w:t>Hazardous waste</w:t>
            </w:r>
          </w:p>
        </w:tc>
        <w:tc>
          <w:tcPr>
            <w:tcW w:w="6014" w:type="dxa"/>
            <w:tcBorders>
              <w:top w:val="nil"/>
              <w:left w:val="nil"/>
              <w:bottom w:val="nil"/>
              <w:right w:val="nil"/>
            </w:tcBorders>
            <w:shd w:val="clear" w:color="auto" w:fill="auto"/>
            <w:vAlign w:val="center"/>
          </w:tcPr>
          <w:p w14:paraId="7B709904">
            <w:pPr>
              <w:jc w:val="center"/>
              <w:rPr>
                <w:rFonts w:ascii="Times New Roman" w:hAnsi="Times New Roman" w:cs="Times New Roman"/>
                <w:szCs w:val="21"/>
              </w:rPr>
            </w:pPr>
            <w:r>
              <w:rPr>
                <w:rFonts w:ascii="Times New Roman" w:hAnsi="Times New Roman" w:cs="Times New Roman"/>
                <w:szCs w:val="21"/>
              </w:rPr>
              <w:t>Treatment of hazardous waste, undergound deposit| hazardous waste, for underground deposit| Cutoff, U - RoW</w:t>
            </w:r>
          </w:p>
        </w:tc>
      </w:tr>
      <w:tr w14:paraId="284C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shd w:val="clear" w:color="auto" w:fill="auto"/>
          </w:tcPr>
          <w:p w14:paraId="7627B531">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PVC particles</w:t>
            </w:r>
          </w:p>
        </w:tc>
        <w:tc>
          <w:tcPr>
            <w:tcW w:w="6014" w:type="dxa"/>
            <w:tcBorders>
              <w:top w:val="nil"/>
              <w:left w:val="nil"/>
              <w:bottom w:val="nil"/>
              <w:right w:val="nil"/>
            </w:tcBorders>
            <w:shd w:val="clear" w:color="auto" w:fill="auto"/>
            <w:vAlign w:val="center"/>
          </w:tcPr>
          <w:p w14:paraId="79E4846A">
            <w:pPr>
              <w:jc w:val="center"/>
              <w:rPr>
                <w:rFonts w:ascii="Times New Roman" w:hAnsi="Times New Roman" w:cs="Times New Roman"/>
                <w:szCs w:val="21"/>
              </w:rPr>
            </w:pPr>
            <w:r>
              <w:rPr>
                <w:rFonts w:ascii="Times New Roman" w:hAnsi="Times New Roman" w:cs="Times New Roman"/>
                <w:szCs w:val="21"/>
              </w:rPr>
              <w:t>polyvinylchloride production, emulsion polymerisation | polyvinylchloride, emulsion polymerised | Cutoff, U - RoW</w:t>
            </w:r>
          </w:p>
        </w:tc>
      </w:tr>
      <w:tr w14:paraId="588E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76A6D44A">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NaOH</w:t>
            </w:r>
          </w:p>
        </w:tc>
        <w:tc>
          <w:tcPr>
            <w:tcW w:w="6014" w:type="dxa"/>
            <w:tcBorders>
              <w:top w:val="nil"/>
              <w:left w:val="nil"/>
              <w:bottom w:val="nil"/>
              <w:right w:val="nil"/>
            </w:tcBorders>
            <w:vAlign w:val="center"/>
          </w:tcPr>
          <w:p w14:paraId="7DE81179">
            <w:pPr>
              <w:jc w:val="center"/>
              <w:rPr>
                <w:rFonts w:ascii="Times New Roman" w:hAnsi="Times New Roman" w:cs="Times New Roman"/>
                <w:szCs w:val="21"/>
              </w:rPr>
            </w:pPr>
            <w:r>
              <w:rPr>
                <w:rFonts w:ascii="Times New Roman" w:hAnsi="Times New Roman" w:cs="Times New Roman"/>
                <w:szCs w:val="21"/>
              </w:rPr>
              <w:t>sodium hydroxide to generic market for neutralising agent | neutralising agent, sodium hydroxide-equivalent | Cutoff, U</w:t>
            </w:r>
          </w:p>
        </w:tc>
      </w:tr>
      <w:tr w14:paraId="2094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6621631A">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Ethylene glycol</w:t>
            </w:r>
          </w:p>
        </w:tc>
        <w:tc>
          <w:tcPr>
            <w:tcW w:w="6014" w:type="dxa"/>
            <w:tcBorders>
              <w:top w:val="nil"/>
              <w:left w:val="nil"/>
              <w:bottom w:val="nil"/>
              <w:right w:val="nil"/>
            </w:tcBorders>
            <w:vAlign w:val="center"/>
          </w:tcPr>
          <w:p w14:paraId="15F82017">
            <w:pPr>
              <w:jc w:val="center"/>
              <w:rPr>
                <w:rFonts w:ascii="Times New Roman" w:hAnsi="Times New Roman" w:cs="Times New Roman"/>
                <w:szCs w:val="21"/>
              </w:rPr>
            </w:pPr>
            <w:r>
              <w:rPr>
                <w:rFonts w:ascii="Times New Roman" w:hAnsi="Times New Roman" w:cs="Times New Roman"/>
                <w:szCs w:val="21"/>
              </w:rPr>
              <w:t>ethylene glycol production | ethylene glycol | Cutoff, U</w:t>
            </w:r>
          </w:p>
        </w:tc>
      </w:tr>
      <w:tr w14:paraId="7686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3F9A216F">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 xml:space="preserve">Water </w:t>
            </w:r>
          </w:p>
        </w:tc>
        <w:tc>
          <w:tcPr>
            <w:tcW w:w="6014" w:type="dxa"/>
            <w:tcBorders>
              <w:top w:val="nil"/>
              <w:left w:val="nil"/>
              <w:bottom w:val="nil"/>
              <w:right w:val="nil"/>
            </w:tcBorders>
            <w:vAlign w:val="center"/>
          </w:tcPr>
          <w:p w14:paraId="46D90DC6">
            <w:pPr>
              <w:jc w:val="center"/>
              <w:rPr>
                <w:rFonts w:ascii="Times New Roman" w:hAnsi="Times New Roman" w:cs="Times New Roman"/>
                <w:szCs w:val="21"/>
              </w:rPr>
            </w:pPr>
            <w:r>
              <w:rPr>
                <w:rFonts w:ascii="Times New Roman" w:hAnsi="Times New Roman" w:cs="Times New Roman"/>
                <w:szCs w:val="21"/>
              </w:rPr>
              <w:t>tap water production, conventional treatment | tap water | Cutoff, U</w:t>
            </w:r>
          </w:p>
        </w:tc>
      </w:tr>
      <w:tr w14:paraId="412D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59103769">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Liquid gas</w:t>
            </w:r>
          </w:p>
        </w:tc>
        <w:tc>
          <w:tcPr>
            <w:tcW w:w="6014" w:type="dxa"/>
            <w:tcBorders>
              <w:top w:val="nil"/>
              <w:left w:val="nil"/>
              <w:bottom w:val="nil"/>
              <w:right w:val="nil"/>
            </w:tcBorders>
            <w:vAlign w:val="center"/>
          </w:tcPr>
          <w:p w14:paraId="206868BE">
            <w:pPr>
              <w:jc w:val="center"/>
              <w:rPr>
                <w:rFonts w:ascii="Times New Roman" w:hAnsi="Times New Roman" w:cs="Times New Roman"/>
                <w:szCs w:val="21"/>
              </w:rPr>
            </w:pPr>
            <w:r>
              <w:rPr>
                <w:rFonts w:ascii="Times New Roman" w:hAnsi="Times New Roman" w:cs="Times New Roman"/>
                <w:szCs w:val="21"/>
              </w:rPr>
              <w:t>natural gas liquids production | natural gas liquids | Cutoff, U</w:t>
            </w:r>
          </w:p>
        </w:tc>
      </w:tr>
      <w:tr w14:paraId="192EF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225" w:type="dxa"/>
            <w:tcBorders>
              <w:top w:val="nil"/>
              <w:left w:val="nil"/>
              <w:bottom w:val="nil"/>
              <w:right w:val="nil"/>
            </w:tcBorders>
          </w:tcPr>
          <w:p w14:paraId="42C27658">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 xml:space="preserve">Heat </w:t>
            </w:r>
          </w:p>
        </w:tc>
        <w:tc>
          <w:tcPr>
            <w:tcW w:w="6014" w:type="dxa"/>
            <w:tcBorders>
              <w:top w:val="nil"/>
              <w:left w:val="nil"/>
              <w:bottom w:val="nil"/>
              <w:right w:val="nil"/>
            </w:tcBorders>
            <w:shd w:val="clear" w:color="auto" w:fill="auto"/>
            <w:vAlign w:val="center"/>
          </w:tcPr>
          <w:p w14:paraId="4F22FE9D">
            <w:pPr>
              <w:jc w:val="center"/>
              <w:rPr>
                <w:rFonts w:ascii="Times New Roman" w:hAnsi="Times New Roman" w:cs="Times New Roman"/>
                <w:szCs w:val="21"/>
              </w:rPr>
            </w:pPr>
            <w:r>
              <w:rPr>
                <w:rFonts w:ascii="Times New Roman" w:hAnsi="Times New Roman" w:cs="Times New Roman"/>
                <w:szCs w:val="21"/>
              </w:rPr>
              <w:t>Heat production, natural gas, at boiler atmosphere non-modulating&lt;100kW| heat, central or small size-scale, natural gas | Cutoff, U-Row</w:t>
            </w:r>
          </w:p>
        </w:tc>
      </w:tr>
      <w:tr w14:paraId="58CE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2A12A339">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Light oil</w:t>
            </w:r>
          </w:p>
        </w:tc>
        <w:tc>
          <w:tcPr>
            <w:tcW w:w="6014" w:type="dxa"/>
            <w:tcBorders>
              <w:top w:val="nil"/>
              <w:left w:val="nil"/>
              <w:bottom w:val="nil"/>
              <w:right w:val="nil"/>
            </w:tcBorders>
            <w:vAlign w:val="center"/>
          </w:tcPr>
          <w:p w14:paraId="097CBE6B">
            <w:pPr>
              <w:jc w:val="center"/>
              <w:rPr>
                <w:rFonts w:ascii="Times New Roman" w:hAnsi="Times New Roman" w:cs="Times New Roman"/>
                <w:szCs w:val="21"/>
              </w:rPr>
            </w:pPr>
            <w:r>
              <w:rPr>
                <w:rFonts w:ascii="Times New Roman" w:hAnsi="Times New Roman" w:cs="Times New Roman"/>
                <w:szCs w:val="21"/>
              </w:rPr>
              <w:t>light fuel oil production, petroleum refinery operation | light fuel oil | Cutoff, U - RoW</w:t>
            </w:r>
          </w:p>
        </w:tc>
      </w:tr>
      <w:tr w14:paraId="377E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25096792">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Heavy oil</w:t>
            </w:r>
          </w:p>
        </w:tc>
        <w:tc>
          <w:tcPr>
            <w:tcW w:w="6014" w:type="dxa"/>
            <w:tcBorders>
              <w:top w:val="nil"/>
              <w:left w:val="nil"/>
              <w:bottom w:val="nil"/>
              <w:right w:val="nil"/>
            </w:tcBorders>
            <w:vAlign w:val="center"/>
          </w:tcPr>
          <w:p w14:paraId="57E2C17B">
            <w:pPr>
              <w:jc w:val="center"/>
              <w:rPr>
                <w:rFonts w:ascii="Times New Roman" w:hAnsi="Times New Roman" w:cs="Times New Roman"/>
                <w:szCs w:val="21"/>
              </w:rPr>
            </w:pPr>
            <w:r>
              <w:rPr>
                <w:rFonts w:ascii="Times New Roman" w:hAnsi="Times New Roman" w:cs="Times New Roman"/>
                <w:szCs w:val="21"/>
              </w:rPr>
              <w:t>heavy fuel oil production, petroleum refinery operation | heavy fuel oil | Cutoff, U - RoW</w:t>
            </w:r>
          </w:p>
        </w:tc>
      </w:tr>
      <w:tr w14:paraId="1E930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0304B1AC">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paraffin</w:t>
            </w:r>
          </w:p>
        </w:tc>
        <w:tc>
          <w:tcPr>
            <w:tcW w:w="6014" w:type="dxa"/>
            <w:tcBorders>
              <w:top w:val="nil"/>
              <w:left w:val="nil"/>
              <w:bottom w:val="nil"/>
              <w:right w:val="nil"/>
            </w:tcBorders>
            <w:vAlign w:val="center"/>
          </w:tcPr>
          <w:p w14:paraId="3FDC73C9">
            <w:pPr>
              <w:jc w:val="center"/>
              <w:rPr>
                <w:rFonts w:ascii="Times New Roman" w:hAnsi="Times New Roman" w:cs="Times New Roman"/>
                <w:szCs w:val="21"/>
              </w:rPr>
            </w:pPr>
            <w:r>
              <w:rPr>
                <w:rFonts w:ascii="Times New Roman" w:hAnsi="Times New Roman" w:cs="Times New Roman"/>
                <w:szCs w:val="21"/>
              </w:rPr>
              <w:t>paraffin production | paraffin | Cutoff, U - RoW</w:t>
            </w:r>
          </w:p>
        </w:tc>
      </w:tr>
      <w:tr w14:paraId="08F91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4BFCC494">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coke</w:t>
            </w:r>
          </w:p>
        </w:tc>
        <w:tc>
          <w:tcPr>
            <w:tcW w:w="6014" w:type="dxa"/>
            <w:tcBorders>
              <w:top w:val="nil"/>
              <w:left w:val="nil"/>
              <w:bottom w:val="nil"/>
              <w:right w:val="nil"/>
            </w:tcBorders>
            <w:vAlign w:val="center"/>
          </w:tcPr>
          <w:p w14:paraId="76650DB5">
            <w:pPr>
              <w:jc w:val="center"/>
              <w:rPr>
                <w:rFonts w:ascii="Times New Roman" w:hAnsi="Times New Roman" w:cs="Times New Roman"/>
                <w:szCs w:val="21"/>
              </w:rPr>
            </w:pPr>
            <w:r>
              <w:rPr>
                <w:rFonts w:ascii="Times New Roman" w:hAnsi="Times New Roman" w:cs="Times New Roman"/>
                <w:szCs w:val="21"/>
              </w:rPr>
              <w:t>petroleum coke production, petroleum refinery operation | petroleum coke | Cutoff, U - RoW</w:t>
            </w:r>
          </w:p>
        </w:tc>
      </w:tr>
      <w:tr w14:paraId="2625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1C118E64">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gas</w:t>
            </w:r>
          </w:p>
        </w:tc>
        <w:tc>
          <w:tcPr>
            <w:tcW w:w="6014" w:type="dxa"/>
            <w:tcBorders>
              <w:top w:val="nil"/>
              <w:left w:val="nil"/>
              <w:bottom w:val="nil"/>
              <w:right w:val="nil"/>
            </w:tcBorders>
            <w:vAlign w:val="center"/>
          </w:tcPr>
          <w:p w14:paraId="435FB1E0">
            <w:pPr>
              <w:jc w:val="center"/>
              <w:rPr>
                <w:rFonts w:ascii="Times New Roman" w:hAnsi="Times New Roman" w:cs="Times New Roman"/>
                <w:szCs w:val="21"/>
              </w:rPr>
            </w:pPr>
            <w:r>
              <w:rPr>
                <w:rFonts w:ascii="Times New Roman" w:hAnsi="Times New Roman" w:cs="Times New Roman"/>
                <w:szCs w:val="21"/>
              </w:rPr>
              <w:t>refinery gas production, petroleum refinery operation | refinery gas | Cutoff, U - RoW</w:t>
            </w:r>
          </w:p>
        </w:tc>
      </w:tr>
      <w:tr w14:paraId="338A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0655D79F">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NaCl</w:t>
            </w:r>
          </w:p>
        </w:tc>
        <w:tc>
          <w:tcPr>
            <w:tcW w:w="6014" w:type="dxa"/>
            <w:tcBorders>
              <w:top w:val="nil"/>
              <w:left w:val="nil"/>
              <w:bottom w:val="nil"/>
              <w:right w:val="nil"/>
            </w:tcBorders>
            <w:vAlign w:val="center"/>
          </w:tcPr>
          <w:p w14:paraId="57813AA4">
            <w:pPr>
              <w:jc w:val="center"/>
              <w:rPr>
                <w:rFonts w:ascii="Times New Roman" w:hAnsi="Times New Roman" w:cs="Times New Roman"/>
                <w:szCs w:val="21"/>
              </w:rPr>
            </w:pPr>
            <w:r>
              <w:rPr>
                <w:rFonts w:ascii="Times New Roman" w:hAnsi="Times New Roman" w:cs="Times New Roman"/>
                <w:szCs w:val="21"/>
              </w:rPr>
              <w:t>sodium chloride production, powder | sodium chloride, powder | Cutoff, U - RoW</w:t>
            </w:r>
          </w:p>
        </w:tc>
      </w:tr>
      <w:tr w14:paraId="419A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nil"/>
              <w:right w:val="nil"/>
            </w:tcBorders>
          </w:tcPr>
          <w:p w14:paraId="1ACBDC49">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Landfill</w:t>
            </w:r>
          </w:p>
        </w:tc>
        <w:tc>
          <w:tcPr>
            <w:tcW w:w="6014" w:type="dxa"/>
            <w:tcBorders>
              <w:top w:val="nil"/>
              <w:left w:val="nil"/>
              <w:bottom w:val="nil"/>
              <w:right w:val="nil"/>
            </w:tcBorders>
            <w:vAlign w:val="center"/>
          </w:tcPr>
          <w:p w14:paraId="37FEA4A8">
            <w:pPr>
              <w:rPr>
                <w:rFonts w:ascii="Times New Roman" w:hAnsi="Times New Roman" w:cs="Times New Roman"/>
                <w:szCs w:val="21"/>
              </w:rPr>
            </w:pPr>
            <w:r>
              <w:rPr>
                <w:rFonts w:ascii="Times New Roman" w:hAnsi="Times New Roman" w:cs="Times New Roman"/>
                <w:szCs w:val="21"/>
              </w:rPr>
              <w:t>Treatment of waste plastic, mixture, sanitary landfill | waste plastic, mixture| Cutoff, U - RoW</w:t>
            </w:r>
          </w:p>
        </w:tc>
      </w:tr>
      <w:tr w14:paraId="095C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225" w:type="dxa"/>
            <w:tcBorders>
              <w:top w:val="nil"/>
              <w:left w:val="nil"/>
              <w:bottom w:val="single" w:color="auto" w:sz="12" w:space="0"/>
              <w:right w:val="nil"/>
            </w:tcBorders>
          </w:tcPr>
          <w:p w14:paraId="0731057D">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Electricity</w:t>
            </w:r>
          </w:p>
        </w:tc>
        <w:tc>
          <w:tcPr>
            <w:tcW w:w="6014" w:type="dxa"/>
            <w:tcBorders>
              <w:top w:val="nil"/>
              <w:left w:val="nil"/>
              <w:bottom w:val="single" w:color="auto" w:sz="12" w:space="0"/>
              <w:right w:val="nil"/>
            </w:tcBorders>
            <w:vAlign w:val="center"/>
          </w:tcPr>
          <w:p w14:paraId="57977507">
            <w:pPr>
              <w:jc w:val="center"/>
              <w:rPr>
                <w:rFonts w:ascii="Times New Roman" w:hAnsi="Times New Roman" w:cs="Times New Roman"/>
                <w:szCs w:val="21"/>
              </w:rPr>
            </w:pPr>
            <w:r>
              <w:rPr>
                <w:rFonts w:ascii="Times New Roman" w:hAnsi="Times New Roman" w:cs="Times New Roman"/>
                <w:szCs w:val="21"/>
              </w:rPr>
              <w:t>Literature</w:t>
            </w:r>
            <w:r>
              <w:rPr>
                <w:rFonts w:hint="eastAsia" w:ascii="Times New Roman" w:hAnsi="Times New Roman" w:cs="Times New Roman"/>
                <w:szCs w:val="21"/>
                <w:lang w:val="en-US" w:eastAsia="zh-CN"/>
              </w:rPr>
              <w:t xml:space="preserve"> </w:t>
            </w:r>
            <w:r>
              <w:rPr>
                <w:rFonts w:ascii="Times New Roman" w:hAnsi="Times New Roman" w:cs="Times New Roman"/>
                <w:szCs w:val="21"/>
              </w:rPr>
              <w:fldChar w:fldCharType="begin"/>
            </w:r>
            <w:r>
              <w:rPr>
                <w:rFonts w:ascii="Times New Roman" w:hAnsi="Times New Roman" w:cs="Times New Roman"/>
                <w:szCs w:val="21"/>
              </w:rPr>
              <w:instrText xml:space="preserve"> ADDIN EN.CITE &lt;EndNote&gt;&lt;Cite&gt;&lt;Author&gt;Tang&lt;/Author&gt;&lt;Year&gt;2024&lt;/Year&gt;&lt;RecNum&gt;641&lt;/RecNum&gt;&lt;DisplayText&gt;(Tang 2024)&lt;/DisplayText&gt;&lt;record&gt;&lt;rec-number&gt;641&lt;/rec-number&gt;&lt;foreign-keys&gt;&lt;key app="EN" db-id="a0vx9dvem9p0duex9flv0fpn0a2tsfpe5dxp" timestamp="1713936742"&gt;641&lt;/key&gt;&lt;/foreign-keys&gt;&lt;ref-type name="Electronic Article"&gt;43&lt;/ref-type&gt;&lt;contributors&gt;&lt;authors&gt;&lt;author&gt;Tang, Jing&lt;/author&gt;&lt;author&gt;Xiao, Xiao&lt;/author&gt;&lt;author&gt;Han, Mengqi&lt;/author&gt;&lt;author&gt;Shan, Rui&lt;/author&gt;&lt;author&gt;Gu, Dungang&lt;/author&gt;&lt;author&gt;Hu, Tingting&lt;/author&gt;&lt;author&gt;Li, Guanghui&lt;/author&gt;&lt;author&gt;Rao, Pinhua&lt;/author&gt;&lt;author&gt;Zhang, Nan&lt;/author&gt;&lt;author&gt;Lu, Jiaqi&lt;/author&gt;&lt;/authors&gt;&lt;/contributors&gt;&lt;titles&gt;&lt;title&gt;China’s Sustainable Energy Transition Path to Low-Carbon Renewable Infrastructure Manufacturing under Green Trade Barriers&lt;/title&gt;&lt;secondary-title&gt;Sustainability&lt;/secondary-title&gt;&lt;/titles&gt;&lt;periodical&gt;&lt;full-title&gt;Sustainability&lt;/full-title&gt;&lt;/periodical&gt;&lt;volume&gt;16&lt;/volume&gt;&lt;number&gt;8&lt;/number&gt;&lt;keywords&gt;&lt;keyword&gt;green trade barriers&lt;/keyword&gt;&lt;keyword&gt;product carbon footprint&lt;/keyword&gt;&lt;keyword&gt;renewable infrastructure&lt;/keyword&gt;&lt;keyword&gt;decarbonization scenarios&lt;/keyword&gt;&lt;keyword&gt;China&lt;/keyword&gt;&lt;keyword&gt;international trade transportation&lt;/keyword&gt;&lt;keyword&gt;sustainable development&lt;/keyword&gt;&lt;keyword&gt;carbon neutrality&lt;/keyword&gt;&lt;/keywords&gt;&lt;dates&gt;&lt;year&gt;2024&lt;/year&gt;&lt;/dates&gt;&lt;isbn&gt;2071-1050&lt;/isbn&gt;&lt;urls&gt;&lt;/urls&gt;&lt;electronic-resource-num&gt;10.3390/su16083387&lt;/electronic-resource-num&gt;&lt;/record&gt;&lt;/Cite&gt;&lt;/EndNote&gt;</w:instrText>
            </w:r>
            <w:r>
              <w:rPr>
                <w:rFonts w:ascii="Times New Roman" w:hAnsi="Times New Roman" w:cs="Times New Roman"/>
                <w:szCs w:val="21"/>
              </w:rPr>
              <w:fldChar w:fldCharType="separate"/>
            </w:r>
            <w:r>
              <w:rPr>
                <w:rFonts w:ascii="Times New Roman" w:hAnsi="Times New Roman" w:cs="Times New Roman"/>
                <w:szCs w:val="21"/>
              </w:rPr>
              <w:t>(Tang 2024)</w:t>
            </w:r>
            <w:r>
              <w:rPr>
                <w:rFonts w:ascii="Times New Roman" w:hAnsi="Times New Roman" w:cs="Times New Roman"/>
                <w:szCs w:val="21"/>
              </w:rPr>
              <w:fldChar w:fldCharType="end"/>
            </w:r>
          </w:p>
        </w:tc>
      </w:tr>
    </w:tbl>
    <w:p w14:paraId="132D3B8C">
      <w:pPr>
        <w:rPr>
          <w:rFonts w:ascii="Times New Roman" w:hAnsi="Times New Roman" w:cs="Times New Roman"/>
          <w:i/>
          <w:iCs/>
          <w:sz w:val="24"/>
        </w:rPr>
      </w:pPr>
      <w:r>
        <w:rPr>
          <w:rFonts w:ascii="Times New Roman" w:hAnsi="Times New Roman" w:cs="Times New Roman"/>
          <w:i/>
          <w:iCs/>
          <w:sz w:val="24"/>
        </w:rPr>
        <w:br w:type="page"/>
      </w:r>
    </w:p>
    <w:p w14:paraId="26E18F61">
      <w:pPr>
        <w:spacing w:line="480" w:lineRule="auto"/>
        <w:rPr>
          <w:rFonts w:ascii="Times New Roman" w:hAnsi="Times New Roman" w:cs="Times New Roman"/>
          <w:i/>
          <w:iCs/>
          <w:sz w:val="24"/>
        </w:rPr>
      </w:pPr>
      <w:r>
        <w:rPr>
          <w:rFonts w:ascii="Times New Roman" w:hAnsi="Times New Roman" w:cs="Times New Roman"/>
          <w:i/>
          <w:iCs/>
          <w:sz w:val="24"/>
        </w:rPr>
        <w:t>1.2 Data preparation for PVC waste flow in China</w:t>
      </w:r>
    </w:p>
    <w:p w14:paraId="714FF521">
      <w:pPr>
        <w:spacing w:line="480" w:lineRule="auto"/>
        <w:ind w:firstLine="480" w:firstLineChars="200"/>
        <w:rPr>
          <w:rFonts w:ascii="Times New Roman" w:hAnsi="Times New Roman" w:cs="Times New Roman"/>
          <w:sz w:val="24"/>
        </w:rPr>
      </w:pPr>
      <w:r>
        <w:rPr>
          <w:rFonts w:ascii="Times New Roman" w:hAnsi="Times New Roman" w:cs="Times New Roman"/>
          <w:sz w:val="24"/>
        </w:rPr>
        <w:t>In order to get the PVC waste flow in China, lots of data on PVC waste generation had been collected. The data can be shown as two parts: one is the PVC waste generation in various provinces; two is the PVC waste from different sources treatment conditions.</w:t>
      </w:r>
    </w:p>
    <w:p w14:paraId="3CF591E0">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5267325" cy="3886200"/>
            <wp:effectExtent l="0" t="0" r="0"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5"/>
                    <a:stretch>
                      <a:fillRect/>
                    </a:stretch>
                  </pic:blipFill>
                  <pic:spPr>
                    <a:xfrm>
                      <a:off x="0" y="0"/>
                      <a:ext cx="5267325" cy="3886200"/>
                    </a:xfrm>
                    <a:prstGeom prst="rect">
                      <a:avLst/>
                    </a:prstGeom>
                    <a:noFill/>
                    <a:ln>
                      <a:noFill/>
                    </a:ln>
                  </pic:spPr>
                </pic:pic>
              </a:graphicData>
            </a:graphic>
          </wp:inline>
        </w:drawing>
      </w:r>
    </w:p>
    <w:p w14:paraId="09B27625">
      <w:pPr>
        <w:pStyle w:val="2"/>
        <w:jc w:val="center"/>
        <w:rPr>
          <w:rFonts w:ascii="Times New Roman" w:hAnsi="Times New Roman" w:cs="Times New Roman"/>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2</w:t>
      </w:r>
      <w:r>
        <w:rPr>
          <w:rFonts w:ascii="Times New Roman" w:hAnsi="Times New Roman" w:cs="Times New Roman"/>
          <w:sz w:val="21"/>
          <w:szCs w:val="21"/>
        </w:rPr>
        <w:fldChar w:fldCharType="end"/>
      </w:r>
      <w:r>
        <w:rPr>
          <w:rFonts w:ascii="Times New Roman" w:hAnsi="Times New Roman" w:cs="Times New Roman"/>
          <w:sz w:val="21"/>
          <w:szCs w:val="21"/>
        </w:rPr>
        <w:t>. The flow of PVC waste in China</w:t>
      </w:r>
    </w:p>
    <w:p w14:paraId="231EAC11">
      <w:pPr>
        <w:rPr>
          <w:rFonts w:ascii="Times New Roman" w:hAnsi="Times New Roman" w:cs="Times New Roman"/>
          <w:i/>
          <w:iCs/>
          <w:sz w:val="24"/>
        </w:rPr>
      </w:pPr>
      <w:r>
        <w:rPr>
          <w:rFonts w:ascii="Times New Roman" w:hAnsi="Times New Roman" w:cs="Times New Roman"/>
          <w:i/>
          <w:iCs/>
          <w:sz w:val="24"/>
        </w:rPr>
        <w:br w:type="page"/>
      </w:r>
    </w:p>
    <w:p w14:paraId="1058C5F4">
      <w:pPr>
        <w:spacing w:line="480" w:lineRule="auto"/>
        <w:rPr>
          <w:rFonts w:ascii="Times New Roman" w:hAnsi="Times New Roman" w:cs="Times New Roman"/>
          <w:i/>
          <w:iCs/>
          <w:sz w:val="24"/>
        </w:rPr>
      </w:pPr>
      <w:r>
        <w:rPr>
          <w:rFonts w:ascii="Times New Roman" w:hAnsi="Times New Roman" w:cs="Times New Roman"/>
          <w:i/>
          <w:iCs/>
          <w:sz w:val="24"/>
        </w:rPr>
        <w:t>1.2.1 The PVC waste generation in various provinces</w:t>
      </w:r>
    </w:p>
    <w:p w14:paraId="6025E3ED">
      <w:pPr>
        <w:spacing w:line="480" w:lineRule="auto"/>
        <w:ind w:firstLine="480" w:firstLineChars="200"/>
        <w:rPr>
          <w:rFonts w:ascii="Times New Roman" w:hAnsi="Times New Roman" w:cs="Times New Roman"/>
          <w:sz w:val="24"/>
        </w:rPr>
      </w:pPr>
      <w:r>
        <w:rPr>
          <w:rFonts w:ascii="Times New Roman" w:hAnsi="Times New Roman" w:cs="Times New Roman"/>
          <w:sz w:val="24"/>
        </w:rPr>
        <w:t>The amount of PVC waste and the sources of PVC waste can be obtained by Bi’s study: Dynamic materials flow analysis of polyvinyl chloride and its typical additives in China</w:t>
      </w:r>
      <w:r>
        <w:rPr>
          <w:rFonts w:hint="eastAsia" w:ascii="Times New Roman" w:hAnsi="Times New Roman" w:cs="Times New Roman"/>
          <w:sz w:val="24"/>
          <w:lang w:val="en-US" w:eastAsia="zh-CN"/>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&lt;EndNote&gt;&lt;Cite&gt;&lt;Author&gt;Bi&lt;/Author&gt;&lt;Year&gt;2023&lt;/Year&gt;&lt;RecNum&gt;765&lt;/RecNum&gt;&lt;DisplayText&gt;(Bi 2023)&lt;/DisplayText&gt;&lt;record&gt;&lt;rec-number&gt;765&lt;/rec-number&gt;&lt;foreign-keys&gt;&lt;key app="EN" db-id="a0vx9dvem9p0duex9flv0fpn0a2tsfpe5dxp" timestamp="1714744988"&gt;765&lt;/key&gt;&lt;/foreign-keys&gt;&lt;ref-type name="Thesis"&gt;32&lt;/ref-type&gt;&lt;contributors&gt;&lt;authors&gt;&lt;author&gt;&lt;style face="normal" font="default" size="100%"&gt;Mengyan&lt;/style&gt;&lt;style face="normal" font="default" charset="134" size="100%"&gt; &lt;/style&gt;&lt;style face="normal" font="default" size="100%"&gt;Bi&lt;/style&gt;&lt;/author&gt;&lt;/authors&gt;&lt;tertiary-authors&gt;&lt;author&gt;Wei Liu&lt;/author&gt;&lt;/tertiary-authors&gt;&lt;/contributors&gt;&lt;titles&gt;&lt;title&gt;Dynamaic material flow analysis of polyvinyl chloride and its typical additives in China&lt;/title&gt;&lt;/titles&gt;&lt;keywords&gt;&lt;keyword&gt;Polyvinyl chloride&lt;/keyword&gt;&lt;keyword&gt;Materials flow analysis&lt;/keyword&gt;&lt;keyword&gt;Phthalic acid esters&lt;/keyword&gt;&lt;keyword&gt;Heat stabilizer&lt;/keyword&gt;&lt;keyword&gt;Life cycle assessment&lt;/keyword&gt;&lt;keyword&gt;Scenario analysis&lt;/keyword&gt;&lt;/keywords&gt;&lt;dates&gt;&lt;year&gt;2023&lt;/year&gt;&lt;/dates&gt;&lt;publisher&gt;Shandong University&lt;/publisher&gt;&lt;work-type&gt;Master&lt;/work-type&gt;&lt;urls&gt;&lt;/urls&gt;&lt;electronic-resource-num&gt;10.27272/d.cnki.gshdu.2022.004196&lt;/electronic-resource-num&gt;&lt;remote-database-provider&gt;Cnki&lt;/remote-database-provider&gt;&lt;/record&gt;&lt;/Cite&gt;&lt;/EndNote&gt;</w:instrText>
      </w:r>
      <w:r>
        <w:rPr>
          <w:rFonts w:ascii="Times New Roman" w:hAnsi="Times New Roman" w:cs="Times New Roman"/>
          <w:sz w:val="24"/>
        </w:rPr>
        <w:fldChar w:fldCharType="separate"/>
      </w:r>
      <w:r>
        <w:rPr>
          <w:rFonts w:ascii="Times New Roman" w:hAnsi="Times New Roman" w:cs="Times New Roman"/>
          <w:sz w:val="24"/>
        </w:rPr>
        <w:t>(Bi 2023)</w:t>
      </w:r>
      <w:r>
        <w:rPr>
          <w:rFonts w:ascii="Times New Roman" w:hAnsi="Times New Roman" w:cs="Times New Roman"/>
          <w:sz w:val="24"/>
        </w:rPr>
        <w:fldChar w:fldCharType="end"/>
      </w:r>
      <w:r>
        <w:rPr>
          <w:rFonts w:ascii="Times New Roman" w:hAnsi="Times New Roman" w:cs="Times New Roman"/>
          <w:sz w:val="24"/>
        </w:rPr>
        <w:t>. The future generation of PVC waste also is predicted, whose increase ratio is 2.7% annual by the demand and supply of PVC. From 2020 to 2050, the PVC waste generation is displayed in the below table:</w:t>
      </w:r>
    </w:p>
    <w:p w14:paraId="52E62D20">
      <w:pPr>
        <w:pStyle w:val="2"/>
        <w:jc w:val="left"/>
        <w:rPr>
          <w:rFonts w:ascii="Times New Roman" w:hAnsi="Times New Roman" w:cs="Times New Roman"/>
          <w:sz w:val="21"/>
          <w:szCs w:val="21"/>
        </w:rPr>
      </w:pPr>
      <w:r>
        <w:rPr>
          <w:rFonts w:ascii="Times New Roman" w:hAnsi="Times New Roman" w:cs="Times New Roman"/>
          <w:sz w:val="21"/>
          <w:szCs w:val="21"/>
        </w:rPr>
        <w:t>Table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表 \* ARABIC </w:instrText>
      </w:r>
      <w:r>
        <w:rPr>
          <w:rFonts w:ascii="Times New Roman" w:hAnsi="Times New Roman" w:cs="Times New Roman"/>
          <w:sz w:val="21"/>
          <w:szCs w:val="21"/>
        </w:rPr>
        <w:fldChar w:fldCharType="separate"/>
      </w:r>
      <w:r>
        <w:rPr>
          <w:rFonts w:ascii="Times New Roman" w:hAnsi="Times New Roman" w:cs="Times New Roman"/>
          <w:sz w:val="21"/>
          <w:szCs w:val="21"/>
        </w:rPr>
        <w:t>3</w:t>
      </w:r>
      <w:r>
        <w:rPr>
          <w:rFonts w:ascii="Times New Roman" w:hAnsi="Times New Roman" w:cs="Times New Roman"/>
          <w:sz w:val="21"/>
          <w:szCs w:val="21"/>
        </w:rPr>
        <w:fldChar w:fldCharType="end"/>
      </w:r>
      <w:r>
        <w:rPr>
          <w:rFonts w:ascii="Times New Roman" w:hAnsi="Times New Roman" w:cs="Times New Roman"/>
          <w:sz w:val="21"/>
          <w:szCs w:val="21"/>
        </w:rPr>
        <w:t>. The PVC waste generation from 2020 to 2050.</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4"/>
        <w:gridCol w:w="1304"/>
        <w:gridCol w:w="1304"/>
        <w:gridCol w:w="1304"/>
        <w:gridCol w:w="1304"/>
        <w:gridCol w:w="1304"/>
      </w:tblGrid>
      <w:tr w14:paraId="6A61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single" w:color="auto" w:sz="12" w:space="0"/>
              <w:left w:val="nil"/>
              <w:bottom w:val="single" w:color="auto" w:sz="8" w:space="0"/>
              <w:right w:val="nil"/>
            </w:tcBorders>
          </w:tcPr>
          <w:p w14:paraId="56529F0C">
            <w:pPr>
              <w:jc w:val="left"/>
              <w:rPr>
                <w:rFonts w:ascii="Times New Roman" w:hAnsi="Times New Roman" w:cs="Times New Roman"/>
                <w:sz w:val="18"/>
                <w:szCs w:val="18"/>
              </w:rPr>
            </w:pPr>
            <w:r>
              <w:rPr>
                <w:rFonts w:ascii="Times New Roman" w:hAnsi="Times New Roman" w:cs="Times New Roman"/>
                <w:sz w:val="18"/>
                <w:szCs w:val="18"/>
              </w:rPr>
              <w:t xml:space="preserve">PVC waste </w:t>
            </w:r>
          </w:p>
        </w:tc>
        <w:tc>
          <w:tcPr>
            <w:tcW w:w="1304" w:type="dxa"/>
            <w:tcBorders>
              <w:top w:val="single" w:color="auto" w:sz="12" w:space="0"/>
              <w:left w:val="nil"/>
              <w:bottom w:val="single" w:color="auto" w:sz="8" w:space="0"/>
              <w:right w:val="nil"/>
            </w:tcBorders>
          </w:tcPr>
          <w:p w14:paraId="714CE16A">
            <w:pPr>
              <w:jc w:val="left"/>
              <w:rPr>
                <w:rFonts w:ascii="Times New Roman" w:hAnsi="Times New Roman" w:cs="Times New Roman"/>
                <w:sz w:val="18"/>
                <w:szCs w:val="18"/>
              </w:rPr>
            </w:pPr>
            <w:r>
              <w:rPr>
                <w:rFonts w:ascii="Times New Roman" w:hAnsi="Times New Roman" w:cs="Times New Roman"/>
                <w:sz w:val="18"/>
                <w:szCs w:val="18"/>
              </w:rPr>
              <w:t>Household waste</w:t>
            </w:r>
          </w:p>
        </w:tc>
        <w:tc>
          <w:tcPr>
            <w:tcW w:w="1304" w:type="dxa"/>
            <w:tcBorders>
              <w:top w:val="single" w:color="auto" w:sz="12" w:space="0"/>
              <w:left w:val="nil"/>
              <w:bottom w:val="single" w:color="auto" w:sz="8" w:space="0"/>
              <w:right w:val="nil"/>
            </w:tcBorders>
          </w:tcPr>
          <w:p w14:paraId="4361C951">
            <w:pPr>
              <w:jc w:val="left"/>
              <w:rPr>
                <w:rFonts w:ascii="Times New Roman" w:hAnsi="Times New Roman" w:cs="Times New Roman"/>
                <w:sz w:val="18"/>
                <w:szCs w:val="18"/>
              </w:rPr>
            </w:pPr>
            <w:r>
              <w:rPr>
                <w:rFonts w:ascii="Times New Roman" w:hAnsi="Times New Roman" w:cs="Times New Roman"/>
                <w:sz w:val="18"/>
                <w:szCs w:val="18"/>
              </w:rPr>
              <w:t>Construction waste</w:t>
            </w:r>
          </w:p>
        </w:tc>
        <w:tc>
          <w:tcPr>
            <w:tcW w:w="1304" w:type="dxa"/>
            <w:tcBorders>
              <w:top w:val="single" w:color="auto" w:sz="12" w:space="0"/>
              <w:left w:val="nil"/>
              <w:bottom w:val="single" w:color="auto" w:sz="8" w:space="0"/>
              <w:right w:val="nil"/>
            </w:tcBorders>
          </w:tcPr>
          <w:p w14:paraId="1D3FD22B">
            <w:pPr>
              <w:jc w:val="left"/>
              <w:rPr>
                <w:rFonts w:ascii="Times New Roman" w:hAnsi="Times New Roman" w:cs="Times New Roman"/>
                <w:sz w:val="18"/>
                <w:szCs w:val="18"/>
              </w:rPr>
            </w:pPr>
            <w:bookmarkStart w:id="10" w:name="OLE_LINK1"/>
            <w:r>
              <w:rPr>
                <w:rFonts w:ascii="Times New Roman" w:hAnsi="Times New Roman" w:cs="Times New Roman"/>
                <w:sz w:val="18"/>
                <w:szCs w:val="18"/>
              </w:rPr>
              <w:t>Industrial solid waste</w:t>
            </w:r>
            <w:bookmarkEnd w:id="10"/>
          </w:p>
        </w:tc>
        <w:tc>
          <w:tcPr>
            <w:tcW w:w="1304" w:type="dxa"/>
            <w:tcBorders>
              <w:top w:val="single" w:color="auto" w:sz="12" w:space="0"/>
              <w:left w:val="nil"/>
              <w:bottom w:val="single" w:color="auto" w:sz="8" w:space="0"/>
              <w:right w:val="nil"/>
            </w:tcBorders>
          </w:tcPr>
          <w:p w14:paraId="0CFD2243">
            <w:pPr>
              <w:jc w:val="left"/>
              <w:rPr>
                <w:rFonts w:ascii="Times New Roman" w:hAnsi="Times New Roman" w:cs="Times New Roman"/>
                <w:sz w:val="18"/>
                <w:szCs w:val="18"/>
              </w:rPr>
            </w:pPr>
            <w:r>
              <w:rPr>
                <w:rFonts w:ascii="Times New Roman" w:hAnsi="Times New Roman" w:cs="Times New Roman"/>
                <w:sz w:val="18"/>
                <w:szCs w:val="18"/>
              </w:rPr>
              <w:t>Agricultural waste</w:t>
            </w:r>
          </w:p>
        </w:tc>
        <w:tc>
          <w:tcPr>
            <w:tcW w:w="1304" w:type="dxa"/>
            <w:tcBorders>
              <w:top w:val="single" w:color="auto" w:sz="12" w:space="0"/>
              <w:left w:val="nil"/>
              <w:bottom w:val="single" w:color="auto" w:sz="8" w:space="0"/>
              <w:right w:val="nil"/>
            </w:tcBorders>
          </w:tcPr>
          <w:p w14:paraId="29BA03C6">
            <w:pPr>
              <w:jc w:val="left"/>
              <w:rPr>
                <w:rFonts w:ascii="Times New Roman" w:hAnsi="Times New Roman" w:cs="Times New Roman"/>
                <w:sz w:val="18"/>
                <w:szCs w:val="18"/>
              </w:rPr>
            </w:pPr>
            <w:r>
              <w:rPr>
                <w:rFonts w:ascii="Times New Roman" w:hAnsi="Times New Roman" w:cs="Times New Roman"/>
                <w:sz w:val="18"/>
                <w:szCs w:val="18"/>
              </w:rPr>
              <w:t>Medical waste</w:t>
            </w:r>
          </w:p>
        </w:tc>
      </w:tr>
      <w:tr w14:paraId="406B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single" w:color="auto" w:sz="8" w:space="0"/>
              <w:left w:val="nil"/>
              <w:bottom w:val="nil"/>
              <w:right w:val="nil"/>
            </w:tcBorders>
            <w:vAlign w:val="center"/>
          </w:tcPr>
          <w:p w14:paraId="7144264B">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2020</w:t>
            </w:r>
          </w:p>
        </w:tc>
        <w:tc>
          <w:tcPr>
            <w:tcW w:w="1304" w:type="dxa"/>
            <w:tcBorders>
              <w:top w:val="single" w:color="auto" w:sz="8" w:space="0"/>
              <w:left w:val="nil"/>
              <w:bottom w:val="nil"/>
              <w:right w:val="nil"/>
            </w:tcBorders>
            <w:vAlign w:val="center"/>
          </w:tcPr>
          <w:p w14:paraId="350D6B70">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297.2362 </w:t>
            </w:r>
          </w:p>
        </w:tc>
        <w:tc>
          <w:tcPr>
            <w:tcW w:w="1304" w:type="dxa"/>
            <w:tcBorders>
              <w:top w:val="single" w:color="auto" w:sz="8" w:space="0"/>
              <w:left w:val="nil"/>
              <w:bottom w:val="nil"/>
              <w:right w:val="nil"/>
            </w:tcBorders>
            <w:vAlign w:val="center"/>
          </w:tcPr>
          <w:p w14:paraId="145AE1ED">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595.0438 </w:t>
            </w:r>
          </w:p>
        </w:tc>
        <w:tc>
          <w:tcPr>
            <w:tcW w:w="1304" w:type="dxa"/>
            <w:tcBorders>
              <w:top w:val="single" w:color="auto" w:sz="8" w:space="0"/>
              <w:left w:val="nil"/>
              <w:bottom w:val="nil"/>
              <w:right w:val="nil"/>
            </w:tcBorders>
            <w:vAlign w:val="center"/>
          </w:tcPr>
          <w:p w14:paraId="591042C1">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164.5895 </w:t>
            </w:r>
          </w:p>
        </w:tc>
        <w:tc>
          <w:tcPr>
            <w:tcW w:w="1304" w:type="dxa"/>
            <w:tcBorders>
              <w:top w:val="single" w:color="auto" w:sz="8" w:space="0"/>
              <w:left w:val="nil"/>
              <w:bottom w:val="nil"/>
              <w:right w:val="nil"/>
            </w:tcBorders>
            <w:vAlign w:val="center"/>
          </w:tcPr>
          <w:p w14:paraId="33972F1C">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75.7540 </w:t>
            </w:r>
          </w:p>
        </w:tc>
        <w:tc>
          <w:tcPr>
            <w:tcW w:w="1304" w:type="dxa"/>
            <w:tcBorders>
              <w:top w:val="single" w:color="auto" w:sz="8" w:space="0"/>
              <w:left w:val="nil"/>
              <w:bottom w:val="nil"/>
              <w:right w:val="nil"/>
            </w:tcBorders>
            <w:vAlign w:val="center"/>
          </w:tcPr>
          <w:p w14:paraId="6F4EE6F1">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18.2537 </w:t>
            </w:r>
          </w:p>
        </w:tc>
      </w:tr>
      <w:tr w14:paraId="6FFD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nil"/>
              <w:left w:val="nil"/>
              <w:bottom w:val="nil"/>
              <w:right w:val="nil"/>
            </w:tcBorders>
            <w:vAlign w:val="center"/>
          </w:tcPr>
          <w:p w14:paraId="60B0DC9B">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2025</w:t>
            </w:r>
          </w:p>
        </w:tc>
        <w:tc>
          <w:tcPr>
            <w:tcW w:w="1304" w:type="dxa"/>
            <w:tcBorders>
              <w:top w:val="nil"/>
              <w:left w:val="nil"/>
              <w:bottom w:val="nil"/>
              <w:right w:val="nil"/>
            </w:tcBorders>
            <w:vAlign w:val="center"/>
          </w:tcPr>
          <w:p w14:paraId="4B8185E8">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336.3081 </w:t>
            </w:r>
          </w:p>
        </w:tc>
        <w:tc>
          <w:tcPr>
            <w:tcW w:w="1304" w:type="dxa"/>
            <w:tcBorders>
              <w:top w:val="nil"/>
              <w:left w:val="nil"/>
              <w:bottom w:val="nil"/>
              <w:right w:val="nil"/>
            </w:tcBorders>
            <w:vAlign w:val="center"/>
          </w:tcPr>
          <w:p w14:paraId="1E6CF93D">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673.2628 </w:t>
            </w:r>
          </w:p>
        </w:tc>
        <w:tc>
          <w:tcPr>
            <w:tcW w:w="1304" w:type="dxa"/>
            <w:tcBorders>
              <w:top w:val="nil"/>
              <w:left w:val="nil"/>
              <w:bottom w:val="nil"/>
              <w:right w:val="nil"/>
            </w:tcBorders>
            <w:vAlign w:val="center"/>
          </w:tcPr>
          <w:p w14:paraId="6E7D8D6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186.2250 </w:t>
            </w:r>
          </w:p>
        </w:tc>
        <w:tc>
          <w:tcPr>
            <w:tcW w:w="1304" w:type="dxa"/>
            <w:tcBorders>
              <w:top w:val="nil"/>
              <w:left w:val="nil"/>
              <w:bottom w:val="nil"/>
              <w:right w:val="nil"/>
            </w:tcBorders>
            <w:vAlign w:val="center"/>
          </w:tcPr>
          <w:p w14:paraId="6C667061">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85.7119 </w:t>
            </w:r>
          </w:p>
        </w:tc>
        <w:tc>
          <w:tcPr>
            <w:tcW w:w="1304" w:type="dxa"/>
            <w:tcBorders>
              <w:top w:val="nil"/>
              <w:left w:val="nil"/>
              <w:bottom w:val="nil"/>
              <w:right w:val="nil"/>
            </w:tcBorders>
            <w:vAlign w:val="center"/>
          </w:tcPr>
          <w:p w14:paraId="5371D073">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20.6531 </w:t>
            </w:r>
          </w:p>
        </w:tc>
      </w:tr>
      <w:tr w14:paraId="6168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nil"/>
              <w:left w:val="nil"/>
              <w:bottom w:val="nil"/>
              <w:right w:val="nil"/>
            </w:tcBorders>
            <w:vAlign w:val="center"/>
          </w:tcPr>
          <w:p w14:paraId="52714B1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2030</w:t>
            </w:r>
          </w:p>
        </w:tc>
        <w:tc>
          <w:tcPr>
            <w:tcW w:w="1304" w:type="dxa"/>
            <w:tcBorders>
              <w:top w:val="nil"/>
              <w:left w:val="nil"/>
              <w:bottom w:val="nil"/>
              <w:right w:val="nil"/>
            </w:tcBorders>
            <w:vAlign w:val="center"/>
          </w:tcPr>
          <w:p w14:paraId="3A645AB7">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375.3800 </w:t>
            </w:r>
          </w:p>
        </w:tc>
        <w:tc>
          <w:tcPr>
            <w:tcW w:w="1304" w:type="dxa"/>
            <w:tcBorders>
              <w:top w:val="nil"/>
              <w:left w:val="nil"/>
              <w:bottom w:val="nil"/>
              <w:right w:val="nil"/>
            </w:tcBorders>
            <w:vAlign w:val="center"/>
          </w:tcPr>
          <w:p w14:paraId="0438EF2D">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751.4818 </w:t>
            </w:r>
          </w:p>
        </w:tc>
        <w:tc>
          <w:tcPr>
            <w:tcW w:w="1304" w:type="dxa"/>
            <w:tcBorders>
              <w:top w:val="nil"/>
              <w:left w:val="nil"/>
              <w:bottom w:val="nil"/>
              <w:right w:val="nil"/>
            </w:tcBorders>
            <w:vAlign w:val="center"/>
          </w:tcPr>
          <w:p w14:paraId="37A40D44">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207.8604 </w:t>
            </w:r>
          </w:p>
        </w:tc>
        <w:tc>
          <w:tcPr>
            <w:tcW w:w="1304" w:type="dxa"/>
            <w:tcBorders>
              <w:top w:val="nil"/>
              <w:left w:val="nil"/>
              <w:bottom w:val="nil"/>
              <w:right w:val="nil"/>
            </w:tcBorders>
            <w:vAlign w:val="center"/>
          </w:tcPr>
          <w:p w14:paraId="67AB5DFC">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95.6699 </w:t>
            </w:r>
          </w:p>
        </w:tc>
        <w:tc>
          <w:tcPr>
            <w:tcW w:w="1304" w:type="dxa"/>
            <w:tcBorders>
              <w:top w:val="nil"/>
              <w:left w:val="nil"/>
              <w:bottom w:val="nil"/>
              <w:right w:val="nil"/>
            </w:tcBorders>
            <w:vAlign w:val="center"/>
          </w:tcPr>
          <w:p w14:paraId="28318C49">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23.0526 </w:t>
            </w:r>
          </w:p>
        </w:tc>
      </w:tr>
      <w:tr w14:paraId="06BE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nil"/>
              <w:left w:val="nil"/>
              <w:bottom w:val="nil"/>
              <w:right w:val="nil"/>
            </w:tcBorders>
            <w:vAlign w:val="center"/>
          </w:tcPr>
          <w:p w14:paraId="130E6F60">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2035</w:t>
            </w:r>
          </w:p>
        </w:tc>
        <w:tc>
          <w:tcPr>
            <w:tcW w:w="1304" w:type="dxa"/>
            <w:tcBorders>
              <w:top w:val="nil"/>
              <w:left w:val="nil"/>
              <w:bottom w:val="nil"/>
              <w:right w:val="nil"/>
            </w:tcBorders>
            <w:vAlign w:val="center"/>
          </w:tcPr>
          <w:p w14:paraId="1672707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414.4520 </w:t>
            </w:r>
          </w:p>
        </w:tc>
        <w:tc>
          <w:tcPr>
            <w:tcW w:w="1304" w:type="dxa"/>
            <w:tcBorders>
              <w:top w:val="nil"/>
              <w:left w:val="nil"/>
              <w:bottom w:val="nil"/>
              <w:right w:val="nil"/>
            </w:tcBorders>
            <w:vAlign w:val="center"/>
          </w:tcPr>
          <w:p w14:paraId="62CC5D5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829.7008 </w:t>
            </w:r>
          </w:p>
        </w:tc>
        <w:tc>
          <w:tcPr>
            <w:tcW w:w="1304" w:type="dxa"/>
            <w:tcBorders>
              <w:top w:val="nil"/>
              <w:left w:val="nil"/>
              <w:bottom w:val="nil"/>
              <w:right w:val="nil"/>
            </w:tcBorders>
            <w:vAlign w:val="center"/>
          </w:tcPr>
          <w:p w14:paraId="046CB418">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229.4958 </w:t>
            </w:r>
          </w:p>
        </w:tc>
        <w:tc>
          <w:tcPr>
            <w:tcW w:w="1304" w:type="dxa"/>
            <w:tcBorders>
              <w:top w:val="nil"/>
              <w:left w:val="nil"/>
              <w:bottom w:val="nil"/>
              <w:right w:val="nil"/>
            </w:tcBorders>
            <w:vAlign w:val="center"/>
          </w:tcPr>
          <w:p w14:paraId="6EFBEFAB">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105.6278 </w:t>
            </w:r>
          </w:p>
        </w:tc>
        <w:tc>
          <w:tcPr>
            <w:tcW w:w="1304" w:type="dxa"/>
            <w:tcBorders>
              <w:top w:val="nil"/>
              <w:left w:val="nil"/>
              <w:bottom w:val="nil"/>
              <w:right w:val="nil"/>
            </w:tcBorders>
            <w:vAlign w:val="center"/>
          </w:tcPr>
          <w:p w14:paraId="498F468B">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25.4521 </w:t>
            </w:r>
          </w:p>
        </w:tc>
      </w:tr>
      <w:tr w14:paraId="0E96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nil"/>
              <w:left w:val="nil"/>
              <w:bottom w:val="nil"/>
              <w:right w:val="nil"/>
            </w:tcBorders>
            <w:vAlign w:val="center"/>
          </w:tcPr>
          <w:p w14:paraId="57BDE4D9">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2040</w:t>
            </w:r>
          </w:p>
        </w:tc>
        <w:tc>
          <w:tcPr>
            <w:tcW w:w="1304" w:type="dxa"/>
            <w:tcBorders>
              <w:top w:val="nil"/>
              <w:left w:val="nil"/>
              <w:bottom w:val="nil"/>
              <w:right w:val="nil"/>
            </w:tcBorders>
            <w:vAlign w:val="center"/>
          </w:tcPr>
          <w:p w14:paraId="4D045044">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453.5239 </w:t>
            </w:r>
          </w:p>
        </w:tc>
        <w:tc>
          <w:tcPr>
            <w:tcW w:w="1304" w:type="dxa"/>
            <w:tcBorders>
              <w:top w:val="nil"/>
              <w:left w:val="nil"/>
              <w:bottom w:val="nil"/>
              <w:right w:val="nil"/>
            </w:tcBorders>
            <w:vAlign w:val="center"/>
          </w:tcPr>
          <w:p w14:paraId="67A022CA">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907.9198 </w:t>
            </w:r>
          </w:p>
        </w:tc>
        <w:tc>
          <w:tcPr>
            <w:tcW w:w="1304" w:type="dxa"/>
            <w:tcBorders>
              <w:top w:val="nil"/>
              <w:left w:val="nil"/>
              <w:bottom w:val="nil"/>
              <w:right w:val="nil"/>
            </w:tcBorders>
            <w:vAlign w:val="center"/>
          </w:tcPr>
          <w:p w14:paraId="4DFDC202">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251.1313 </w:t>
            </w:r>
          </w:p>
        </w:tc>
        <w:tc>
          <w:tcPr>
            <w:tcW w:w="1304" w:type="dxa"/>
            <w:tcBorders>
              <w:top w:val="nil"/>
              <w:left w:val="nil"/>
              <w:bottom w:val="nil"/>
              <w:right w:val="nil"/>
            </w:tcBorders>
            <w:vAlign w:val="center"/>
          </w:tcPr>
          <w:p w14:paraId="6B485B6C">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115.5857 </w:t>
            </w:r>
          </w:p>
        </w:tc>
        <w:tc>
          <w:tcPr>
            <w:tcW w:w="1304" w:type="dxa"/>
            <w:tcBorders>
              <w:top w:val="nil"/>
              <w:left w:val="nil"/>
              <w:bottom w:val="nil"/>
              <w:right w:val="nil"/>
            </w:tcBorders>
            <w:vAlign w:val="center"/>
          </w:tcPr>
          <w:p w14:paraId="28B9B29F">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27.8515 </w:t>
            </w:r>
          </w:p>
        </w:tc>
      </w:tr>
      <w:tr w14:paraId="1195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nil"/>
              <w:left w:val="nil"/>
              <w:bottom w:val="nil"/>
              <w:right w:val="nil"/>
            </w:tcBorders>
            <w:vAlign w:val="center"/>
          </w:tcPr>
          <w:p w14:paraId="38DE3A3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2045</w:t>
            </w:r>
          </w:p>
        </w:tc>
        <w:tc>
          <w:tcPr>
            <w:tcW w:w="1304" w:type="dxa"/>
            <w:tcBorders>
              <w:top w:val="nil"/>
              <w:left w:val="nil"/>
              <w:bottom w:val="nil"/>
              <w:right w:val="nil"/>
            </w:tcBorders>
            <w:vAlign w:val="center"/>
          </w:tcPr>
          <w:p w14:paraId="1A1BF77B">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492.5959 </w:t>
            </w:r>
          </w:p>
        </w:tc>
        <w:tc>
          <w:tcPr>
            <w:tcW w:w="1304" w:type="dxa"/>
            <w:tcBorders>
              <w:top w:val="nil"/>
              <w:left w:val="nil"/>
              <w:bottom w:val="nil"/>
              <w:right w:val="nil"/>
            </w:tcBorders>
            <w:vAlign w:val="center"/>
          </w:tcPr>
          <w:p w14:paraId="17343C3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986.1388 </w:t>
            </w:r>
          </w:p>
        </w:tc>
        <w:tc>
          <w:tcPr>
            <w:tcW w:w="1304" w:type="dxa"/>
            <w:tcBorders>
              <w:top w:val="nil"/>
              <w:left w:val="nil"/>
              <w:bottom w:val="nil"/>
              <w:right w:val="nil"/>
            </w:tcBorders>
            <w:vAlign w:val="center"/>
          </w:tcPr>
          <w:p w14:paraId="5727C7C2">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272.7667 </w:t>
            </w:r>
          </w:p>
        </w:tc>
        <w:tc>
          <w:tcPr>
            <w:tcW w:w="1304" w:type="dxa"/>
            <w:tcBorders>
              <w:top w:val="nil"/>
              <w:left w:val="nil"/>
              <w:bottom w:val="nil"/>
              <w:right w:val="nil"/>
            </w:tcBorders>
            <w:vAlign w:val="center"/>
          </w:tcPr>
          <w:p w14:paraId="523FCE22">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125.5436 </w:t>
            </w:r>
          </w:p>
        </w:tc>
        <w:tc>
          <w:tcPr>
            <w:tcW w:w="1304" w:type="dxa"/>
            <w:tcBorders>
              <w:top w:val="nil"/>
              <w:left w:val="nil"/>
              <w:bottom w:val="nil"/>
              <w:right w:val="nil"/>
            </w:tcBorders>
            <w:vAlign w:val="center"/>
          </w:tcPr>
          <w:p w14:paraId="5FC58644">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30.2510 </w:t>
            </w:r>
          </w:p>
        </w:tc>
      </w:tr>
      <w:tr w14:paraId="68AF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4" w:type="dxa"/>
            <w:tcBorders>
              <w:top w:val="nil"/>
              <w:left w:val="nil"/>
              <w:bottom w:val="single" w:color="auto" w:sz="12" w:space="0"/>
              <w:right w:val="nil"/>
            </w:tcBorders>
            <w:vAlign w:val="center"/>
          </w:tcPr>
          <w:p w14:paraId="79377DB1">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2050</w:t>
            </w:r>
          </w:p>
        </w:tc>
        <w:tc>
          <w:tcPr>
            <w:tcW w:w="1304" w:type="dxa"/>
            <w:tcBorders>
              <w:top w:val="nil"/>
              <w:left w:val="nil"/>
              <w:bottom w:val="single" w:color="auto" w:sz="12" w:space="0"/>
              <w:right w:val="nil"/>
            </w:tcBorders>
            <w:vAlign w:val="center"/>
          </w:tcPr>
          <w:p w14:paraId="5C37BF3E">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531.6678 </w:t>
            </w:r>
          </w:p>
        </w:tc>
        <w:tc>
          <w:tcPr>
            <w:tcW w:w="1304" w:type="dxa"/>
            <w:tcBorders>
              <w:top w:val="nil"/>
              <w:left w:val="nil"/>
              <w:bottom w:val="single" w:color="auto" w:sz="12" w:space="0"/>
              <w:right w:val="nil"/>
            </w:tcBorders>
            <w:vAlign w:val="center"/>
          </w:tcPr>
          <w:p w14:paraId="49855DC2">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1064.3578 </w:t>
            </w:r>
          </w:p>
        </w:tc>
        <w:tc>
          <w:tcPr>
            <w:tcW w:w="1304" w:type="dxa"/>
            <w:tcBorders>
              <w:top w:val="nil"/>
              <w:left w:val="nil"/>
              <w:bottom w:val="single" w:color="auto" w:sz="12" w:space="0"/>
              <w:right w:val="nil"/>
            </w:tcBorders>
            <w:vAlign w:val="center"/>
          </w:tcPr>
          <w:p w14:paraId="56B61B77">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294.4021 </w:t>
            </w:r>
          </w:p>
        </w:tc>
        <w:tc>
          <w:tcPr>
            <w:tcW w:w="1304" w:type="dxa"/>
            <w:tcBorders>
              <w:top w:val="nil"/>
              <w:left w:val="nil"/>
              <w:bottom w:val="single" w:color="auto" w:sz="12" w:space="0"/>
              <w:right w:val="nil"/>
            </w:tcBorders>
            <w:vAlign w:val="center"/>
          </w:tcPr>
          <w:p w14:paraId="5B208C42">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135.5016 </w:t>
            </w:r>
          </w:p>
        </w:tc>
        <w:tc>
          <w:tcPr>
            <w:tcW w:w="1304" w:type="dxa"/>
            <w:tcBorders>
              <w:top w:val="nil"/>
              <w:left w:val="nil"/>
              <w:bottom w:val="single" w:color="auto" w:sz="12" w:space="0"/>
              <w:right w:val="nil"/>
            </w:tcBorders>
            <w:vAlign w:val="center"/>
          </w:tcPr>
          <w:p w14:paraId="37CAAF9B">
            <w:pPr>
              <w:widowControl/>
              <w:jc w:val="left"/>
              <w:textAlignment w:val="center"/>
              <w:rPr>
                <w:rFonts w:ascii="Times New Roman" w:hAnsi="Times New Roman" w:cs="Times New Roman"/>
                <w:sz w:val="18"/>
                <w:szCs w:val="18"/>
              </w:rPr>
            </w:pPr>
            <w:r>
              <w:rPr>
                <w:rFonts w:ascii="Times New Roman" w:hAnsi="Times New Roman" w:eastAsia="宋体" w:cs="Times New Roman"/>
                <w:color w:val="000000"/>
                <w:kern w:val="0"/>
                <w:sz w:val="18"/>
                <w:szCs w:val="18"/>
                <w:lang w:bidi="ar"/>
              </w:rPr>
              <w:t xml:space="preserve">32.6504 </w:t>
            </w:r>
          </w:p>
        </w:tc>
      </w:tr>
    </w:tbl>
    <w:p w14:paraId="4042C15A">
      <w:pPr>
        <w:rPr>
          <w:rFonts w:ascii="Times New Roman" w:hAnsi="Times New Roman" w:cs="Times New Roman"/>
          <w:sz w:val="24"/>
        </w:rPr>
      </w:pPr>
    </w:p>
    <w:p w14:paraId="6C00F214">
      <w:pPr>
        <w:spacing w:line="480" w:lineRule="auto"/>
        <w:ind w:firstLine="480" w:firstLineChars="200"/>
        <w:rPr>
          <w:rFonts w:ascii="Times New Roman" w:hAnsi="Times New Roman" w:cs="Times New Roman"/>
          <w:sz w:val="24"/>
        </w:rPr>
      </w:pPr>
      <w:r>
        <w:rPr>
          <w:rFonts w:ascii="Times New Roman" w:hAnsi="Times New Roman" w:cs="Times New Roman"/>
          <w:sz w:val="24"/>
        </w:rPr>
        <w:t>Additionally, we collected the generation condition about construction, industrial, household, agriculture, and medical solid waste in China Statistical Yearbook. The PVC waste generation in different provinces are shown in figure S3.</w:t>
      </w:r>
    </w:p>
    <w:p w14:paraId="69E33CB9">
      <w:pPr>
        <w:rPr>
          <w:rFonts w:ascii="Times New Roman" w:hAnsi="Times New Roman" w:cs="Times New Roman"/>
        </w:rPr>
      </w:pPr>
      <w:r>
        <w:rPr>
          <w:rFonts w:ascii="Times New Roman" w:hAnsi="Times New Roman" w:cs="Times New Roman"/>
          <w:lang w:val="en-PH" w:eastAsia="en-PH"/>
        </w:rPr>
        <w:drawing>
          <wp:inline distT="0" distB="0" distL="114300" distR="114300">
            <wp:extent cx="5271770" cy="3510915"/>
            <wp:effectExtent l="0" t="0" r="508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71770" cy="3510915"/>
                    </a:xfrm>
                    <a:prstGeom prst="rect">
                      <a:avLst/>
                    </a:prstGeom>
                    <a:noFill/>
                    <a:ln>
                      <a:noFill/>
                    </a:ln>
                  </pic:spPr>
                </pic:pic>
              </a:graphicData>
            </a:graphic>
          </wp:inline>
        </w:drawing>
      </w:r>
    </w:p>
    <w:p w14:paraId="075B303D">
      <w:pPr>
        <w:pStyle w:val="2"/>
        <w:jc w:val="center"/>
        <w:rPr>
          <w:rFonts w:ascii="Times New Roman" w:hAnsi="Times New Roman" w:cs="Times New Roman"/>
          <w:sz w:val="21"/>
          <w:szCs w:val="21"/>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3</w:t>
      </w:r>
      <w:r>
        <w:rPr>
          <w:rFonts w:ascii="Times New Roman" w:hAnsi="Times New Roman" w:cs="Times New Roman"/>
          <w:sz w:val="21"/>
          <w:szCs w:val="21"/>
        </w:rPr>
        <w:fldChar w:fldCharType="end"/>
      </w:r>
      <w:r>
        <w:rPr>
          <w:rFonts w:ascii="Times New Roman" w:hAnsi="Times New Roman" w:cs="Times New Roman"/>
          <w:sz w:val="21"/>
          <w:szCs w:val="21"/>
        </w:rPr>
        <w:t>. The PVC waste generation in different provinces</w:t>
      </w:r>
    </w:p>
    <w:p w14:paraId="6D726135">
      <w:pPr>
        <w:spacing w:line="480" w:lineRule="auto"/>
        <w:rPr>
          <w:rFonts w:ascii="Times New Roman" w:hAnsi="Times New Roman" w:cs="Times New Roman"/>
          <w:i/>
          <w:iCs/>
          <w:sz w:val="24"/>
        </w:rPr>
      </w:pPr>
      <w:r>
        <w:rPr>
          <w:rFonts w:ascii="Times New Roman" w:hAnsi="Times New Roman" w:cs="Times New Roman"/>
          <w:i/>
          <w:iCs/>
          <w:sz w:val="24"/>
        </w:rPr>
        <w:t xml:space="preserve">1.2.2 The PVC waste from different sources treatment conditions </w:t>
      </w:r>
    </w:p>
    <w:p w14:paraId="08AF79AD">
      <w:pPr>
        <w:widowControl/>
        <w:spacing w:line="480" w:lineRule="auto"/>
        <w:ind w:firstLine="480" w:firstLineChars="200"/>
        <w:rPr>
          <w:rFonts w:ascii="Times New Roman" w:hAnsi="Times New Roman" w:cs="Times New Roman"/>
          <w:sz w:val="24"/>
        </w:rPr>
      </w:pPr>
      <w:r>
        <w:rPr>
          <w:rFonts w:ascii="Times New Roman" w:hAnsi="Times New Roman" w:eastAsia="宋体" w:cs="Times New Roman"/>
          <w:kern w:val="0"/>
          <w:sz w:val="24"/>
          <w:szCs w:val="20"/>
        </w:rPr>
        <w:t xml:space="preserve"> The different sources of PVC waste have different recycling rate. The treatment rates of five PVC waste sources are shown below.</w:t>
      </w:r>
    </w:p>
    <w:p w14:paraId="20F32D4E">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3763010" cy="2879725"/>
            <wp:effectExtent l="0" t="0" r="8890" b="6350"/>
            <wp:docPr id="3" name="图片 3" descr="construction waste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onstruction waste treatment"/>
                    <pic:cNvPicPr>
                      <a:picLocks noChangeAspect="1"/>
                    </pic:cNvPicPr>
                  </pic:nvPicPr>
                  <pic:blipFill>
                    <a:blip r:embed="rId7"/>
                    <a:stretch>
                      <a:fillRect/>
                    </a:stretch>
                  </pic:blipFill>
                  <pic:spPr>
                    <a:xfrm>
                      <a:off x="0" y="0"/>
                      <a:ext cx="3763010" cy="2879725"/>
                    </a:xfrm>
                    <a:prstGeom prst="rect">
                      <a:avLst/>
                    </a:prstGeom>
                  </pic:spPr>
                </pic:pic>
              </a:graphicData>
            </a:graphic>
          </wp:inline>
        </w:drawing>
      </w:r>
    </w:p>
    <w:p w14:paraId="2FFF6E6E">
      <w:pPr>
        <w:pStyle w:val="2"/>
        <w:jc w:val="center"/>
        <w:rPr>
          <w:rFonts w:ascii="Times New Roman" w:hAnsi="Times New Roman" w:cs="Times New Roman"/>
          <w:sz w:val="21"/>
          <w:szCs w:val="21"/>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4</w:t>
      </w:r>
      <w:r>
        <w:rPr>
          <w:rFonts w:ascii="Times New Roman" w:hAnsi="Times New Roman" w:cs="Times New Roman"/>
          <w:sz w:val="21"/>
          <w:szCs w:val="21"/>
        </w:rPr>
        <w:fldChar w:fldCharType="end"/>
      </w:r>
      <w:r>
        <w:rPr>
          <w:rFonts w:ascii="Times New Roman" w:hAnsi="Times New Roman" w:cs="Times New Roman"/>
          <w:sz w:val="21"/>
          <w:szCs w:val="21"/>
        </w:rPr>
        <w:t>. The treatment rate of PVC waste from construction solid waste</w:t>
      </w:r>
    </w:p>
    <w:p w14:paraId="71D55E4D">
      <w:pPr>
        <w:rPr>
          <w:rFonts w:ascii="Times New Roman" w:hAnsi="Times New Roman" w:cs="Times New Roman"/>
        </w:rPr>
      </w:pPr>
    </w:p>
    <w:p w14:paraId="2755EFC2">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3763010" cy="2879725"/>
            <wp:effectExtent l="0" t="0" r="8890" b="6350"/>
            <wp:docPr id="4" name="图片 4" descr="industial solid waste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ndustial solid waste treatment"/>
                    <pic:cNvPicPr>
                      <a:picLocks noChangeAspect="1"/>
                    </pic:cNvPicPr>
                  </pic:nvPicPr>
                  <pic:blipFill>
                    <a:blip r:embed="rId8"/>
                    <a:stretch>
                      <a:fillRect/>
                    </a:stretch>
                  </pic:blipFill>
                  <pic:spPr>
                    <a:xfrm>
                      <a:off x="0" y="0"/>
                      <a:ext cx="3763010" cy="2879725"/>
                    </a:xfrm>
                    <a:prstGeom prst="rect">
                      <a:avLst/>
                    </a:prstGeom>
                  </pic:spPr>
                </pic:pic>
              </a:graphicData>
            </a:graphic>
          </wp:inline>
        </w:drawing>
      </w:r>
    </w:p>
    <w:p w14:paraId="20E1ED54">
      <w:pPr>
        <w:pStyle w:val="2"/>
        <w:jc w:val="center"/>
        <w:rPr>
          <w:rFonts w:ascii="Times New Roman" w:hAnsi="Times New Roman" w:cs="Times New Roman"/>
          <w:sz w:val="21"/>
          <w:szCs w:val="21"/>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ascii="Times New Roman" w:hAnsi="Times New Roman" w:cs="Times New Roman"/>
          <w:sz w:val="21"/>
          <w:szCs w:val="21"/>
        </w:rPr>
        <w:t>.The treatment rate of PVC waste from industrial solid waste</w:t>
      </w:r>
    </w:p>
    <w:p w14:paraId="1A91FA49">
      <w:pPr>
        <w:rPr>
          <w:rFonts w:ascii="Times New Roman" w:hAnsi="Times New Roman" w:cs="Times New Roman"/>
        </w:rPr>
      </w:pPr>
    </w:p>
    <w:p w14:paraId="02B0B1E4">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3762375" cy="2879725"/>
            <wp:effectExtent l="0" t="0" r="0" b="6350"/>
            <wp:docPr id="5" name="图片 5" descr="household waste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ousehold waste treatment"/>
                    <pic:cNvPicPr>
                      <a:picLocks noChangeAspect="1"/>
                    </pic:cNvPicPr>
                  </pic:nvPicPr>
                  <pic:blipFill>
                    <a:blip r:embed="rId9"/>
                    <a:stretch>
                      <a:fillRect/>
                    </a:stretch>
                  </pic:blipFill>
                  <pic:spPr>
                    <a:xfrm>
                      <a:off x="0" y="0"/>
                      <a:ext cx="3762375" cy="2879725"/>
                    </a:xfrm>
                    <a:prstGeom prst="rect">
                      <a:avLst/>
                    </a:prstGeom>
                  </pic:spPr>
                </pic:pic>
              </a:graphicData>
            </a:graphic>
          </wp:inline>
        </w:drawing>
      </w:r>
    </w:p>
    <w:p w14:paraId="1F714B3C">
      <w:pPr>
        <w:pStyle w:val="2"/>
        <w:jc w:val="center"/>
        <w:rPr>
          <w:rFonts w:ascii="Times New Roman" w:hAnsi="Times New Roman" w:cs="Times New Roman"/>
          <w:sz w:val="21"/>
          <w:szCs w:val="21"/>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6</w:t>
      </w:r>
      <w:r>
        <w:rPr>
          <w:rFonts w:ascii="Times New Roman" w:hAnsi="Times New Roman" w:cs="Times New Roman"/>
          <w:sz w:val="21"/>
          <w:szCs w:val="21"/>
        </w:rPr>
        <w:fldChar w:fldCharType="end"/>
      </w:r>
      <w:r>
        <w:rPr>
          <w:rFonts w:ascii="Times New Roman" w:hAnsi="Times New Roman" w:cs="Times New Roman"/>
          <w:sz w:val="21"/>
          <w:szCs w:val="21"/>
        </w:rPr>
        <w:t>. The treatment rate of PVC waste from household solid waste</w:t>
      </w:r>
    </w:p>
    <w:p w14:paraId="7CEB179A">
      <w:pPr>
        <w:rPr>
          <w:rFonts w:ascii="Times New Roman" w:hAnsi="Times New Roman" w:cs="Times New Roman"/>
        </w:rPr>
      </w:pPr>
    </w:p>
    <w:p w14:paraId="1FC0B9D9">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3762375" cy="2879725"/>
            <wp:effectExtent l="0" t="0" r="0" b="6350"/>
            <wp:docPr id="6" name="图片 6" descr="agriculture waste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griculture waste treatment"/>
                    <pic:cNvPicPr>
                      <a:picLocks noChangeAspect="1"/>
                    </pic:cNvPicPr>
                  </pic:nvPicPr>
                  <pic:blipFill>
                    <a:blip r:embed="rId10"/>
                    <a:stretch>
                      <a:fillRect/>
                    </a:stretch>
                  </pic:blipFill>
                  <pic:spPr>
                    <a:xfrm>
                      <a:off x="0" y="0"/>
                      <a:ext cx="3762375" cy="2879725"/>
                    </a:xfrm>
                    <a:prstGeom prst="rect">
                      <a:avLst/>
                    </a:prstGeom>
                  </pic:spPr>
                </pic:pic>
              </a:graphicData>
            </a:graphic>
          </wp:inline>
        </w:drawing>
      </w:r>
    </w:p>
    <w:p w14:paraId="3AA26721">
      <w:pPr>
        <w:pStyle w:val="2"/>
        <w:jc w:val="center"/>
        <w:rPr>
          <w:rFonts w:ascii="Times New Roman" w:hAnsi="Times New Roman" w:cs="Times New Roman"/>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7</w:t>
      </w:r>
      <w:r>
        <w:rPr>
          <w:rFonts w:ascii="Times New Roman" w:hAnsi="Times New Roman" w:cs="Times New Roman"/>
          <w:sz w:val="21"/>
          <w:szCs w:val="21"/>
        </w:rPr>
        <w:fldChar w:fldCharType="end"/>
      </w:r>
      <w:r>
        <w:rPr>
          <w:rFonts w:ascii="Times New Roman" w:hAnsi="Times New Roman" w:cs="Times New Roman"/>
          <w:sz w:val="21"/>
          <w:szCs w:val="21"/>
        </w:rPr>
        <w:t>. The treatment rate of PVC waste from agriculture solid waste</w:t>
      </w:r>
    </w:p>
    <w:p w14:paraId="4DC1DFBD">
      <w:pPr>
        <w:jc w:val="center"/>
        <w:rPr>
          <w:rFonts w:ascii="Times New Roman" w:hAnsi="Times New Roman" w:cs="Times New Roman"/>
        </w:rPr>
      </w:pPr>
      <w:r>
        <w:rPr>
          <w:rFonts w:ascii="Times New Roman" w:hAnsi="Times New Roman" w:cs="Times New Roman"/>
          <w:lang w:val="en-PH" w:eastAsia="en-PH"/>
        </w:rPr>
        <w:drawing>
          <wp:inline distT="0" distB="0" distL="114300" distR="114300">
            <wp:extent cx="3761740" cy="2879725"/>
            <wp:effectExtent l="0" t="0" r="635" b="6350"/>
            <wp:docPr id="7" name="图片 7" descr="medical waste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medical waste treatment"/>
                    <pic:cNvPicPr>
                      <a:picLocks noChangeAspect="1"/>
                    </pic:cNvPicPr>
                  </pic:nvPicPr>
                  <pic:blipFill>
                    <a:blip r:embed="rId11"/>
                    <a:stretch>
                      <a:fillRect/>
                    </a:stretch>
                  </pic:blipFill>
                  <pic:spPr>
                    <a:xfrm>
                      <a:off x="0" y="0"/>
                      <a:ext cx="3761740" cy="2879725"/>
                    </a:xfrm>
                    <a:prstGeom prst="rect">
                      <a:avLst/>
                    </a:prstGeom>
                  </pic:spPr>
                </pic:pic>
              </a:graphicData>
            </a:graphic>
          </wp:inline>
        </w:drawing>
      </w:r>
    </w:p>
    <w:p w14:paraId="00F5B856">
      <w:pPr>
        <w:pStyle w:val="2"/>
        <w:jc w:val="center"/>
        <w:rPr>
          <w:rFonts w:ascii="Times New Roman" w:hAnsi="Times New Roman" w:cs="Times New Roman"/>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8</w:t>
      </w:r>
      <w:r>
        <w:rPr>
          <w:rFonts w:ascii="Times New Roman" w:hAnsi="Times New Roman" w:cs="Times New Roman"/>
          <w:sz w:val="21"/>
          <w:szCs w:val="21"/>
        </w:rPr>
        <w:fldChar w:fldCharType="end"/>
      </w:r>
      <w:r>
        <w:rPr>
          <w:rFonts w:ascii="Times New Roman" w:hAnsi="Times New Roman" w:cs="Times New Roman"/>
          <w:sz w:val="21"/>
          <w:szCs w:val="21"/>
        </w:rPr>
        <w:t>. The treatment rate of PVC waste from medical solid waste</w:t>
      </w:r>
    </w:p>
    <w:p w14:paraId="7A375653">
      <w:pPr>
        <w:rPr>
          <w:rFonts w:ascii="Times New Roman" w:hAnsi="Times New Roman" w:cs="Times New Roman"/>
        </w:rPr>
      </w:pPr>
      <w:r>
        <w:rPr>
          <w:rFonts w:ascii="Times New Roman" w:hAnsi="Times New Roman" w:cs="Times New Roman"/>
        </w:rPr>
        <w:br w:type="page"/>
      </w:r>
    </w:p>
    <w:p w14:paraId="7F6B785F">
      <w:pPr>
        <w:numPr>
          <w:ilvl w:val="0"/>
          <w:numId w:val="2"/>
        </w:numPr>
        <w:rPr>
          <w:rFonts w:ascii="Times New Roman" w:hAnsi="Times New Roman" w:eastAsia="等线" w:cs="Times New Roman"/>
          <w:b/>
          <w:bCs/>
          <w:i/>
          <w:iCs/>
          <w:kern w:val="0"/>
          <w:sz w:val="24"/>
        </w:rPr>
      </w:pPr>
      <w:r>
        <w:rPr>
          <w:rFonts w:ascii="Times New Roman" w:hAnsi="Times New Roman" w:eastAsia="等线" w:cs="Times New Roman"/>
          <w:b/>
          <w:bCs/>
          <w:i/>
          <w:iCs/>
          <w:kern w:val="0"/>
          <w:sz w:val="24"/>
        </w:rPr>
        <w:t>Scenario description in China from 2020 to 2050</w:t>
      </w:r>
      <w:r>
        <w:rPr>
          <w:rFonts w:ascii="Times New Roman" w:hAnsi="Times New Roman" w:eastAsia="等线" w:cs="Times New Roman"/>
          <w:b/>
          <w:bCs/>
          <w:i/>
          <w:iCs/>
          <w:kern w:val="0"/>
          <w:sz w:val="24"/>
        </w:rPr>
        <w:tab/>
      </w:r>
    </w:p>
    <w:p w14:paraId="3F18E8D6">
      <w:pPr>
        <w:rPr>
          <w:rFonts w:ascii="Times New Roman" w:hAnsi="Times New Roman" w:eastAsia="等线" w:cs="Times New Roman"/>
          <w:kern w:val="0"/>
          <w:sz w:val="24"/>
        </w:rPr>
      </w:pPr>
    </w:p>
    <w:p w14:paraId="68BAA842">
      <w:pPr>
        <w:rPr>
          <w:rFonts w:ascii="Times New Roman" w:hAnsi="Times New Roman" w:eastAsia="等线" w:cs="Times New Roman"/>
          <w:kern w:val="0"/>
          <w:sz w:val="24"/>
        </w:rPr>
      </w:pPr>
      <w:r>
        <w:rPr>
          <w:rFonts w:ascii="Times New Roman" w:hAnsi="Times New Roman" w:eastAsia="等线" w:cs="Times New Roman"/>
          <w:kern w:val="0"/>
          <w:sz w:val="24"/>
        </w:rPr>
        <w:t>The environmental impacts of electricity in future scenario.</w:t>
      </w:r>
    </w:p>
    <w:p w14:paraId="34844D06">
      <w:pPr>
        <w:widowControl/>
        <w:spacing w:line="480" w:lineRule="auto"/>
        <w:rPr>
          <w:rFonts w:ascii="Times New Roman" w:hAnsi="Times New Roman" w:eastAsia="黑体" w:cs="Times New Roman"/>
          <w:szCs w:val="21"/>
        </w:rPr>
      </w:pPr>
      <w:r>
        <w:rPr>
          <w:rFonts w:ascii="Times New Roman" w:hAnsi="Times New Roman" w:cs="Times New Roman"/>
          <w:szCs w:val="21"/>
        </w:rPr>
        <w:t>Table S4. The environmental impacts under SA1</w:t>
      </w:r>
    </w:p>
    <w:tbl>
      <w:tblPr>
        <w:tblStyle w:val="6"/>
        <w:tblW w:w="52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4"/>
        <w:gridCol w:w="1788"/>
        <w:gridCol w:w="1788"/>
        <w:gridCol w:w="1788"/>
        <w:gridCol w:w="1788"/>
      </w:tblGrid>
      <w:tr w14:paraId="3981E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1" w:hRule="atLeast"/>
        </w:trPr>
        <w:tc>
          <w:tcPr>
            <w:tcW w:w="998" w:type="pct"/>
            <w:tcBorders>
              <w:top w:val="single" w:color="auto" w:sz="12" w:space="0"/>
              <w:left w:val="nil"/>
              <w:bottom w:val="single" w:color="auto" w:sz="8" w:space="0"/>
              <w:right w:val="nil"/>
            </w:tcBorders>
          </w:tcPr>
          <w:p w14:paraId="0DC158E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Electricity_S1</w:t>
            </w:r>
          </w:p>
        </w:tc>
        <w:tc>
          <w:tcPr>
            <w:tcW w:w="1000" w:type="pct"/>
            <w:tcBorders>
              <w:top w:val="single" w:color="auto" w:sz="12" w:space="0"/>
              <w:left w:val="nil"/>
              <w:bottom w:val="single" w:color="auto" w:sz="8" w:space="0"/>
              <w:right w:val="nil"/>
            </w:tcBorders>
          </w:tcPr>
          <w:p w14:paraId="37E8D67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Carbon footprint (kg CO</w:t>
            </w:r>
            <w:r>
              <w:rPr>
                <w:rFonts w:ascii="Times New Roman" w:hAnsi="Times New Roman" w:eastAsia="宋体" w:cs="Times New Roman"/>
                <w:color w:val="000000"/>
                <w:kern w:val="0"/>
                <w:szCs w:val="21"/>
                <w:vertAlign w:val="subscript"/>
                <w:lang w:bidi="ar"/>
              </w:rPr>
              <w:t>2</w:t>
            </w:r>
            <w:r>
              <w:rPr>
                <w:rFonts w:ascii="Times New Roman" w:hAnsi="Times New Roman" w:eastAsia="宋体" w:cs="Times New Roman"/>
                <w:color w:val="000000"/>
                <w:kern w:val="0"/>
                <w:szCs w:val="21"/>
                <w:lang w:bidi="ar"/>
              </w:rPr>
              <w:t>-eq/kg)</w:t>
            </w:r>
          </w:p>
        </w:tc>
        <w:tc>
          <w:tcPr>
            <w:tcW w:w="1000" w:type="pct"/>
            <w:tcBorders>
              <w:top w:val="single" w:color="auto" w:sz="12" w:space="0"/>
              <w:left w:val="nil"/>
              <w:bottom w:val="single" w:color="auto" w:sz="8" w:space="0"/>
              <w:right w:val="nil"/>
            </w:tcBorders>
          </w:tcPr>
          <w:p w14:paraId="3FC721E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Human health</w:t>
            </w:r>
          </w:p>
          <w:p w14:paraId="76B4201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(DALY)</w:t>
            </w:r>
          </w:p>
        </w:tc>
        <w:tc>
          <w:tcPr>
            <w:tcW w:w="1000" w:type="pct"/>
            <w:tcBorders>
              <w:top w:val="single" w:color="auto" w:sz="12" w:space="0"/>
              <w:left w:val="nil"/>
              <w:bottom w:val="single" w:color="auto" w:sz="8" w:space="0"/>
              <w:right w:val="nil"/>
            </w:tcBorders>
          </w:tcPr>
          <w:p w14:paraId="0691A57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Resource depletion (USD)</w:t>
            </w:r>
          </w:p>
        </w:tc>
        <w:tc>
          <w:tcPr>
            <w:tcW w:w="1000" w:type="pct"/>
            <w:tcBorders>
              <w:top w:val="single" w:color="auto" w:sz="12" w:space="0"/>
              <w:left w:val="nil"/>
              <w:bottom w:val="single" w:color="auto" w:sz="8" w:space="0"/>
              <w:right w:val="nil"/>
            </w:tcBorders>
          </w:tcPr>
          <w:p w14:paraId="09BF976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Ecosystem quality (species.yr)</w:t>
            </w:r>
          </w:p>
        </w:tc>
      </w:tr>
      <w:tr w14:paraId="2E17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998" w:type="pct"/>
            <w:tcBorders>
              <w:top w:val="single" w:color="auto" w:sz="8" w:space="0"/>
              <w:left w:val="nil"/>
              <w:bottom w:val="nil"/>
              <w:right w:val="nil"/>
            </w:tcBorders>
            <w:vAlign w:val="center"/>
          </w:tcPr>
          <w:p w14:paraId="3874AD71">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2020</w:t>
            </w:r>
          </w:p>
        </w:tc>
        <w:tc>
          <w:tcPr>
            <w:tcW w:w="1000" w:type="pct"/>
            <w:tcBorders>
              <w:top w:val="single" w:color="auto" w:sz="8" w:space="0"/>
              <w:left w:val="nil"/>
              <w:bottom w:val="nil"/>
              <w:right w:val="nil"/>
            </w:tcBorders>
            <w:vAlign w:val="center"/>
          </w:tcPr>
          <w:p w14:paraId="786107F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9.6</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single" w:color="auto" w:sz="8" w:space="0"/>
              <w:left w:val="nil"/>
              <w:bottom w:val="nil"/>
              <w:right w:val="nil"/>
            </w:tcBorders>
            <w:vAlign w:val="center"/>
          </w:tcPr>
          <w:p w14:paraId="16D66EA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2.3</w:t>
            </w:r>
            <w:r>
              <w:rPr>
                <w:rFonts w:ascii="Times New Roman" w:hAnsi="Times New Roman" w:cs="Times New Roman"/>
                <w:color w:val="000000"/>
                <w:kern w:val="0"/>
                <w:szCs w:val="21"/>
                <w:lang w:bidi="ar"/>
              </w:rPr>
              <w:t>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single" w:color="auto" w:sz="8" w:space="0"/>
              <w:left w:val="nil"/>
              <w:bottom w:val="nil"/>
              <w:right w:val="nil"/>
            </w:tcBorders>
            <w:vAlign w:val="center"/>
          </w:tcPr>
          <w:p w14:paraId="5E102CDF">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single" w:color="auto" w:sz="8" w:space="0"/>
              <w:left w:val="nil"/>
              <w:bottom w:val="nil"/>
              <w:right w:val="nil"/>
            </w:tcBorders>
            <w:vAlign w:val="center"/>
          </w:tcPr>
          <w:p w14:paraId="1E3E61E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4.11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1941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98" w:type="pct"/>
            <w:tcBorders>
              <w:top w:val="nil"/>
              <w:left w:val="nil"/>
              <w:bottom w:val="nil"/>
              <w:right w:val="nil"/>
            </w:tcBorders>
            <w:vAlign w:val="center"/>
          </w:tcPr>
          <w:p w14:paraId="31635EE8">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2025</w:t>
            </w:r>
          </w:p>
        </w:tc>
        <w:tc>
          <w:tcPr>
            <w:tcW w:w="1000" w:type="pct"/>
            <w:tcBorders>
              <w:top w:val="nil"/>
              <w:left w:val="nil"/>
              <w:bottom w:val="nil"/>
              <w:right w:val="nil"/>
            </w:tcBorders>
            <w:vAlign w:val="center"/>
          </w:tcPr>
          <w:p w14:paraId="1095A991">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w:t>
            </w:r>
            <w:r>
              <w:rPr>
                <w:rFonts w:ascii="Times New Roman" w:hAnsi="Times New Roman" w:cs="Times New Roman"/>
                <w:color w:val="000000"/>
                <w:kern w:val="0"/>
                <w:szCs w:val="21"/>
                <w:lang w:bidi="ar"/>
              </w:rPr>
              <w:t>2</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cs="Times New Roman"/>
                <w:color w:val="000000"/>
                <w:kern w:val="0"/>
                <w:szCs w:val="21"/>
                <w:vertAlign w:val="superscript"/>
                <w:lang w:bidi="ar"/>
              </w:rPr>
              <w:t>0</w:t>
            </w:r>
          </w:p>
        </w:tc>
        <w:tc>
          <w:tcPr>
            <w:tcW w:w="1000" w:type="pct"/>
            <w:tcBorders>
              <w:top w:val="nil"/>
              <w:left w:val="nil"/>
              <w:bottom w:val="nil"/>
              <w:right w:val="nil"/>
            </w:tcBorders>
            <w:vAlign w:val="center"/>
          </w:tcPr>
          <w:p w14:paraId="12B7B06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2.43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643FC92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6E6CFC1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4.33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2019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98" w:type="pct"/>
            <w:tcBorders>
              <w:top w:val="nil"/>
              <w:left w:val="nil"/>
              <w:bottom w:val="nil"/>
              <w:right w:val="nil"/>
            </w:tcBorders>
            <w:vAlign w:val="center"/>
          </w:tcPr>
          <w:p w14:paraId="0784C43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2030</w:t>
            </w:r>
          </w:p>
        </w:tc>
        <w:tc>
          <w:tcPr>
            <w:tcW w:w="1000" w:type="pct"/>
            <w:tcBorders>
              <w:top w:val="nil"/>
              <w:left w:val="nil"/>
              <w:bottom w:val="nil"/>
              <w:right w:val="nil"/>
            </w:tcBorders>
            <w:vAlign w:val="center"/>
          </w:tcPr>
          <w:p w14:paraId="78379E9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w:t>
            </w:r>
            <w:r>
              <w:rPr>
                <w:rFonts w:ascii="Times New Roman" w:hAnsi="Times New Roman" w:cs="Times New Roman"/>
                <w:color w:val="000000"/>
                <w:kern w:val="0"/>
                <w:szCs w:val="21"/>
                <w:lang w:bidi="ar"/>
              </w:rPr>
              <w:t>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cs="Times New Roman"/>
                <w:color w:val="000000"/>
                <w:kern w:val="0"/>
                <w:szCs w:val="21"/>
                <w:vertAlign w:val="superscript"/>
                <w:lang w:bidi="ar"/>
              </w:rPr>
              <w:t>0</w:t>
            </w:r>
          </w:p>
        </w:tc>
        <w:tc>
          <w:tcPr>
            <w:tcW w:w="1000" w:type="pct"/>
            <w:tcBorders>
              <w:top w:val="nil"/>
              <w:left w:val="nil"/>
              <w:bottom w:val="nil"/>
              <w:right w:val="nil"/>
            </w:tcBorders>
            <w:vAlign w:val="center"/>
          </w:tcPr>
          <w:p w14:paraId="0F44607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2.4</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55A624D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0FAA7FF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4.37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7293C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98" w:type="pct"/>
            <w:tcBorders>
              <w:top w:val="nil"/>
              <w:left w:val="nil"/>
              <w:bottom w:val="nil"/>
              <w:right w:val="nil"/>
            </w:tcBorders>
            <w:vAlign w:val="center"/>
          </w:tcPr>
          <w:p w14:paraId="2970D2C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2035</w:t>
            </w:r>
          </w:p>
        </w:tc>
        <w:tc>
          <w:tcPr>
            <w:tcW w:w="1000" w:type="pct"/>
            <w:tcBorders>
              <w:top w:val="nil"/>
              <w:left w:val="nil"/>
              <w:bottom w:val="nil"/>
              <w:right w:val="nil"/>
            </w:tcBorders>
            <w:vAlign w:val="center"/>
          </w:tcPr>
          <w:p w14:paraId="0C04F10F">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cs="Times New Roman"/>
                <w:color w:val="000000"/>
                <w:kern w:val="0"/>
                <w:szCs w:val="21"/>
                <w:vertAlign w:val="superscript"/>
                <w:lang w:bidi="ar"/>
              </w:rPr>
              <w:t>0</w:t>
            </w:r>
          </w:p>
        </w:tc>
        <w:tc>
          <w:tcPr>
            <w:tcW w:w="1000" w:type="pct"/>
            <w:tcBorders>
              <w:top w:val="nil"/>
              <w:left w:val="nil"/>
              <w:bottom w:val="nil"/>
              <w:right w:val="nil"/>
            </w:tcBorders>
            <w:vAlign w:val="center"/>
          </w:tcPr>
          <w:p w14:paraId="0B922CFD">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2.47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692B812F">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32FEEB4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4.40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7555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98" w:type="pct"/>
            <w:tcBorders>
              <w:top w:val="nil"/>
              <w:left w:val="nil"/>
              <w:bottom w:val="nil"/>
              <w:right w:val="nil"/>
            </w:tcBorders>
            <w:vAlign w:val="center"/>
          </w:tcPr>
          <w:p w14:paraId="4E17C1B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2040</w:t>
            </w:r>
          </w:p>
        </w:tc>
        <w:tc>
          <w:tcPr>
            <w:tcW w:w="1000" w:type="pct"/>
            <w:tcBorders>
              <w:top w:val="nil"/>
              <w:left w:val="nil"/>
              <w:bottom w:val="nil"/>
              <w:right w:val="nil"/>
            </w:tcBorders>
            <w:vAlign w:val="center"/>
          </w:tcPr>
          <w:p w14:paraId="77B7153F">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cs="Times New Roman"/>
                <w:color w:val="000000"/>
                <w:kern w:val="0"/>
                <w:szCs w:val="21"/>
                <w:vertAlign w:val="superscript"/>
                <w:lang w:bidi="ar"/>
              </w:rPr>
              <w:t>0</w:t>
            </w:r>
          </w:p>
        </w:tc>
        <w:tc>
          <w:tcPr>
            <w:tcW w:w="1000" w:type="pct"/>
            <w:tcBorders>
              <w:top w:val="nil"/>
              <w:left w:val="nil"/>
              <w:bottom w:val="nil"/>
              <w:right w:val="nil"/>
            </w:tcBorders>
            <w:vAlign w:val="center"/>
          </w:tcPr>
          <w:p w14:paraId="2DA4A385">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2.47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33E91ECD">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369213B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4.40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02F9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98" w:type="pct"/>
            <w:tcBorders>
              <w:top w:val="nil"/>
              <w:left w:val="nil"/>
              <w:bottom w:val="nil"/>
              <w:right w:val="nil"/>
            </w:tcBorders>
            <w:vAlign w:val="center"/>
          </w:tcPr>
          <w:p w14:paraId="7CDCC32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2045</w:t>
            </w:r>
          </w:p>
        </w:tc>
        <w:tc>
          <w:tcPr>
            <w:tcW w:w="1000" w:type="pct"/>
            <w:tcBorders>
              <w:top w:val="nil"/>
              <w:left w:val="nil"/>
              <w:bottom w:val="nil"/>
              <w:right w:val="nil"/>
            </w:tcBorders>
            <w:vAlign w:val="center"/>
          </w:tcPr>
          <w:p w14:paraId="6E93F584">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w:t>
            </w:r>
            <w:r>
              <w:rPr>
                <w:rFonts w:ascii="Times New Roman" w:hAnsi="Times New Roman" w:cs="Times New Roman"/>
                <w:color w:val="000000"/>
                <w:kern w:val="0"/>
                <w:szCs w:val="21"/>
                <w:lang w:bidi="ar"/>
              </w:rPr>
              <w:t>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cs="Times New Roman"/>
                <w:color w:val="000000"/>
                <w:kern w:val="0"/>
                <w:szCs w:val="21"/>
                <w:vertAlign w:val="superscript"/>
                <w:lang w:bidi="ar"/>
              </w:rPr>
              <w:t>0</w:t>
            </w:r>
          </w:p>
        </w:tc>
        <w:tc>
          <w:tcPr>
            <w:tcW w:w="1000" w:type="pct"/>
            <w:tcBorders>
              <w:top w:val="nil"/>
              <w:left w:val="nil"/>
              <w:bottom w:val="nil"/>
              <w:right w:val="nil"/>
            </w:tcBorders>
            <w:vAlign w:val="center"/>
          </w:tcPr>
          <w:p w14:paraId="3A17089D">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2.48</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1B4F117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539BDAB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4.42</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2F835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998" w:type="pct"/>
            <w:tcBorders>
              <w:top w:val="nil"/>
              <w:left w:val="nil"/>
              <w:bottom w:val="single" w:color="auto" w:sz="12" w:space="0"/>
              <w:right w:val="nil"/>
            </w:tcBorders>
            <w:vAlign w:val="center"/>
          </w:tcPr>
          <w:p w14:paraId="72317D5D">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2050</w:t>
            </w:r>
          </w:p>
        </w:tc>
        <w:tc>
          <w:tcPr>
            <w:tcW w:w="1000" w:type="pct"/>
            <w:tcBorders>
              <w:top w:val="nil"/>
              <w:left w:val="nil"/>
              <w:bottom w:val="single" w:color="auto" w:sz="12" w:space="0"/>
              <w:right w:val="nil"/>
            </w:tcBorders>
            <w:vAlign w:val="center"/>
          </w:tcPr>
          <w:p w14:paraId="1B42F9B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cs="Times New Roman"/>
                <w:color w:val="000000"/>
                <w:kern w:val="0"/>
                <w:szCs w:val="21"/>
                <w:vertAlign w:val="superscript"/>
                <w:lang w:bidi="ar"/>
              </w:rPr>
              <w:t>0</w:t>
            </w:r>
          </w:p>
        </w:tc>
        <w:tc>
          <w:tcPr>
            <w:tcW w:w="1000" w:type="pct"/>
            <w:tcBorders>
              <w:top w:val="nil"/>
              <w:left w:val="nil"/>
              <w:bottom w:val="single" w:color="auto" w:sz="12" w:space="0"/>
              <w:right w:val="nil"/>
            </w:tcBorders>
            <w:vAlign w:val="center"/>
          </w:tcPr>
          <w:p w14:paraId="0876F6A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2.50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single" w:color="auto" w:sz="12" w:space="0"/>
              <w:right w:val="nil"/>
            </w:tcBorders>
            <w:vAlign w:val="center"/>
          </w:tcPr>
          <w:p w14:paraId="46E85734">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single" w:color="auto" w:sz="12" w:space="0"/>
              <w:right w:val="nil"/>
            </w:tcBorders>
            <w:vAlign w:val="center"/>
          </w:tcPr>
          <w:p w14:paraId="13F5CE9F">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4.4</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bl>
    <w:p w14:paraId="069FE07E">
      <w:pPr>
        <w:rPr>
          <w:rFonts w:ascii="Times New Roman" w:hAnsi="Times New Roman" w:cs="Times New Roman"/>
          <w:i/>
          <w:iCs/>
          <w:szCs w:val="21"/>
        </w:rPr>
      </w:pPr>
    </w:p>
    <w:p w14:paraId="11A03A28">
      <w:pPr>
        <w:rPr>
          <w:rFonts w:ascii="Times New Roman" w:hAnsi="Times New Roman" w:eastAsia="黑体" w:cs="Times New Roman"/>
          <w:szCs w:val="21"/>
        </w:rPr>
      </w:pPr>
      <w:r>
        <w:rPr>
          <w:rFonts w:ascii="Times New Roman" w:hAnsi="Times New Roman" w:cs="Times New Roman"/>
          <w:szCs w:val="21"/>
        </w:rPr>
        <w:t>Table S5. The environmental impacts under SA2.</w:t>
      </w:r>
    </w:p>
    <w:tbl>
      <w:tblPr>
        <w:tblStyle w:val="6"/>
        <w:tblW w:w="52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7"/>
        <w:gridCol w:w="1780"/>
        <w:gridCol w:w="1780"/>
        <w:gridCol w:w="1780"/>
        <w:gridCol w:w="1780"/>
      </w:tblGrid>
      <w:tr w14:paraId="4DA6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998" w:type="pct"/>
            <w:tcBorders>
              <w:top w:val="single" w:color="auto" w:sz="12" w:space="0"/>
              <w:left w:val="nil"/>
              <w:bottom w:val="single" w:color="auto" w:sz="8" w:space="0"/>
              <w:right w:val="nil"/>
            </w:tcBorders>
          </w:tcPr>
          <w:p w14:paraId="593007D8">
            <w:pPr>
              <w:widowControl/>
              <w:jc w:val="left"/>
              <w:textAlignment w:val="center"/>
              <w:rPr>
                <w:rFonts w:ascii="Times New Roman" w:hAnsi="Times New Roman" w:cs="Times New Roman"/>
                <w:szCs w:val="21"/>
              </w:rPr>
            </w:pPr>
            <w:r>
              <w:rPr>
                <w:rFonts w:ascii="Times New Roman" w:hAnsi="Times New Roman" w:cs="Times New Roman"/>
                <w:szCs w:val="21"/>
              </w:rPr>
              <w:t>Electricity_S2</w:t>
            </w:r>
          </w:p>
        </w:tc>
        <w:tc>
          <w:tcPr>
            <w:tcW w:w="1000" w:type="pct"/>
            <w:tcBorders>
              <w:top w:val="single" w:color="auto" w:sz="12" w:space="0"/>
              <w:left w:val="nil"/>
              <w:bottom w:val="single" w:color="auto" w:sz="8" w:space="0"/>
              <w:right w:val="nil"/>
            </w:tcBorders>
          </w:tcPr>
          <w:p w14:paraId="6B60F3A5">
            <w:pPr>
              <w:widowControl/>
              <w:jc w:val="left"/>
              <w:textAlignment w:val="center"/>
              <w:rPr>
                <w:rFonts w:ascii="Times New Roman" w:hAnsi="Times New Roman" w:cs="Times New Roman"/>
                <w:szCs w:val="21"/>
              </w:rPr>
            </w:pPr>
            <w:r>
              <w:rPr>
                <w:rFonts w:ascii="Times New Roman" w:hAnsi="Times New Roman" w:cs="Times New Roman"/>
                <w:szCs w:val="21"/>
              </w:rPr>
              <w:t>Carbon footprint (kg CO</w:t>
            </w:r>
            <w:r>
              <w:rPr>
                <w:rFonts w:ascii="Times New Roman" w:hAnsi="Times New Roman" w:cs="Times New Roman"/>
                <w:szCs w:val="21"/>
                <w:vertAlign w:val="subscript"/>
              </w:rPr>
              <w:t>2</w:t>
            </w:r>
            <w:r>
              <w:rPr>
                <w:rFonts w:ascii="Times New Roman" w:hAnsi="Times New Roman" w:cs="Times New Roman"/>
                <w:szCs w:val="21"/>
              </w:rPr>
              <w:t>-eq/kg)</w:t>
            </w:r>
          </w:p>
        </w:tc>
        <w:tc>
          <w:tcPr>
            <w:tcW w:w="1000" w:type="pct"/>
            <w:tcBorders>
              <w:top w:val="single" w:color="auto" w:sz="12" w:space="0"/>
              <w:left w:val="nil"/>
              <w:bottom w:val="single" w:color="auto" w:sz="8" w:space="0"/>
              <w:right w:val="nil"/>
            </w:tcBorders>
          </w:tcPr>
          <w:p w14:paraId="22B84188">
            <w:pPr>
              <w:widowControl/>
              <w:jc w:val="left"/>
              <w:textAlignment w:val="center"/>
              <w:rPr>
                <w:rFonts w:ascii="Times New Roman" w:hAnsi="Times New Roman" w:cs="Times New Roman"/>
                <w:szCs w:val="21"/>
              </w:rPr>
            </w:pPr>
            <w:r>
              <w:rPr>
                <w:rFonts w:ascii="Times New Roman" w:hAnsi="Times New Roman" w:cs="Times New Roman"/>
                <w:szCs w:val="21"/>
              </w:rPr>
              <w:t>Human health</w:t>
            </w:r>
          </w:p>
          <w:p w14:paraId="5BE6807A">
            <w:pPr>
              <w:widowControl/>
              <w:jc w:val="left"/>
              <w:textAlignment w:val="center"/>
              <w:rPr>
                <w:rFonts w:ascii="Times New Roman" w:hAnsi="Times New Roman" w:cs="Times New Roman"/>
                <w:szCs w:val="21"/>
              </w:rPr>
            </w:pPr>
            <w:r>
              <w:rPr>
                <w:rFonts w:ascii="Times New Roman" w:hAnsi="Times New Roman" w:cs="Times New Roman"/>
                <w:szCs w:val="21"/>
              </w:rPr>
              <w:t>(DALY)</w:t>
            </w:r>
          </w:p>
        </w:tc>
        <w:tc>
          <w:tcPr>
            <w:tcW w:w="1000" w:type="pct"/>
            <w:tcBorders>
              <w:top w:val="single" w:color="auto" w:sz="12" w:space="0"/>
              <w:left w:val="nil"/>
              <w:bottom w:val="single" w:color="auto" w:sz="8" w:space="0"/>
              <w:right w:val="nil"/>
            </w:tcBorders>
          </w:tcPr>
          <w:p w14:paraId="5638A596">
            <w:pPr>
              <w:widowControl/>
              <w:jc w:val="left"/>
              <w:textAlignment w:val="center"/>
              <w:rPr>
                <w:rFonts w:ascii="Times New Roman" w:hAnsi="Times New Roman" w:cs="Times New Roman"/>
                <w:szCs w:val="21"/>
              </w:rPr>
            </w:pPr>
            <w:r>
              <w:rPr>
                <w:rFonts w:ascii="Times New Roman" w:hAnsi="Times New Roman" w:cs="Times New Roman"/>
                <w:szCs w:val="21"/>
              </w:rPr>
              <w:t>Resource depletion (USD)</w:t>
            </w:r>
          </w:p>
        </w:tc>
        <w:tc>
          <w:tcPr>
            <w:tcW w:w="1000" w:type="pct"/>
            <w:tcBorders>
              <w:top w:val="single" w:color="auto" w:sz="12" w:space="0"/>
              <w:left w:val="nil"/>
              <w:bottom w:val="single" w:color="auto" w:sz="8" w:space="0"/>
              <w:right w:val="nil"/>
            </w:tcBorders>
          </w:tcPr>
          <w:p w14:paraId="7F65CD82">
            <w:pPr>
              <w:widowControl/>
              <w:jc w:val="left"/>
              <w:textAlignment w:val="center"/>
              <w:rPr>
                <w:rFonts w:ascii="Times New Roman" w:hAnsi="Times New Roman" w:cs="Times New Roman"/>
                <w:szCs w:val="21"/>
              </w:rPr>
            </w:pPr>
            <w:r>
              <w:rPr>
                <w:rFonts w:ascii="Times New Roman" w:hAnsi="Times New Roman" w:cs="Times New Roman"/>
                <w:szCs w:val="21"/>
              </w:rPr>
              <w:t>Ecosystem quality (species.yr)</w:t>
            </w:r>
          </w:p>
        </w:tc>
      </w:tr>
      <w:tr w14:paraId="1915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998" w:type="pct"/>
            <w:tcBorders>
              <w:top w:val="single" w:color="auto" w:sz="8" w:space="0"/>
              <w:left w:val="nil"/>
              <w:bottom w:val="nil"/>
              <w:right w:val="nil"/>
            </w:tcBorders>
            <w:vAlign w:val="center"/>
          </w:tcPr>
          <w:p w14:paraId="13DE3D5B">
            <w:pPr>
              <w:widowControl/>
              <w:jc w:val="left"/>
              <w:textAlignment w:val="center"/>
              <w:rPr>
                <w:rFonts w:ascii="Times New Roman" w:hAnsi="Times New Roman" w:cs="Times New Roman"/>
                <w:szCs w:val="21"/>
              </w:rPr>
            </w:pPr>
            <w:r>
              <w:rPr>
                <w:rFonts w:ascii="Times New Roman" w:hAnsi="Times New Roman" w:cs="Times New Roman"/>
                <w:szCs w:val="21"/>
              </w:rPr>
              <w:t>2020</w:t>
            </w:r>
          </w:p>
        </w:tc>
        <w:tc>
          <w:tcPr>
            <w:tcW w:w="1000" w:type="pct"/>
            <w:tcBorders>
              <w:top w:val="single" w:color="auto" w:sz="8" w:space="0"/>
              <w:left w:val="nil"/>
              <w:bottom w:val="nil"/>
              <w:right w:val="nil"/>
            </w:tcBorders>
            <w:vAlign w:val="center"/>
          </w:tcPr>
          <w:p w14:paraId="1F6A11FF">
            <w:pPr>
              <w:widowControl/>
              <w:jc w:val="left"/>
              <w:textAlignment w:val="center"/>
              <w:rPr>
                <w:rFonts w:ascii="Times New Roman" w:hAnsi="Times New Roman" w:cs="Times New Roman"/>
                <w:szCs w:val="21"/>
              </w:rPr>
            </w:pPr>
            <w:r>
              <w:rPr>
                <w:rFonts w:ascii="Times New Roman" w:hAnsi="Times New Roman" w:cs="Times New Roman"/>
                <w:szCs w:val="21"/>
              </w:rPr>
              <w:t>9.65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single" w:color="auto" w:sz="8" w:space="0"/>
              <w:left w:val="nil"/>
              <w:bottom w:val="nil"/>
              <w:right w:val="nil"/>
            </w:tcBorders>
            <w:vAlign w:val="center"/>
          </w:tcPr>
          <w:p w14:paraId="2EC0347A">
            <w:pPr>
              <w:widowControl/>
              <w:jc w:val="left"/>
              <w:textAlignment w:val="center"/>
              <w:rPr>
                <w:rFonts w:ascii="Times New Roman" w:hAnsi="Times New Roman" w:cs="Times New Roman"/>
                <w:szCs w:val="21"/>
              </w:rPr>
            </w:pPr>
            <w:r>
              <w:rPr>
                <w:rFonts w:ascii="Times New Roman" w:hAnsi="Times New Roman" w:cs="Times New Roman"/>
                <w:szCs w:val="21"/>
              </w:rPr>
              <w:t>2.31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single" w:color="auto" w:sz="8" w:space="0"/>
              <w:left w:val="nil"/>
              <w:bottom w:val="nil"/>
              <w:right w:val="nil"/>
            </w:tcBorders>
            <w:vAlign w:val="center"/>
          </w:tcPr>
          <w:p w14:paraId="3A43A489">
            <w:pPr>
              <w:widowControl/>
              <w:jc w:val="left"/>
              <w:textAlignment w:val="center"/>
              <w:rPr>
                <w:rFonts w:ascii="Times New Roman" w:hAnsi="Times New Roman" w:cs="Times New Roman"/>
                <w:szCs w:val="21"/>
              </w:rPr>
            </w:pPr>
            <w:r>
              <w:rPr>
                <w:rFonts w:ascii="Times New Roman" w:hAnsi="Times New Roman" w:cs="Times New Roman"/>
                <w:szCs w:val="21"/>
              </w:rPr>
              <w:t>1.91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single" w:color="auto" w:sz="8" w:space="0"/>
              <w:left w:val="nil"/>
              <w:bottom w:val="nil"/>
              <w:right w:val="nil"/>
            </w:tcBorders>
            <w:vAlign w:val="center"/>
          </w:tcPr>
          <w:p w14:paraId="5B054B6B">
            <w:pPr>
              <w:widowControl/>
              <w:jc w:val="left"/>
              <w:textAlignment w:val="center"/>
              <w:rPr>
                <w:rFonts w:ascii="Times New Roman" w:hAnsi="Times New Roman" w:cs="Times New Roman"/>
                <w:szCs w:val="21"/>
              </w:rPr>
            </w:pPr>
            <w:r>
              <w:rPr>
                <w:rFonts w:ascii="Times New Roman" w:hAnsi="Times New Roman" w:cs="Times New Roman"/>
                <w:szCs w:val="21"/>
              </w:rPr>
              <w:t>4.11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7E19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98" w:type="pct"/>
            <w:tcBorders>
              <w:top w:val="nil"/>
              <w:left w:val="nil"/>
              <w:bottom w:val="nil"/>
              <w:right w:val="nil"/>
            </w:tcBorders>
            <w:vAlign w:val="center"/>
          </w:tcPr>
          <w:p w14:paraId="14F491B3">
            <w:pPr>
              <w:widowControl/>
              <w:jc w:val="left"/>
              <w:textAlignment w:val="center"/>
              <w:rPr>
                <w:rFonts w:ascii="Times New Roman" w:hAnsi="Times New Roman" w:cs="Times New Roman"/>
                <w:szCs w:val="21"/>
              </w:rPr>
            </w:pPr>
            <w:r>
              <w:rPr>
                <w:rFonts w:ascii="Times New Roman" w:hAnsi="Times New Roman" w:cs="Times New Roman"/>
                <w:szCs w:val="21"/>
              </w:rPr>
              <w:t>2025</w:t>
            </w:r>
          </w:p>
        </w:tc>
        <w:tc>
          <w:tcPr>
            <w:tcW w:w="1000" w:type="pct"/>
            <w:tcBorders>
              <w:top w:val="nil"/>
              <w:left w:val="nil"/>
              <w:bottom w:val="nil"/>
              <w:right w:val="nil"/>
            </w:tcBorders>
            <w:vAlign w:val="center"/>
          </w:tcPr>
          <w:p w14:paraId="39789BF9">
            <w:pPr>
              <w:widowControl/>
              <w:jc w:val="left"/>
              <w:textAlignment w:val="center"/>
              <w:rPr>
                <w:rFonts w:ascii="Times New Roman" w:hAnsi="Times New Roman" w:cs="Times New Roman"/>
                <w:szCs w:val="21"/>
              </w:rPr>
            </w:pPr>
            <w:r>
              <w:rPr>
                <w:rFonts w:ascii="Times New Roman" w:hAnsi="Times New Roman" w:cs="Times New Roman"/>
                <w:szCs w:val="21"/>
              </w:rPr>
              <w:t>7.71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73DC6621">
            <w:pPr>
              <w:widowControl/>
              <w:jc w:val="left"/>
              <w:textAlignment w:val="center"/>
              <w:rPr>
                <w:rFonts w:ascii="Times New Roman" w:hAnsi="Times New Roman" w:cs="Times New Roman"/>
                <w:szCs w:val="21"/>
              </w:rPr>
            </w:pPr>
            <w:r>
              <w:rPr>
                <w:rFonts w:ascii="Times New Roman" w:hAnsi="Times New Roman" w:cs="Times New Roman"/>
                <w:szCs w:val="21"/>
              </w:rPr>
              <w:t>1.86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7E241461">
            <w:pPr>
              <w:widowControl/>
              <w:jc w:val="left"/>
              <w:textAlignment w:val="center"/>
              <w:rPr>
                <w:rFonts w:ascii="Times New Roman" w:hAnsi="Times New Roman" w:cs="Times New Roman"/>
                <w:szCs w:val="21"/>
              </w:rPr>
            </w:pPr>
            <w:r>
              <w:rPr>
                <w:rFonts w:ascii="Times New Roman" w:hAnsi="Times New Roman" w:cs="Times New Roman"/>
                <w:szCs w:val="21"/>
              </w:rPr>
              <w:t>1.57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nil"/>
              <w:right w:val="nil"/>
            </w:tcBorders>
            <w:vAlign w:val="center"/>
          </w:tcPr>
          <w:p w14:paraId="1AB7C425">
            <w:pPr>
              <w:widowControl/>
              <w:jc w:val="left"/>
              <w:textAlignment w:val="center"/>
              <w:rPr>
                <w:rFonts w:ascii="Times New Roman" w:hAnsi="Times New Roman" w:cs="Times New Roman"/>
                <w:szCs w:val="21"/>
              </w:rPr>
            </w:pPr>
            <w:r>
              <w:rPr>
                <w:rFonts w:ascii="Times New Roman" w:hAnsi="Times New Roman" w:cs="Times New Roman"/>
                <w:szCs w:val="21"/>
              </w:rPr>
              <w:t>3.30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4CDE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98" w:type="pct"/>
            <w:tcBorders>
              <w:top w:val="nil"/>
              <w:left w:val="nil"/>
              <w:bottom w:val="nil"/>
              <w:right w:val="nil"/>
            </w:tcBorders>
            <w:vAlign w:val="center"/>
          </w:tcPr>
          <w:p w14:paraId="6F429C0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2030</w:t>
            </w:r>
          </w:p>
        </w:tc>
        <w:tc>
          <w:tcPr>
            <w:tcW w:w="1000" w:type="pct"/>
            <w:tcBorders>
              <w:top w:val="nil"/>
              <w:left w:val="nil"/>
              <w:bottom w:val="nil"/>
              <w:right w:val="nil"/>
            </w:tcBorders>
            <w:vAlign w:val="center"/>
          </w:tcPr>
          <w:p w14:paraId="764D99F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4.8</w:t>
            </w:r>
            <w:r>
              <w:rPr>
                <w:rFonts w:ascii="Times New Roman" w:hAnsi="Times New Roman" w:cs="Times New Roman"/>
                <w:color w:val="000000"/>
                <w:kern w:val="0"/>
                <w:szCs w:val="21"/>
                <w:lang w:bidi="ar"/>
              </w:rPr>
              <w:t>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72FB3BC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w:t>
            </w:r>
            <w:r>
              <w:rPr>
                <w:rFonts w:ascii="Times New Roman" w:hAnsi="Times New Roman" w:cs="Times New Roman"/>
                <w:color w:val="000000"/>
                <w:kern w:val="0"/>
                <w:szCs w:val="21"/>
                <w:lang w:bidi="ar"/>
              </w:rPr>
              <w:t>20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0197C39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nil"/>
              <w:right w:val="nil"/>
            </w:tcBorders>
            <w:vAlign w:val="center"/>
          </w:tcPr>
          <w:p w14:paraId="29F9A6E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2.10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3640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98" w:type="pct"/>
            <w:tcBorders>
              <w:top w:val="nil"/>
              <w:left w:val="nil"/>
              <w:bottom w:val="nil"/>
              <w:right w:val="nil"/>
            </w:tcBorders>
            <w:vAlign w:val="center"/>
          </w:tcPr>
          <w:p w14:paraId="45B857D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2035</w:t>
            </w:r>
          </w:p>
        </w:tc>
        <w:tc>
          <w:tcPr>
            <w:tcW w:w="1000" w:type="pct"/>
            <w:tcBorders>
              <w:top w:val="nil"/>
              <w:left w:val="nil"/>
              <w:bottom w:val="nil"/>
              <w:right w:val="nil"/>
            </w:tcBorders>
            <w:vAlign w:val="center"/>
          </w:tcPr>
          <w:p w14:paraId="02643A24">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3.9</w:t>
            </w:r>
            <w:r>
              <w:rPr>
                <w:rFonts w:ascii="Times New Roman" w:hAnsi="Times New Roman" w:cs="Times New Roman"/>
                <w:color w:val="000000"/>
                <w:kern w:val="0"/>
                <w:szCs w:val="21"/>
                <w:lang w:bidi="ar"/>
              </w:rPr>
              <w:t>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1C2D1B4F">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9.85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6116DB30">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8.82</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33CAAC7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1.71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6542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98" w:type="pct"/>
            <w:tcBorders>
              <w:top w:val="nil"/>
              <w:left w:val="nil"/>
              <w:bottom w:val="nil"/>
              <w:right w:val="nil"/>
            </w:tcBorders>
            <w:vAlign w:val="center"/>
          </w:tcPr>
          <w:p w14:paraId="1CC2D1A8">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2040</w:t>
            </w:r>
          </w:p>
        </w:tc>
        <w:tc>
          <w:tcPr>
            <w:tcW w:w="1000" w:type="pct"/>
            <w:tcBorders>
              <w:top w:val="nil"/>
              <w:left w:val="nil"/>
              <w:bottom w:val="nil"/>
              <w:right w:val="nil"/>
            </w:tcBorders>
            <w:vAlign w:val="center"/>
          </w:tcPr>
          <w:p w14:paraId="005812A4">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3.0</w:t>
            </w:r>
            <w:r>
              <w:rPr>
                <w:rFonts w:ascii="Times New Roman" w:hAnsi="Times New Roman" w:cs="Times New Roman"/>
                <w:color w:val="000000"/>
                <w:kern w:val="0"/>
                <w:szCs w:val="21"/>
                <w:lang w:bidi="ar"/>
              </w:rPr>
              <w:t>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6136A311">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7.8</w:t>
            </w:r>
            <w:r>
              <w:rPr>
                <w:rFonts w:ascii="Times New Roman" w:hAnsi="Times New Roman" w:cs="Times New Roman"/>
                <w:color w:val="000000"/>
                <w:kern w:val="0"/>
                <w:szCs w:val="21"/>
                <w:lang w:bidi="ar"/>
              </w:rPr>
              <w:t>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536BF95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7.4</w:t>
            </w:r>
            <w:r>
              <w:rPr>
                <w:rFonts w:ascii="Times New Roman" w:hAnsi="Times New Roman" w:cs="Times New Roman"/>
                <w:color w:val="000000"/>
                <w:kern w:val="0"/>
                <w:szCs w:val="21"/>
                <w:lang w:bidi="ar"/>
              </w:rPr>
              <w:t>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35035D27">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1.3</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7C167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98" w:type="pct"/>
            <w:tcBorders>
              <w:top w:val="nil"/>
              <w:left w:val="nil"/>
              <w:bottom w:val="nil"/>
              <w:right w:val="nil"/>
            </w:tcBorders>
            <w:vAlign w:val="center"/>
          </w:tcPr>
          <w:p w14:paraId="7D551B2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2045</w:t>
            </w:r>
          </w:p>
        </w:tc>
        <w:tc>
          <w:tcPr>
            <w:tcW w:w="1000" w:type="pct"/>
            <w:tcBorders>
              <w:top w:val="nil"/>
              <w:left w:val="nil"/>
              <w:bottom w:val="nil"/>
              <w:right w:val="nil"/>
            </w:tcBorders>
            <w:vAlign w:val="center"/>
          </w:tcPr>
          <w:p w14:paraId="5065B79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1.9</w:t>
            </w:r>
            <w:r>
              <w:rPr>
                <w:rFonts w:ascii="Times New Roman" w:hAnsi="Times New Roman" w:cs="Times New Roman"/>
                <w:color w:val="000000"/>
                <w:kern w:val="0"/>
                <w:szCs w:val="21"/>
                <w:lang w:bidi="ar"/>
              </w:rPr>
              <w:t>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665447C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5.</w:t>
            </w:r>
            <w:r>
              <w:rPr>
                <w:rFonts w:ascii="Times New Roman" w:hAnsi="Times New Roman" w:cs="Times New Roman"/>
                <w:color w:val="000000"/>
                <w:kern w:val="0"/>
                <w:szCs w:val="21"/>
                <w:lang w:bidi="ar"/>
              </w:rPr>
              <w:t>30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34517460">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5.5</w:t>
            </w:r>
            <w:r>
              <w:rPr>
                <w:rFonts w:ascii="Times New Roman" w:hAnsi="Times New Roman" w:cs="Times New Roman"/>
                <w:color w:val="000000"/>
                <w:kern w:val="0"/>
                <w:szCs w:val="21"/>
                <w:lang w:bidi="ar"/>
              </w:rPr>
              <w:t>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0F83DDE7">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8.85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10</w:t>
            </w:r>
          </w:p>
        </w:tc>
      </w:tr>
      <w:tr w14:paraId="7652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998" w:type="pct"/>
            <w:tcBorders>
              <w:top w:val="nil"/>
              <w:left w:val="nil"/>
              <w:bottom w:val="single" w:color="auto" w:sz="12" w:space="0"/>
              <w:right w:val="nil"/>
            </w:tcBorders>
            <w:vAlign w:val="center"/>
          </w:tcPr>
          <w:p w14:paraId="2029EF8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2050</w:t>
            </w:r>
          </w:p>
        </w:tc>
        <w:tc>
          <w:tcPr>
            <w:tcW w:w="1000" w:type="pct"/>
            <w:tcBorders>
              <w:top w:val="nil"/>
              <w:left w:val="nil"/>
              <w:bottom w:val="single" w:color="auto" w:sz="12" w:space="0"/>
              <w:right w:val="nil"/>
            </w:tcBorders>
            <w:vAlign w:val="center"/>
          </w:tcPr>
          <w:p w14:paraId="2674A57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1.1</w:t>
            </w:r>
            <w:r>
              <w:rPr>
                <w:rFonts w:ascii="Times New Roman" w:hAnsi="Times New Roman" w:cs="Times New Roman"/>
                <w:color w:val="000000"/>
                <w:kern w:val="0"/>
                <w:szCs w:val="21"/>
                <w:lang w:bidi="ar"/>
              </w:rPr>
              <w:t>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single" w:color="auto" w:sz="12" w:space="0"/>
              <w:right w:val="nil"/>
            </w:tcBorders>
            <w:vAlign w:val="center"/>
          </w:tcPr>
          <w:p w14:paraId="71E6378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3.49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single" w:color="auto" w:sz="12" w:space="0"/>
              <w:right w:val="nil"/>
            </w:tcBorders>
            <w:vAlign w:val="center"/>
          </w:tcPr>
          <w:p w14:paraId="741D860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4.25</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single" w:color="auto" w:sz="12" w:space="0"/>
              <w:right w:val="nil"/>
            </w:tcBorders>
            <w:vAlign w:val="center"/>
          </w:tcPr>
          <w:p w14:paraId="1E8AB1B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5.58</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10</w:t>
            </w:r>
          </w:p>
        </w:tc>
      </w:tr>
    </w:tbl>
    <w:p w14:paraId="4BA8A5A1">
      <w:pPr>
        <w:pStyle w:val="2"/>
        <w:jc w:val="left"/>
        <w:rPr>
          <w:rFonts w:ascii="Times New Roman" w:hAnsi="Times New Roman" w:cs="Times New Roman"/>
          <w:i/>
          <w:iCs/>
          <w:sz w:val="21"/>
          <w:szCs w:val="21"/>
        </w:rPr>
      </w:pPr>
    </w:p>
    <w:p w14:paraId="6E826D12">
      <w:pPr>
        <w:pStyle w:val="2"/>
        <w:jc w:val="left"/>
        <w:rPr>
          <w:rFonts w:ascii="Times New Roman" w:hAnsi="Times New Roman" w:cs="Times New Roman"/>
          <w:sz w:val="21"/>
          <w:szCs w:val="21"/>
        </w:rPr>
      </w:pPr>
      <w:r>
        <w:rPr>
          <w:rFonts w:ascii="Times New Roman" w:hAnsi="Times New Roman" w:cs="Times New Roman"/>
          <w:sz w:val="21"/>
          <w:szCs w:val="21"/>
        </w:rPr>
        <w:t>Table S6. The environmental impacts under SA3.</w:t>
      </w:r>
    </w:p>
    <w:tbl>
      <w:tblPr>
        <w:tblStyle w:val="6"/>
        <w:tblW w:w="51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9"/>
        <w:gridCol w:w="1772"/>
        <w:gridCol w:w="1772"/>
        <w:gridCol w:w="1772"/>
        <w:gridCol w:w="1773"/>
      </w:tblGrid>
      <w:tr w14:paraId="4346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98" w:type="pct"/>
            <w:tcBorders>
              <w:top w:val="single" w:color="auto" w:sz="12" w:space="0"/>
              <w:left w:val="nil"/>
              <w:bottom w:val="single" w:color="auto" w:sz="8" w:space="0"/>
              <w:right w:val="nil"/>
            </w:tcBorders>
          </w:tcPr>
          <w:p w14:paraId="431BB66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Electricity_S3</w:t>
            </w:r>
          </w:p>
        </w:tc>
        <w:tc>
          <w:tcPr>
            <w:tcW w:w="1000" w:type="pct"/>
            <w:tcBorders>
              <w:top w:val="single" w:color="auto" w:sz="12" w:space="0"/>
              <w:left w:val="nil"/>
              <w:bottom w:val="single" w:color="auto" w:sz="8" w:space="0"/>
              <w:right w:val="nil"/>
            </w:tcBorders>
          </w:tcPr>
          <w:p w14:paraId="5003226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Carbon footprint (kg CO</w:t>
            </w:r>
            <w:r>
              <w:rPr>
                <w:rFonts w:ascii="Times New Roman" w:hAnsi="Times New Roman" w:eastAsia="宋体" w:cs="Times New Roman"/>
                <w:color w:val="000000"/>
                <w:kern w:val="0"/>
                <w:szCs w:val="21"/>
                <w:vertAlign w:val="subscript"/>
                <w:lang w:bidi="ar"/>
              </w:rPr>
              <w:t>2</w:t>
            </w:r>
            <w:r>
              <w:rPr>
                <w:rFonts w:ascii="Times New Roman" w:hAnsi="Times New Roman" w:eastAsia="宋体" w:cs="Times New Roman"/>
                <w:color w:val="000000"/>
                <w:kern w:val="0"/>
                <w:szCs w:val="21"/>
                <w:lang w:bidi="ar"/>
              </w:rPr>
              <w:t>-eq/kg)</w:t>
            </w:r>
          </w:p>
        </w:tc>
        <w:tc>
          <w:tcPr>
            <w:tcW w:w="1000" w:type="pct"/>
            <w:tcBorders>
              <w:top w:val="single" w:color="auto" w:sz="12" w:space="0"/>
              <w:left w:val="nil"/>
              <w:bottom w:val="single" w:color="auto" w:sz="8" w:space="0"/>
              <w:right w:val="nil"/>
            </w:tcBorders>
          </w:tcPr>
          <w:p w14:paraId="1670E76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Human health</w:t>
            </w:r>
          </w:p>
          <w:p w14:paraId="067D8471">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(DALY)</w:t>
            </w:r>
          </w:p>
        </w:tc>
        <w:tc>
          <w:tcPr>
            <w:tcW w:w="1000" w:type="pct"/>
            <w:tcBorders>
              <w:top w:val="single" w:color="auto" w:sz="12" w:space="0"/>
              <w:left w:val="nil"/>
              <w:bottom w:val="single" w:color="auto" w:sz="8" w:space="0"/>
              <w:right w:val="nil"/>
            </w:tcBorders>
          </w:tcPr>
          <w:p w14:paraId="43F6340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Resource depletion (USD)</w:t>
            </w:r>
          </w:p>
        </w:tc>
        <w:tc>
          <w:tcPr>
            <w:tcW w:w="1000" w:type="pct"/>
            <w:tcBorders>
              <w:top w:val="single" w:color="auto" w:sz="12" w:space="0"/>
              <w:left w:val="nil"/>
              <w:bottom w:val="single" w:color="auto" w:sz="8" w:space="0"/>
              <w:right w:val="nil"/>
            </w:tcBorders>
          </w:tcPr>
          <w:p w14:paraId="076B09A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Ecosystem quality (species.yr)</w:t>
            </w:r>
          </w:p>
        </w:tc>
      </w:tr>
      <w:tr w14:paraId="549DE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998" w:type="pct"/>
            <w:tcBorders>
              <w:top w:val="single" w:color="auto" w:sz="8" w:space="0"/>
              <w:left w:val="nil"/>
              <w:bottom w:val="nil"/>
              <w:right w:val="nil"/>
            </w:tcBorders>
            <w:vAlign w:val="center"/>
          </w:tcPr>
          <w:p w14:paraId="13E61F61">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2020</w:t>
            </w:r>
          </w:p>
        </w:tc>
        <w:tc>
          <w:tcPr>
            <w:tcW w:w="1000" w:type="pct"/>
            <w:tcBorders>
              <w:top w:val="single" w:color="auto" w:sz="8" w:space="0"/>
              <w:left w:val="nil"/>
              <w:bottom w:val="nil"/>
              <w:right w:val="nil"/>
            </w:tcBorders>
            <w:vAlign w:val="center"/>
          </w:tcPr>
          <w:p w14:paraId="1C12DBC7">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8.73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single" w:color="auto" w:sz="8" w:space="0"/>
              <w:left w:val="nil"/>
              <w:bottom w:val="nil"/>
              <w:right w:val="nil"/>
            </w:tcBorders>
            <w:vAlign w:val="center"/>
          </w:tcPr>
          <w:p w14:paraId="1781981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w:t>
            </w:r>
            <w:r>
              <w:rPr>
                <w:rFonts w:ascii="Times New Roman" w:hAnsi="Times New Roman" w:cs="Times New Roman"/>
                <w:color w:val="000000"/>
                <w:kern w:val="0"/>
                <w:szCs w:val="21"/>
                <w:lang w:bidi="ar"/>
              </w:rPr>
              <w:t>8</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single" w:color="auto" w:sz="8" w:space="0"/>
              <w:left w:val="nil"/>
              <w:bottom w:val="nil"/>
              <w:right w:val="nil"/>
            </w:tcBorders>
            <w:vAlign w:val="center"/>
          </w:tcPr>
          <w:p w14:paraId="44783448">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1.8</w:t>
            </w:r>
            <w:r>
              <w:rPr>
                <w:rFonts w:ascii="Times New Roman" w:hAnsi="Times New Roman" w:cs="Times New Roman"/>
                <w:color w:val="000000"/>
                <w:kern w:val="0"/>
                <w:szCs w:val="21"/>
                <w:lang w:bidi="ar"/>
              </w:rPr>
              <w:t>8</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single" w:color="auto" w:sz="8" w:space="0"/>
              <w:left w:val="nil"/>
              <w:bottom w:val="nil"/>
              <w:right w:val="nil"/>
            </w:tcBorders>
            <w:vAlign w:val="center"/>
          </w:tcPr>
          <w:p w14:paraId="52375D44">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3.71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21BF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98" w:type="pct"/>
            <w:tcBorders>
              <w:top w:val="nil"/>
              <w:left w:val="nil"/>
              <w:bottom w:val="nil"/>
              <w:right w:val="nil"/>
            </w:tcBorders>
            <w:vAlign w:val="center"/>
          </w:tcPr>
          <w:p w14:paraId="7D57B8F2">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2025</w:t>
            </w:r>
          </w:p>
        </w:tc>
        <w:tc>
          <w:tcPr>
            <w:tcW w:w="1000" w:type="pct"/>
            <w:tcBorders>
              <w:top w:val="nil"/>
              <w:left w:val="nil"/>
              <w:bottom w:val="nil"/>
              <w:right w:val="nil"/>
            </w:tcBorders>
            <w:vAlign w:val="center"/>
          </w:tcPr>
          <w:p w14:paraId="0201A7D5">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6.84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4C69F2F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1.6</w:t>
            </w:r>
            <w:r>
              <w:rPr>
                <w:rFonts w:ascii="Times New Roman" w:hAnsi="Times New Roman" w:cs="Times New Roman"/>
                <w:color w:val="000000"/>
                <w:kern w:val="0"/>
                <w:szCs w:val="21"/>
                <w:lang w:bidi="ar"/>
              </w:rPr>
              <w:t>6</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6</w:t>
            </w:r>
          </w:p>
        </w:tc>
        <w:tc>
          <w:tcPr>
            <w:tcW w:w="1000" w:type="pct"/>
            <w:tcBorders>
              <w:top w:val="nil"/>
              <w:left w:val="nil"/>
              <w:bottom w:val="nil"/>
              <w:right w:val="nil"/>
            </w:tcBorders>
            <w:vAlign w:val="center"/>
          </w:tcPr>
          <w:p w14:paraId="376272A8">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1.41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nil"/>
              <w:right w:val="nil"/>
            </w:tcBorders>
            <w:vAlign w:val="center"/>
          </w:tcPr>
          <w:p w14:paraId="04BED33D">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2.93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06E7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98" w:type="pct"/>
            <w:tcBorders>
              <w:top w:val="nil"/>
              <w:left w:val="nil"/>
              <w:bottom w:val="nil"/>
              <w:right w:val="nil"/>
            </w:tcBorders>
            <w:vAlign w:val="center"/>
          </w:tcPr>
          <w:p w14:paraId="60032193">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2030</w:t>
            </w:r>
          </w:p>
        </w:tc>
        <w:tc>
          <w:tcPr>
            <w:tcW w:w="1000" w:type="pct"/>
            <w:tcBorders>
              <w:top w:val="nil"/>
              <w:left w:val="nil"/>
              <w:bottom w:val="nil"/>
              <w:right w:val="nil"/>
            </w:tcBorders>
            <w:vAlign w:val="center"/>
          </w:tcPr>
          <w:p w14:paraId="1F26A92A">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2.3</w:t>
            </w:r>
            <w:r>
              <w:rPr>
                <w:rFonts w:ascii="Times New Roman" w:hAnsi="Times New Roman" w:cs="Times New Roman"/>
                <w:color w:val="000000"/>
                <w:kern w:val="0"/>
                <w:szCs w:val="21"/>
                <w:lang w:bidi="ar"/>
              </w:rPr>
              <w:t>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-1</w:t>
            </w:r>
          </w:p>
        </w:tc>
        <w:tc>
          <w:tcPr>
            <w:tcW w:w="1000" w:type="pct"/>
            <w:tcBorders>
              <w:top w:val="nil"/>
              <w:left w:val="nil"/>
              <w:bottom w:val="nil"/>
              <w:right w:val="nil"/>
            </w:tcBorders>
            <w:vAlign w:val="center"/>
          </w:tcPr>
          <w:p w14:paraId="2E4527C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6.0</w:t>
            </w:r>
            <w:r>
              <w:rPr>
                <w:rFonts w:ascii="Times New Roman" w:hAnsi="Times New Roman" w:cs="Times New Roman"/>
                <w:color w:val="000000"/>
                <w:kern w:val="0"/>
                <w:szCs w:val="21"/>
                <w:lang w:bidi="ar"/>
              </w:rPr>
              <w:t>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10886365">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5.8</w:t>
            </w:r>
            <w:r>
              <w:rPr>
                <w:rFonts w:ascii="Times New Roman" w:hAnsi="Times New Roman" w:cs="Times New Roman"/>
                <w:color w:val="000000"/>
                <w:kern w:val="0"/>
                <w:szCs w:val="21"/>
                <w:lang w:bidi="ar"/>
              </w:rPr>
              <w:t>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0972D1E9">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1.0</w:t>
            </w:r>
            <w:r>
              <w:rPr>
                <w:rFonts w:ascii="Times New Roman" w:hAnsi="Times New Roman" w:cs="Times New Roman"/>
                <w:color w:val="000000"/>
                <w:kern w:val="0"/>
                <w:szCs w:val="21"/>
                <w:lang w:bidi="ar"/>
              </w:rPr>
              <w:t>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9</w:t>
            </w:r>
          </w:p>
        </w:tc>
      </w:tr>
      <w:tr w14:paraId="6129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98" w:type="pct"/>
            <w:tcBorders>
              <w:top w:val="nil"/>
              <w:left w:val="nil"/>
              <w:bottom w:val="nil"/>
              <w:right w:val="nil"/>
            </w:tcBorders>
            <w:vAlign w:val="center"/>
          </w:tcPr>
          <w:p w14:paraId="3235F712">
            <w:pPr>
              <w:widowControl/>
              <w:jc w:val="left"/>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2035</w:t>
            </w:r>
          </w:p>
        </w:tc>
        <w:tc>
          <w:tcPr>
            <w:tcW w:w="1000" w:type="pct"/>
            <w:tcBorders>
              <w:top w:val="nil"/>
              <w:left w:val="nil"/>
              <w:bottom w:val="nil"/>
              <w:right w:val="nil"/>
            </w:tcBorders>
            <w:vAlign w:val="center"/>
          </w:tcPr>
          <w:p w14:paraId="6A8B134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6.84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nil"/>
              <w:right w:val="nil"/>
            </w:tcBorders>
            <w:vAlign w:val="center"/>
          </w:tcPr>
          <w:p w14:paraId="146E1B3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2.30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3C7F016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3.00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042ED0F0">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3.50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10</w:t>
            </w:r>
          </w:p>
        </w:tc>
      </w:tr>
      <w:tr w14:paraId="4328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98" w:type="pct"/>
            <w:tcBorders>
              <w:top w:val="nil"/>
              <w:left w:val="nil"/>
              <w:bottom w:val="nil"/>
              <w:right w:val="nil"/>
            </w:tcBorders>
            <w:vAlign w:val="center"/>
          </w:tcPr>
          <w:p w14:paraId="63AD7C59">
            <w:pPr>
              <w:widowControl/>
              <w:jc w:val="left"/>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2040</w:t>
            </w:r>
          </w:p>
        </w:tc>
        <w:tc>
          <w:tcPr>
            <w:tcW w:w="1000" w:type="pct"/>
            <w:tcBorders>
              <w:top w:val="nil"/>
              <w:left w:val="nil"/>
              <w:bottom w:val="nil"/>
              <w:right w:val="nil"/>
            </w:tcBorders>
            <w:vAlign w:val="center"/>
          </w:tcPr>
          <w:p w14:paraId="6AE05A27">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4.00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nil"/>
              <w:right w:val="nil"/>
            </w:tcBorders>
            <w:vAlign w:val="center"/>
          </w:tcPr>
          <w:p w14:paraId="354CB05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1.6</w:t>
            </w:r>
            <w:r>
              <w:rPr>
                <w:rFonts w:ascii="Times New Roman" w:hAnsi="Times New Roman" w:cs="Times New Roman"/>
                <w:color w:val="000000"/>
                <w:kern w:val="0"/>
                <w:szCs w:val="21"/>
                <w:lang w:bidi="ar"/>
              </w:rPr>
              <w:t>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2608A200">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2.60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523F556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2.34</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10</w:t>
            </w:r>
          </w:p>
        </w:tc>
      </w:tr>
      <w:tr w14:paraId="4EA4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98" w:type="pct"/>
            <w:tcBorders>
              <w:top w:val="nil"/>
              <w:left w:val="nil"/>
              <w:bottom w:val="nil"/>
              <w:right w:val="nil"/>
            </w:tcBorders>
            <w:vAlign w:val="center"/>
          </w:tcPr>
          <w:p w14:paraId="41BAD98B">
            <w:pPr>
              <w:widowControl/>
              <w:jc w:val="left"/>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2045</w:t>
            </w:r>
          </w:p>
        </w:tc>
        <w:tc>
          <w:tcPr>
            <w:tcW w:w="1000" w:type="pct"/>
            <w:tcBorders>
              <w:top w:val="nil"/>
              <w:left w:val="nil"/>
              <w:bottom w:val="nil"/>
              <w:right w:val="nil"/>
            </w:tcBorders>
            <w:vAlign w:val="center"/>
          </w:tcPr>
          <w:p w14:paraId="0BC3239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3.6</w:t>
            </w:r>
            <w:r>
              <w:rPr>
                <w:rFonts w:ascii="Times New Roman" w:hAnsi="Times New Roman" w:cs="Times New Roman"/>
                <w:color w:val="000000"/>
                <w:kern w:val="0"/>
                <w:szCs w:val="21"/>
                <w:lang w:bidi="ar"/>
              </w:rPr>
              <w:t>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nil"/>
              <w:right w:val="nil"/>
            </w:tcBorders>
            <w:vAlign w:val="center"/>
          </w:tcPr>
          <w:p w14:paraId="23BDE7D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1.59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nil"/>
              <w:right w:val="nil"/>
            </w:tcBorders>
            <w:vAlign w:val="center"/>
          </w:tcPr>
          <w:p w14:paraId="7AD564CB">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2.6</w:t>
            </w:r>
            <w:r>
              <w:rPr>
                <w:rFonts w:ascii="Times New Roman" w:hAnsi="Times New Roman" w:cs="Times New Roman"/>
                <w:color w:val="000000"/>
                <w:kern w:val="0"/>
                <w:szCs w:val="21"/>
                <w:lang w:bidi="ar"/>
              </w:rPr>
              <w:t>3</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nil"/>
              <w:right w:val="nil"/>
            </w:tcBorders>
            <w:vAlign w:val="center"/>
          </w:tcPr>
          <w:p w14:paraId="39369DE1">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2.20</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10</w:t>
            </w:r>
          </w:p>
        </w:tc>
      </w:tr>
      <w:tr w14:paraId="4D963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998" w:type="pct"/>
            <w:tcBorders>
              <w:top w:val="nil"/>
              <w:left w:val="nil"/>
              <w:bottom w:val="single" w:color="auto" w:sz="12" w:space="0"/>
              <w:right w:val="nil"/>
            </w:tcBorders>
            <w:vAlign w:val="center"/>
          </w:tcPr>
          <w:p w14:paraId="00D9352E">
            <w:pPr>
              <w:widowControl/>
              <w:jc w:val="left"/>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2050</w:t>
            </w:r>
          </w:p>
        </w:tc>
        <w:tc>
          <w:tcPr>
            <w:tcW w:w="1000" w:type="pct"/>
            <w:tcBorders>
              <w:top w:val="nil"/>
              <w:left w:val="nil"/>
              <w:bottom w:val="single" w:color="auto" w:sz="12" w:space="0"/>
              <w:right w:val="nil"/>
            </w:tcBorders>
            <w:vAlign w:val="center"/>
          </w:tcPr>
          <w:p w14:paraId="20C942FC">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3.57</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2</w:t>
            </w:r>
          </w:p>
        </w:tc>
        <w:tc>
          <w:tcPr>
            <w:tcW w:w="1000" w:type="pct"/>
            <w:tcBorders>
              <w:top w:val="nil"/>
              <w:left w:val="nil"/>
              <w:bottom w:val="single" w:color="auto" w:sz="12" w:space="0"/>
              <w:right w:val="nil"/>
            </w:tcBorders>
            <w:vAlign w:val="center"/>
          </w:tcPr>
          <w:p w14:paraId="761B2FED">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1.6</w:t>
            </w:r>
            <w:r>
              <w:rPr>
                <w:rFonts w:ascii="Times New Roman" w:hAnsi="Times New Roman" w:cs="Times New Roman"/>
                <w:color w:val="000000"/>
                <w:kern w:val="0"/>
                <w:szCs w:val="21"/>
                <w:lang w:bidi="ar"/>
              </w:rPr>
              <w:t>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7</w:t>
            </w:r>
          </w:p>
        </w:tc>
        <w:tc>
          <w:tcPr>
            <w:tcW w:w="1000" w:type="pct"/>
            <w:tcBorders>
              <w:top w:val="nil"/>
              <w:left w:val="nil"/>
              <w:bottom w:val="single" w:color="auto" w:sz="12" w:space="0"/>
              <w:right w:val="nil"/>
            </w:tcBorders>
            <w:vAlign w:val="center"/>
          </w:tcPr>
          <w:p w14:paraId="7D4E43A6">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2.6</w:t>
            </w:r>
            <w:r>
              <w:rPr>
                <w:rFonts w:ascii="Times New Roman" w:hAnsi="Times New Roman" w:cs="Times New Roman"/>
                <w:color w:val="000000"/>
                <w:kern w:val="0"/>
                <w:szCs w:val="21"/>
                <w:lang w:bidi="ar"/>
              </w:rPr>
              <w:t>9</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3</w:t>
            </w:r>
          </w:p>
        </w:tc>
        <w:tc>
          <w:tcPr>
            <w:tcW w:w="1000" w:type="pct"/>
            <w:tcBorders>
              <w:top w:val="nil"/>
              <w:left w:val="nil"/>
              <w:bottom w:val="single" w:color="auto" w:sz="12" w:space="0"/>
              <w:right w:val="nil"/>
            </w:tcBorders>
            <w:vAlign w:val="center"/>
          </w:tcPr>
          <w:p w14:paraId="39BACC7E">
            <w:pPr>
              <w:widowControl/>
              <w:jc w:val="left"/>
              <w:textAlignment w:val="center"/>
              <w:rPr>
                <w:rFonts w:ascii="Times New Roman" w:hAnsi="Times New Roman" w:eastAsia="宋体" w:cs="Times New Roman"/>
                <w:color w:val="000000"/>
                <w:kern w:val="0"/>
                <w:szCs w:val="21"/>
                <w:lang w:bidi="ar"/>
              </w:rPr>
            </w:pPr>
            <w:r>
              <w:rPr>
                <w:rFonts w:ascii="Times New Roman" w:hAnsi="Times New Roman" w:eastAsia="宋体" w:cs="Times New Roman"/>
                <w:color w:val="000000"/>
                <w:kern w:val="0"/>
                <w:szCs w:val="21"/>
                <w:lang w:bidi="ar"/>
              </w:rPr>
              <w:t>2.2</w:t>
            </w:r>
            <w:r>
              <w:rPr>
                <w:rFonts w:ascii="Times New Roman" w:hAnsi="Times New Roman" w:cs="Times New Roman"/>
                <w:color w:val="000000"/>
                <w:kern w:val="0"/>
                <w:szCs w:val="21"/>
                <w:lang w:bidi="ar"/>
              </w:rPr>
              <w:t>1</w:t>
            </w:r>
            <w:r>
              <w:rPr>
                <w:rFonts w:ascii="Times New Roman" w:hAnsi="Times New Roman" w:eastAsia="微软雅黑" w:cs="Times New Roman"/>
                <w:color w:val="000000"/>
                <w:kern w:val="0"/>
                <w:szCs w:val="21"/>
                <w:lang w:bidi="ar"/>
              </w:rPr>
              <w:t>×</w:t>
            </w:r>
            <w:r>
              <w:rPr>
                <w:rFonts w:ascii="Times New Roman" w:hAnsi="Times New Roman"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cs="Times New Roman"/>
                <w:color w:val="000000"/>
                <w:kern w:val="0"/>
                <w:szCs w:val="21"/>
                <w:vertAlign w:val="superscript"/>
                <w:lang w:bidi="ar"/>
              </w:rPr>
              <w:t>10</w:t>
            </w:r>
          </w:p>
        </w:tc>
      </w:tr>
    </w:tbl>
    <w:p w14:paraId="309E5EB9">
      <w:pPr>
        <w:widowControl/>
        <w:spacing w:after="200"/>
        <w:rPr>
          <w:rFonts w:ascii="Times New Roman" w:hAnsi="Times New Roman" w:eastAsia="等线" w:cs="Times New Roman"/>
          <w:b/>
          <w:bCs/>
          <w:i/>
          <w:iCs/>
          <w:kern w:val="0"/>
          <w:sz w:val="24"/>
        </w:rPr>
      </w:pPr>
    </w:p>
    <w:p w14:paraId="31985F42">
      <w:pPr>
        <w:rPr>
          <w:rFonts w:ascii="Times New Roman" w:hAnsi="Times New Roman" w:eastAsia="等线" w:cs="Times New Roman"/>
          <w:b/>
          <w:bCs/>
          <w:i/>
          <w:iCs/>
          <w:kern w:val="0"/>
          <w:sz w:val="24"/>
        </w:rPr>
      </w:pPr>
      <w:r>
        <w:rPr>
          <w:rFonts w:ascii="Times New Roman" w:hAnsi="Times New Roman" w:eastAsia="等线" w:cs="Times New Roman"/>
          <w:b/>
          <w:bCs/>
          <w:i/>
          <w:iCs/>
          <w:kern w:val="0"/>
          <w:sz w:val="24"/>
        </w:rPr>
        <w:br w:type="page"/>
      </w:r>
    </w:p>
    <w:p w14:paraId="76B23814">
      <w:pPr>
        <w:widowControl/>
        <w:spacing w:after="200"/>
        <w:rPr>
          <w:rFonts w:ascii="Times New Roman" w:hAnsi="Times New Roman" w:eastAsia="等线" w:cs="Times New Roman"/>
          <w:b/>
          <w:bCs/>
          <w:i/>
          <w:iCs/>
          <w:kern w:val="0"/>
          <w:sz w:val="24"/>
        </w:rPr>
      </w:pPr>
      <w:r>
        <w:rPr>
          <w:rFonts w:ascii="Times New Roman" w:hAnsi="Times New Roman" w:eastAsia="等线" w:cs="Times New Roman"/>
          <w:b/>
          <w:bCs/>
          <w:i/>
          <w:iCs/>
          <w:kern w:val="0"/>
          <w:sz w:val="24"/>
        </w:rPr>
        <w:t>3. The environmental impacts of 1 kg PVC waste recycling</w:t>
      </w:r>
    </w:p>
    <w:p w14:paraId="2E2F4EC5">
      <w:pPr>
        <w:widowControl/>
        <w:spacing w:line="480" w:lineRule="auto"/>
        <w:ind w:firstLine="480" w:firstLineChars="200"/>
        <w:rPr>
          <w:rFonts w:ascii="Times New Roman" w:hAnsi="Times New Roman" w:eastAsia="宋体" w:cs="Times New Roman"/>
          <w:color w:val="000000" w:themeColor="text1"/>
          <w:kern w:val="0"/>
          <w:sz w:val="24"/>
          <w:szCs w:val="20"/>
          <w14:textFill>
            <w14:solidFill>
              <w14:schemeClr w14:val="tx1"/>
            </w14:solidFill>
          </w14:textFill>
        </w:rPr>
      </w:pPr>
      <w:r>
        <w:rPr>
          <w:rFonts w:ascii="Times New Roman" w:hAnsi="Times New Roman" w:eastAsia="宋体" w:cs="Times New Roman"/>
          <w:color w:val="000000" w:themeColor="text1"/>
          <w:kern w:val="0"/>
          <w:sz w:val="24"/>
          <w:szCs w:val="20"/>
          <w14:textFill>
            <w14:solidFill>
              <w14:schemeClr w14:val="tx1"/>
            </w14:solidFill>
          </w14:textFill>
        </w:rPr>
        <w:t>The different environmental impacts of different treatment methods in provincial-level are calculated as:</w:t>
      </w:r>
    </w:p>
    <w:p w14:paraId="7BF84B7E">
      <w:pPr>
        <w:widowControl/>
        <w:spacing w:line="480" w:lineRule="auto"/>
        <w:rPr>
          <w:rFonts w:ascii="Times New Roman" w:hAnsi="Times New Roman" w:cs="Times New Roman"/>
          <w:b/>
          <w:color w:val="000000"/>
          <w:kern w:val="0"/>
          <w:sz w:val="24"/>
          <w:szCs w:val="20"/>
        </w:rPr>
      </w:pPr>
      <m:oMathPara>
        <m:oMath>
          <m:sSub>
            <m:sSubPr>
              <m:ctrlPr>
                <w:rPr>
                  <w:rFonts w:ascii="Cambria Math" w:hAnsi="Cambria Math" w:cs="Times New Roman"/>
                  <w:i/>
                  <w:color w:val="000000"/>
                  <w:kern w:val="0"/>
                  <w:sz w:val="24"/>
                  <w:szCs w:val="20"/>
                </w:rPr>
              </m:ctrlPr>
            </m:sSubPr>
            <m:e>
              <m:r>
                <m:rPr/>
                <w:rPr>
                  <w:rFonts w:ascii="Cambria Math" w:hAnsi="Cambria Math" w:cs="Times New Roman"/>
                  <w:color w:val="000000"/>
                  <w:kern w:val="0"/>
                  <w:sz w:val="24"/>
                  <w:szCs w:val="20"/>
                </w:rPr>
                <m:t>I</m:t>
              </m:r>
              <m:ctrlPr>
                <w:rPr>
                  <w:rFonts w:ascii="Cambria Math" w:hAnsi="Cambria Math" w:cs="Times New Roman"/>
                  <w:i/>
                  <w:color w:val="000000"/>
                  <w:kern w:val="0"/>
                  <w:sz w:val="24"/>
                  <w:szCs w:val="20"/>
                </w:rPr>
              </m:ctrlPr>
            </m:e>
            <m:sub>
              <m:r>
                <m:rPr/>
                <w:rPr>
                  <w:rFonts w:ascii="Cambria Math" w:hAnsi="Cambria Math" w:cs="Times New Roman"/>
                  <w:color w:val="000000"/>
                  <w:kern w:val="0"/>
                  <w:sz w:val="24"/>
                  <w:szCs w:val="20"/>
                </w:rPr>
                <m:t>m</m:t>
              </m:r>
              <m:ctrlPr>
                <w:rPr>
                  <w:rFonts w:ascii="Cambria Math" w:hAnsi="Cambria Math" w:cs="Times New Roman"/>
                  <w:i/>
                  <w:color w:val="000000"/>
                  <w:kern w:val="0"/>
                  <w:sz w:val="24"/>
                  <w:szCs w:val="20"/>
                </w:rPr>
              </m:ctrlPr>
            </m:sub>
          </m:sSub>
          <m:r>
            <m:rPr/>
            <w:rPr>
              <w:rFonts w:ascii="Cambria Math" w:hAnsi="Cambria Math" w:cs="Times New Roman"/>
              <w:color w:val="000000"/>
              <w:kern w:val="0"/>
              <w:sz w:val="24"/>
              <w:szCs w:val="20"/>
            </w:rPr>
            <m:t>=</m:t>
          </m:r>
          <m:nary>
            <m:naryPr>
              <m:chr m:val="∑"/>
              <m:limLoc m:val="undOvr"/>
              <m:ctrlPr>
                <w:rPr>
                  <w:rFonts w:ascii="Cambria Math" w:hAnsi="Cambria Math" w:cs="Times New Roman"/>
                  <w:i/>
                  <w:color w:val="000000"/>
                  <w:kern w:val="0"/>
                  <w:sz w:val="24"/>
                  <w:szCs w:val="20"/>
                </w:rPr>
              </m:ctrlPr>
            </m:naryPr>
            <m:sub>
              <m:r>
                <m:rPr/>
                <w:rPr>
                  <w:rFonts w:ascii="Cambria Math" w:hAnsi="Cambria Math" w:cs="Times New Roman"/>
                  <w:color w:val="000000"/>
                  <w:kern w:val="0"/>
                  <w:sz w:val="24"/>
                  <w:szCs w:val="20"/>
                </w:rPr>
                <m:t>j=1</m:t>
              </m:r>
              <m:ctrlPr>
                <w:rPr>
                  <w:rFonts w:ascii="Cambria Math" w:hAnsi="Cambria Math" w:cs="Times New Roman"/>
                  <w:i/>
                  <w:color w:val="000000"/>
                  <w:kern w:val="0"/>
                  <w:sz w:val="24"/>
                  <w:szCs w:val="20"/>
                </w:rPr>
              </m:ctrlPr>
            </m:sub>
            <m:sup>
              <m:r>
                <m:rPr/>
                <w:rPr>
                  <w:rFonts w:ascii="Cambria Math" w:hAnsi="Cambria Math" w:cs="Times New Roman"/>
                  <w:color w:val="000000"/>
                  <w:kern w:val="0"/>
                  <w:sz w:val="24"/>
                  <w:szCs w:val="20"/>
                </w:rPr>
                <m:t>5</m:t>
              </m:r>
              <m:ctrlPr>
                <w:rPr>
                  <w:rFonts w:ascii="Cambria Math" w:hAnsi="Cambria Math" w:cs="Times New Roman"/>
                  <w:i/>
                  <w:color w:val="000000"/>
                  <w:kern w:val="0"/>
                  <w:sz w:val="24"/>
                  <w:szCs w:val="20"/>
                </w:rPr>
              </m:ctrlPr>
            </m:sup>
            <m:e>
              <m:nary>
                <m:naryPr>
                  <m:chr m:val="∑"/>
                  <m:limLoc m:val="undOvr"/>
                  <m:ctrlPr>
                    <w:rPr>
                      <w:rFonts w:ascii="Cambria Math" w:hAnsi="Cambria Math" w:cs="Times New Roman"/>
                      <w:i/>
                      <w:color w:val="000000"/>
                      <w:kern w:val="0"/>
                      <w:sz w:val="24"/>
                      <w:szCs w:val="20"/>
                    </w:rPr>
                  </m:ctrlPr>
                </m:naryPr>
                <m:sub>
                  <m:r>
                    <m:rPr/>
                    <w:rPr>
                      <w:rFonts w:ascii="Cambria Math" w:hAnsi="Cambria Math" w:cs="Times New Roman"/>
                      <w:color w:val="000000"/>
                      <w:kern w:val="0"/>
                      <w:sz w:val="24"/>
                      <w:szCs w:val="20"/>
                    </w:rPr>
                    <m:t>k=1</m:t>
                  </m:r>
                  <m:ctrlPr>
                    <w:rPr>
                      <w:rFonts w:ascii="Cambria Math" w:hAnsi="Cambria Math" w:cs="Times New Roman"/>
                      <w:i/>
                      <w:color w:val="000000"/>
                      <w:kern w:val="0"/>
                      <w:sz w:val="24"/>
                      <w:szCs w:val="20"/>
                    </w:rPr>
                  </m:ctrlPr>
                </m:sub>
                <m:sup>
                  <m:r>
                    <m:rPr/>
                    <w:rPr>
                      <w:rFonts w:ascii="Cambria Math" w:hAnsi="Cambria Math" w:cs="Times New Roman"/>
                      <w:color w:val="000000"/>
                      <w:kern w:val="0"/>
                      <w:sz w:val="24"/>
                      <w:szCs w:val="20"/>
                    </w:rPr>
                    <m:t>5</m:t>
                  </m:r>
                  <m:ctrlPr>
                    <w:rPr>
                      <w:rFonts w:ascii="Cambria Math" w:hAnsi="Cambria Math" w:cs="Times New Roman"/>
                      <w:i/>
                      <w:color w:val="000000"/>
                      <w:kern w:val="0"/>
                      <w:sz w:val="24"/>
                      <w:szCs w:val="20"/>
                    </w:rPr>
                  </m:ctrlPr>
                </m:sup>
                <m:e>
                  <m:r>
                    <m:rPr/>
                    <w:rPr>
                      <w:rFonts w:ascii="Cambria Math" w:hAnsi="Cambria Math" w:cs="Times New Roman"/>
                      <w:color w:val="000000"/>
                      <w:kern w:val="0"/>
                      <w:sz w:val="24"/>
                      <w:szCs w:val="20"/>
                    </w:rPr>
                    <m:t>E(i,j,k)×</m:t>
                  </m:r>
                  <m:sSubSup>
                    <m:sSubSupPr>
                      <m:ctrlPr>
                        <w:rPr>
                          <w:rFonts w:ascii="Cambria Math" w:hAnsi="Cambria Math" w:cs="Times New Roman"/>
                          <w:i/>
                          <w:color w:val="000000"/>
                          <w:kern w:val="0"/>
                          <w:sz w:val="24"/>
                          <w:szCs w:val="20"/>
                        </w:rPr>
                      </m:ctrlPr>
                    </m:sSubSupPr>
                    <m:e>
                      <m:r>
                        <m:rPr/>
                        <w:rPr>
                          <w:rFonts w:ascii="Cambria Math" w:hAnsi="Cambria Math" w:cs="Times New Roman"/>
                          <w:color w:val="000000"/>
                          <w:kern w:val="0"/>
                          <w:sz w:val="24"/>
                          <w:szCs w:val="20"/>
                        </w:rPr>
                        <m:t>F</m:t>
                      </m:r>
                      <m:ctrlPr>
                        <w:rPr>
                          <w:rFonts w:ascii="Cambria Math" w:hAnsi="Cambria Math" w:cs="Times New Roman"/>
                          <w:i/>
                          <w:color w:val="000000"/>
                          <w:kern w:val="0"/>
                          <w:sz w:val="24"/>
                          <w:szCs w:val="20"/>
                        </w:rPr>
                      </m:ctrlPr>
                    </m:e>
                    <m:sub>
                      <m:r>
                        <m:rPr/>
                        <w:rPr>
                          <w:rFonts w:ascii="Cambria Math" w:hAnsi="Cambria Math" w:cs="Times New Roman"/>
                          <w:color w:val="000000"/>
                          <w:kern w:val="0"/>
                          <w:sz w:val="24"/>
                          <w:szCs w:val="20"/>
                        </w:rPr>
                        <m:t>k</m:t>
                      </m:r>
                      <m:ctrlPr>
                        <w:rPr>
                          <w:rFonts w:ascii="Cambria Math" w:hAnsi="Cambria Math" w:cs="Times New Roman"/>
                          <w:i/>
                          <w:color w:val="000000"/>
                          <w:kern w:val="0"/>
                          <w:sz w:val="24"/>
                          <w:szCs w:val="20"/>
                        </w:rPr>
                      </m:ctrlPr>
                    </m:sub>
                    <m:sup>
                      <m:r>
                        <m:rPr/>
                        <w:rPr>
                          <w:rFonts w:ascii="Cambria Math" w:hAnsi="Cambria Math" w:cs="Times New Roman"/>
                          <w:color w:val="000000"/>
                          <w:kern w:val="0"/>
                          <w:sz w:val="24"/>
                          <w:szCs w:val="20"/>
                        </w:rPr>
                        <m:t>m</m:t>
                      </m:r>
                      <m:ctrlPr>
                        <w:rPr>
                          <w:rFonts w:ascii="Cambria Math" w:hAnsi="Cambria Math" w:cs="Times New Roman"/>
                          <w:i/>
                          <w:color w:val="000000"/>
                          <w:kern w:val="0"/>
                          <w:sz w:val="24"/>
                          <w:szCs w:val="20"/>
                        </w:rPr>
                      </m:ctrlPr>
                    </m:sup>
                  </m:sSubSup>
                  <m:ctrlPr>
                    <w:rPr>
                      <w:rFonts w:ascii="Cambria Math" w:hAnsi="Cambria Math" w:cs="Times New Roman"/>
                      <w:i/>
                      <w:color w:val="000000"/>
                      <w:kern w:val="0"/>
                      <w:sz w:val="24"/>
                      <w:szCs w:val="20"/>
                    </w:rPr>
                  </m:ctrlPr>
                </m:e>
              </m:nary>
              <m:ctrlPr>
                <w:rPr>
                  <w:rFonts w:ascii="Cambria Math" w:hAnsi="Cambria Math" w:cs="Times New Roman"/>
                  <w:i/>
                  <w:color w:val="000000"/>
                  <w:kern w:val="0"/>
                  <w:sz w:val="24"/>
                  <w:szCs w:val="20"/>
                </w:rPr>
              </m:ctrlPr>
            </m:e>
          </m:nary>
        </m:oMath>
      </m:oMathPara>
    </w:p>
    <w:p w14:paraId="5D19FBC1">
      <w:pPr>
        <w:rPr>
          <w:rFonts w:ascii="Times New Roman" w:hAnsi="Times New Roman" w:eastAsia="宋体" w:cs="Times New Roman"/>
          <w:bCs/>
          <w:color w:val="000000"/>
          <w:kern w:val="0"/>
          <w:sz w:val="24"/>
          <w:szCs w:val="20"/>
        </w:rPr>
      </w:pPr>
      <w:r>
        <w:rPr>
          <w:rFonts w:ascii="Times New Roman" w:hAnsi="Times New Roman" w:eastAsia="宋体" w:cs="Times New Roman"/>
          <w:bCs/>
          <w:i/>
          <w:iCs/>
          <w:color w:val="000000"/>
          <w:kern w:val="0"/>
          <w:sz w:val="24"/>
          <w:szCs w:val="20"/>
        </w:rPr>
        <w:t>I</w:t>
      </w:r>
      <w:r>
        <w:rPr>
          <w:rFonts w:ascii="Times New Roman" w:hAnsi="Times New Roman" w:eastAsia="宋体" w:cs="Times New Roman"/>
          <w:bCs/>
          <w:i/>
          <w:iCs/>
          <w:color w:val="000000"/>
          <w:kern w:val="0"/>
          <w:sz w:val="24"/>
          <w:szCs w:val="20"/>
          <w:vertAlign w:val="subscript"/>
        </w:rPr>
        <w:t>m</w:t>
      </w:r>
      <w:r>
        <w:rPr>
          <w:rFonts w:ascii="Times New Roman" w:hAnsi="Times New Roman" w:eastAsia="宋体" w:cs="Times New Roman"/>
          <w:bCs/>
          <w:color w:val="000000"/>
          <w:kern w:val="0"/>
          <w:sz w:val="24"/>
          <w:szCs w:val="20"/>
        </w:rPr>
        <w:t>: the m environmental impact of PVC waste treatment in i province.</w:t>
      </w:r>
    </w:p>
    <w:p w14:paraId="429EB775">
      <w:pPr>
        <w:widowControl/>
        <w:spacing w:line="480" w:lineRule="auto"/>
        <w:rPr>
          <w:rFonts w:ascii="Times New Roman" w:hAnsi="Times New Roman" w:eastAsia="宋体" w:cs="Times New Roman"/>
          <w:color w:val="000000" w:themeColor="text1"/>
          <w:kern w:val="0"/>
          <w:sz w:val="24"/>
          <w:szCs w:val="20"/>
          <w14:textFill>
            <w14:solidFill>
              <w14:schemeClr w14:val="tx1"/>
            </w14:solidFill>
          </w14:textFill>
        </w:rPr>
      </w:pPr>
    </w:p>
    <w:p w14:paraId="52704D8B">
      <w:pPr>
        <w:widowControl/>
        <w:spacing w:line="480" w:lineRule="auto"/>
        <w:ind w:firstLine="480" w:firstLineChars="200"/>
        <w:rPr>
          <w:rFonts w:ascii="Times New Roman" w:hAnsi="Times New Roman" w:eastAsia="宋体" w:cs="Times New Roman"/>
          <w:color w:val="000000" w:themeColor="text1"/>
          <w:kern w:val="0"/>
          <w:sz w:val="24"/>
          <w:szCs w:val="20"/>
          <w14:textFill>
            <w14:solidFill>
              <w14:schemeClr w14:val="tx1"/>
            </w14:solidFill>
          </w14:textFill>
        </w:rPr>
      </w:pPr>
      <w:r>
        <w:rPr>
          <w:rFonts w:ascii="Times New Roman" w:hAnsi="Times New Roman" w:eastAsia="宋体" w:cs="Times New Roman"/>
          <w:color w:val="000000" w:themeColor="text1"/>
          <w:kern w:val="0"/>
          <w:sz w:val="24"/>
          <w:szCs w:val="20"/>
          <w14:textFill>
            <w14:solidFill>
              <w14:schemeClr w14:val="tx1"/>
            </w14:solidFill>
          </w14:textFill>
        </w:rPr>
        <w:t>The carbon footprint from the transportation of recycled products is calculated by the below formula:</w:t>
      </w:r>
    </w:p>
    <w:p w14:paraId="2BFD0D55">
      <w:pPr>
        <w:widowControl/>
        <w:spacing w:line="480" w:lineRule="auto"/>
        <w:rPr>
          <w:rFonts w:ascii="Times New Roman" w:hAnsi="Times New Roman" w:eastAsia="宋体" w:cs="Times New Roman"/>
          <w:color w:val="000000" w:themeColor="text1"/>
          <w:kern w:val="0"/>
          <w:sz w:val="24"/>
          <w:szCs w:val="20"/>
          <w14:textFill>
            <w14:solidFill>
              <w14:schemeClr w14:val="tx1"/>
            </w14:solidFill>
          </w14:textFill>
        </w:rPr>
      </w:pPr>
      <m:oMathPara>
        <m:oMath>
          <m:sSub>
            <m:sSubPr>
              <m:ctrlPr>
                <w:rPr>
                  <w:rFonts w:ascii="Cambria Math" w:hAnsi="Cambria Math" w:eastAsia="宋体" w:cs="Times New Roman"/>
                  <w:i/>
                  <w:iCs/>
                  <w:color w:val="000000" w:themeColor="text1"/>
                  <w:kern w:val="0"/>
                  <w:sz w:val="24"/>
                  <w:szCs w:val="20"/>
                  <w14:textFill>
                    <w14:solidFill>
                      <w14:schemeClr w14:val="tx1"/>
                    </w14:solidFill>
                  </w14:textFill>
                </w:rPr>
              </m:ctrlPr>
            </m:sSubPr>
            <m:e>
              <m:sSub>
                <m:sSubPr>
                  <m:ctrlPr>
                    <w:rPr>
                      <w:rFonts w:ascii="Cambria Math" w:hAnsi="Cambria Math" w:eastAsia="宋体" w:cs="Times New Roman"/>
                      <w:i/>
                      <w:iCs/>
                      <w:color w:val="000000" w:themeColor="text1"/>
                      <w:kern w:val="0"/>
                      <w:sz w:val="24"/>
                      <w:szCs w:val="20"/>
                      <w14:textFill>
                        <w14:solidFill>
                          <w14:schemeClr w14:val="tx1"/>
                        </w14:solidFill>
                      </w14:textFill>
                    </w:rPr>
                  </m:ctrlPr>
                </m:sSubPr>
                <m:e>
                  <m:r>
                    <m:rPr/>
                    <w:rPr>
                      <w:rFonts w:ascii="Cambria Math" w:hAnsi="Cambria Math" w:eastAsia="宋体" w:cs="Times New Roman"/>
                      <w:color w:val="000000" w:themeColor="text1"/>
                      <w:kern w:val="0"/>
                      <w:sz w:val="24"/>
                      <w:szCs w:val="20"/>
                      <w14:textFill>
                        <w14:solidFill>
                          <w14:schemeClr w14:val="tx1"/>
                        </w14:solidFill>
                      </w14:textFill>
                    </w:rPr>
                    <m:t>TE</m:t>
                  </m:r>
                  <m:ctrlPr>
                    <w:rPr>
                      <w:rFonts w:ascii="Cambria Math" w:hAnsi="Cambria Math" w:eastAsia="宋体" w:cs="Times New Roman"/>
                      <w:i/>
                      <w:iCs/>
                      <w:color w:val="000000" w:themeColor="text1"/>
                      <w:kern w:val="0"/>
                      <w:sz w:val="24"/>
                      <w:szCs w:val="20"/>
                      <w14:textFill>
                        <w14:solidFill>
                          <w14:schemeClr w14:val="tx1"/>
                        </w14:solidFill>
                      </w14:textFill>
                    </w:rPr>
                  </m:ctrlPr>
                </m:e>
                <m:sub>
                  <m:r>
                    <m:rPr/>
                    <w:rPr>
                      <w:rFonts w:ascii="Cambria Math" w:hAnsi="Cambria Math" w:eastAsia="宋体" w:cs="Times New Roman"/>
                      <w:color w:val="000000" w:themeColor="text1"/>
                      <w:kern w:val="0"/>
                      <w:sz w:val="24"/>
                      <w:szCs w:val="20"/>
                      <w14:textFill>
                        <w14:solidFill>
                          <w14:schemeClr w14:val="tx1"/>
                        </w14:solidFill>
                      </w14:textFill>
                    </w:rPr>
                    <m:t>a,b</m:t>
                  </m:r>
                  <m:ctrlPr>
                    <w:rPr>
                      <w:rFonts w:ascii="Cambria Math" w:hAnsi="Cambria Math" w:eastAsia="宋体" w:cs="Times New Roman"/>
                      <w:i/>
                      <w:iCs/>
                      <w:color w:val="000000" w:themeColor="text1"/>
                      <w:kern w:val="0"/>
                      <w:sz w:val="24"/>
                      <w:szCs w:val="20"/>
                      <w14:textFill>
                        <w14:solidFill>
                          <w14:schemeClr w14:val="tx1"/>
                        </w14:solidFill>
                      </w14:textFill>
                    </w:rPr>
                  </m:ctrlPr>
                </m:sub>
              </m:sSub>
              <m:r>
                <m:rPr/>
                <w:rPr>
                  <w:rFonts w:ascii="Cambria Math" w:hAnsi="Cambria Math" w:eastAsia="宋体" w:cs="Times New Roman"/>
                  <w:color w:val="000000" w:themeColor="text1"/>
                  <w:kern w:val="0"/>
                  <w:sz w:val="24"/>
                  <w:szCs w:val="20"/>
                  <w14:textFill>
                    <w14:solidFill>
                      <w14:schemeClr w14:val="tx1"/>
                    </w14:solidFill>
                  </w14:textFill>
                </w:rPr>
                <m:t>=W</m:t>
              </m:r>
              <m:ctrlPr>
                <w:rPr>
                  <w:rFonts w:ascii="Cambria Math" w:hAnsi="Cambria Math" w:eastAsia="宋体" w:cs="Times New Roman"/>
                  <w:i/>
                  <w:iCs/>
                  <w:color w:val="000000" w:themeColor="text1"/>
                  <w:kern w:val="0"/>
                  <w:sz w:val="24"/>
                  <w:szCs w:val="20"/>
                  <w14:textFill>
                    <w14:solidFill>
                      <w14:schemeClr w14:val="tx1"/>
                    </w14:solidFill>
                  </w14:textFill>
                </w:rPr>
              </m:ctrlPr>
            </m:e>
            <m:sub>
              <m:r>
                <m:rPr/>
                <w:rPr>
                  <w:rFonts w:ascii="Cambria Math" w:hAnsi="Cambria Math" w:eastAsia="宋体" w:cs="Times New Roman"/>
                  <w:color w:val="000000" w:themeColor="text1"/>
                  <w:kern w:val="0"/>
                  <w:sz w:val="24"/>
                  <w:szCs w:val="20"/>
                  <w14:textFill>
                    <w14:solidFill>
                      <w14:schemeClr w14:val="tx1"/>
                    </w14:solidFill>
                  </w14:textFill>
                </w:rPr>
                <m:t>a,b</m:t>
              </m:r>
              <m:ctrlPr>
                <w:rPr>
                  <w:rFonts w:ascii="Cambria Math" w:hAnsi="Cambria Math" w:eastAsia="宋体" w:cs="Times New Roman"/>
                  <w:i/>
                  <w:iCs/>
                  <w:color w:val="000000" w:themeColor="text1"/>
                  <w:kern w:val="0"/>
                  <w:sz w:val="24"/>
                  <w:szCs w:val="20"/>
                  <w14:textFill>
                    <w14:solidFill>
                      <w14:schemeClr w14:val="tx1"/>
                    </w14:solidFill>
                  </w14:textFill>
                </w:rPr>
              </m:ctrlPr>
            </m:sub>
          </m:sSub>
          <m:r>
            <m:rPr/>
            <w:rPr>
              <w:rFonts w:ascii="Cambria Math" w:hAnsi="Cambria Math" w:eastAsia="宋体" w:cs="Times New Roman"/>
              <w:color w:val="000000" w:themeColor="text1"/>
              <w:kern w:val="0"/>
              <w:sz w:val="24"/>
              <w:szCs w:val="20"/>
              <w14:textFill>
                <w14:solidFill>
                  <w14:schemeClr w14:val="tx1"/>
                </w14:solidFill>
              </w14:textFill>
            </w:rPr>
            <m:t>×</m:t>
          </m:r>
          <m:sSub>
            <m:sSubPr>
              <m:ctrlPr>
                <w:rPr>
                  <w:rFonts w:ascii="Cambria Math" w:hAnsi="Cambria Math" w:eastAsia="宋体" w:cs="Times New Roman"/>
                  <w:i/>
                  <w:iCs/>
                  <w:color w:val="000000" w:themeColor="text1"/>
                  <w:kern w:val="0"/>
                  <w:sz w:val="24"/>
                  <w:szCs w:val="20"/>
                  <w14:textFill>
                    <w14:solidFill>
                      <w14:schemeClr w14:val="tx1"/>
                    </w14:solidFill>
                  </w14:textFill>
                </w:rPr>
              </m:ctrlPr>
            </m:sSubPr>
            <m:e>
              <m:r>
                <m:rPr/>
                <w:rPr>
                  <w:rFonts w:ascii="Cambria Math" w:hAnsi="Cambria Math" w:eastAsia="宋体" w:cs="Times New Roman"/>
                  <w:color w:val="000000" w:themeColor="text1"/>
                  <w:kern w:val="0"/>
                  <w:sz w:val="24"/>
                  <w:szCs w:val="20"/>
                  <w14:textFill>
                    <w14:solidFill>
                      <w14:schemeClr w14:val="tx1"/>
                    </w14:solidFill>
                  </w14:textFill>
                </w:rPr>
                <m:t>D</m:t>
              </m:r>
              <m:ctrlPr>
                <w:rPr>
                  <w:rFonts w:ascii="Cambria Math" w:hAnsi="Cambria Math" w:eastAsia="宋体" w:cs="Times New Roman"/>
                  <w:i/>
                  <w:iCs/>
                  <w:color w:val="000000" w:themeColor="text1"/>
                  <w:kern w:val="0"/>
                  <w:sz w:val="24"/>
                  <w:szCs w:val="20"/>
                  <w14:textFill>
                    <w14:solidFill>
                      <w14:schemeClr w14:val="tx1"/>
                    </w14:solidFill>
                  </w14:textFill>
                </w:rPr>
              </m:ctrlPr>
            </m:e>
            <m:sub>
              <m:r>
                <m:rPr/>
                <w:rPr>
                  <w:rFonts w:ascii="Cambria Math" w:hAnsi="Cambria Math" w:eastAsia="宋体" w:cs="Times New Roman"/>
                  <w:color w:val="000000" w:themeColor="text1"/>
                  <w:kern w:val="0"/>
                  <w:sz w:val="24"/>
                  <w:szCs w:val="20"/>
                  <w14:textFill>
                    <w14:solidFill>
                      <w14:schemeClr w14:val="tx1"/>
                    </w14:solidFill>
                  </w14:textFill>
                </w:rPr>
                <m:t>a,b</m:t>
              </m:r>
              <m:ctrlPr>
                <w:rPr>
                  <w:rFonts w:ascii="Cambria Math" w:hAnsi="Cambria Math" w:eastAsia="宋体" w:cs="Times New Roman"/>
                  <w:i/>
                  <w:iCs/>
                  <w:color w:val="000000" w:themeColor="text1"/>
                  <w:kern w:val="0"/>
                  <w:sz w:val="24"/>
                  <w:szCs w:val="20"/>
                  <w14:textFill>
                    <w14:solidFill>
                      <w14:schemeClr w14:val="tx1"/>
                    </w14:solidFill>
                  </w14:textFill>
                </w:rPr>
              </m:ctrlPr>
            </m:sub>
          </m:sSub>
          <m:r>
            <m:rPr/>
            <w:rPr>
              <w:rFonts w:ascii="Cambria Math" w:hAnsi="Cambria Math" w:eastAsia="宋体" w:cs="Times New Roman"/>
              <w:color w:val="000000" w:themeColor="text1"/>
              <w:kern w:val="0"/>
              <w:sz w:val="24"/>
              <w:szCs w:val="20"/>
              <w14:textFill>
                <w14:solidFill>
                  <w14:schemeClr w14:val="tx1"/>
                </w14:solidFill>
              </w14:textFill>
            </w:rPr>
            <m:t>×</m:t>
          </m:r>
          <m:sSub>
            <m:sSubPr>
              <m:ctrlPr>
                <w:rPr>
                  <w:rFonts w:ascii="Cambria Math" w:hAnsi="Cambria Math" w:eastAsia="宋体" w:cs="Times New Roman"/>
                  <w:i/>
                  <w:iCs/>
                  <w:color w:val="000000" w:themeColor="text1"/>
                  <w:kern w:val="0"/>
                  <w:sz w:val="24"/>
                  <w:szCs w:val="20"/>
                  <w14:textFill>
                    <w14:solidFill>
                      <w14:schemeClr w14:val="tx1"/>
                    </w14:solidFill>
                  </w14:textFill>
                </w:rPr>
              </m:ctrlPr>
            </m:sSubPr>
            <m:e>
              <m:r>
                <m:rPr/>
                <w:rPr>
                  <w:rFonts w:ascii="Cambria Math" w:hAnsi="Cambria Math" w:eastAsia="宋体" w:cs="Times New Roman"/>
                  <w:color w:val="000000" w:themeColor="text1"/>
                  <w:kern w:val="0"/>
                  <w:sz w:val="24"/>
                  <w:szCs w:val="20"/>
                  <w14:textFill>
                    <w14:solidFill>
                      <w14:schemeClr w14:val="tx1"/>
                    </w14:solidFill>
                  </w14:textFill>
                </w:rPr>
                <m:t>c</m:t>
              </m:r>
              <m:ctrlPr>
                <w:rPr>
                  <w:rFonts w:ascii="Cambria Math" w:hAnsi="Cambria Math" w:eastAsia="宋体" w:cs="Times New Roman"/>
                  <w:i/>
                  <w:iCs/>
                  <w:color w:val="000000" w:themeColor="text1"/>
                  <w:kern w:val="0"/>
                  <w:sz w:val="24"/>
                  <w:szCs w:val="20"/>
                  <w14:textFill>
                    <w14:solidFill>
                      <w14:schemeClr w14:val="tx1"/>
                    </w14:solidFill>
                  </w14:textFill>
                </w:rPr>
              </m:ctrlPr>
            </m:e>
            <m:sub>
              <m:r>
                <m:rPr/>
                <w:rPr>
                  <w:rFonts w:ascii="Cambria Math" w:hAnsi="Cambria Math" w:eastAsia="宋体" w:cs="Times New Roman"/>
                  <w:color w:val="000000" w:themeColor="text1"/>
                  <w:kern w:val="0"/>
                  <w:sz w:val="24"/>
                  <w:szCs w:val="20"/>
                  <w14:textFill>
                    <w14:solidFill>
                      <w14:schemeClr w14:val="tx1"/>
                    </w14:solidFill>
                  </w14:textFill>
                </w:rPr>
                <m:t>eff</m:t>
              </m:r>
              <m:ctrlPr>
                <w:rPr>
                  <w:rFonts w:ascii="Cambria Math" w:hAnsi="Cambria Math" w:eastAsia="宋体" w:cs="Times New Roman"/>
                  <w:i/>
                  <w:iCs/>
                  <w:color w:val="000000" w:themeColor="text1"/>
                  <w:kern w:val="0"/>
                  <w:sz w:val="24"/>
                  <w:szCs w:val="20"/>
                  <w14:textFill>
                    <w14:solidFill>
                      <w14:schemeClr w14:val="tx1"/>
                    </w14:solidFill>
                  </w14:textFill>
                </w:rPr>
              </m:ctrlPr>
            </m:sub>
          </m:sSub>
          <m:r>
            <m:rPr/>
            <w:rPr>
              <w:rFonts w:ascii="Cambria Math" w:hAnsi="Cambria Math" w:eastAsia="宋体" w:cs="Times New Roman"/>
              <w:color w:val="000000" w:themeColor="text1"/>
              <w:kern w:val="0"/>
              <w:sz w:val="24"/>
              <w:szCs w:val="20"/>
              <w14:textFill>
                <w14:solidFill>
                  <w14:schemeClr w14:val="tx1"/>
                </w14:solidFill>
              </w14:textFill>
            </w:rPr>
            <m:t>×</m:t>
          </m:r>
          <m:sSub>
            <m:sSubPr>
              <m:ctrlPr>
                <w:rPr>
                  <w:rFonts w:ascii="Cambria Math" w:hAnsi="Cambria Math" w:eastAsia="宋体" w:cs="Times New Roman"/>
                  <w:i/>
                  <w:iCs/>
                  <w:color w:val="000000" w:themeColor="text1"/>
                  <w:kern w:val="0"/>
                  <w:sz w:val="24"/>
                  <w:szCs w:val="20"/>
                  <w14:textFill>
                    <w14:solidFill>
                      <w14:schemeClr w14:val="tx1"/>
                    </w14:solidFill>
                  </w14:textFill>
                </w:rPr>
              </m:ctrlPr>
            </m:sSubPr>
            <m:e>
              <m:r>
                <m:rPr/>
                <w:rPr>
                  <w:rFonts w:ascii="Cambria Math" w:hAnsi="Cambria Math" w:eastAsia="宋体" w:cs="Times New Roman"/>
                  <w:color w:val="000000" w:themeColor="text1"/>
                  <w:kern w:val="0"/>
                  <w:sz w:val="24"/>
                  <w:szCs w:val="20"/>
                  <w14:textFill>
                    <w14:solidFill>
                      <w14:schemeClr w14:val="tx1"/>
                    </w14:solidFill>
                  </w14:textFill>
                </w:rPr>
                <m:t>EF</m:t>
              </m:r>
              <m:ctrlPr>
                <w:rPr>
                  <w:rFonts w:ascii="Cambria Math" w:hAnsi="Cambria Math" w:eastAsia="宋体" w:cs="Times New Roman"/>
                  <w:i/>
                  <w:iCs/>
                  <w:color w:val="000000" w:themeColor="text1"/>
                  <w:kern w:val="0"/>
                  <w:sz w:val="24"/>
                  <w:szCs w:val="20"/>
                  <w14:textFill>
                    <w14:solidFill>
                      <w14:schemeClr w14:val="tx1"/>
                    </w14:solidFill>
                  </w14:textFill>
                </w:rPr>
              </m:ctrlPr>
            </m:e>
            <m:sub>
              <m:r>
                <m:rPr/>
                <w:rPr>
                  <w:rFonts w:ascii="Cambria Math" w:hAnsi="Cambria Math" w:eastAsia="宋体" w:cs="Times New Roman"/>
                  <w:color w:val="000000" w:themeColor="text1"/>
                  <w:kern w:val="0"/>
                  <w:sz w:val="24"/>
                  <w:szCs w:val="20"/>
                  <w14:textFill>
                    <w14:solidFill>
                      <w14:schemeClr w14:val="tx1"/>
                    </w14:solidFill>
                  </w14:textFill>
                </w:rPr>
                <m:t>a,b</m:t>
              </m:r>
              <m:ctrlPr>
                <w:rPr>
                  <w:rFonts w:ascii="Cambria Math" w:hAnsi="Cambria Math" w:eastAsia="宋体" w:cs="Times New Roman"/>
                  <w:i/>
                  <w:iCs/>
                  <w:color w:val="000000" w:themeColor="text1"/>
                  <w:kern w:val="0"/>
                  <w:sz w:val="24"/>
                  <w:szCs w:val="20"/>
                  <w14:textFill>
                    <w14:solidFill>
                      <w14:schemeClr w14:val="tx1"/>
                    </w14:solidFill>
                  </w14:textFill>
                </w:rPr>
              </m:ctrlPr>
            </m:sub>
          </m:sSub>
        </m:oMath>
      </m:oMathPara>
    </w:p>
    <w:p w14:paraId="4ECCEC9F">
      <w:pPr>
        <w:widowControl/>
        <w:spacing w:line="480" w:lineRule="auto"/>
        <w:rPr>
          <w:rFonts w:ascii="Times New Roman" w:hAnsi="Times New Roman" w:eastAsia="宋体" w:cs="Times New Roman"/>
          <w:color w:val="000000" w:themeColor="text1"/>
          <w:kern w:val="0"/>
          <w:sz w:val="24"/>
          <w:szCs w:val="20"/>
          <w14:textFill>
            <w14:solidFill>
              <w14:schemeClr w14:val="tx1"/>
            </w14:solidFill>
          </w14:textFill>
        </w:rPr>
      </w:pPr>
      <w:r>
        <w:rPr>
          <w:rFonts w:ascii="Times New Roman" w:hAnsi="Times New Roman" w:eastAsia="宋体" w:cs="Times New Roman"/>
          <w:color w:val="000000" w:themeColor="text1"/>
          <w:kern w:val="0"/>
          <w:sz w:val="24"/>
          <w:szCs w:val="20"/>
          <w14:textFill>
            <w14:solidFill>
              <w14:schemeClr w14:val="tx1"/>
            </w14:solidFill>
          </w14:textFill>
        </w:rPr>
        <w:t xml:space="preserve">Transport weight </w:t>
      </w:r>
      <w:r>
        <w:rPr>
          <w:rFonts w:ascii="Times New Roman" w:hAnsi="Times New Roman" w:eastAsia="宋体" w:cs="Times New Roman"/>
          <w:i/>
          <w:iCs/>
          <w:color w:val="000000" w:themeColor="text1"/>
          <w:kern w:val="0"/>
          <w:sz w:val="24"/>
          <w:szCs w:val="20"/>
          <w14:textFill>
            <w14:solidFill>
              <w14:schemeClr w14:val="tx1"/>
            </w14:solidFill>
          </w14:textFill>
        </w:rPr>
        <w:t>W</w:t>
      </w:r>
      <w:r>
        <w:rPr>
          <w:rFonts w:ascii="Times New Roman" w:hAnsi="Times New Roman" w:eastAsia="宋体" w:cs="Times New Roman"/>
          <w:i/>
          <w:iCs/>
          <w:color w:val="000000" w:themeColor="text1"/>
          <w:kern w:val="0"/>
          <w:sz w:val="24"/>
          <w:szCs w:val="20"/>
          <w:vertAlign w:val="subscript"/>
          <w14:textFill>
            <w14:solidFill>
              <w14:schemeClr w14:val="tx1"/>
            </w14:solidFill>
          </w14:textFill>
        </w:rPr>
        <w:t>a,b</w:t>
      </w:r>
      <w:r>
        <w:rPr>
          <w:rFonts w:ascii="Times New Roman" w:hAnsi="Times New Roman" w:eastAsia="宋体" w:cs="Times New Roman"/>
          <w:color w:val="000000" w:themeColor="text1"/>
          <w:kern w:val="0"/>
          <w:sz w:val="24"/>
          <w:szCs w:val="20"/>
          <w14:textFill>
            <w14:solidFill>
              <w14:schemeClr w14:val="tx1"/>
            </w14:solidFill>
          </w14:textFill>
        </w:rPr>
        <w:t xml:space="preserve">: Decision variable representing the weight of cargo transported from province </w:t>
      </w:r>
      <w:r>
        <w:rPr>
          <w:rFonts w:ascii="Times New Roman" w:hAnsi="Times New Roman" w:eastAsia="宋体" w:cs="Times New Roman"/>
          <w:i/>
          <w:iCs/>
          <w:color w:val="000000" w:themeColor="text1"/>
          <w:kern w:val="0"/>
          <w:sz w:val="24"/>
          <w:szCs w:val="20"/>
          <w14:textFill>
            <w14:solidFill>
              <w14:schemeClr w14:val="tx1"/>
            </w14:solidFill>
          </w14:textFill>
        </w:rPr>
        <w:t>a</w:t>
      </w:r>
      <w:r>
        <w:rPr>
          <w:rFonts w:ascii="Times New Roman" w:hAnsi="Times New Roman" w:eastAsia="宋体" w:cs="Times New Roman"/>
          <w:color w:val="000000" w:themeColor="text1"/>
          <w:kern w:val="0"/>
          <w:sz w:val="24"/>
          <w:szCs w:val="20"/>
          <w14:textFill>
            <w14:solidFill>
              <w14:schemeClr w14:val="tx1"/>
            </w14:solidFill>
          </w14:textFill>
        </w:rPr>
        <w:t xml:space="preserve"> to province </w:t>
      </w:r>
      <w:r>
        <w:rPr>
          <w:rFonts w:ascii="Times New Roman" w:hAnsi="Times New Roman" w:eastAsia="宋体" w:cs="Times New Roman"/>
          <w:i/>
          <w:iCs/>
          <w:color w:val="000000" w:themeColor="text1"/>
          <w:kern w:val="0"/>
          <w:sz w:val="24"/>
          <w:szCs w:val="20"/>
          <w14:textFill>
            <w14:solidFill>
              <w14:schemeClr w14:val="tx1"/>
            </w14:solidFill>
          </w14:textFill>
        </w:rPr>
        <w:t>b</w:t>
      </w:r>
      <w:r>
        <w:rPr>
          <w:rFonts w:ascii="Times New Roman" w:hAnsi="Times New Roman" w:eastAsia="宋体" w:cs="Times New Roman"/>
          <w:color w:val="000000" w:themeColor="text1"/>
          <w:kern w:val="0"/>
          <w:sz w:val="24"/>
          <w:szCs w:val="20"/>
          <w14:textFill>
            <w14:solidFill>
              <w14:schemeClr w14:val="tx1"/>
            </w14:solidFill>
          </w14:textFill>
        </w:rPr>
        <w:t>.</w:t>
      </w:r>
    </w:p>
    <w:p w14:paraId="5D2DEB27">
      <w:pPr>
        <w:widowControl/>
        <w:spacing w:line="480" w:lineRule="auto"/>
        <w:rPr>
          <w:rFonts w:ascii="Times New Roman" w:hAnsi="Times New Roman" w:eastAsia="宋体" w:cs="Times New Roman"/>
          <w:color w:val="000000" w:themeColor="text1"/>
          <w:kern w:val="0"/>
          <w:sz w:val="24"/>
          <w:szCs w:val="20"/>
          <w14:textFill>
            <w14:solidFill>
              <w14:schemeClr w14:val="tx1"/>
            </w14:solidFill>
          </w14:textFill>
        </w:rPr>
      </w:pPr>
      <w:r>
        <w:rPr>
          <w:rFonts w:ascii="Times New Roman" w:hAnsi="Times New Roman" w:eastAsia="宋体" w:cs="Times New Roman"/>
          <w:color w:val="000000" w:themeColor="text1"/>
          <w:kern w:val="0"/>
          <w:sz w:val="24"/>
          <w:szCs w:val="20"/>
          <w14:textFill>
            <w14:solidFill>
              <w14:schemeClr w14:val="tx1"/>
            </w14:solidFill>
          </w14:textFill>
        </w:rPr>
        <w:t xml:space="preserve">Transport distance </w:t>
      </w:r>
      <w:r>
        <w:rPr>
          <w:rFonts w:ascii="Times New Roman" w:hAnsi="Times New Roman" w:eastAsia="宋体" w:cs="Times New Roman"/>
          <w:i/>
          <w:iCs/>
          <w:color w:val="000000" w:themeColor="text1"/>
          <w:kern w:val="0"/>
          <w:sz w:val="24"/>
          <w:szCs w:val="20"/>
          <w14:textFill>
            <w14:solidFill>
              <w14:schemeClr w14:val="tx1"/>
            </w14:solidFill>
          </w14:textFill>
        </w:rPr>
        <w:t>D</w:t>
      </w:r>
      <w:r>
        <w:rPr>
          <w:rFonts w:ascii="Times New Roman" w:hAnsi="Times New Roman" w:eastAsia="宋体" w:cs="Times New Roman"/>
          <w:i/>
          <w:iCs/>
          <w:color w:val="000000" w:themeColor="text1"/>
          <w:kern w:val="0"/>
          <w:sz w:val="24"/>
          <w:szCs w:val="20"/>
          <w:vertAlign w:val="subscript"/>
          <w14:textFill>
            <w14:solidFill>
              <w14:schemeClr w14:val="tx1"/>
            </w14:solidFill>
          </w14:textFill>
        </w:rPr>
        <w:t>a,b</w:t>
      </w:r>
      <w:r>
        <w:rPr>
          <w:rFonts w:ascii="Times New Roman" w:hAnsi="Times New Roman" w:eastAsia="宋体" w:cs="Times New Roman"/>
          <w:color w:val="000000" w:themeColor="text1"/>
          <w:kern w:val="0"/>
          <w:sz w:val="24"/>
          <w:szCs w:val="20"/>
          <w14:textFill>
            <w14:solidFill>
              <w14:schemeClr w14:val="tx1"/>
            </w14:solidFill>
          </w14:textFill>
        </w:rPr>
        <w:t xml:space="preserve">: Constant representing the distance from province </w:t>
      </w:r>
      <w:r>
        <w:rPr>
          <w:rFonts w:ascii="Times New Roman" w:hAnsi="Times New Roman" w:eastAsia="宋体" w:cs="Times New Roman"/>
          <w:i/>
          <w:iCs/>
          <w:color w:val="000000" w:themeColor="text1"/>
          <w:kern w:val="0"/>
          <w:sz w:val="24"/>
          <w:szCs w:val="20"/>
          <w14:textFill>
            <w14:solidFill>
              <w14:schemeClr w14:val="tx1"/>
            </w14:solidFill>
          </w14:textFill>
        </w:rPr>
        <w:t>a</w:t>
      </w:r>
      <w:r>
        <w:rPr>
          <w:rFonts w:ascii="Times New Roman" w:hAnsi="Times New Roman" w:eastAsia="宋体" w:cs="Times New Roman"/>
          <w:color w:val="000000" w:themeColor="text1"/>
          <w:kern w:val="0"/>
          <w:sz w:val="24"/>
          <w:szCs w:val="20"/>
          <w14:textFill>
            <w14:solidFill>
              <w14:schemeClr w14:val="tx1"/>
            </w14:solidFill>
          </w14:textFill>
        </w:rPr>
        <w:t xml:space="preserve"> to province </w:t>
      </w:r>
      <w:r>
        <w:rPr>
          <w:rFonts w:ascii="Times New Roman" w:hAnsi="Times New Roman" w:eastAsia="宋体" w:cs="Times New Roman"/>
          <w:i/>
          <w:iCs/>
          <w:color w:val="000000" w:themeColor="text1"/>
          <w:kern w:val="0"/>
          <w:sz w:val="24"/>
          <w:szCs w:val="20"/>
          <w14:textFill>
            <w14:solidFill>
              <w14:schemeClr w14:val="tx1"/>
            </w14:solidFill>
          </w14:textFill>
        </w:rPr>
        <w:t>b</w:t>
      </w:r>
      <w:r>
        <w:rPr>
          <w:rFonts w:ascii="Times New Roman" w:hAnsi="Times New Roman" w:eastAsia="宋体" w:cs="Times New Roman"/>
          <w:color w:val="000000" w:themeColor="text1"/>
          <w:kern w:val="0"/>
          <w:sz w:val="24"/>
          <w:szCs w:val="20"/>
          <w14:textFill>
            <w14:solidFill>
              <w14:schemeClr w14:val="tx1"/>
            </w14:solidFill>
          </w14:textFill>
        </w:rPr>
        <w:t>.</w:t>
      </w:r>
    </w:p>
    <w:p w14:paraId="00E984EC">
      <w:pPr>
        <w:widowControl/>
        <w:spacing w:line="480" w:lineRule="auto"/>
        <w:rPr>
          <w:rFonts w:ascii="Times New Roman" w:hAnsi="Times New Roman" w:eastAsia="宋体" w:cs="Times New Roman"/>
          <w:color w:val="000000" w:themeColor="text1"/>
          <w:kern w:val="0"/>
          <w:sz w:val="24"/>
          <w:szCs w:val="20"/>
          <w14:textFill>
            <w14:solidFill>
              <w14:schemeClr w14:val="tx1"/>
            </w14:solidFill>
          </w14:textFill>
        </w:rPr>
      </w:pPr>
      <w:r>
        <w:rPr>
          <w:rFonts w:ascii="Times New Roman" w:hAnsi="Times New Roman" w:eastAsia="宋体" w:cs="Times New Roman"/>
          <w:color w:val="000000" w:themeColor="text1"/>
          <w:kern w:val="0"/>
          <w:sz w:val="24"/>
          <w:szCs w:val="20"/>
          <w14:textFill>
            <w14:solidFill>
              <w14:schemeClr w14:val="tx1"/>
            </w14:solidFill>
          </w14:textFill>
        </w:rPr>
        <w:t xml:space="preserve">Energy efficiency </w:t>
      </w:r>
      <w:r>
        <w:rPr>
          <w:rFonts w:ascii="Times New Roman" w:hAnsi="Times New Roman" w:eastAsia="宋体" w:cs="Times New Roman"/>
          <w:i/>
          <w:iCs/>
          <w:color w:val="000000" w:themeColor="text1"/>
          <w:kern w:val="0"/>
          <w:sz w:val="24"/>
          <w:szCs w:val="20"/>
          <w14:textFill>
            <w14:solidFill>
              <w14:schemeClr w14:val="tx1"/>
            </w14:solidFill>
          </w14:textFill>
        </w:rPr>
        <w:t>c</w:t>
      </w:r>
      <w:r>
        <w:rPr>
          <w:rFonts w:ascii="Times New Roman" w:hAnsi="Times New Roman" w:eastAsia="宋体" w:cs="Times New Roman"/>
          <w:i/>
          <w:iCs/>
          <w:color w:val="000000" w:themeColor="text1"/>
          <w:kern w:val="0"/>
          <w:sz w:val="24"/>
          <w:szCs w:val="20"/>
          <w:vertAlign w:val="subscript"/>
          <w14:textFill>
            <w14:solidFill>
              <w14:schemeClr w14:val="tx1"/>
            </w14:solidFill>
          </w14:textFill>
        </w:rPr>
        <w:t>eff</w:t>
      </w:r>
      <w:r>
        <w:rPr>
          <w:rFonts w:ascii="Times New Roman" w:hAnsi="Times New Roman" w:eastAsia="宋体" w:cs="Times New Roman"/>
          <w:color w:val="000000" w:themeColor="text1"/>
          <w:kern w:val="0"/>
          <w:sz w:val="24"/>
          <w:szCs w:val="20"/>
          <w14:textFill>
            <w14:solidFill>
              <w14:schemeClr w14:val="tx1"/>
            </w14:solidFill>
          </w14:textFill>
        </w:rPr>
        <w:t>: Constant indicating energy consumption per ton of cargo per kilometer, representing the electricity usage efficiency.</w:t>
      </w:r>
    </w:p>
    <w:p w14:paraId="0D44D7C0">
      <w:pPr>
        <w:widowControl/>
        <w:spacing w:line="480" w:lineRule="auto"/>
        <w:rPr>
          <w:rFonts w:ascii="Times New Roman" w:hAnsi="Times New Roman" w:cs="Times New Roman"/>
        </w:rPr>
      </w:pPr>
      <w:r>
        <w:rPr>
          <w:rFonts w:ascii="Times New Roman" w:hAnsi="Times New Roman" w:eastAsia="宋体" w:cs="Times New Roman"/>
          <w:color w:val="000000" w:themeColor="text1"/>
          <w:kern w:val="0"/>
          <w:sz w:val="24"/>
          <w:szCs w:val="20"/>
          <w14:textFill>
            <w14:solidFill>
              <w14:schemeClr w14:val="tx1"/>
            </w14:solidFill>
          </w14:textFill>
        </w:rPr>
        <w:t xml:space="preserve">Electricity carbon footprint factor </w:t>
      </w:r>
      <w:r>
        <w:rPr>
          <w:rFonts w:ascii="Times New Roman" w:hAnsi="Times New Roman" w:eastAsia="宋体" w:cs="Times New Roman"/>
          <w:i/>
          <w:iCs/>
          <w:color w:val="000000" w:themeColor="text1"/>
          <w:kern w:val="0"/>
          <w:sz w:val="24"/>
          <w:szCs w:val="20"/>
          <w14:textFill>
            <w14:solidFill>
              <w14:schemeClr w14:val="tx1"/>
            </w14:solidFill>
          </w14:textFill>
        </w:rPr>
        <w:t>EF</w:t>
      </w:r>
      <w:r>
        <w:rPr>
          <w:rFonts w:ascii="Times New Roman" w:hAnsi="Times New Roman" w:eastAsia="宋体" w:cs="Times New Roman"/>
          <w:i/>
          <w:iCs/>
          <w:color w:val="000000" w:themeColor="text1"/>
          <w:kern w:val="0"/>
          <w:sz w:val="24"/>
          <w:szCs w:val="20"/>
          <w:vertAlign w:val="subscript"/>
          <w14:textFill>
            <w14:solidFill>
              <w14:schemeClr w14:val="tx1"/>
            </w14:solidFill>
          </w14:textFill>
        </w:rPr>
        <w:t>a,b</w:t>
      </w:r>
      <w:r>
        <w:rPr>
          <w:rFonts w:ascii="Times New Roman" w:hAnsi="Times New Roman" w:eastAsia="宋体" w:cs="Times New Roman"/>
          <w:color w:val="000000" w:themeColor="text1"/>
          <w:kern w:val="0"/>
          <w:sz w:val="24"/>
          <w:szCs w:val="20"/>
          <w14:textFill>
            <w14:solidFill>
              <w14:schemeClr w14:val="tx1"/>
            </w14:solidFill>
          </w14:textFill>
        </w:rPr>
        <w:t xml:space="preserve">: The factor associated with electricity usage for each province or city, indicating the carbon footprint per kWh. </w:t>
      </w:r>
    </w:p>
    <w:p w14:paraId="474C7B85">
      <w:pPr>
        <w:widowControl/>
        <w:spacing w:line="480" w:lineRule="auto"/>
        <w:rPr>
          <w:rFonts w:ascii="Times New Roman" w:hAnsi="Times New Roman" w:eastAsia="MS Mincho" w:cs="Times New Roman"/>
          <w:i/>
          <w:color w:val="000000"/>
          <w:kern w:val="0"/>
          <w:sz w:val="24"/>
          <w:szCs w:val="20"/>
        </w:rPr>
      </w:pPr>
      <w:r>
        <w:rPr>
          <w:rFonts w:ascii="Times New Roman" w:hAnsi="Times New Roman" w:eastAsia="MS Mincho" w:cs="Times New Roman"/>
          <w:i/>
          <w:color w:val="000000"/>
          <w:kern w:val="0"/>
          <w:sz w:val="24"/>
          <w:szCs w:val="20"/>
          <w:lang w:val="en-PH" w:eastAsia="en-PH"/>
        </w:rPr>
        <w:drawing>
          <wp:inline distT="0" distB="0" distL="114300" distR="114300">
            <wp:extent cx="5267325" cy="4117975"/>
            <wp:effectExtent l="0" t="0" r="0" b="6350"/>
            <wp:docPr id="13" name="图片 13" descr="CA.PV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A.PVC"/>
                    <pic:cNvPicPr>
                      <a:picLocks noChangeAspect="1"/>
                    </pic:cNvPicPr>
                  </pic:nvPicPr>
                  <pic:blipFill>
                    <a:blip r:embed="rId12"/>
                    <a:stretch>
                      <a:fillRect/>
                    </a:stretch>
                  </pic:blipFill>
                  <pic:spPr>
                    <a:xfrm>
                      <a:off x="0" y="0"/>
                      <a:ext cx="5267325" cy="4117975"/>
                    </a:xfrm>
                    <a:prstGeom prst="rect">
                      <a:avLst/>
                    </a:prstGeom>
                  </pic:spPr>
                </pic:pic>
              </a:graphicData>
            </a:graphic>
          </wp:inline>
        </w:drawing>
      </w:r>
    </w:p>
    <w:p w14:paraId="42804D33">
      <w:pPr>
        <w:pStyle w:val="2"/>
        <w:widowControl/>
        <w:rPr>
          <w:rFonts w:ascii="Times New Roman" w:hAnsi="Times New Roman" w:cs="Times New Roman"/>
        </w:rPr>
      </w:pPr>
      <w:r>
        <w:rPr>
          <w:rFonts w:ascii="Times New Roman" w:hAnsi="Times New Roman" w:cs="Times New Roman"/>
        </w:rPr>
        <w:t>Figure S</w:t>
      </w:r>
      <w:r>
        <w:rPr>
          <w:rFonts w:ascii="Times New Roman" w:hAnsi="Times New Roman" w:cs="Times New Roman"/>
        </w:rPr>
        <w:fldChar w:fldCharType="begin"/>
      </w:r>
      <w:r>
        <w:rPr>
          <w:rFonts w:ascii="Times New Roman" w:hAnsi="Times New Roman" w:cs="Times New Roman"/>
        </w:rPr>
        <w:instrText xml:space="preserve"> SEQ 图 \* ARABIC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t>. Environmental footprints contribution analysis of unit PVC waste recycling methods.</w:t>
      </w:r>
    </w:p>
    <w:p w14:paraId="3BB6E4A7">
      <w:pPr>
        <w:pStyle w:val="2"/>
        <w:widowControl/>
        <w:rPr>
          <w:rFonts w:ascii="Times New Roman" w:hAnsi="Times New Roman" w:cs="Times New Roman"/>
        </w:rPr>
      </w:pPr>
      <w:r>
        <w:rPr>
          <w:rFonts w:ascii="Times New Roman" w:hAnsi="Times New Roman" w:cs="Times New Roman"/>
        </w:rPr>
        <w:t>Figure S9a: the carbon footprint contribution analysis; Figure S9b: the human health contribution analysis; Figure S9c: the resource depletion contribution analysis; Figure S9d: the ecosystem quality contribution analysis. The analysis results were categorized into four part: yellow-input materials (materials), mauve- input energy (Energy), purple-waste emissions (Waste) and cyan-recycled materials (Recycled).</w:t>
      </w:r>
    </w:p>
    <w:p w14:paraId="2A07EE41">
      <w:pPr>
        <w:rPr>
          <w:rFonts w:ascii="Times New Roman" w:hAnsi="Times New Roman" w:cs="Times New Roman"/>
        </w:rPr>
      </w:pPr>
    </w:p>
    <w:p w14:paraId="1E283DA7">
      <w:pPr>
        <w:widowControl/>
        <w:spacing w:line="480" w:lineRule="auto"/>
        <w:ind w:firstLine="480" w:firstLineChars="200"/>
        <w:rPr>
          <w:rFonts w:ascii="Times New Roman" w:hAnsi="Times New Roman" w:eastAsia="MS Mincho" w:cs="Times New Roman"/>
          <w:iCs/>
          <w:color w:val="000000"/>
          <w:kern w:val="0"/>
          <w:sz w:val="24"/>
          <w:szCs w:val="20"/>
        </w:rPr>
      </w:pPr>
      <w:r>
        <w:rPr>
          <w:rFonts w:ascii="Times New Roman" w:hAnsi="Times New Roman" w:eastAsia="MS Mincho" w:cs="Times New Roman"/>
          <w:iCs/>
          <w:color w:val="000000"/>
          <w:kern w:val="0"/>
          <w:sz w:val="24"/>
          <w:szCs w:val="20"/>
        </w:rPr>
        <w:t xml:space="preserve">To assess the environmental footprints of </w:t>
      </w:r>
      <w:r>
        <w:rPr>
          <w:rFonts w:ascii="Times New Roman" w:hAnsi="Times New Roman" w:eastAsia="宋体" w:cs="Times New Roman"/>
          <w:iCs/>
          <w:color w:val="000000"/>
          <w:kern w:val="0"/>
          <w:sz w:val="24"/>
          <w:szCs w:val="20"/>
        </w:rPr>
        <w:t>PVC waste</w:t>
      </w:r>
      <w:r>
        <w:rPr>
          <w:rFonts w:ascii="Times New Roman" w:hAnsi="Times New Roman" w:eastAsia="MS Mincho" w:cs="Times New Roman"/>
          <w:iCs/>
          <w:color w:val="000000"/>
          <w:kern w:val="0"/>
          <w:sz w:val="24"/>
          <w:szCs w:val="20"/>
        </w:rPr>
        <w:t xml:space="preserve"> recycling in China, we calculated the carbon footprint, </w:t>
      </w:r>
      <w:r>
        <w:rPr>
          <w:rFonts w:ascii="Times New Roman" w:hAnsi="Times New Roman" w:eastAsia="宋体" w:cs="Times New Roman"/>
          <w:iCs/>
          <w:color w:val="000000"/>
          <w:kern w:val="0"/>
          <w:sz w:val="24"/>
          <w:szCs w:val="20"/>
        </w:rPr>
        <w:t>human health, resource depletion and ecosystem quality</w:t>
      </w:r>
      <w:r>
        <w:rPr>
          <w:rFonts w:ascii="Times New Roman" w:hAnsi="Times New Roman" w:eastAsia="MS Mincho" w:cs="Times New Roman"/>
          <w:iCs/>
          <w:color w:val="000000"/>
          <w:kern w:val="0"/>
          <w:sz w:val="24"/>
          <w:szCs w:val="20"/>
        </w:rPr>
        <w:t xml:space="preserve"> of various </w:t>
      </w:r>
      <w:r>
        <w:rPr>
          <w:rFonts w:ascii="Times New Roman" w:hAnsi="Times New Roman" w:eastAsia="宋体" w:cs="Times New Roman"/>
          <w:iCs/>
          <w:color w:val="000000"/>
          <w:kern w:val="0"/>
          <w:sz w:val="24"/>
          <w:szCs w:val="20"/>
        </w:rPr>
        <w:t>PVC waste</w:t>
      </w:r>
      <w:r>
        <w:rPr>
          <w:rFonts w:ascii="Times New Roman" w:hAnsi="Times New Roman" w:eastAsia="MS Mincho" w:cs="Times New Roman"/>
          <w:iCs/>
          <w:color w:val="000000"/>
          <w:kern w:val="0"/>
          <w:sz w:val="24"/>
          <w:szCs w:val="20"/>
        </w:rPr>
        <w:t xml:space="preserve"> </w:t>
      </w:r>
      <w:r>
        <w:rPr>
          <w:rFonts w:ascii="Times New Roman" w:hAnsi="Times New Roman" w:eastAsia="宋体" w:cs="Times New Roman"/>
          <w:iCs/>
          <w:color w:val="000000"/>
          <w:kern w:val="0"/>
          <w:sz w:val="24"/>
          <w:szCs w:val="20"/>
        </w:rPr>
        <w:t>recycling</w:t>
      </w:r>
      <w:r>
        <w:rPr>
          <w:rFonts w:ascii="Times New Roman" w:hAnsi="Times New Roman" w:eastAsia="MS Mincho" w:cs="Times New Roman"/>
          <w:iCs/>
          <w:color w:val="000000"/>
          <w:kern w:val="0"/>
          <w:sz w:val="24"/>
          <w:szCs w:val="20"/>
        </w:rPr>
        <w:t xml:space="preserve"> methods. </w:t>
      </w:r>
    </w:p>
    <w:p w14:paraId="18B4949D">
      <w:pPr>
        <w:widowControl/>
        <w:spacing w:line="480" w:lineRule="auto"/>
        <w:ind w:firstLine="480" w:firstLineChars="200"/>
        <w:rPr>
          <w:rFonts w:ascii="Times New Roman" w:hAnsi="Times New Roman" w:eastAsia="MS Mincho" w:cs="Times New Roman"/>
          <w:iCs/>
          <w:color w:val="000000" w:themeColor="text1"/>
          <w:kern w:val="0"/>
          <w:sz w:val="24"/>
          <w:szCs w:val="20"/>
          <w14:textFill>
            <w14:solidFill>
              <w14:schemeClr w14:val="tx1"/>
            </w14:solidFill>
          </w14:textFill>
        </w:rPr>
      </w:pPr>
      <w:r>
        <w:rPr>
          <w:rFonts w:ascii="Times New Roman" w:hAnsi="Times New Roman" w:eastAsia="MS Mincho" w:cs="Times New Roman"/>
          <w:iCs/>
          <w:color w:val="000000"/>
          <w:kern w:val="0"/>
          <w:sz w:val="24"/>
          <w:szCs w:val="20"/>
        </w:rPr>
        <w:t xml:space="preserve">As the carbon footprint results of ER, MR, and CR shown in figure </w:t>
      </w:r>
      <w:r>
        <w:rPr>
          <w:rFonts w:ascii="Times New Roman" w:hAnsi="Times New Roman" w:cs="Times New Roman"/>
        </w:rPr>
        <w:t>S9</w:t>
      </w:r>
      <w:r>
        <w:rPr>
          <w:rFonts w:ascii="Times New Roman" w:hAnsi="Times New Roman" w:eastAsia="宋体" w:cs="Times New Roman"/>
          <w:iCs/>
          <w:color w:val="000000"/>
          <w:kern w:val="0"/>
          <w:sz w:val="24"/>
          <w:szCs w:val="20"/>
        </w:rPr>
        <w:t>a</w:t>
      </w:r>
      <w:r>
        <w:rPr>
          <w:rFonts w:ascii="Times New Roman" w:hAnsi="Times New Roman" w:eastAsia="MS Mincho" w:cs="Times New Roman"/>
          <w:iCs/>
          <w:color w:val="000000"/>
          <w:kern w:val="0"/>
          <w:sz w:val="24"/>
          <w:szCs w:val="20"/>
        </w:rPr>
        <w:t xml:space="preserve">, the </w:t>
      </w:r>
      <w:r>
        <w:rPr>
          <w:rFonts w:ascii="Times New Roman" w:hAnsi="Times New Roman" w:eastAsia="宋体" w:cs="Times New Roman"/>
          <w:iCs/>
          <w:color w:val="000000"/>
          <w:kern w:val="0"/>
          <w:sz w:val="24"/>
          <w:szCs w:val="20"/>
        </w:rPr>
        <w:t>largest</w:t>
      </w:r>
      <w:r>
        <w:rPr>
          <w:rFonts w:ascii="Times New Roman" w:hAnsi="Times New Roman" w:eastAsia="MS Mincho" w:cs="Times New Roman"/>
          <w:iCs/>
          <w:color w:val="000000"/>
          <w:kern w:val="0"/>
          <w:sz w:val="24"/>
          <w:szCs w:val="20"/>
        </w:rPr>
        <w:t xml:space="preserve"> carbon footprint emission method is CR, 1.</w:t>
      </w:r>
      <w:r>
        <w:rPr>
          <w:rFonts w:ascii="Times New Roman" w:hAnsi="Times New Roman" w:eastAsia="宋体" w:cs="Times New Roman"/>
          <w:iCs/>
          <w:color w:val="000000"/>
          <w:kern w:val="0"/>
          <w:sz w:val="24"/>
          <w:szCs w:val="20"/>
        </w:rPr>
        <w:t>43</w:t>
      </w:r>
      <w:r>
        <w:rPr>
          <w:rFonts w:ascii="Times New Roman" w:hAnsi="Times New Roman" w:eastAsia="MS Mincho" w:cs="Times New Roman"/>
          <w:iCs/>
          <w:color w:val="000000"/>
          <w:kern w:val="0"/>
          <w:sz w:val="24"/>
          <w:szCs w:val="20"/>
        </w:rPr>
        <w:t xml:space="preserve"> </w:t>
      </w:r>
      <w:r>
        <w:rPr>
          <w:rFonts w:ascii="Times New Roman" w:hAnsi="Times New Roman" w:eastAsia="宋体" w:cs="Times New Roman"/>
          <w:iCs/>
          <w:color w:val="000000"/>
          <w:kern w:val="0"/>
          <w:sz w:val="24"/>
          <w:szCs w:val="20"/>
        </w:rPr>
        <w:t>(</w:t>
      </w:r>
      <w:r>
        <w:rPr>
          <w:rFonts w:ascii="Times New Roman" w:hAnsi="Times New Roman" w:eastAsia="MS Mincho" w:cs="Times New Roman"/>
          <w:iCs/>
          <w:color w:val="000000"/>
          <w:kern w:val="0"/>
          <w:sz w:val="24"/>
          <w:szCs w:val="20"/>
        </w:rPr>
        <w:t>kgCO</w:t>
      </w:r>
      <w:r>
        <w:rPr>
          <w:rFonts w:ascii="Times New Roman" w:hAnsi="Times New Roman" w:eastAsia="MS Mincho" w:cs="Times New Roman"/>
          <w:iCs/>
          <w:color w:val="000000"/>
          <w:kern w:val="0"/>
          <w:sz w:val="24"/>
          <w:szCs w:val="20"/>
          <w:vertAlign w:val="subscript"/>
        </w:rPr>
        <w:t>2</w:t>
      </w:r>
      <w:r>
        <w:rPr>
          <w:rFonts w:ascii="Times New Roman" w:hAnsi="Times New Roman" w:eastAsia="MS Mincho" w:cs="Times New Roman"/>
          <w:iCs/>
          <w:color w:val="000000"/>
          <w:kern w:val="0"/>
          <w:sz w:val="24"/>
          <w:szCs w:val="20"/>
        </w:rPr>
        <w:t xml:space="preserve">-eq/kg, </w:t>
      </w:r>
      <w:r>
        <w:rPr>
          <w:rFonts w:ascii="Times New Roman" w:hAnsi="Times New Roman" w:eastAsia="宋体" w:cs="Times New Roman"/>
          <w:iCs/>
          <w:color w:val="000000"/>
          <w:kern w:val="0"/>
          <w:sz w:val="24"/>
          <w:szCs w:val="20"/>
        </w:rPr>
        <w:t>PVC)，</w:t>
      </w:r>
      <w:r>
        <w:rPr>
          <w:rFonts w:ascii="Times New Roman" w:hAnsi="Times New Roman" w:eastAsia="MS Mincho" w:cs="Times New Roman"/>
          <w:iCs/>
          <w:color w:val="000000"/>
          <w:kern w:val="0"/>
          <w:sz w:val="24"/>
          <w:szCs w:val="20"/>
        </w:rPr>
        <w:t>whose main contribut</w:t>
      </w:r>
      <w:r>
        <w:rPr>
          <w:rFonts w:ascii="Times New Roman" w:hAnsi="Times New Roman" w:eastAsia="宋体" w:cs="Times New Roman"/>
          <w:iCs/>
          <w:color w:val="000000"/>
          <w:kern w:val="0"/>
          <w:sz w:val="24"/>
          <w:szCs w:val="20"/>
        </w:rPr>
        <w:t>or</w:t>
      </w:r>
      <w:r>
        <w:rPr>
          <w:rFonts w:ascii="Times New Roman" w:hAnsi="Times New Roman" w:eastAsia="MS Mincho" w:cs="Times New Roman"/>
          <w:iCs/>
          <w:color w:val="000000"/>
          <w:kern w:val="0"/>
          <w:sz w:val="24"/>
          <w:szCs w:val="20"/>
        </w:rPr>
        <w:t xml:space="preserve"> is energy consumption, accounting for </w:t>
      </w:r>
      <w:r>
        <w:rPr>
          <w:rFonts w:ascii="Times New Roman" w:hAnsi="Times New Roman" w:eastAsia="宋体" w:cs="Times New Roman"/>
          <w:iCs/>
          <w:color w:val="000000"/>
          <w:kern w:val="0"/>
          <w:sz w:val="24"/>
          <w:szCs w:val="20"/>
        </w:rPr>
        <w:t>61.46%, then is 58.31% of input materials</w:t>
      </w:r>
      <w:r>
        <w:rPr>
          <w:rFonts w:ascii="Times New Roman" w:hAnsi="Times New Roman" w:eastAsia="MS Mincho" w:cs="Times New Roman"/>
          <w:iCs/>
          <w:color w:val="000000"/>
          <w:kern w:val="0"/>
          <w:sz w:val="24"/>
          <w:szCs w:val="20"/>
        </w:rPr>
        <w:t>.</w:t>
      </w:r>
      <w:r>
        <w:rPr>
          <w:rFonts w:ascii="Times New Roman" w:hAnsi="Times New Roman" w:eastAsia="宋体" w:cs="Times New Roman"/>
          <w:iCs/>
          <w:color w:val="000000"/>
          <w:kern w:val="0"/>
          <w:sz w:val="24"/>
          <w:szCs w:val="20"/>
        </w:rPr>
        <w:t xml:space="preserve"> This result shown that both energy and materials will contribute most of carbon footprint, the CR of PVC waste has extra step-dechlorination, consuming amount of materials and energy to remove the Cl elements. </w:t>
      </w:r>
      <w:r>
        <w:rPr>
          <w:rFonts w:ascii="Times New Roman" w:hAnsi="Times New Roman" w:eastAsia="MS Mincho" w:cs="Times New Roman"/>
          <w:iCs/>
          <w:color w:val="000000"/>
          <w:kern w:val="0"/>
          <w:sz w:val="24"/>
          <w:szCs w:val="20"/>
        </w:rPr>
        <w:t xml:space="preserve">Then is ER method, even though the direct emission </w:t>
      </w:r>
      <w:r>
        <w:rPr>
          <w:rFonts w:ascii="Times New Roman" w:hAnsi="Times New Roman" w:eastAsia="宋体" w:cs="Times New Roman"/>
          <w:iCs/>
          <w:color w:val="000000"/>
          <w:kern w:val="0"/>
          <w:sz w:val="24"/>
          <w:szCs w:val="20"/>
        </w:rPr>
        <w:t>occupying 170.68%</w:t>
      </w:r>
      <w:r>
        <w:rPr>
          <w:rFonts w:ascii="Times New Roman" w:hAnsi="Times New Roman" w:eastAsia="MS Mincho" w:cs="Times New Roman"/>
          <w:iCs/>
          <w:color w:val="000000"/>
          <w:kern w:val="0"/>
          <w:sz w:val="24"/>
          <w:szCs w:val="20"/>
        </w:rPr>
        <w:t xml:space="preserve"> is higher than other</w:t>
      </w:r>
      <w:r>
        <w:rPr>
          <w:rFonts w:ascii="Times New Roman" w:hAnsi="Times New Roman" w:eastAsia="宋体" w:cs="Times New Roman"/>
          <w:iCs/>
          <w:color w:val="000000"/>
          <w:kern w:val="0"/>
          <w:sz w:val="24"/>
          <w:szCs w:val="20"/>
        </w:rPr>
        <w:t xml:space="preserve"> recycling</w:t>
      </w:r>
      <w:r>
        <w:rPr>
          <w:rFonts w:ascii="Times New Roman" w:hAnsi="Times New Roman" w:eastAsia="MS Mincho" w:cs="Times New Roman"/>
          <w:iCs/>
          <w:color w:val="000000"/>
          <w:kern w:val="0"/>
          <w:sz w:val="24"/>
          <w:szCs w:val="20"/>
        </w:rPr>
        <w:t xml:space="preserve"> methods, but the regenerated electricity (</w:t>
      </w:r>
      <w:r>
        <w:rPr>
          <w:rFonts w:ascii="Times New Roman" w:hAnsi="Times New Roman" w:eastAsia="宋体" w:cs="Times New Roman"/>
          <w:iCs/>
          <w:color w:val="000000"/>
          <w:kern w:val="0"/>
          <w:sz w:val="24"/>
          <w:szCs w:val="20"/>
        </w:rPr>
        <w:t xml:space="preserve">1.44 </w:t>
      </w:r>
      <w:r>
        <w:rPr>
          <w:rFonts w:ascii="Times New Roman" w:hAnsi="Times New Roman" w:eastAsia="MS Mincho" w:cs="Times New Roman"/>
          <w:iCs/>
          <w:color w:val="000000"/>
          <w:kern w:val="0"/>
          <w:sz w:val="24"/>
          <w:szCs w:val="20"/>
        </w:rPr>
        <w:t>kg CO</w:t>
      </w:r>
      <w:r>
        <w:rPr>
          <w:rFonts w:ascii="Times New Roman" w:hAnsi="Times New Roman" w:eastAsia="MS Mincho" w:cs="Times New Roman"/>
          <w:iCs/>
          <w:color w:val="000000"/>
          <w:kern w:val="0"/>
          <w:sz w:val="24"/>
          <w:szCs w:val="20"/>
          <w:vertAlign w:val="subscript"/>
        </w:rPr>
        <w:t>2</w:t>
      </w:r>
      <w:r>
        <w:rPr>
          <w:rFonts w:ascii="Times New Roman" w:hAnsi="Times New Roman" w:eastAsia="MS Mincho" w:cs="Times New Roman"/>
          <w:iCs/>
          <w:color w:val="000000"/>
          <w:kern w:val="0"/>
          <w:sz w:val="24"/>
          <w:szCs w:val="20"/>
        </w:rPr>
        <w:t>-eq/kg</w:t>
      </w:r>
      <w:r>
        <w:rPr>
          <w:rFonts w:hint="eastAsia" w:ascii="Times New Roman" w:hAnsi="Times New Roman" w:eastAsia="宋体" w:cs="Times New Roman"/>
          <w:iCs/>
          <w:color w:val="000000"/>
          <w:kern w:val="0"/>
          <w:sz w:val="24"/>
          <w:szCs w:val="20"/>
          <w:lang w:val="en-US" w:eastAsia="zh-CN"/>
        </w:rPr>
        <w:t>, PVC</w:t>
      </w:r>
      <w:r>
        <w:rPr>
          <w:rFonts w:ascii="Times New Roman" w:hAnsi="Times New Roman" w:eastAsia="MS Mincho" w:cs="Times New Roman"/>
          <w:iCs/>
          <w:color w:val="000000"/>
          <w:kern w:val="0"/>
          <w:sz w:val="24"/>
          <w:szCs w:val="20"/>
        </w:rPr>
        <w:t>) will offset most emission like the gray part</w:t>
      </w:r>
      <w:r>
        <w:rPr>
          <w:rFonts w:ascii="Times New Roman" w:hAnsi="Times New Roman" w:eastAsia="宋体" w:cs="Times New Roman"/>
          <w:iCs/>
          <w:color w:val="000000"/>
          <w:kern w:val="0"/>
          <w:sz w:val="24"/>
          <w:szCs w:val="20"/>
        </w:rPr>
        <w:t xml:space="preserve">, accounting for </w:t>
      </w:r>
      <w:r>
        <w:rPr>
          <w:rFonts w:ascii="Times New Roman" w:hAnsi="Times New Roman" w:eastAsia="MS Mincho" w:cs="Times New Roman"/>
          <w:iCs/>
          <w:color w:val="000000"/>
          <w:kern w:val="0"/>
          <w:sz w:val="24"/>
          <w:szCs w:val="20"/>
        </w:rPr>
        <w:t xml:space="preserve">-155.22%. </w:t>
      </w:r>
      <w:r>
        <w:rPr>
          <w:rFonts w:ascii="Times New Roman" w:hAnsi="Times New Roman" w:eastAsia="宋体" w:cs="Times New Roman"/>
          <w:iCs/>
          <w:color w:val="000000"/>
          <w:kern w:val="0"/>
          <w:sz w:val="24"/>
          <w:szCs w:val="20"/>
        </w:rPr>
        <w:t>Expect for the two parts, the input materials can’t be ignored, approximately contributing 57.62% to remove the toxic dioxin gas. Those results stated that the control of housewarming gases and toxic gases during incineration are always inevitable task in ER process. As for the MR method, d</w:t>
      </w:r>
      <w:r>
        <w:rPr>
          <w:rFonts w:ascii="Times New Roman" w:hAnsi="Times New Roman" w:eastAsia="MS Mincho" w:cs="Times New Roman"/>
          <w:iCs/>
          <w:color w:val="000000"/>
          <w:kern w:val="0"/>
          <w:sz w:val="24"/>
          <w:szCs w:val="20"/>
        </w:rPr>
        <w:t>ue to the deduction of regenerated PVC particles, the MR method displayed the lowest carbon footprint emission</w:t>
      </w:r>
      <w:r>
        <w:rPr>
          <w:rFonts w:ascii="Times New Roman" w:hAnsi="Times New Roman" w:eastAsia="宋体" w:cs="Times New Roman"/>
          <w:iCs/>
          <w:color w:val="000000"/>
          <w:kern w:val="0"/>
          <w:sz w:val="24"/>
          <w:szCs w:val="20"/>
        </w:rPr>
        <w:t xml:space="preserve"> with </w:t>
      </w:r>
      <w:r>
        <w:rPr>
          <w:rFonts w:ascii="Times New Roman" w:hAnsi="Times New Roman" w:eastAsia="MS Mincho" w:cs="Times New Roman"/>
          <w:iCs/>
          <w:color w:val="000000"/>
          <w:kern w:val="0"/>
          <w:sz w:val="24"/>
          <w:szCs w:val="20"/>
        </w:rPr>
        <w:t>-1.22 kg CO</w:t>
      </w:r>
      <w:r>
        <w:rPr>
          <w:rFonts w:ascii="Times New Roman" w:hAnsi="Times New Roman" w:eastAsia="MS Mincho" w:cs="Times New Roman"/>
          <w:iCs/>
          <w:color w:val="000000"/>
          <w:kern w:val="0"/>
          <w:sz w:val="24"/>
          <w:szCs w:val="20"/>
          <w:vertAlign w:val="subscript"/>
        </w:rPr>
        <w:t>2</w:t>
      </w:r>
      <w:r>
        <w:rPr>
          <w:rFonts w:ascii="Times New Roman" w:hAnsi="Times New Roman" w:eastAsia="MS Mincho" w:cs="Times New Roman"/>
          <w:iCs/>
          <w:color w:val="000000"/>
          <w:kern w:val="0"/>
          <w:sz w:val="24"/>
          <w:szCs w:val="20"/>
        </w:rPr>
        <w:t>-eq/kg</w:t>
      </w:r>
      <w:r>
        <w:rPr>
          <w:rFonts w:hint="eastAsia" w:ascii="Times New Roman" w:hAnsi="Times New Roman" w:eastAsia="宋体" w:cs="Times New Roman"/>
          <w:iCs/>
          <w:color w:val="000000"/>
          <w:kern w:val="0"/>
          <w:sz w:val="24"/>
          <w:szCs w:val="20"/>
          <w:lang w:val="en-US" w:eastAsia="zh-CN"/>
        </w:rPr>
        <w:t>, PVC</w:t>
      </w:r>
      <w:r>
        <w:rPr>
          <w:rFonts w:ascii="Times New Roman" w:hAnsi="Times New Roman" w:eastAsia="MS Mincho" w:cs="Times New Roman"/>
          <w:iCs/>
          <w:color w:val="000000"/>
          <w:kern w:val="0"/>
          <w:sz w:val="24"/>
          <w:szCs w:val="20"/>
        </w:rPr>
        <w:t>.</w:t>
      </w:r>
      <w:r>
        <w:rPr>
          <w:rFonts w:ascii="Times New Roman" w:hAnsi="Times New Roman" w:eastAsia="MS Mincho" w:cs="Times New Roman"/>
          <w:iCs/>
          <w:color w:val="FF0000"/>
          <w:kern w:val="0"/>
          <w:sz w:val="24"/>
          <w:szCs w:val="20"/>
        </w:rPr>
        <w:t xml:space="preserve"> </w:t>
      </w:r>
      <w:r>
        <w:rPr>
          <w:rFonts w:ascii="Times New Roman" w:hAnsi="Times New Roman" w:eastAsia="宋体" w:cs="Times New Roman"/>
          <w:iCs/>
          <w:color w:val="000000" w:themeColor="text1"/>
          <w:kern w:val="0"/>
          <w:sz w:val="24"/>
          <w:szCs w:val="20"/>
          <w14:textFill>
            <w14:solidFill>
              <w14:schemeClr w14:val="tx1"/>
            </w14:solidFill>
          </w14:textFill>
        </w:rPr>
        <w:t xml:space="preserve">Those results </w:t>
      </w:r>
      <w:r>
        <w:rPr>
          <w:rFonts w:ascii="Times New Roman" w:hAnsi="Times New Roman" w:eastAsia="MS Mincho" w:cs="Times New Roman"/>
          <w:iCs/>
          <w:color w:val="000000" w:themeColor="text1"/>
          <w:kern w:val="0"/>
          <w:sz w:val="24"/>
          <w:szCs w:val="20"/>
          <w14:textFill>
            <w14:solidFill>
              <w14:schemeClr w14:val="tx1"/>
            </w14:solidFill>
          </w14:textFill>
        </w:rPr>
        <w:t xml:space="preserve">indicated that </w:t>
      </w:r>
      <w:r>
        <w:rPr>
          <w:rFonts w:ascii="Times New Roman" w:hAnsi="Times New Roman" w:eastAsia="宋体" w:cs="Times New Roman"/>
          <w:iCs/>
          <w:color w:val="000000" w:themeColor="text1"/>
          <w:kern w:val="0"/>
          <w:sz w:val="24"/>
          <w:szCs w:val="20"/>
          <w14:textFill>
            <w14:solidFill>
              <w14:schemeClr w14:val="tx1"/>
            </w14:solidFill>
          </w14:textFill>
        </w:rPr>
        <w:t>MR</w:t>
      </w:r>
      <w:r>
        <w:rPr>
          <w:rFonts w:ascii="Times New Roman" w:hAnsi="Times New Roman" w:eastAsia="MS Mincho" w:cs="Times New Roman"/>
          <w:iCs/>
          <w:color w:val="000000" w:themeColor="text1"/>
          <w:kern w:val="0"/>
          <w:sz w:val="24"/>
          <w:szCs w:val="20"/>
          <w14:textFill>
            <w14:solidFill>
              <w14:schemeClr w14:val="tx1"/>
            </w14:solidFill>
          </w14:textFill>
        </w:rPr>
        <w:t xml:space="preserve"> is currently the recycling technology with the lowest carbon footprint emissions. However, due to MR</w:t>
      </w:r>
      <w:r>
        <w:rPr>
          <w:rFonts w:hint="default" w:ascii="Times New Roman" w:hAnsi="Times New Roman" w:eastAsia="宋体" w:cs="Times New Roman"/>
          <w:iCs/>
          <w:color w:val="000000" w:themeColor="text1"/>
          <w:kern w:val="0"/>
          <w:sz w:val="24"/>
          <w:szCs w:val="20"/>
          <w:lang w:val="en-US" w:eastAsia="zh-CN"/>
          <w14:textFill>
            <w14:solidFill>
              <w14:schemeClr w14:val="tx1"/>
            </w14:solidFill>
          </w14:textFill>
        </w:rPr>
        <w:t>’</w:t>
      </w:r>
      <w:r>
        <w:rPr>
          <w:rFonts w:ascii="Times New Roman" w:hAnsi="Times New Roman" w:eastAsia="MS Mincho" w:cs="Times New Roman"/>
          <w:iCs/>
          <w:color w:val="000000" w:themeColor="text1"/>
          <w:kern w:val="0"/>
          <w:sz w:val="24"/>
          <w:szCs w:val="20"/>
          <w14:textFill>
            <w14:solidFill>
              <w14:schemeClr w14:val="tx1"/>
            </w14:solidFill>
          </w14:textFill>
        </w:rPr>
        <w:t xml:space="preserve">s requirements for plastic quality, most of the </w:t>
      </w:r>
      <w:r>
        <w:rPr>
          <w:rFonts w:ascii="Times New Roman" w:hAnsi="Times New Roman" w:eastAsia="宋体" w:cs="Times New Roman"/>
          <w:iCs/>
          <w:color w:val="000000" w:themeColor="text1"/>
          <w:kern w:val="0"/>
          <w:sz w:val="24"/>
          <w:szCs w:val="20"/>
          <w14:textFill>
            <w14:solidFill>
              <w14:schemeClr w14:val="tx1"/>
            </w14:solidFill>
          </w14:textFill>
        </w:rPr>
        <w:t>PVC waste</w:t>
      </w:r>
      <w:r>
        <w:rPr>
          <w:rFonts w:ascii="Times New Roman" w:hAnsi="Times New Roman" w:eastAsia="MS Mincho" w:cs="Times New Roman"/>
          <w:iCs/>
          <w:color w:val="000000" w:themeColor="text1"/>
          <w:kern w:val="0"/>
          <w:sz w:val="24"/>
          <w:szCs w:val="20"/>
          <w14:textFill>
            <w14:solidFill>
              <w14:schemeClr w14:val="tx1"/>
            </w14:solidFill>
          </w14:textFill>
        </w:rPr>
        <w:t xml:space="preserve"> cannot be downgraded</w:t>
      </w:r>
      <w:r>
        <w:rPr>
          <w:rFonts w:ascii="Times New Roman" w:hAnsi="Times New Roman" w:eastAsia="宋体" w:cs="Times New Roman"/>
          <w:iCs/>
          <w:color w:val="000000" w:themeColor="text1"/>
          <w:kern w:val="0"/>
          <w:sz w:val="24"/>
          <w:szCs w:val="20"/>
          <w14:textFill>
            <w14:solidFill>
              <w14:schemeClr w14:val="tx1"/>
            </w14:solidFill>
          </w14:textFill>
        </w:rPr>
        <w:t xml:space="preserve"> recycling</w:t>
      </w:r>
      <w:r>
        <w:rPr>
          <w:rFonts w:ascii="Times New Roman" w:hAnsi="Times New Roman" w:eastAsia="MS Mincho" w:cs="Times New Roman"/>
          <w:iCs/>
          <w:color w:val="000000" w:themeColor="text1"/>
          <w:kern w:val="0"/>
          <w:sz w:val="24"/>
          <w:szCs w:val="20"/>
          <w14:textFill>
            <w14:solidFill>
              <w14:schemeClr w14:val="tx1"/>
            </w14:solidFill>
          </w14:textFill>
        </w:rPr>
        <w:t xml:space="preserve"> through MR. ER and CR do not have a demand for the quality of </w:t>
      </w:r>
      <w:r>
        <w:rPr>
          <w:rFonts w:ascii="Times New Roman" w:hAnsi="Times New Roman" w:eastAsia="宋体" w:cs="Times New Roman"/>
          <w:iCs/>
          <w:color w:val="000000" w:themeColor="text1"/>
          <w:kern w:val="0"/>
          <w:sz w:val="24"/>
          <w:szCs w:val="20"/>
          <w14:textFill>
            <w14:solidFill>
              <w14:schemeClr w14:val="tx1"/>
            </w14:solidFill>
          </w14:textFill>
        </w:rPr>
        <w:t>PVC waste</w:t>
      </w:r>
      <w:r>
        <w:rPr>
          <w:rFonts w:ascii="Times New Roman" w:hAnsi="Times New Roman" w:eastAsia="MS Mincho" w:cs="Times New Roman"/>
          <w:iCs/>
          <w:color w:val="000000" w:themeColor="text1"/>
          <w:kern w:val="0"/>
          <w:sz w:val="24"/>
          <w:szCs w:val="20"/>
          <w14:textFill>
            <w14:solidFill>
              <w14:schemeClr w14:val="tx1"/>
            </w14:solidFill>
          </w14:textFill>
        </w:rPr>
        <w:t>, but energy and material input factors result in high carbon footprint emissions for ER and CR. In addition, the high emissions from the ER process are an issue that cannot be ignored. Therefore, in the future, how to improve the processing efficiency of the CR process and reduce material and energy consumption during the process is a prerequisite for the development of CR.</w:t>
      </w:r>
    </w:p>
    <w:p w14:paraId="3AF79FFF">
      <w:pPr>
        <w:widowControl/>
        <w:spacing w:line="480" w:lineRule="auto"/>
        <w:ind w:firstLine="480" w:firstLineChars="200"/>
        <w:rPr>
          <w:rFonts w:ascii="Times New Roman" w:hAnsi="Times New Roman" w:eastAsia="MS Mincho" w:cs="Times New Roman"/>
          <w:iCs/>
          <w:color w:val="000000"/>
          <w:kern w:val="0"/>
          <w:sz w:val="24"/>
          <w:szCs w:val="20"/>
        </w:rPr>
      </w:pPr>
      <w:r>
        <w:rPr>
          <w:rFonts w:ascii="Times New Roman" w:hAnsi="Times New Roman" w:eastAsia="宋体" w:cs="Times New Roman"/>
          <w:iCs/>
          <w:color w:val="000000"/>
          <w:kern w:val="0"/>
          <w:sz w:val="24"/>
          <w:szCs w:val="20"/>
        </w:rPr>
        <w:t>B</w:t>
      </w:r>
      <w:r>
        <w:rPr>
          <w:rFonts w:ascii="Times New Roman" w:hAnsi="Times New Roman" w:eastAsia="MS Mincho" w:cs="Times New Roman"/>
          <w:iCs/>
          <w:color w:val="000000"/>
          <w:kern w:val="0"/>
          <w:sz w:val="24"/>
          <w:szCs w:val="20"/>
        </w:rPr>
        <w:t>ased on the RECIPE method, we evaluated the endpoint impacts of three recycling methods</w:t>
      </w:r>
      <w:r>
        <w:rPr>
          <w:rFonts w:ascii="Times New Roman" w:hAnsi="Times New Roman" w:eastAsia="宋体" w:cs="Times New Roman"/>
          <w:iCs/>
          <w:color w:val="000000"/>
          <w:kern w:val="0"/>
          <w:sz w:val="24"/>
          <w:szCs w:val="20"/>
        </w:rPr>
        <w:t xml:space="preserve"> </w:t>
      </w:r>
      <w:r>
        <w:rPr>
          <w:rFonts w:ascii="Times New Roman" w:hAnsi="Times New Roman" w:eastAsia="MS Mincho" w:cs="Times New Roman"/>
          <w:iCs/>
          <w:color w:val="000000"/>
          <w:kern w:val="0"/>
          <w:sz w:val="24"/>
          <w:szCs w:val="20"/>
        </w:rPr>
        <w:t>respectively</w:t>
      </w:r>
      <w:r>
        <w:rPr>
          <w:rFonts w:ascii="Times New Roman" w:hAnsi="Times New Roman" w:eastAsia="宋体" w:cs="Times New Roman"/>
          <w:iCs/>
          <w:color w:val="000000"/>
          <w:kern w:val="0"/>
          <w:sz w:val="24"/>
          <w:szCs w:val="20"/>
        </w:rPr>
        <w:t xml:space="preserve">,shown in Figure </w:t>
      </w:r>
      <w:r>
        <w:rPr>
          <w:rFonts w:ascii="Times New Roman" w:hAnsi="Times New Roman" w:cs="Times New Roman"/>
        </w:rPr>
        <w:t>S9</w:t>
      </w:r>
      <w:r>
        <w:rPr>
          <w:rFonts w:ascii="Times New Roman" w:hAnsi="Times New Roman" w:eastAsia="宋体" w:cs="Times New Roman"/>
          <w:iCs/>
          <w:color w:val="000000"/>
          <w:kern w:val="0"/>
          <w:sz w:val="24"/>
          <w:szCs w:val="20"/>
        </w:rPr>
        <w:t>c-d. Furthermore, the midpoint impacts also was calculated, being placed in SI</w:t>
      </w:r>
      <w:r>
        <w:rPr>
          <w:rFonts w:ascii="Times New Roman" w:hAnsi="Times New Roman" w:eastAsia="MS Mincho" w:cs="Times New Roman"/>
          <w:iCs/>
          <w:color w:val="000000"/>
          <w:kern w:val="0"/>
          <w:sz w:val="24"/>
          <w:szCs w:val="20"/>
        </w:rPr>
        <w:t xml:space="preserve">. </w:t>
      </w:r>
    </w:p>
    <w:p w14:paraId="6A9CDF1C">
      <w:pPr>
        <w:widowControl/>
        <w:spacing w:line="480" w:lineRule="auto"/>
        <w:ind w:firstLine="480" w:firstLineChars="200"/>
        <w:rPr>
          <w:rFonts w:ascii="Times New Roman" w:hAnsi="Times New Roman" w:eastAsia="宋体" w:cs="Times New Roman"/>
          <w:iCs/>
          <w:color w:val="000000"/>
          <w:kern w:val="0"/>
          <w:sz w:val="24"/>
          <w:szCs w:val="20"/>
        </w:rPr>
      </w:pPr>
      <w:r>
        <w:rPr>
          <w:rFonts w:ascii="Times New Roman" w:hAnsi="Times New Roman" w:eastAsia="宋体" w:cs="Times New Roman"/>
          <w:iCs/>
          <w:color w:val="000000"/>
          <w:kern w:val="0"/>
          <w:sz w:val="24"/>
          <w:szCs w:val="20"/>
        </w:rPr>
        <w:t xml:space="preserve">For human health in Figure </w:t>
      </w:r>
      <w:r>
        <w:rPr>
          <w:rFonts w:hint="eastAsia" w:ascii="Times New Roman" w:hAnsi="Times New Roman" w:eastAsia="宋体" w:cs="Times New Roman"/>
          <w:iCs/>
          <w:color w:val="000000"/>
          <w:kern w:val="0"/>
          <w:sz w:val="24"/>
          <w:szCs w:val="20"/>
          <w:lang w:val="en-US" w:eastAsia="zh-CN"/>
        </w:rPr>
        <w:t>S9b</w:t>
      </w:r>
      <w:r>
        <w:rPr>
          <w:rFonts w:ascii="Times New Roman" w:hAnsi="Times New Roman" w:eastAsia="宋体" w:cs="Times New Roman"/>
          <w:iCs/>
          <w:color w:val="000000"/>
          <w:kern w:val="0"/>
          <w:sz w:val="24"/>
          <w:szCs w:val="20"/>
        </w:rPr>
        <w:t>, CR is the top impact method among three recycling methods, 3.08×10</w:t>
      </w:r>
      <w:r>
        <w:rPr>
          <w:rFonts w:ascii="Times New Roman" w:hAnsi="Times New Roman" w:eastAsia="宋体" w:cs="Times New Roman"/>
          <w:iCs/>
          <w:color w:val="000000"/>
          <w:kern w:val="0"/>
          <w:sz w:val="24"/>
          <w:szCs w:val="20"/>
          <w:vertAlign w:val="superscript"/>
        </w:rPr>
        <w:t>-6</w:t>
      </w:r>
      <w:r>
        <w:rPr>
          <w:rFonts w:ascii="Times New Roman" w:hAnsi="Times New Roman" w:eastAsia="宋体" w:cs="Times New Roman"/>
          <w:iCs/>
          <w:color w:val="000000"/>
          <w:kern w:val="0"/>
          <w:sz w:val="24"/>
          <w:szCs w:val="20"/>
        </w:rPr>
        <w:t xml:space="preserve"> DALY, in which upstream emissions in scope 3 from the input materials is the main origin, accounting 76.62%, then is indirect emissions from energy consumption with 59.75% contribution, the downstream emission from the regenerated materials with 41.03% contribution. The negative values of human health for ER and MR are caused by the offset of regenerated materials, with -223.52% and -122.28%, respectively. During ER process, the contributions from direct, indirect and upstream emissions are all around 40%, for MR the contribution from indirect emission of energy is 21.04%, the direct and upstream impact are less than 1%, the downstream impact make the total impact reduce by -122.28%. These results suggest that the low human health impacts of ER and MR are due to the deduction of recycled materials, while the high human environmental impact of ER comes from upstream emissions from material consumption and indirect emissions from energy consumption.</w:t>
      </w:r>
    </w:p>
    <w:p w14:paraId="766BBE22">
      <w:pPr>
        <w:widowControl/>
        <w:spacing w:line="480" w:lineRule="auto"/>
        <w:ind w:firstLine="480" w:firstLineChars="200"/>
        <w:rPr>
          <w:rFonts w:ascii="Times New Roman" w:hAnsi="Times New Roman" w:eastAsia="宋体" w:cs="Times New Roman"/>
          <w:iCs/>
          <w:color w:val="000000"/>
          <w:kern w:val="0"/>
          <w:sz w:val="24"/>
          <w:szCs w:val="20"/>
        </w:rPr>
      </w:pPr>
      <w:r>
        <w:rPr>
          <w:rFonts w:ascii="Times New Roman" w:hAnsi="Times New Roman" w:eastAsia="宋体" w:cs="Times New Roman"/>
          <w:iCs/>
          <w:color w:val="000000"/>
          <w:kern w:val="0"/>
          <w:sz w:val="24"/>
          <w:szCs w:val="20"/>
        </w:rPr>
        <w:t xml:space="preserve">For resource depletion in Figure </w:t>
      </w:r>
      <w:r>
        <w:rPr>
          <w:rFonts w:hint="eastAsia" w:ascii="Times New Roman" w:hAnsi="Times New Roman" w:eastAsia="宋体" w:cs="Times New Roman"/>
          <w:iCs/>
          <w:color w:val="000000"/>
          <w:kern w:val="0"/>
          <w:sz w:val="24"/>
          <w:szCs w:val="20"/>
          <w:lang w:val="en-US" w:eastAsia="zh-CN"/>
        </w:rPr>
        <w:t>S9</w:t>
      </w:r>
      <w:r>
        <w:rPr>
          <w:rFonts w:ascii="Times New Roman" w:hAnsi="Times New Roman" w:eastAsia="宋体" w:cs="Times New Roman"/>
          <w:iCs/>
          <w:color w:val="000000"/>
          <w:kern w:val="0"/>
          <w:sz w:val="24"/>
          <w:szCs w:val="20"/>
        </w:rPr>
        <w:t>c, ER has the highest impact with 8.67×10</w:t>
      </w:r>
      <w:r>
        <w:rPr>
          <w:rFonts w:ascii="Times New Roman" w:hAnsi="Times New Roman" w:eastAsia="宋体" w:cs="Times New Roman"/>
          <w:iCs/>
          <w:color w:val="000000"/>
          <w:kern w:val="0"/>
          <w:sz w:val="24"/>
          <w:szCs w:val="20"/>
          <w:vertAlign w:val="superscript"/>
        </w:rPr>
        <w:t>-3</w:t>
      </w:r>
      <w:r>
        <w:rPr>
          <w:rFonts w:ascii="Times New Roman" w:hAnsi="Times New Roman" w:eastAsia="宋体" w:cs="Times New Roman"/>
          <w:iCs/>
          <w:color w:val="000000"/>
          <w:kern w:val="0"/>
          <w:sz w:val="24"/>
          <w:szCs w:val="20"/>
        </w:rPr>
        <w:t xml:space="preserve"> USD, then is CR with -1.2×10</w:t>
      </w:r>
      <w:r>
        <w:rPr>
          <w:rFonts w:ascii="Times New Roman" w:hAnsi="Times New Roman" w:eastAsia="宋体" w:cs="Times New Roman"/>
          <w:iCs/>
          <w:color w:val="000000"/>
          <w:kern w:val="0"/>
          <w:sz w:val="24"/>
          <w:szCs w:val="20"/>
          <w:vertAlign w:val="superscript"/>
        </w:rPr>
        <w:t>-1</w:t>
      </w:r>
      <w:r>
        <w:rPr>
          <w:rFonts w:ascii="Times New Roman" w:hAnsi="Times New Roman" w:eastAsia="宋体" w:cs="Times New Roman"/>
          <w:iCs/>
          <w:color w:val="000000"/>
          <w:kern w:val="0"/>
          <w:sz w:val="24"/>
          <w:szCs w:val="20"/>
        </w:rPr>
        <w:t xml:space="preserve"> USD, the last is MR with -2.2×10</w:t>
      </w:r>
      <w:r>
        <w:rPr>
          <w:rFonts w:ascii="Times New Roman" w:hAnsi="Times New Roman" w:eastAsia="宋体" w:cs="Times New Roman"/>
          <w:iCs/>
          <w:color w:val="000000"/>
          <w:kern w:val="0"/>
          <w:sz w:val="24"/>
          <w:szCs w:val="20"/>
          <w:vertAlign w:val="superscript"/>
        </w:rPr>
        <w:t>-1</w:t>
      </w:r>
      <w:r>
        <w:rPr>
          <w:rFonts w:ascii="Times New Roman" w:hAnsi="Times New Roman" w:eastAsia="宋体" w:cs="Times New Roman"/>
          <w:iCs/>
          <w:color w:val="000000"/>
          <w:kern w:val="0"/>
          <w:sz w:val="24"/>
          <w:szCs w:val="20"/>
        </w:rPr>
        <w:t xml:space="preserve"> USD. The upstream impact of ER from materials consumption accounts for 246.57% and the direct impact is lower to 125.53%, while the downstream impact for regenerated electricity only for -38.13%. The downstream impact of recycled PVC on the resource depletion in MR has been over 100% reduction, which is main factor causing the negative value. For the resource depletion, the recycled materials of oil, gas, and coke make the total impact decrease 182.69%, while the upstream impact from input materials and indirect impact from input energy have contributed to the impact of 39.73% and 33.44%. The contribution analysis result of resource depletion is different with the carbon footprint and human health resulting from the focus of assessment varies among the three types of impacts. Resource depletion emphasizes the degree of depletion of non renewable resources such as fossil fuels and minerals, while human health risks and ecological environment quality are more sensitive to specific types of pollutants such as heavy metals, greenhouse gases, particulate matter, etc., resulting in different proportion analysis results of resource depletion compared to others.</w:t>
      </w:r>
    </w:p>
    <w:p w14:paraId="60D3562E">
      <w:pPr>
        <w:widowControl/>
        <w:spacing w:line="480" w:lineRule="auto"/>
        <w:ind w:firstLine="480" w:firstLineChars="200"/>
        <w:rPr>
          <w:rFonts w:ascii="Times New Roman" w:hAnsi="Times New Roman" w:eastAsia="宋体" w:cs="Times New Roman"/>
          <w:iCs/>
          <w:color w:val="000000"/>
          <w:kern w:val="0"/>
          <w:sz w:val="24"/>
          <w:szCs w:val="20"/>
        </w:rPr>
      </w:pPr>
      <w:r>
        <w:rPr>
          <w:rFonts w:ascii="Times New Roman" w:hAnsi="Times New Roman" w:eastAsia="宋体" w:cs="Times New Roman"/>
          <w:iCs/>
          <w:color w:val="000000"/>
          <w:kern w:val="0"/>
          <w:sz w:val="24"/>
          <w:szCs w:val="20"/>
        </w:rPr>
        <w:t>For ecosystem quality contribution analysis of three recycling methods, the sequence of total impact resembles with the human health, while there are little difference in proportion. For ER, the proportions of the upstream impact from input materials, the indirect impact from input energy, the direct impact from waste and the downstream impact from regenerated electricity are 78.92%, 48.41%, 51.75% and -18.5%, respectively. For MR, the proportions are 0.92%, 20.09%, 0.21% and -121.23%, while for CR, the contributions are 67.83%, 61.35%, 5.9% and -35.08%. The influencing factors are also similar to human health, so we will not elaborate on them here.</w:t>
      </w:r>
    </w:p>
    <w:p w14:paraId="01B0BEDA">
      <w:pPr>
        <w:widowControl/>
        <w:spacing w:line="480" w:lineRule="auto"/>
        <w:ind w:firstLine="480" w:firstLineChars="200"/>
        <w:rPr>
          <w:rFonts w:ascii="Times New Roman" w:hAnsi="Times New Roman" w:eastAsia="MS Mincho" w:cs="Times New Roman"/>
          <w:i/>
          <w:color w:val="000000"/>
          <w:kern w:val="0"/>
          <w:sz w:val="24"/>
          <w:szCs w:val="20"/>
        </w:rPr>
      </w:pPr>
      <w:r>
        <w:rPr>
          <w:rFonts w:ascii="Times New Roman" w:hAnsi="Times New Roman" w:eastAsia="MS Mincho" w:cs="Times New Roman"/>
          <w:iCs/>
          <w:color w:val="000000"/>
          <w:kern w:val="0"/>
          <w:sz w:val="24"/>
          <w:szCs w:val="20"/>
        </w:rPr>
        <w:t xml:space="preserve">Above all, in the input-output process of </w:t>
      </w:r>
      <w:r>
        <w:rPr>
          <w:rFonts w:ascii="Times New Roman" w:hAnsi="Times New Roman" w:eastAsia="宋体" w:cs="Times New Roman"/>
          <w:iCs/>
          <w:color w:val="000000"/>
          <w:kern w:val="0"/>
          <w:sz w:val="24"/>
          <w:szCs w:val="20"/>
        </w:rPr>
        <w:t>ER and CR</w:t>
      </w:r>
      <w:r>
        <w:rPr>
          <w:rFonts w:ascii="Times New Roman" w:hAnsi="Times New Roman" w:eastAsia="MS Mincho" w:cs="Times New Roman"/>
          <w:iCs/>
          <w:color w:val="000000"/>
          <w:kern w:val="0"/>
          <w:sz w:val="24"/>
          <w:szCs w:val="20"/>
        </w:rPr>
        <w:t xml:space="preserve"> </w:t>
      </w:r>
      <w:r>
        <w:rPr>
          <w:rFonts w:ascii="Times New Roman" w:hAnsi="Times New Roman" w:eastAsia="宋体" w:cs="Times New Roman"/>
          <w:iCs/>
          <w:color w:val="000000"/>
          <w:kern w:val="0"/>
          <w:sz w:val="24"/>
          <w:szCs w:val="20"/>
        </w:rPr>
        <w:t>method</w:t>
      </w:r>
      <w:r>
        <w:rPr>
          <w:rFonts w:ascii="Times New Roman" w:hAnsi="Times New Roman" w:eastAsia="MS Mincho" w:cs="Times New Roman"/>
          <w:iCs/>
          <w:color w:val="000000"/>
          <w:kern w:val="0"/>
          <w:sz w:val="24"/>
          <w:szCs w:val="20"/>
        </w:rPr>
        <w:t xml:space="preserve">, </w:t>
      </w:r>
      <w:r>
        <w:rPr>
          <w:rFonts w:ascii="Times New Roman" w:hAnsi="Times New Roman" w:eastAsia="宋体" w:cs="Times New Roman"/>
          <w:iCs/>
          <w:color w:val="000000"/>
          <w:kern w:val="0"/>
          <w:sz w:val="24"/>
          <w:szCs w:val="20"/>
        </w:rPr>
        <w:t xml:space="preserve">improving the treatment efficiency or </w:t>
      </w:r>
      <w:r>
        <w:rPr>
          <w:rFonts w:ascii="Times New Roman" w:hAnsi="Times New Roman" w:eastAsia="MS Mincho" w:cs="Times New Roman"/>
          <w:iCs/>
          <w:color w:val="000000"/>
          <w:kern w:val="0"/>
          <w:sz w:val="24"/>
          <w:szCs w:val="20"/>
        </w:rPr>
        <w:t xml:space="preserve">matching more renewable energy </w:t>
      </w:r>
      <w:r>
        <w:rPr>
          <w:rFonts w:ascii="Times New Roman" w:hAnsi="Times New Roman" w:eastAsia="宋体" w:cs="Times New Roman"/>
          <w:iCs/>
          <w:color w:val="000000"/>
          <w:kern w:val="0"/>
          <w:sz w:val="24"/>
          <w:szCs w:val="20"/>
        </w:rPr>
        <w:t>can</w:t>
      </w:r>
      <w:r>
        <w:rPr>
          <w:rFonts w:ascii="Times New Roman" w:hAnsi="Times New Roman" w:eastAsia="MS Mincho" w:cs="Times New Roman"/>
          <w:iCs/>
          <w:color w:val="000000"/>
          <w:kern w:val="0"/>
          <w:sz w:val="24"/>
          <w:szCs w:val="20"/>
        </w:rPr>
        <w:t xml:space="preserve"> reduce the environmental impact</w:t>
      </w:r>
      <w:r>
        <w:rPr>
          <w:rFonts w:ascii="Times New Roman" w:hAnsi="Times New Roman" w:eastAsia="宋体" w:cs="Times New Roman"/>
          <w:iCs/>
          <w:color w:val="000000"/>
          <w:kern w:val="0"/>
          <w:sz w:val="24"/>
          <w:szCs w:val="20"/>
        </w:rPr>
        <w:t>s</w:t>
      </w:r>
      <w:r>
        <w:rPr>
          <w:rFonts w:ascii="Times New Roman" w:hAnsi="Times New Roman" w:eastAsia="MS Mincho" w:cs="Times New Roman"/>
          <w:iCs/>
          <w:color w:val="000000"/>
          <w:kern w:val="0"/>
          <w:sz w:val="24"/>
          <w:szCs w:val="20"/>
        </w:rPr>
        <w:t xml:space="preserve"> caused by</w:t>
      </w:r>
      <w:r>
        <w:rPr>
          <w:rFonts w:ascii="Times New Roman" w:hAnsi="Times New Roman" w:eastAsia="宋体" w:cs="Times New Roman"/>
          <w:iCs/>
          <w:color w:val="000000"/>
          <w:kern w:val="0"/>
          <w:sz w:val="24"/>
          <w:szCs w:val="20"/>
        </w:rPr>
        <w:t xml:space="preserve"> </w:t>
      </w:r>
      <w:r>
        <w:rPr>
          <w:rFonts w:ascii="Times New Roman" w:hAnsi="Times New Roman" w:eastAsia="MS Mincho" w:cs="Times New Roman"/>
          <w:iCs/>
          <w:color w:val="000000"/>
          <w:kern w:val="0"/>
          <w:sz w:val="24"/>
          <w:szCs w:val="20"/>
        </w:rPr>
        <w:t>material</w:t>
      </w:r>
      <w:r>
        <w:rPr>
          <w:rFonts w:ascii="Times New Roman" w:hAnsi="Times New Roman" w:eastAsia="宋体" w:cs="Times New Roman"/>
          <w:iCs/>
          <w:color w:val="000000"/>
          <w:kern w:val="0"/>
          <w:sz w:val="24"/>
          <w:szCs w:val="20"/>
        </w:rPr>
        <w:t>s</w:t>
      </w:r>
      <w:r>
        <w:rPr>
          <w:rFonts w:ascii="Times New Roman" w:hAnsi="Times New Roman" w:eastAsia="MS Mincho" w:cs="Times New Roman"/>
          <w:iCs/>
          <w:color w:val="000000"/>
          <w:kern w:val="0"/>
          <w:sz w:val="24"/>
          <w:szCs w:val="20"/>
        </w:rPr>
        <w:t xml:space="preserve"> and energy consumption during the recycling process. Based on the above results, under the current processing technology, we will conduct a future scenario analysis on the promotion of renewable energy for electricity in the recycling method of </w:t>
      </w:r>
      <w:r>
        <w:rPr>
          <w:rFonts w:ascii="Times New Roman" w:hAnsi="Times New Roman" w:eastAsia="宋体" w:cs="Times New Roman"/>
          <w:iCs/>
          <w:color w:val="000000"/>
          <w:kern w:val="0"/>
          <w:sz w:val="24"/>
          <w:szCs w:val="20"/>
        </w:rPr>
        <w:t>PVC waste</w:t>
      </w:r>
      <w:r>
        <w:rPr>
          <w:rFonts w:ascii="Times New Roman" w:hAnsi="Times New Roman" w:eastAsia="MS Mincho" w:cs="Times New Roman"/>
          <w:iCs/>
          <w:color w:val="000000"/>
          <w:kern w:val="0"/>
          <w:sz w:val="24"/>
          <w:szCs w:val="20"/>
        </w:rPr>
        <w:t>.</w:t>
      </w:r>
      <w:r>
        <w:rPr>
          <w:rFonts w:ascii="Times New Roman" w:hAnsi="Times New Roman" w:eastAsia="宋体" w:cs="Times New Roman"/>
          <w:iCs/>
          <w:color w:val="000000"/>
          <w:kern w:val="0"/>
          <w:sz w:val="24"/>
          <w:szCs w:val="20"/>
        </w:rPr>
        <w:t xml:space="preserve"> According to</w:t>
      </w:r>
      <w:r>
        <w:rPr>
          <w:rFonts w:ascii="Times New Roman" w:hAnsi="Times New Roman" w:eastAsia="MS Mincho" w:cs="Times New Roman"/>
          <w:iCs/>
          <w:color w:val="000000"/>
          <w:kern w:val="0"/>
          <w:sz w:val="24"/>
          <w:szCs w:val="20"/>
        </w:rPr>
        <w:t xml:space="preserve"> the environmental impact emissions of future PVC recycling methods, we have designed circular scenario for the generation and treatment of future PVC waste at the provincial level in China, in order to conduct a spatio</w:t>
      </w:r>
      <w:r>
        <w:rPr>
          <w:rFonts w:ascii="Times New Roman" w:hAnsi="Times New Roman" w:eastAsia="宋体" w:cs="Times New Roman"/>
          <w:iCs/>
          <w:color w:val="000000"/>
          <w:kern w:val="0"/>
          <w:sz w:val="24"/>
          <w:szCs w:val="20"/>
        </w:rPr>
        <w:t>-</w:t>
      </w:r>
      <w:r>
        <w:rPr>
          <w:rFonts w:ascii="Times New Roman" w:hAnsi="Times New Roman" w:eastAsia="MS Mincho" w:cs="Times New Roman"/>
          <w:iCs/>
          <w:color w:val="000000"/>
          <w:kern w:val="0"/>
          <w:sz w:val="24"/>
          <w:szCs w:val="20"/>
        </w:rPr>
        <w:t>temporal analysis of the environmental impact assessment of the PVC waste management process</w:t>
      </w:r>
      <w:r>
        <w:rPr>
          <w:rFonts w:ascii="Times New Roman" w:hAnsi="Times New Roman" w:eastAsia="宋体" w:cs="Times New Roman"/>
          <w:iCs/>
          <w:color w:val="000000"/>
          <w:kern w:val="0"/>
          <w:sz w:val="24"/>
          <w:szCs w:val="20"/>
        </w:rPr>
        <w:t>.</w:t>
      </w:r>
    </w:p>
    <w:p w14:paraId="707201AF">
      <w:pPr>
        <w:rPr>
          <w:rFonts w:ascii="Times New Roman" w:hAnsi="Times New Roman" w:cs="Times New Roman"/>
        </w:rPr>
      </w:pPr>
      <w:r>
        <w:rPr>
          <w:rFonts w:ascii="Times New Roman" w:hAnsi="Times New Roman" w:cs="Times New Roman"/>
        </w:rPr>
        <w:br w:type="page"/>
      </w:r>
    </w:p>
    <w:p w14:paraId="5AAB57AC">
      <w:pPr>
        <w:pStyle w:val="2"/>
        <w:jc w:val="left"/>
        <w:rPr>
          <w:rFonts w:ascii="Times New Roman" w:hAnsi="Times New Roman" w:cs="Times New Roman"/>
          <w:sz w:val="21"/>
          <w:szCs w:val="21"/>
        </w:rPr>
      </w:pPr>
      <w:r>
        <w:rPr>
          <w:rFonts w:ascii="Times New Roman" w:hAnsi="Times New Roman" w:cs="Times New Roman"/>
          <w:sz w:val="21"/>
          <w:szCs w:val="21"/>
        </w:rPr>
        <w:t xml:space="preserve">Table S7. The midpoint and endpoint impact of </w:t>
      </w:r>
      <w:r>
        <w:rPr>
          <w:rFonts w:hint="eastAsia" w:ascii="Times New Roman" w:hAnsi="Times New Roman" w:cs="Times New Roman"/>
          <w:sz w:val="21"/>
          <w:szCs w:val="21"/>
          <w:lang w:val="en-US" w:eastAsia="zh-CN"/>
        </w:rPr>
        <w:t xml:space="preserve">1 kg </w:t>
      </w:r>
      <w:r>
        <w:rPr>
          <w:rFonts w:ascii="Times New Roman" w:hAnsi="Times New Roman" w:cs="Times New Roman"/>
          <w:sz w:val="21"/>
          <w:szCs w:val="21"/>
        </w:rPr>
        <w:t>PVC waste ER method.</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610"/>
        <w:gridCol w:w="693"/>
        <w:gridCol w:w="693"/>
        <w:gridCol w:w="693"/>
        <w:gridCol w:w="750"/>
        <w:gridCol w:w="750"/>
        <w:gridCol w:w="1178"/>
      </w:tblGrid>
      <w:tr w14:paraId="2A17A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0" w:type="auto"/>
            <w:tcBorders>
              <w:top w:val="single" w:color="auto" w:sz="12" w:space="0"/>
              <w:left w:val="nil"/>
              <w:bottom w:val="single" w:color="auto" w:sz="4" w:space="0"/>
              <w:right w:val="nil"/>
            </w:tcBorders>
          </w:tcPr>
          <w:p w14:paraId="1A3520EA">
            <w:pPr>
              <w:rPr>
                <w:rFonts w:ascii="Times New Roman" w:hAnsi="Times New Roman" w:cs="Times New Roman"/>
                <w:sz w:val="16"/>
                <w:szCs w:val="16"/>
              </w:rPr>
            </w:pPr>
            <w:r>
              <w:rPr>
                <w:rFonts w:ascii="Times New Roman" w:hAnsi="Times New Roman" w:cs="Times New Roman"/>
                <w:sz w:val="16"/>
                <w:szCs w:val="16"/>
              </w:rPr>
              <w:t>Impact</w:t>
            </w:r>
          </w:p>
        </w:tc>
        <w:tc>
          <w:tcPr>
            <w:tcW w:w="0" w:type="auto"/>
            <w:tcBorders>
              <w:top w:val="single" w:color="auto" w:sz="12" w:space="0"/>
              <w:left w:val="nil"/>
              <w:bottom w:val="single" w:color="auto" w:sz="4" w:space="0"/>
              <w:right w:val="nil"/>
            </w:tcBorders>
          </w:tcPr>
          <w:p w14:paraId="60AAD00A">
            <w:pPr>
              <w:rPr>
                <w:rFonts w:ascii="Times New Roman" w:hAnsi="Times New Roman" w:cs="Times New Roman"/>
                <w:sz w:val="16"/>
                <w:szCs w:val="16"/>
              </w:rPr>
            </w:pPr>
            <w:r>
              <w:rPr>
                <w:rFonts w:ascii="Times New Roman" w:hAnsi="Times New Roman" w:cs="Times New Roman"/>
                <w:sz w:val="16"/>
                <w:szCs w:val="16"/>
              </w:rPr>
              <w:t>Categories</w:t>
            </w:r>
          </w:p>
        </w:tc>
        <w:tc>
          <w:tcPr>
            <w:tcW w:w="0" w:type="auto"/>
            <w:tcBorders>
              <w:top w:val="single" w:color="auto" w:sz="12" w:space="0"/>
              <w:left w:val="nil"/>
              <w:bottom w:val="single" w:color="auto" w:sz="4" w:space="0"/>
              <w:right w:val="nil"/>
            </w:tcBorders>
            <w:vAlign w:val="center"/>
          </w:tcPr>
          <w:p w14:paraId="3529BCA1">
            <w:pPr>
              <w:widowControl/>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MI</w:t>
            </w:r>
          </w:p>
        </w:tc>
        <w:tc>
          <w:tcPr>
            <w:tcW w:w="0" w:type="auto"/>
            <w:tcBorders>
              <w:top w:val="single" w:color="auto" w:sz="12" w:space="0"/>
              <w:left w:val="nil"/>
              <w:bottom w:val="single" w:color="auto" w:sz="4" w:space="0"/>
              <w:right w:val="nil"/>
            </w:tcBorders>
            <w:vAlign w:val="center"/>
          </w:tcPr>
          <w:p w14:paraId="44215DB8">
            <w:pPr>
              <w:widowControl/>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EI</w:t>
            </w:r>
          </w:p>
        </w:tc>
        <w:tc>
          <w:tcPr>
            <w:tcW w:w="0" w:type="auto"/>
            <w:tcBorders>
              <w:top w:val="single" w:color="auto" w:sz="12" w:space="0"/>
              <w:left w:val="nil"/>
              <w:bottom w:val="single" w:color="auto" w:sz="4" w:space="0"/>
              <w:right w:val="nil"/>
            </w:tcBorders>
            <w:vAlign w:val="center"/>
          </w:tcPr>
          <w:p w14:paraId="7F183756">
            <w:pPr>
              <w:widowControl/>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W</w:t>
            </w:r>
          </w:p>
        </w:tc>
        <w:tc>
          <w:tcPr>
            <w:tcW w:w="750" w:type="dxa"/>
            <w:tcBorders>
              <w:top w:val="single" w:color="auto" w:sz="12" w:space="0"/>
              <w:left w:val="nil"/>
              <w:bottom w:val="single" w:color="auto" w:sz="4" w:space="0"/>
              <w:right w:val="nil"/>
            </w:tcBorders>
            <w:vAlign w:val="center"/>
          </w:tcPr>
          <w:p w14:paraId="19F7FE6C">
            <w:pPr>
              <w:widowControl/>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R</w:t>
            </w:r>
          </w:p>
        </w:tc>
        <w:tc>
          <w:tcPr>
            <w:tcW w:w="750" w:type="dxa"/>
            <w:tcBorders>
              <w:top w:val="single" w:color="auto" w:sz="12" w:space="0"/>
              <w:left w:val="nil"/>
              <w:bottom w:val="single" w:color="auto" w:sz="4" w:space="0"/>
              <w:right w:val="nil"/>
            </w:tcBorders>
          </w:tcPr>
          <w:p w14:paraId="223ED3DC">
            <w:pPr>
              <w:rPr>
                <w:rFonts w:ascii="Times New Roman" w:hAnsi="Times New Roman" w:cs="Times New Roman"/>
                <w:sz w:val="16"/>
                <w:szCs w:val="16"/>
              </w:rPr>
            </w:pPr>
            <w:r>
              <w:rPr>
                <w:rFonts w:ascii="Times New Roman" w:hAnsi="Times New Roman" w:cs="Times New Roman"/>
                <w:sz w:val="16"/>
                <w:szCs w:val="16"/>
              </w:rPr>
              <w:t xml:space="preserve">Total </w:t>
            </w:r>
          </w:p>
        </w:tc>
        <w:tc>
          <w:tcPr>
            <w:tcW w:w="1178" w:type="dxa"/>
            <w:tcBorders>
              <w:top w:val="single" w:color="auto" w:sz="12" w:space="0"/>
              <w:left w:val="nil"/>
              <w:bottom w:val="single" w:color="auto" w:sz="4" w:space="0"/>
              <w:right w:val="nil"/>
            </w:tcBorders>
          </w:tcPr>
          <w:p w14:paraId="72C92FD7">
            <w:pPr>
              <w:rPr>
                <w:rFonts w:ascii="Times New Roman" w:hAnsi="Times New Roman" w:cs="Times New Roman"/>
                <w:sz w:val="16"/>
                <w:szCs w:val="16"/>
              </w:rPr>
            </w:pPr>
            <w:r>
              <w:rPr>
                <w:rFonts w:ascii="Times New Roman" w:hAnsi="Times New Roman" w:cs="Times New Roman"/>
                <w:sz w:val="16"/>
                <w:szCs w:val="16"/>
              </w:rPr>
              <w:t>Units</w:t>
            </w:r>
          </w:p>
        </w:tc>
      </w:tr>
      <w:tr w14:paraId="4EF7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restart"/>
            <w:tcBorders>
              <w:top w:val="single" w:color="auto" w:sz="4" w:space="0"/>
              <w:left w:val="nil"/>
              <w:right w:val="nil"/>
            </w:tcBorders>
            <w:vAlign w:val="center"/>
          </w:tcPr>
          <w:p w14:paraId="5A740846">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 xml:space="preserve">Midpoint </w:t>
            </w:r>
          </w:p>
        </w:tc>
        <w:tc>
          <w:tcPr>
            <w:tcW w:w="0" w:type="auto"/>
            <w:tcBorders>
              <w:top w:val="single" w:color="auto" w:sz="4" w:space="0"/>
              <w:left w:val="nil"/>
              <w:bottom w:val="nil"/>
              <w:right w:val="nil"/>
            </w:tcBorders>
            <w:vAlign w:val="center"/>
          </w:tcPr>
          <w:p w14:paraId="1C6A2DD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Climate change</w:t>
            </w:r>
          </w:p>
        </w:tc>
        <w:tc>
          <w:tcPr>
            <w:tcW w:w="693" w:type="dxa"/>
            <w:tcBorders>
              <w:top w:val="single" w:color="auto" w:sz="4" w:space="0"/>
              <w:left w:val="nil"/>
              <w:bottom w:val="nil"/>
              <w:right w:val="nil"/>
            </w:tcBorders>
            <w:vAlign w:val="center"/>
          </w:tcPr>
          <w:p w14:paraId="5D92DEF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5.36E-01</w:t>
            </w:r>
          </w:p>
        </w:tc>
        <w:tc>
          <w:tcPr>
            <w:tcW w:w="693" w:type="dxa"/>
            <w:tcBorders>
              <w:top w:val="single" w:color="auto" w:sz="4" w:space="0"/>
              <w:left w:val="nil"/>
              <w:bottom w:val="nil"/>
              <w:right w:val="nil"/>
            </w:tcBorders>
            <w:vAlign w:val="center"/>
          </w:tcPr>
          <w:p w14:paraId="5C3F6F6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2.50E-01</w:t>
            </w:r>
          </w:p>
        </w:tc>
        <w:tc>
          <w:tcPr>
            <w:tcW w:w="693" w:type="dxa"/>
            <w:tcBorders>
              <w:top w:val="single" w:color="auto" w:sz="4" w:space="0"/>
              <w:left w:val="nil"/>
              <w:bottom w:val="nil"/>
              <w:right w:val="nil"/>
            </w:tcBorders>
            <w:vAlign w:val="center"/>
          </w:tcPr>
          <w:p w14:paraId="63432AE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1.59E+00</w:t>
            </w:r>
          </w:p>
        </w:tc>
        <w:tc>
          <w:tcPr>
            <w:tcW w:w="750" w:type="dxa"/>
            <w:tcBorders>
              <w:top w:val="single" w:color="auto" w:sz="4" w:space="0"/>
              <w:left w:val="nil"/>
              <w:bottom w:val="nil"/>
              <w:right w:val="nil"/>
            </w:tcBorders>
            <w:vAlign w:val="center"/>
          </w:tcPr>
          <w:p w14:paraId="180E2BC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-1.44E+00</w:t>
            </w:r>
          </w:p>
        </w:tc>
        <w:tc>
          <w:tcPr>
            <w:tcW w:w="750" w:type="dxa"/>
            <w:tcBorders>
              <w:top w:val="single" w:color="auto" w:sz="4" w:space="0"/>
              <w:left w:val="nil"/>
              <w:bottom w:val="nil"/>
              <w:right w:val="nil"/>
            </w:tcBorders>
            <w:vAlign w:val="center"/>
          </w:tcPr>
          <w:p w14:paraId="036933C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9.30E-01</w:t>
            </w:r>
          </w:p>
        </w:tc>
        <w:tc>
          <w:tcPr>
            <w:tcW w:w="1178" w:type="dxa"/>
            <w:tcBorders>
              <w:top w:val="single" w:color="auto" w:sz="4" w:space="0"/>
              <w:left w:val="nil"/>
              <w:bottom w:val="nil"/>
              <w:right w:val="nil"/>
            </w:tcBorders>
            <w:vAlign w:val="center"/>
          </w:tcPr>
          <w:p w14:paraId="3C2478CC">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CO</w:t>
            </w:r>
            <w:r>
              <w:rPr>
                <w:rFonts w:ascii="Times New Roman" w:hAnsi="Times New Roman" w:eastAsia="宋体" w:cs="Times New Roman"/>
                <w:color w:val="000000"/>
                <w:kern w:val="0"/>
                <w:sz w:val="16"/>
                <w:szCs w:val="16"/>
                <w:vertAlign w:val="subscript"/>
                <w:lang w:bidi="ar"/>
              </w:rPr>
              <w:t>2</w:t>
            </w:r>
            <w:r>
              <w:rPr>
                <w:rFonts w:ascii="Times New Roman" w:hAnsi="Times New Roman" w:eastAsia="宋体" w:cs="Times New Roman"/>
                <w:color w:val="000000"/>
                <w:kern w:val="0"/>
                <w:sz w:val="16"/>
                <w:szCs w:val="16"/>
                <w:lang w:bidi="ar"/>
              </w:rPr>
              <w:t xml:space="preserve"> eq</w:t>
            </w:r>
          </w:p>
        </w:tc>
      </w:tr>
      <w:tr w14:paraId="65BA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03279E02">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067F7F6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Fine particulate matter formation</w:t>
            </w:r>
          </w:p>
        </w:tc>
        <w:tc>
          <w:tcPr>
            <w:tcW w:w="693" w:type="dxa"/>
            <w:tcBorders>
              <w:top w:val="nil"/>
              <w:left w:val="nil"/>
              <w:bottom w:val="nil"/>
              <w:right w:val="nil"/>
            </w:tcBorders>
            <w:vAlign w:val="center"/>
          </w:tcPr>
          <w:p w14:paraId="01FBB69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1.90E-04</w:t>
            </w:r>
          </w:p>
        </w:tc>
        <w:tc>
          <w:tcPr>
            <w:tcW w:w="693" w:type="dxa"/>
            <w:tcBorders>
              <w:top w:val="nil"/>
              <w:left w:val="nil"/>
              <w:bottom w:val="nil"/>
              <w:right w:val="nil"/>
            </w:tcBorders>
            <w:vAlign w:val="center"/>
          </w:tcPr>
          <w:p w14:paraId="46E29EC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4.73E-04</w:t>
            </w:r>
          </w:p>
        </w:tc>
        <w:tc>
          <w:tcPr>
            <w:tcW w:w="693" w:type="dxa"/>
            <w:tcBorders>
              <w:top w:val="nil"/>
              <w:left w:val="nil"/>
              <w:bottom w:val="nil"/>
              <w:right w:val="nil"/>
            </w:tcBorders>
            <w:vAlign w:val="center"/>
          </w:tcPr>
          <w:p w14:paraId="24A2DBA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3.00E-04</w:t>
            </w:r>
          </w:p>
        </w:tc>
        <w:tc>
          <w:tcPr>
            <w:tcW w:w="750" w:type="dxa"/>
            <w:tcBorders>
              <w:top w:val="nil"/>
              <w:left w:val="nil"/>
              <w:bottom w:val="nil"/>
              <w:right w:val="nil"/>
            </w:tcBorders>
            <w:vAlign w:val="center"/>
          </w:tcPr>
          <w:p w14:paraId="0301FD1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-2.73E-03</w:t>
            </w:r>
          </w:p>
        </w:tc>
        <w:tc>
          <w:tcPr>
            <w:tcW w:w="750" w:type="dxa"/>
            <w:tcBorders>
              <w:top w:val="nil"/>
              <w:left w:val="nil"/>
              <w:bottom w:val="nil"/>
              <w:right w:val="nil"/>
            </w:tcBorders>
            <w:vAlign w:val="center"/>
          </w:tcPr>
          <w:p w14:paraId="3FBDE95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-1.76E-03</w:t>
            </w:r>
          </w:p>
        </w:tc>
        <w:tc>
          <w:tcPr>
            <w:tcW w:w="1178" w:type="dxa"/>
            <w:tcBorders>
              <w:top w:val="nil"/>
              <w:left w:val="nil"/>
              <w:bottom w:val="nil"/>
              <w:right w:val="nil"/>
            </w:tcBorders>
            <w:vAlign w:val="center"/>
          </w:tcPr>
          <w:p w14:paraId="5157DE45">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PM2.5 eq</w:t>
            </w:r>
          </w:p>
        </w:tc>
      </w:tr>
      <w:tr w14:paraId="5AAA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4E847D58">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75CCE92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Fossil resource scarcity</w:t>
            </w:r>
          </w:p>
        </w:tc>
        <w:tc>
          <w:tcPr>
            <w:tcW w:w="693" w:type="dxa"/>
            <w:tcBorders>
              <w:top w:val="nil"/>
              <w:left w:val="nil"/>
              <w:bottom w:val="nil"/>
              <w:right w:val="nil"/>
            </w:tcBorders>
            <w:vAlign w:val="center"/>
          </w:tcPr>
          <w:p w14:paraId="64A1CFF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5.16E-02</w:t>
            </w:r>
          </w:p>
        </w:tc>
        <w:tc>
          <w:tcPr>
            <w:tcW w:w="693" w:type="dxa"/>
            <w:tcBorders>
              <w:top w:val="nil"/>
              <w:left w:val="nil"/>
              <w:bottom w:val="nil"/>
              <w:right w:val="nil"/>
            </w:tcBorders>
            <w:vAlign w:val="center"/>
          </w:tcPr>
          <w:p w14:paraId="32663DD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5.06E-02</w:t>
            </w:r>
          </w:p>
        </w:tc>
        <w:tc>
          <w:tcPr>
            <w:tcW w:w="693" w:type="dxa"/>
            <w:tcBorders>
              <w:top w:val="nil"/>
              <w:left w:val="nil"/>
              <w:bottom w:val="nil"/>
              <w:right w:val="nil"/>
            </w:tcBorders>
            <w:vAlign w:val="center"/>
          </w:tcPr>
          <w:p w14:paraId="6D01EFB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4.52E-02</w:t>
            </w:r>
          </w:p>
        </w:tc>
        <w:tc>
          <w:tcPr>
            <w:tcW w:w="750" w:type="dxa"/>
            <w:tcBorders>
              <w:top w:val="nil"/>
              <w:left w:val="nil"/>
              <w:bottom w:val="nil"/>
              <w:right w:val="nil"/>
            </w:tcBorders>
            <w:vAlign w:val="center"/>
          </w:tcPr>
          <w:p w14:paraId="257F743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-2.92E-01</w:t>
            </w:r>
          </w:p>
        </w:tc>
        <w:tc>
          <w:tcPr>
            <w:tcW w:w="750" w:type="dxa"/>
            <w:tcBorders>
              <w:top w:val="nil"/>
              <w:left w:val="nil"/>
              <w:bottom w:val="nil"/>
              <w:right w:val="nil"/>
            </w:tcBorders>
            <w:vAlign w:val="center"/>
          </w:tcPr>
          <w:p w14:paraId="225CC20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-1.44E-01</w:t>
            </w:r>
          </w:p>
        </w:tc>
        <w:tc>
          <w:tcPr>
            <w:tcW w:w="1178" w:type="dxa"/>
            <w:tcBorders>
              <w:top w:val="nil"/>
              <w:left w:val="nil"/>
              <w:bottom w:val="nil"/>
              <w:right w:val="nil"/>
            </w:tcBorders>
            <w:vAlign w:val="center"/>
          </w:tcPr>
          <w:p w14:paraId="2A70D123">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oil eq</w:t>
            </w:r>
          </w:p>
        </w:tc>
      </w:tr>
      <w:tr w14:paraId="4EAF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6037945B">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67461FC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Freshwater ecotoxicity</w:t>
            </w:r>
          </w:p>
        </w:tc>
        <w:tc>
          <w:tcPr>
            <w:tcW w:w="693" w:type="dxa"/>
            <w:tcBorders>
              <w:top w:val="nil"/>
              <w:left w:val="nil"/>
              <w:bottom w:val="nil"/>
              <w:right w:val="nil"/>
            </w:tcBorders>
            <w:vAlign w:val="center"/>
          </w:tcPr>
          <w:p w14:paraId="0BA0070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1.09E-03</w:t>
            </w:r>
          </w:p>
        </w:tc>
        <w:tc>
          <w:tcPr>
            <w:tcW w:w="693" w:type="dxa"/>
            <w:tcBorders>
              <w:top w:val="nil"/>
              <w:left w:val="nil"/>
              <w:bottom w:val="nil"/>
              <w:right w:val="nil"/>
            </w:tcBorders>
            <w:vAlign w:val="center"/>
          </w:tcPr>
          <w:p w14:paraId="1576EBF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2.81E-03</w:t>
            </w:r>
          </w:p>
        </w:tc>
        <w:tc>
          <w:tcPr>
            <w:tcW w:w="693" w:type="dxa"/>
            <w:tcBorders>
              <w:top w:val="nil"/>
              <w:left w:val="nil"/>
              <w:bottom w:val="nil"/>
              <w:right w:val="nil"/>
            </w:tcBorders>
            <w:vAlign w:val="center"/>
          </w:tcPr>
          <w:p w14:paraId="3964840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1.01E-02</w:t>
            </w:r>
          </w:p>
        </w:tc>
        <w:tc>
          <w:tcPr>
            <w:tcW w:w="750" w:type="dxa"/>
            <w:tcBorders>
              <w:top w:val="nil"/>
              <w:left w:val="nil"/>
              <w:bottom w:val="nil"/>
              <w:right w:val="nil"/>
            </w:tcBorders>
            <w:vAlign w:val="center"/>
          </w:tcPr>
          <w:p w14:paraId="5A71CDF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-1.62E-02</w:t>
            </w:r>
          </w:p>
        </w:tc>
        <w:tc>
          <w:tcPr>
            <w:tcW w:w="750" w:type="dxa"/>
            <w:tcBorders>
              <w:top w:val="nil"/>
              <w:left w:val="nil"/>
              <w:bottom w:val="nil"/>
              <w:right w:val="nil"/>
            </w:tcBorders>
            <w:vAlign w:val="center"/>
          </w:tcPr>
          <w:p w14:paraId="365B896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-2.15E-03</w:t>
            </w:r>
          </w:p>
        </w:tc>
        <w:tc>
          <w:tcPr>
            <w:tcW w:w="1178" w:type="dxa"/>
            <w:tcBorders>
              <w:top w:val="nil"/>
              <w:left w:val="nil"/>
              <w:bottom w:val="nil"/>
              <w:right w:val="nil"/>
            </w:tcBorders>
            <w:vAlign w:val="center"/>
          </w:tcPr>
          <w:p w14:paraId="52E3E2A3">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1,4-DCB</w:t>
            </w:r>
          </w:p>
        </w:tc>
      </w:tr>
      <w:tr w14:paraId="78D43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357CFD03">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DBF107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Freshwater eutrophication</w:t>
            </w:r>
          </w:p>
        </w:tc>
        <w:tc>
          <w:tcPr>
            <w:tcW w:w="693" w:type="dxa"/>
            <w:tcBorders>
              <w:top w:val="nil"/>
              <w:left w:val="nil"/>
              <w:bottom w:val="nil"/>
              <w:right w:val="nil"/>
            </w:tcBorders>
            <w:vAlign w:val="center"/>
          </w:tcPr>
          <w:p w14:paraId="0E823E9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1.61E-05</w:t>
            </w:r>
          </w:p>
        </w:tc>
        <w:tc>
          <w:tcPr>
            <w:tcW w:w="693" w:type="dxa"/>
            <w:tcBorders>
              <w:top w:val="nil"/>
              <w:left w:val="nil"/>
              <w:bottom w:val="nil"/>
              <w:right w:val="nil"/>
            </w:tcBorders>
            <w:vAlign w:val="center"/>
          </w:tcPr>
          <w:p w14:paraId="4B9DBEB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4.76E-05</w:t>
            </w:r>
          </w:p>
        </w:tc>
        <w:tc>
          <w:tcPr>
            <w:tcW w:w="693" w:type="dxa"/>
            <w:tcBorders>
              <w:top w:val="nil"/>
              <w:left w:val="nil"/>
              <w:bottom w:val="nil"/>
              <w:right w:val="nil"/>
            </w:tcBorders>
            <w:vAlign w:val="center"/>
          </w:tcPr>
          <w:p w14:paraId="23FCA7A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7.86E-05</w:t>
            </w:r>
          </w:p>
        </w:tc>
        <w:tc>
          <w:tcPr>
            <w:tcW w:w="750" w:type="dxa"/>
            <w:tcBorders>
              <w:top w:val="nil"/>
              <w:left w:val="nil"/>
              <w:bottom w:val="nil"/>
              <w:right w:val="nil"/>
            </w:tcBorders>
            <w:vAlign w:val="center"/>
          </w:tcPr>
          <w:p w14:paraId="216E4F5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-2.75E-04</w:t>
            </w:r>
          </w:p>
        </w:tc>
        <w:tc>
          <w:tcPr>
            <w:tcW w:w="750" w:type="dxa"/>
            <w:tcBorders>
              <w:top w:val="nil"/>
              <w:left w:val="nil"/>
              <w:bottom w:val="nil"/>
              <w:right w:val="nil"/>
            </w:tcBorders>
            <w:vAlign w:val="center"/>
          </w:tcPr>
          <w:p w14:paraId="79B4C2E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-1.32E-04</w:t>
            </w:r>
          </w:p>
        </w:tc>
        <w:tc>
          <w:tcPr>
            <w:tcW w:w="1178" w:type="dxa"/>
            <w:tcBorders>
              <w:top w:val="nil"/>
              <w:left w:val="nil"/>
              <w:bottom w:val="nil"/>
              <w:right w:val="nil"/>
            </w:tcBorders>
            <w:vAlign w:val="center"/>
          </w:tcPr>
          <w:p w14:paraId="4B5607CA">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P eq</w:t>
            </w:r>
          </w:p>
        </w:tc>
      </w:tr>
      <w:tr w14:paraId="7528F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338DF50F">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54B1D9E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Human carcinogenic toxicity</w:t>
            </w:r>
          </w:p>
        </w:tc>
        <w:tc>
          <w:tcPr>
            <w:tcW w:w="693" w:type="dxa"/>
            <w:tcBorders>
              <w:top w:val="nil"/>
              <w:left w:val="nil"/>
              <w:bottom w:val="nil"/>
              <w:right w:val="nil"/>
            </w:tcBorders>
            <w:vAlign w:val="center"/>
          </w:tcPr>
          <w:p w14:paraId="1DFB171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4.04E-03</w:t>
            </w:r>
          </w:p>
        </w:tc>
        <w:tc>
          <w:tcPr>
            <w:tcW w:w="693" w:type="dxa"/>
            <w:tcBorders>
              <w:top w:val="nil"/>
              <w:left w:val="nil"/>
              <w:bottom w:val="nil"/>
              <w:right w:val="nil"/>
            </w:tcBorders>
            <w:vAlign w:val="center"/>
          </w:tcPr>
          <w:p w14:paraId="35C462A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9.45E-03</w:t>
            </w:r>
          </w:p>
        </w:tc>
        <w:tc>
          <w:tcPr>
            <w:tcW w:w="693" w:type="dxa"/>
            <w:tcBorders>
              <w:top w:val="nil"/>
              <w:left w:val="nil"/>
              <w:bottom w:val="nil"/>
              <w:right w:val="nil"/>
            </w:tcBorders>
            <w:vAlign w:val="center"/>
          </w:tcPr>
          <w:p w14:paraId="149871E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8.16E-02</w:t>
            </w:r>
          </w:p>
        </w:tc>
        <w:tc>
          <w:tcPr>
            <w:tcW w:w="750" w:type="dxa"/>
            <w:tcBorders>
              <w:top w:val="nil"/>
              <w:left w:val="nil"/>
              <w:bottom w:val="nil"/>
              <w:right w:val="nil"/>
            </w:tcBorders>
            <w:vAlign w:val="center"/>
          </w:tcPr>
          <w:p w14:paraId="4D1B327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-5.45E-02</w:t>
            </w:r>
          </w:p>
        </w:tc>
        <w:tc>
          <w:tcPr>
            <w:tcW w:w="750" w:type="dxa"/>
            <w:tcBorders>
              <w:top w:val="nil"/>
              <w:left w:val="nil"/>
              <w:bottom w:val="nil"/>
              <w:right w:val="nil"/>
            </w:tcBorders>
            <w:vAlign w:val="center"/>
          </w:tcPr>
          <w:p w14:paraId="0152638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4.06E-02</w:t>
            </w:r>
          </w:p>
        </w:tc>
        <w:tc>
          <w:tcPr>
            <w:tcW w:w="1178" w:type="dxa"/>
            <w:tcBorders>
              <w:top w:val="nil"/>
              <w:left w:val="nil"/>
              <w:bottom w:val="nil"/>
              <w:right w:val="nil"/>
            </w:tcBorders>
            <w:vAlign w:val="center"/>
          </w:tcPr>
          <w:p w14:paraId="4DA13008">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1,4-DCB</w:t>
            </w:r>
          </w:p>
        </w:tc>
      </w:tr>
      <w:tr w14:paraId="2141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201A349A">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9C272C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Human non-carcinogenic toxicity</w:t>
            </w:r>
          </w:p>
        </w:tc>
        <w:tc>
          <w:tcPr>
            <w:tcW w:w="693" w:type="dxa"/>
            <w:tcBorders>
              <w:top w:val="nil"/>
              <w:left w:val="nil"/>
              <w:bottom w:val="nil"/>
              <w:right w:val="nil"/>
            </w:tcBorders>
            <w:vAlign w:val="center"/>
          </w:tcPr>
          <w:p w14:paraId="19CD21F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4.53E-02</w:t>
            </w:r>
          </w:p>
        </w:tc>
        <w:tc>
          <w:tcPr>
            <w:tcW w:w="693" w:type="dxa"/>
            <w:tcBorders>
              <w:top w:val="nil"/>
              <w:left w:val="nil"/>
              <w:bottom w:val="nil"/>
              <w:right w:val="nil"/>
            </w:tcBorders>
            <w:vAlign w:val="center"/>
          </w:tcPr>
          <w:p w14:paraId="345E420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1.19E-01</w:t>
            </w:r>
          </w:p>
        </w:tc>
        <w:tc>
          <w:tcPr>
            <w:tcW w:w="693" w:type="dxa"/>
            <w:tcBorders>
              <w:top w:val="nil"/>
              <w:left w:val="nil"/>
              <w:bottom w:val="nil"/>
              <w:right w:val="nil"/>
            </w:tcBorders>
            <w:vAlign w:val="center"/>
          </w:tcPr>
          <w:p w14:paraId="2E1A520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1.30E-01</w:t>
            </w:r>
          </w:p>
        </w:tc>
        <w:tc>
          <w:tcPr>
            <w:tcW w:w="750" w:type="dxa"/>
            <w:tcBorders>
              <w:top w:val="nil"/>
              <w:left w:val="nil"/>
              <w:bottom w:val="nil"/>
              <w:right w:val="nil"/>
            </w:tcBorders>
            <w:vAlign w:val="center"/>
          </w:tcPr>
          <w:p w14:paraId="5C0BBA7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-6.88E-01</w:t>
            </w:r>
          </w:p>
        </w:tc>
        <w:tc>
          <w:tcPr>
            <w:tcW w:w="750" w:type="dxa"/>
            <w:tcBorders>
              <w:top w:val="nil"/>
              <w:left w:val="nil"/>
              <w:bottom w:val="nil"/>
              <w:right w:val="nil"/>
            </w:tcBorders>
            <w:vAlign w:val="center"/>
          </w:tcPr>
          <w:p w14:paraId="13BCEF5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-3.93E-01</w:t>
            </w:r>
          </w:p>
        </w:tc>
        <w:tc>
          <w:tcPr>
            <w:tcW w:w="1178" w:type="dxa"/>
            <w:tcBorders>
              <w:top w:val="nil"/>
              <w:left w:val="nil"/>
              <w:bottom w:val="nil"/>
              <w:right w:val="nil"/>
            </w:tcBorders>
            <w:vAlign w:val="center"/>
          </w:tcPr>
          <w:p w14:paraId="717B19FE">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1,4-DCB</w:t>
            </w:r>
          </w:p>
        </w:tc>
      </w:tr>
      <w:tr w14:paraId="12866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12AFEC53">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644A037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Ionizing radiation</w:t>
            </w:r>
          </w:p>
        </w:tc>
        <w:tc>
          <w:tcPr>
            <w:tcW w:w="693" w:type="dxa"/>
            <w:tcBorders>
              <w:top w:val="nil"/>
              <w:left w:val="nil"/>
              <w:bottom w:val="nil"/>
              <w:right w:val="nil"/>
            </w:tcBorders>
            <w:vAlign w:val="center"/>
          </w:tcPr>
          <w:p w14:paraId="2122571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3.96E-03</w:t>
            </w:r>
          </w:p>
        </w:tc>
        <w:tc>
          <w:tcPr>
            <w:tcW w:w="693" w:type="dxa"/>
            <w:tcBorders>
              <w:top w:val="nil"/>
              <w:left w:val="nil"/>
              <w:bottom w:val="nil"/>
              <w:right w:val="nil"/>
            </w:tcBorders>
            <w:vAlign w:val="center"/>
          </w:tcPr>
          <w:p w14:paraId="7E6CE1E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8.99E-03</w:t>
            </w:r>
          </w:p>
        </w:tc>
        <w:tc>
          <w:tcPr>
            <w:tcW w:w="693" w:type="dxa"/>
            <w:tcBorders>
              <w:top w:val="nil"/>
              <w:left w:val="nil"/>
              <w:bottom w:val="nil"/>
              <w:right w:val="nil"/>
            </w:tcBorders>
            <w:vAlign w:val="center"/>
          </w:tcPr>
          <w:p w14:paraId="59362B7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3.98E-03</w:t>
            </w:r>
          </w:p>
        </w:tc>
        <w:tc>
          <w:tcPr>
            <w:tcW w:w="750" w:type="dxa"/>
            <w:tcBorders>
              <w:top w:val="nil"/>
              <w:left w:val="nil"/>
              <w:bottom w:val="nil"/>
              <w:right w:val="nil"/>
            </w:tcBorders>
            <w:vAlign w:val="center"/>
          </w:tcPr>
          <w:p w14:paraId="37BD7C9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-5.18E-02</w:t>
            </w:r>
          </w:p>
        </w:tc>
        <w:tc>
          <w:tcPr>
            <w:tcW w:w="750" w:type="dxa"/>
            <w:tcBorders>
              <w:top w:val="nil"/>
              <w:left w:val="nil"/>
              <w:bottom w:val="nil"/>
              <w:right w:val="nil"/>
            </w:tcBorders>
            <w:vAlign w:val="center"/>
          </w:tcPr>
          <w:p w14:paraId="7112504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-3.49E-02</w:t>
            </w:r>
          </w:p>
        </w:tc>
        <w:tc>
          <w:tcPr>
            <w:tcW w:w="1178" w:type="dxa"/>
            <w:tcBorders>
              <w:top w:val="nil"/>
              <w:left w:val="nil"/>
              <w:bottom w:val="nil"/>
              <w:right w:val="nil"/>
            </w:tcBorders>
            <w:vAlign w:val="center"/>
          </w:tcPr>
          <w:p w14:paraId="36C868DD">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kBq Co-60 eq</w:t>
            </w:r>
          </w:p>
        </w:tc>
      </w:tr>
      <w:tr w14:paraId="0939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3565E3DC">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793E824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Land use</w:t>
            </w:r>
          </w:p>
        </w:tc>
        <w:tc>
          <w:tcPr>
            <w:tcW w:w="693" w:type="dxa"/>
            <w:tcBorders>
              <w:top w:val="nil"/>
              <w:left w:val="nil"/>
              <w:bottom w:val="nil"/>
              <w:right w:val="nil"/>
            </w:tcBorders>
            <w:vAlign w:val="center"/>
          </w:tcPr>
          <w:p w14:paraId="11BC3D7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6.75E-03</w:t>
            </w:r>
          </w:p>
        </w:tc>
        <w:tc>
          <w:tcPr>
            <w:tcW w:w="693" w:type="dxa"/>
            <w:tcBorders>
              <w:top w:val="nil"/>
              <w:left w:val="nil"/>
              <w:bottom w:val="nil"/>
              <w:right w:val="nil"/>
            </w:tcBorders>
            <w:vAlign w:val="center"/>
          </w:tcPr>
          <w:p w14:paraId="3B10D03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5.71E-04</w:t>
            </w:r>
          </w:p>
        </w:tc>
        <w:tc>
          <w:tcPr>
            <w:tcW w:w="693" w:type="dxa"/>
            <w:tcBorders>
              <w:top w:val="nil"/>
              <w:left w:val="nil"/>
              <w:bottom w:val="nil"/>
              <w:right w:val="nil"/>
            </w:tcBorders>
            <w:vAlign w:val="center"/>
          </w:tcPr>
          <w:p w14:paraId="1AC8583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4.27E-02</w:t>
            </w:r>
          </w:p>
        </w:tc>
        <w:tc>
          <w:tcPr>
            <w:tcW w:w="750" w:type="dxa"/>
            <w:tcBorders>
              <w:top w:val="nil"/>
              <w:left w:val="nil"/>
              <w:bottom w:val="nil"/>
              <w:right w:val="nil"/>
            </w:tcBorders>
            <w:vAlign w:val="center"/>
          </w:tcPr>
          <w:p w14:paraId="3FF359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-3.29E-03</w:t>
            </w:r>
          </w:p>
        </w:tc>
        <w:tc>
          <w:tcPr>
            <w:tcW w:w="750" w:type="dxa"/>
            <w:tcBorders>
              <w:top w:val="nil"/>
              <w:left w:val="nil"/>
              <w:bottom w:val="nil"/>
              <w:right w:val="nil"/>
            </w:tcBorders>
            <w:vAlign w:val="center"/>
          </w:tcPr>
          <w:p w14:paraId="7D02A93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4.68E-02</w:t>
            </w:r>
          </w:p>
        </w:tc>
        <w:tc>
          <w:tcPr>
            <w:tcW w:w="1178" w:type="dxa"/>
            <w:tcBorders>
              <w:top w:val="nil"/>
              <w:left w:val="nil"/>
              <w:bottom w:val="nil"/>
              <w:right w:val="nil"/>
            </w:tcBorders>
            <w:vAlign w:val="center"/>
          </w:tcPr>
          <w:p w14:paraId="73EC7FD5">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m</w:t>
            </w:r>
            <w:r>
              <w:rPr>
                <w:rFonts w:ascii="Times New Roman" w:hAnsi="Times New Roman" w:eastAsia="宋体" w:cs="Times New Roman"/>
                <w:color w:val="000000"/>
                <w:kern w:val="0"/>
                <w:sz w:val="16"/>
                <w:szCs w:val="16"/>
                <w:vertAlign w:val="superscript"/>
                <w:lang w:bidi="ar"/>
              </w:rPr>
              <w:t>2</w:t>
            </w:r>
            <w:r>
              <w:rPr>
                <w:rFonts w:ascii="Times New Roman" w:hAnsi="Times New Roman" w:eastAsia="宋体" w:cs="Times New Roman"/>
                <w:color w:val="000000"/>
                <w:kern w:val="0"/>
                <w:sz w:val="16"/>
                <w:szCs w:val="16"/>
                <w:lang w:bidi="ar"/>
              </w:rPr>
              <w:t>a crop eq</w:t>
            </w:r>
          </w:p>
        </w:tc>
      </w:tr>
      <w:tr w14:paraId="7080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3E16AC4A">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5C77C4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Marine ecotoxicity</w:t>
            </w:r>
          </w:p>
        </w:tc>
        <w:tc>
          <w:tcPr>
            <w:tcW w:w="693" w:type="dxa"/>
            <w:tcBorders>
              <w:top w:val="nil"/>
              <w:left w:val="nil"/>
              <w:bottom w:val="nil"/>
              <w:right w:val="nil"/>
            </w:tcBorders>
            <w:vAlign w:val="center"/>
          </w:tcPr>
          <w:p w14:paraId="1478A85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2.07E-03</w:t>
            </w:r>
          </w:p>
        </w:tc>
        <w:tc>
          <w:tcPr>
            <w:tcW w:w="693" w:type="dxa"/>
            <w:tcBorders>
              <w:top w:val="nil"/>
              <w:left w:val="nil"/>
              <w:bottom w:val="nil"/>
              <w:right w:val="nil"/>
            </w:tcBorders>
            <w:vAlign w:val="center"/>
          </w:tcPr>
          <w:p w14:paraId="6962BE0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3.85E-03</w:t>
            </w:r>
          </w:p>
        </w:tc>
        <w:tc>
          <w:tcPr>
            <w:tcW w:w="693" w:type="dxa"/>
            <w:tcBorders>
              <w:top w:val="nil"/>
              <w:left w:val="nil"/>
              <w:bottom w:val="nil"/>
              <w:right w:val="nil"/>
            </w:tcBorders>
            <w:vAlign w:val="center"/>
          </w:tcPr>
          <w:p w14:paraId="6377F16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1.43E-02</w:t>
            </w:r>
          </w:p>
        </w:tc>
        <w:tc>
          <w:tcPr>
            <w:tcW w:w="750" w:type="dxa"/>
            <w:tcBorders>
              <w:top w:val="nil"/>
              <w:left w:val="nil"/>
              <w:bottom w:val="nil"/>
              <w:right w:val="nil"/>
            </w:tcBorders>
            <w:vAlign w:val="center"/>
          </w:tcPr>
          <w:p w14:paraId="6E72139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-2.22E-02</w:t>
            </w:r>
          </w:p>
        </w:tc>
        <w:tc>
          <w:tcPr>
            <w:tcW w:w="750" w:type="dxa"/>
            <w:tcBorders>
              <w:top w:val="nil"/>
              <w:left w:val="nil"/>
              <w:bottom w:val="nil"/>
              <w:right w:val="nil"/>
            </w:tcBorders>
            <w:vAlign w:val="center"/>
          </w:tcPr>
          <w:p w14:paraId="5F56E45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-1.98E-03</w:t>
            </w:r>
          </w:p>
        </w:tc>
        <w:tc>
          <w:tcPr>
            <w:tcW w:w="1178" w:type="dxa"/>
            <w:tcBorders>
              <w:top w:val="nil"/>
              <w:left w:val="nil"/>
              <w:bottom w:val="nil"/>
              <w:right w:val="nil"/>
            </w:tcBorders>
            <w:vAlign w:val="center"/>
          </w:tcPr>
          <w:p w14:paraId="4E99103E">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1,4-DCB</w:t>
            </w:r>
          </w:p>
        </w:tc>
      </w:tr>
      <w:tr w14:paraId="01AE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04C26FE8">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6D8EEAA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Marine eutrophication</w:t>
            </w:r>
          </w:p>
        </w:tc>
        <w:tc>
          <w:tcPr>
            <w:tcW w:w="693" w:type="dxa"/>
            <w:tcBorders>
              <w:top w:val="nil"/>
              <w:left w:val="nil"/>
              <w:bottom w:val="nil"/>
              <w:right w:val="nil"/>
            </w:tcBorders>
            <w:vAlign w:val="center"/>
          </w:tcPr>
          <w:p w14:paraId="2DBB87D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4.65E-06</w:t>
            </w:r>
          </w:p>
        </w:tc>
        <w:tc>
          <w:tcPr>
            <w:tcW w:w="693" w:type="dxa"/>
            <w:tcBorders>
              <w:top w:val="nil"/>
              <w:left w:val="nil"/>
              <w:bottom w:val="nil"/>
              <w:right w:val="nil"/>
            </w:tcBorders>
            <w:vAlign w:val="center"/>
          </w:tcPr>
          <w:p w14:paraId="1501E4A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3.23E-06</w:t>
            </w:r>
          </w:p>
        </w:tc>
        <w:tc>
          <w:tcPr>
            <w:tcW w:w="693" w:type="dxa"/>
            <w:tcBorders>
              <w:top w:val="nil"/>
              <w:left w:val="nil"/>
              <w:bottom w:val="nil"/>
              <w:right w:val="nil"/>
            </w:tcBorders>
            <w:vAlign w:val="center"/>
          </w:tcPr>
          <w:p w14:paraId="2E8A70B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7.52E-06</w:t>
            </w:r>
          </w:p>
        </w:tc>
        <w:tc>
          <w:tcPr>
            <w:tcW w:w="750" w:type="dxa"/>
            <w:tcBorders>
              <w:top w:val="nil"/>
              <w:left w:val="nil"/>
              <w:bottom w:val="nil"/>
              <w:right w:val="nil"/>
            </w:tcBorders>
            <w:vAlign w:val="center"/>
          </w:tcPr>
          <w:p w14:paraId="4043947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-1.86E-05</w:t>
            </w:r>
          </w:p>
        </w:tc>
        <w:tc>
          <w:tcPr>
            <w:tcW w:w="750" w:type="dxa"/>
            <w:tcBorders>
              <w:top w:val="nil"/>
              <w:left w:val="nil"/>
              <w:bottom w:val="nil"/>
              <w:right w:val="nil"/>
            </w:tcBorders>
            <w:vAlign w:val="center"/>
          </w:tcPr>
          <w:p w14:paraId="4FA8DF1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-3.22E-06</w:t>
            </w:r>
          </w:p>
        </w:tc>
        <w:tc>
          <w:tcPr>
            <w:tcW w:w="1178" w:type="dxa"/>
            <w:tcBorders>
              <w:top w:val="nil"/>
              <w:left w:val="nil"/>
              <w:bottom w:val="nil"/>
              <w:right w:val="nil"/>
            </w:tcBorders>
            <w:vAlign w:val="center"/>
          </w:tcPr>
          <w:p w14:paraId="30465E2D">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N eq</w:t>
            </w:r>
          </w:p>
        </w:tc>
      </w:tr>
      <w:tr w14:paraId="156DA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1DF7CCB4">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3C361AF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Mineral resource scarcity</w:t>
            </w:r>
          </w:p>
        </w:tc>
        <w:tc>
          <w:tcPr>
            <w:tcW w:w="693" w:type="dxa"/>
            <w:tcBorders>
              <w:top w:val="nil"/>
              <w:left w:val="nil"/>
              <w:bottom w:val="nil"/>
              <w:right w:val="nil"/>
            </w:tcBorders>
            <w:vAlign w:val="center"/>
          </w:tcPr>
          <w:p w14:paraId="2C5CA2B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6.17E-05</w:t>
            </w:r>
          </w:p>
        </w:tc>
        <w:tc>
          <w:tcPr>
            <w:tcW w:w="693" w:type="dxa"/>
            <w:tcBorders>
              <w:top w:val="nil"/>
              <w:left w:val="nil"/>
              <w:bottom w:val="nil"/>
              <w:right w:val="nil"/>
            </w:tcBorders>
            <w:vAlign w:val="center"/>
          </w:tcPr>
          <w:p w14:paraId="5612126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7.71E-05</w:t>
            </w:r>
          </w:p>
        </w:tc>
        <w:tc>
          <w:tcPr>
            <w:tcW w:w="693" w:type="dxa"/>
            <w:tcBorders>
              <w:top w:val="nil"/>
              <w:left w:val="nil"/>
              <w:bottom w:val="nil"/>
              <w:right w:val="nil"/>
            </w:tcBorders>
            <w:vAlign w:val="center"/>
          </w:tcPr>
          <w:p w14:paraId="38BAF59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6.94E-03</w:t>
            </w:r>
          </w:p>
        </w:tc>
        <w:tc>
          <w:tcPr>
            <w:tcW w:w="750" w:type="dxa"/>
            <w:tcBorders>
              <w:top w:val="nil"/>
              <w:left w:val="nil"/>
              <w:bottom w:val="nil"/>
              <w:right w:val="nil"/>
            </w:tcBorders>
            <w:vAlign w:val="center"/>
          </w:tcPr>
          <w:p w14:paraId="233B417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-4.45E-04</w:t>
            </w:r>
          </w:p>
        </w:tc>
        <w:tc>
          <w:tcPr>
            <w:tcW w:w="750" w:type="dxa"/>
            <w:tcBorders>
              <w:top w:val="nil"/>
              <w:left w:val="nil"/>
              <w:bottom w:val="nil"/>
              <w:right w:val="nil"/>
            </w:tcBorders>
            <w:vAlign w:val="center"/>
          </w:tcPr>
          <w:p w14:paraId="49A53BE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6.64E-03</w:t>
            </w:r>
          </w:p>
        </w:tc>
        <w:tc>
          <w:tcPr>
            <w:tcW w:w="1178" w:type="dxa"/>
            <w:tcBorders>
              <w:top w:val="nil"/>
              <w:left w:val="nil"/>
              <w:bottom w:val="nil"/>
              <w:right w:val="nil"/>
            </w:tcBorders>
            <w:vAlign w:val="center"/>
          </w:tcPr>
          <w:p w14:paraId="3640333C">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Cu eq</w:t>
            </w:r>
          </w:p>
        </w:tc>
      </w:tr>
      <w:tr w14:paraId="3E8A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3E080A5E">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7D19B68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Ozone formation, Human health</w:t>
            </w:r>
          </w:p>
        </w:tc>
        <w:tc>
          <w:tcPr>
            <w:tcW w:w="693" w:type="dxa"/>
            <w:tcBorders>
              <w:top w:val="nil"/>
              <w:left w:val="nil"/>
              <w:bottom w:val="nil"/>
              <w:right w:val="nil"/>
            </w:tcBorders>
            <w:vAlign w:val="center"/>
          </w:tcPr>
          <w:p w14:paraId="41E9CDC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3.57E-04</w:t>
            </w:r>
          </w:p>
        </w:tc>
        <w:tc>
          <w:tcPr>
            <w:tcW w:w="693" w:type="dxa"/>
            <w:tcBorders>
              <w:top w:val="nil"/>
              <w:left w:val="nil"/>
              <w:bottom w:val="nil"/>
              <w:right w:val="nil"/>
            </w:tcBorders>
            <w:vAlign w:val="center"/>
          </w:tcPr>
          <w:p w14:paraId="3E14CDC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7.26E-04</w:t>
            </w:r>
          </w:p>
        </w:tc>
        <w:tc>
          <w:tcPr>
            <w:tcW w:w="693" w:type="dxa"/>
            <w:tcBorders>
              <w:top w:val="nil"/>
              <w:left w:val="nil"/>
              <w:bottom w:val="nil"/>
              <w:right w:val="nil"/>
            </w:tcBorders>
            <w:vAlign w:val="center"/>
          </w:tcPr>
          <w:p w14:paraId="5571244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4.68E-04</w:t>
            </w:r>
          </w:p>
        </w:tc>
        <w:tc>
          <w:tcPr>
            <w:tcW w:w="750" w:type="dxa"/>
            <w:tcBorders>
              <w:top w:val="nil"/>
              <w:left w:val="nil"/>
              <w:bottom w:val="nil"/>
              <w:right w:val="nil"/>
            </w:tcBorders>
            <w:vAlign w:val="center"/>
          </w:tcPr>
          <w:p w14:paraId="212B8F8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-4.18E-03</w:t>
            </w:r>
          </w:p>
        </w:tc>
        <w:tc>
          <w:tcPr>
            <w:tcW w:w="750" w:type="dxa"/>
            <w:tcBorders>
              <w:top w:val="nil"/>
              <w:left w:val="nil"/>
              <w:bottom w:val="nil"/>
              <w:right w:val="nil"/>
            </w:tcBorders>
            <w:vAlign w:val="center"/>
          </w:tcPr>
          <w:p w14:paraId="436099D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-2.63E-03</w:t>
            </w:r>
          </w:p>
        </w:tc>
        <w:tc>
          <w:tcPr>
            <w:tcW w:w="1178" w:type="dxa"/>
            <w:tcBorders>
              <w:top w:val="nil"/>
              <w:left w:val="nil"/>
              <w:bottom w:val="nil"/>
              <w:right w:val="nil"/>
            </w:tcBorders>
            <w:vAlign w:val="center"/>
          </w:tcPr>
          <w:p w14:paraId="5DE8F8E8">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NOx eq</w:t>
            </w:r>
          </w:p>
        </w:tc>
      </w:tr>
      <w:tr w14:paraId="55CD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1287BF89">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2DD4C4E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Ozone formation, Terrestrial ecosystems</w:t>
            </w:r>
          </w:p>
        </w:tc>
        <w:tc>
          <w:tcPr>
            <w:tcW w:w="693" w:type="dxa"/>
            <w:tcBorders>
              <w:top w:val="nil"/>
              <w:left w:val="nil"/>
              <w:bottom w:val="nil"/>
              <w:right w:val="nil"/>
            </w:tcBorders>
            <w:vAlign w:val="center"/>
          </w:tcPr>
          <w:p w14:paraId="0643669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3.66E-04</w:t>
            </w:r>
          </w:p>
        </w:tc>
        <w:tc>
          <w:tcPr>
            <w:tcW w:w="693" w:type="dxa"/>
            <w:tcBorders>
              <w:top w:val="nil"/>
              <w:left w:val="nil"/>
              <w:bottom w:val="nil"/>
              <w:right w:val="nil"/>
            </w:tcBorders>
            <w:vAlign w:val="center"/>
          </w:tcPr>
          <w:p w14:paraId="4C71F8F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7.27E-04</w:t>
            </w:r>
          </w:p>
        </w:tc>
        <w:tc>
          <w:tcPr>
            <w:tcW w:w="693" w:type="dxa"/>
            <w:tcBorders>
              <w:top w:val="nil"/>
              <w:left w:val="nil"/>
              <w:bottom w:val="nil"/>
              <w:right w:val="nil"/>
            </w:tcBorders>
            <w:vAlign w:val="center"/>
          </w:tcPr>
          <w:p w14:paraId="54E6905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5.02E-04</w:t>
            </w:r>
          </w:p>
        </w:tc>
        <w:tc>
          <w:tcPr>
            <w:tcW w:w="750" w:type="dxa"/>
            <w:tcBorders>
              <w:top w:val="nil"/>
              <w:left w:val="nil"/>
              <w:bottom w:val="nil"/>
              <w:right w:val="nil"/>
            </w:tcBorders>
            <w:vAlign w:val="center"/>
          </w:tcPr>
          <w:p w14:paraId="36F1BF6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-4.19E-03</w:t>
            </w:r>
          </w:p>
        </w:tc>
        <w:tc>
          <w:tcPr>
            <w:tcW w:w="750" w:type="dxa"/>
            <w:tcBorders>
              <w:top w:val="nil"/>
              <w:left w:val="nil"/>
              <w:bottom w:val="nil"/>
              <w:right w:val="nil"/>
            </w:tcBorders>
            <w:vAlign w:val="center"/>
          </w:tcPr>
          <w:p w14:paraId="52F02D4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-2.60E-03</w:t>
            </w:r>
          </w:p>
        </w:tc>
        <w:tc>
          <w:tcPr>
            <w:tcW w:w="1178" w:type="dxa"/>
            <w:tcBorders>
              <w:top w:val="nil"/>
              <w:left w:val="nil"/>
              <w:bottom w:val="nil"/>
              <w:right w:val="nil"/>
            </w:tcBorders>
            <w:vAlign w:val="center"/>
          </w:tcPr>
          <w:p w14:paraId="6BB532D1">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NOx eq</w:t>
            </w:r>
          </w:p>
        </w:tc>
      </w:tr>
      <w:tr w14:paraId="1B15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14B5AA5E">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452BCCC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Stratospheric ozone depletion</w:t>
            </w:r>
          </w:p>
        </w:tc>
        <w:tc>
          <w:tcPr>
            <w:tcW w:w="693" w:type="dxa"/>
            <w:tcBorders>
              <w:top w:val="nil"/>
              <w:left w:val="nil"/>
              <w:bottom w:val="nil"/>
              <w:right w:val="nil"/>
            </w:tcBorders>
            <w:vAlign w:val="center"/>
          </w:tcPr>
          <w:p w14:paraId="5886E97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6.36E-08</w:t>
            </w:r>
          </w:p>
        </w:tc>
        <w:tc>
          <w:tcPr>
            <w:tcW w:w="693" w:type="dxa"/>
            <w:tcBorders>
              <w:top w:val="nil"/>
              <w:left w:val="nil"/>
              <w:bottom w:val="nil"/>
              <w:right w:val="nil"/>
            </w:tcBorders>
            <w:vAlign w:val="center"/>
          </w:tcPr>
          <w:p w14:paraId="29853A0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3.96E-08</w:t>
            </w:r>
          </w:p>
        </w:tc>
        <w:tc>
          <w:tcPr>
            <w:tcW w:w="693" w:type="dxa"/>
            <w:tcBorders>
              <w:top w:val="nil"/>
              <w:left w:val="nil"/>
              <w:bottom w:val="nil"/>
              <w:right w:val="nil"/>
            </w:tcBorders>
            <w:vAlign w:val="center"/>
          </w:tcPr>
          <w:p w14:paraId="57C7324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4.26E-08</w:t>
            </w:r>
          </w:p>
        </w:tc>
        <w:tc>
          <w:tcPr>
            <w:tcW w:w="750" w:type="dxa"/>
            <w:tcBorders>
              <w:top w:val="nil"/>
              <w:left w:val="nil"/>
              <w:bottom w:val="nil"/>
              <w:right w:val="nil"/>
            </w:tcBorders>
            <w:vAlign w:val="center"/>
          </w:tcPr>
          <w:p w14:paraId="7D32E2D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-2.28E-07</w:t>
            </w:r>
          </w:p>
        </w:tc>
        <w:tc>
          <w:tcPr>
            <w:tcW w:w="750" w:type="dxa"/>
            <w:tcBorders>
              <w:top w:val="nil"/>
              <w:left w:val="nil"/>
              <w:bottom w:val="nil"/>
              <w:right w:val="nil"/>
            </w:tcBorders>
            <w:vAlign w:val="center"/>
          </w:tcPr>
          <w:p w14:paraId="210D36E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-8.25E-08</w:t>
            </w:r>
          </w:p>
        </w:tc>
        <w:tc>
          <w:tcPr>
            <w:tcW w:w="1178" w:type="dxa"/>
            <w:tcBorders>
              <w:top w:val="nil"/>
              <w:left w:val="nil"/>
              <w:bottom w:val="nil"/>
              <w:right w:val="nil"/>
            </w:tcBorders>
            <w:vAlign w:val="center"/>
          </w:tcPr>
          <w:p w14:paraId="20278518">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CFC11 eq</w:t>
            </w:r>
          </w:p>
        </w:tc>
      </w:tr>
      <w:tr w14:paraId="41A7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6E05BE36">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652900D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Terrestrial acidification</w:t>
            </w:r>
          </w:p>
        </w:tc>
        <w:tc>
          <w:tcPr>
            <w:tcW w:w="693" w:type="dxa"/>
            <w:tcBorders>
              <w:top w:val="nil"/>
              <w:left w:val="nil"/>
              <w:bottom w:val="nil"/>
              <w:right w:val="nil"/>
            </w:tcBorders>
            <w:vAlign w:val="center"/>
          </w:tcPr>
          <w:p w14:paraId="30C54EF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4.67E-04</w:t>
            </w:r>
          </w:p>
        </w:tc>
        <w:tc>
          <w:tcPr>
            <w:tcW w:w="693" w:type="dxa"/>
            <w:tcBorders>
              <w:top w:val="nil"/>
              <w:left w:val="nil"/>
              <w:bottom w:val="nil"/>
              <w:right w:val="nil"/>
            </w:tcBorders>
            <w:vAlign w:val="center"/>
          </w:tcPr>
          <w:p w14:paraId="6AF0634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9.38E-04</w:t>
            </w:r>
          </w:p>
        </w:tc>
        <w:tc>
          <w:tcPr>
            <w:tcW w:w="693" w:type="dxa"/>
            <w:tcBorders>
              <w:top w:val="nil"/>
              <w:left w:val="nil"/>
              <w:bottom w:val="nil"/>
              <w:right w:val="nil"/>
            </w:tcBorders>
            <w:vAlign w:val="center"/>
          </w:tcPr>
          <w:p w14:paraId="61DEB91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4.79E-04</w:t>
            </w:r>
          </w:p>
        </w:tc>
        <w:tc>
          <w:tcPr>
            <w:tcW w:w="750" w:type="dxa"/>
            <w:tcBorders>
              <w:top w:val="nil"/>
              <w:left w:val="nil"/>
              <w:bottom w:val="nil"/>
              <w:right w:val="nil"/>
            </w:tcBorders>
            <w:vAlign w:val="center"/>
          </w:tcPr>
          <w:p w14:paraId="6CEADAA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-5.41E-03</w:t>
            </w:r>
          </w:p>
        </w:tc>
        <w:tc>
          <w:tcPr>
            <w:tcW w:w="750" w:type="dxa"/>
            <w:tcBorders>
              <w:top w:val="nil"/>
              <w:left w:val="nil"/>
              <w:bottom w:val="nil"/>
              <w:right w:val="nil"/>
            </w:tcBorders>
            <w:vAlign w:val="center"/>
          </w:tcPr>
          <w:p w14:paraId="64D7324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-3.52E-03</w:t>
            </w:r>
          </w:p>
        </w:tc>
        <w:tc>
          <w:tcPr>
            <w:tcW w:w="1178" w:type="dxa"/>
            <w:tcBorders>
              <w:top w:val="nil"/>
              <w:left w:val="nil"/>
              <w:bottom w:val="nil"/>
              <w:right w:val="nil"/>
            </w:tcBorders>
            <w:vAlign w:val="center"/>
          </w:tcPr>
          <w:p w14:paraId="2CB785A2">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SO</w:t>
            </w:r>
            <w:r>
              <w:rPr>
                <w:rFonts w:ascii="Times New Roman" w:hAnsi="Times New Roman" w:eastAsia="宋体" w:cs="Times New Roman"/>
                <w:color w:val="000000"/>
                <w:kern w:val="0"/>
                <w:sz w:val="16"/>
                <w:szCs w:val="16"/>
                <w:vertAlign w:val="subscript"/>
                <w:lang w:bidi="ar"/>
              </w:rPr>
              <w:t>2</w:t>
            </w:r>
            <w:r>
              <w:rPr>
                <w:rFonts w:ascii="Times New Roman" w:hAnsi="Times New Roman" w:eastAsia="宋体" w:cs="Times New Roman"/>
                <w:color w:val="000000"/>
                <w:kern w:val="0"/>
                <w:sz w:val="16"/>
                <w:szCs w:val="16"/>
                <w:lang w:bidi="ar"/>
              </w:rPr>
              <w:t xml:space="preserve"> eq</w:t>
            </w:r>
          </w:p>
        </w:tc>
      </w:tr>
      <w:tr w14:paraId="1A4F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735C1209">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39248D0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Terrestrial ecotoxicity</w:t>
            </w:r>
          </w:p>
        </w:tc>
        <w:tc>
          <w:tcPr>
            <w:tcW w:w="693" w:type="dxa"/>
            <w:tcBorders>
              <w:top w:val="nil"/>
              <w:left w:val="nil"/>
              <w:bottom w:val="nil"/>
              <w:right w:val="nil"/>
            </w:tcBorders>
            <w:vAlign w:val="center"/>
          </w:tcPr>
          <w:p w14:paraId="5D6CFF7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8.74E-01</w:t>
            </w:r>
          </w:p>
        </w:tc>
        <w:tc>
          <w:tcPr>
            <w:tcW w:w="693" w:type="dxa"/>
            <w:tcBorders>
              <w:top w:val="nil"/>
              <w:left w:val="nil"/>
              <w:bottom w:val="nil"/>
              <w:right w:val="nil"/>
            </w:tcBorders>
            <w:vAlign w:val="center"/>
          </w:tcPr>
          <w:p w14:paraId="337C58B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1.27E-01</w:t>
            </w:r>
          </w:p>
        </w:tc>
        <w:tc>
          <w:tcPr>
            <w:tcW w:w="693" w:type="dxa"/>
            <w:tcBorders>
              <w:top w:val="nil"/>
              <w:left w:val="nil"/>
              <w:bottom w:val="nil"/>
              <w:right w:val="nil"/>
            </w:tcBorders>
            <w:vAlign w:val="center"/>
          </w:tcPr>
          <w:p w14:paraId="1567455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2.51E-01</w:t>
            </w:r>
          </w:p>
        </w:tc>
        <w:tc>
          <w:tcPr>
            <w:tcW w:w="750" w:type="dxa"/>
            <w:tcBorders>
              <w:top w:val="nil"/>
              <w:left w:val="nil"/>
              <w:bottom w:val="nil"/>
              <w:right w:val="nil"/>
            </w:tcBorders>
            <w:vAlign w:val="center"/>
          </w:tcPr>
          <w:p w14:paraId="042EBF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-7.33E-01</w:t>
            </w:r>
          </w:p>
        </w:tc>
        <w:tc>
          <w:tcPr>
            <w:tcW w:w="750" w:type="dxa"/>
            <w:tcBorders>
              <w:top w:val="nil"/>
              <w:left w:val="nil"/>
              <w:bottom w:val="nil"/>
              <w:right w:val="nil"/>
            </w:tcBorders>
            <w:vAlign w:val="center"/>
          </w:tcPr>
          <w:p w14:paraId="41FEFEC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5.18E-01</w:t>
            </w:r>
          </w:p>
        </w:tc>
        <w:tc>
          <w:tcPr>
            <w:tcW w:w="1178" w:type="dxa"/>
            <w:tcBorders>
              <w:top w:val="nil"/>
              <w:left w:val="nil"/>
              <w:bottom w:val="nil"/>
              <w:right w:val="nil"/>
            </w:tcBorders>
            <w:vAlign w:val="center"/>
          </w:tcPr>
          <w:p w14:paraId="633FA6ED">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kg 1,4-DCB</w:t>
            </w:r>
          </w:p>
        </w:tc>
      </w:tr>
      <w:tr w14:paraId="0331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bottom w:val="nil"/>
              <w:right w:val="nil"/>
            </w:tcBorders>
            <w:vAlign w:val="center"/>
          </w:tcPr>
          <w:p w14:paraId="10B83C40">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0BEDF99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Water consumption</w:t>
            </w:r>
          </w:p>
        </w:tc>
        <w:tc>
          <w:tcPr>
            <w:tcW w:w="693" w:type="dxa"/>
            <w:tcBorders>
              <w:top w:val="nil"/>
              <w:left w:val="nil"/>
              <w:bottom w:val="nil"/>
              <w:right w:val="nil"/>
            </w:tcBorders>
            <w:vAlign w:val="center"/>
          </w:tcPr>
          <w:p w14:paraId="6DA7820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3.26E-04</w:t>
            </w:r>
          </w:p>
        </w:tc>
        <w:tc>
          <w:tcPr>
            <w:tcW w:w="693" w:type="dxa"/>
            <w:tcBorders>
              <w:top w:val="nil"/>
              <w:left w:val="nil"/>
              <w:bottom w:val="nil"/>
              <w:right w:val="nil"/>
            </w:tcBorders>
            <w:vAlign w:val="center"/>
          </w:tcPr>
          <w:p w14:paraId="266A432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6.68E-04</w:t>
            </w:r>
          </w:p>
        </w:tc>
        <w:tc>
          <w:tcPr>
            <w:tcW w:w="693" w:type="dxa"/>
            <w:tcBorders>
              <w:top w:val="nil"/>
              <w:left w:val="nil"/>
              <w:bottom w:val="nil"/>
              <w:right w:val="nil"/>
            </w:tcBorders>
            <w:vAlign w:val="center"/>
          </w:tcPr>
          <w:p w14:paraId="1092A91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1.01E-03</w:t>
            </w:r>
          </w:p>
        </w:tc>
        <w:tc>
          <w:tcPr>
            <w:tcW w:w="750" w:type="dxa"/>
            <w:tcBorders>
              <w:top w:val="nil"/>
              <w:left w:val="nil"/>
              <w:bottom w:val="nil"/>
              <w:right w:val="nil"/>
            </w:tcBorders>
            <w:vAlign w:val="center"/>
          </w:tcPr>
          <w:p w14:paraId="3BD1146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-3.85E-03</w:t>
            </w:r>
          </w:p>
        </w:tc>
        <w:tc>
          <w:tcPr>
            <w:tcW w:w="750" w:type="dxa"/>
            <w:tcBorders>
              <w:top w:val="nil"/>
              <w:left w:val="nil"/>
              <w:bottom w:val="nil"/>
              <w:right w:val="nil"/>
            </w:tcBorders>
            <w:vAlign w:val="center"/>
          </w:tcPr>
          <w:p w14:paraId="07EAC1A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-1.85E-03</w:t>
            </w:r>
          </w:p>
        </w:tc>
        <w:tc>
          <w:tcPr>
            <w:tcW w:w="1178" w:type="dxa"/>
            <w:tcBorders>
              <w:top w:val="nil"/>
              <w:left w:val="nil"/>
              <w:bottom w:val="nil"/>
              <w:right w:val="nil"/>
            </w:tcBorders>
            <w:vAlign w:val="center"/>
          </w:tcPr>
          <w:p w14:paraId="4389CB82">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m</w:t>
            </w:r>
            <w:r>
              <w:rPr>
                <w:rFonts w:ascii="Times New Roman" w:hAnsi="Times New Roman" w:eastAsia="宋体" w:cs="Times New Roman"/>
                <w:color w:val="000000"/>
                <w:kern w:val="0"/>
                <w:sz w:val="16"/>
                <w:szCs w:val="16"/>
                <w:vertAlign w:val="superscript"/>
                <w:lang w:bidi="ar"/>
              </w:rPr>
              <w:t>3</w:t>
            </w:r>
          </w:p>
        </w:tc>
      </w:tr>
      <w:tr w14:paraId="6DF65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0" w:type="auto"/>
            <w:vMerge w:val="restart"/>
            <w:tcBorders>
              <w:top w:val="nil"/>
              <w:left w:val="nil"/>
              <w:right w:val="nil"/>
            </w:tcBorders>
            <w:vAlign w:val="center"/>
          </w:tcPr>
          <w:p w14:paraId="1460D0A1">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 xml:space="preserve">Endpoint </w:t>
            </w:r>
          </w:p>
        </w:tc>
        <w:tc>
          <w:tcPr>
            <w:tcW w:w="0" w:type="auto"/>
            <w:tcBorders>
              <w:top w:val="nil"/>
              <w:left w:val="nil"/>
              <w:bottom w:val="nil"/>
              <w:right w:val="nil"/>
            </w:tcBorders>
            <w:vAlign w:val="center"/>
          </w:tcPr>
          <w:p w14:paraId="7AECCE0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Human Health</w:t>
            </w:r>
          </w:p>
        </w:tc>
        <w:tc>
          <w:tcPr>
            <w:tcW w:w="693" w:type="dxa"/>
            <w:tcBorders>
              <w:top w:val="nil"/>
              <w:left w:val="nil"/>
              <w:bottom w:val="nil"/>
              <w:right w:val="nil"/>
            </w:tcBorders>
            <w:vAlign w:val="center"/>
          </w:tcPr>
          <w:p w14:paraId="672A706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6.44E-07</w:t>
            </w:r>
          </w:p>
        </w:tc>
        <w:tc>
          <w:tcPr>
            <w:tcW w:w="693" w:type="dxa"/>
            <w:tcBorders>
              <w:top w:val="nil"/>
              <w:left w:val="nil"/>
              <w:bottom w:val="nil"/>
              <w:right w:val="nil"/>
            </w:tcBorders>
            <w:vAlign w:val="center"/>
          </w:tcPr>
          <w:p w14:paraId="16A8F35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5.98E-07</w:t>
            </w:r>
          </w:p>
        </w:tc>
        <w:tc>
          <w:tcPr>
            <w:tcW w:w="693" w:type="dxa"/>
            <w:tcBorders>
              <w:top w:val="nil"/>
              <w:left w:val="nil"/>
              <w:bottom w:val="nil"/>
              <w:right w:val="nil"/>
            </w:tcBorders>
            <w:vAlign w:val="center"/>
          </w:tcPr>
          <w:p w14:paraId="34B1DB5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6.63E-07</w:t>
            </w:r>
          </w:p>
        </w:tc>
        <w:tc>
          <w:tcPr>
            <w:tcW w:w="750" w:type="dxa"/>
            <w:tcBorders>
              <w:top w:val="nil"/>
              <w:left w:val="nil"/>
              <w:bottom w:val="nil"/>
              <w:right w:val="nil"/>
            </w:tcBorders>
            <w:vAlign w:val="center"/>
          </w:tcPr>
          <w:p w14:paraId="13BBED4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-3.45E-06</w:t>
            </w:r>
          </w:p>
        </w:tc>
        <w:tc>
          <w:tcPr>
            <w:tcW w:w="750" w:type="dxa"/>
            <w:tcBorders>
              <w:top w:val="nil"/>
              <w:left w:val="nil"/>
              <w:bottom w:val="nil"/>
              <w:right w:val="nil"/>
            </w:tcBorders>
            <w:vAlign w:val="center"/>
          </w:tcPr>
          <w:p w14:paraId="6951B86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-1.54E-06</w:t>
            </w:r>
          </w:p>
        </w:tc>
        <w:tc>
          <w:tcPr>
            <w:tcW w:w="1178" w:type="dxa"/>
            <w:tcBorders>
              <w:top w:val="nil"/>
              <w:left w:val="nil"/>
              <w:bottom w:val="nil"/>
              <w:right w:val="nil"/>
            </w:tcBorders>
            <w:vAlign w:val="center"/>
          </w:tcPr>
          <w:p w14:paraId="48E3EC4A">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DALY</w:t>
            </w:r>
          </w:p>
        </w:tc>
      </w:tr>
      <w:tr w14:paraId="67E0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0" w:type="auto"/>
            <w:vMerge w:val="continue"/>
            <w:tcBorders>
              <w:left w:val="nil"/>
              <w:right w:val="nil"/>
            </w:tcBorders>
            <w:vAlign w:val="center"/>
          </w:tcPr>
          <w:p w14:paraId="32899238">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290FC2B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Resource Depletion</w:t>
            </w:r>
          </w:p>
        </w:tc>
        <w:tc>
          <w:tcPr>
            <w:tcW w:w="693" w:type="dxa"/>
            <w:tcBorders>
              <w:top w:val="nil"/>
              <w:left w:val="nil"/>
              <w:bottom w:val="nil"/>
              <w:right w:val="nil"/>
            </w:tcBorders>
            <w:vAlign w:val="center"/>
          </w:tcPr>
          <w:p w14:paraId="10AA105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2.14E-02</w:t>
            </w:r>
          </w:p>
        </w:tc>
        <w:tc>
          <w:tcPr>
            <w:tcW w:w="693" w:type="dxa"/>
            <w:tcBorders>
              <w:top w:val="nil"/>
              <w:left w:val="nil"/>
              <w:bottom w:val="nil"/>
              <w:right w:val="nil"/>
            </w:tcBorders>
            <w:vAlign w:val="center"/>
          </w:tcPr>
          <w:p w14:paraId="2629425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4.95E-03</w:t>
            </w:r>
          </w:p>
        </w:tc>
        <w:tc>
          <w:tcPr>
            <w:tcW w:w="693" w:type="dxa"/>
            <w:tcBorders>
              <w:top w:val="nil"/>
              <w:left w:val="nil"/>
              <w:bottom w:val="nil"/>
              <w:right w:val="nil"/>
            </w:tcBorders>
            <w:vAlign w:val="center"/>
          </w:tcPr>
          <w:p w14:paraId="28D93A6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1.09E-02</w:t>
            </w:r>
          </w:p>
        </w:tc>
        <w:tc>
          <w:tcPr>
            <w:tcW w:w="750" w:type="dxa"/>
            <w:tcBorders>
              <w:top w:val="nil"/>
              <w:left w:val="nil"/>
              <w:bottom w:val="nil"/>
              <w:right w:val="nil"/>
            </w:tcBorders>
            <w:vAlign w:val="center"/>
          </w:tcPr>
          <w:p w14:paraId="5E2A48B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-2.86E-02</w:t>
            </w:r>
          </w:p>
        </w:tc>
        <w:tc>
          <w:tcPr>
            <w:tcW w:w="750" w:type="dxa"/>
            <w:tcBorders>
              <w:top w:val="nil"/>
              <w:left w:val="nil"/>
              <w:bottom w:val="nil"/>
              <w:right w:val="nil"/>
            </w:tcBorders>
            <w:vAlign w:val="center"/>
          </w:tcPr>
          <w:p w14:paraId="703E324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8.67E-03</w:t>
            </w:r>
          </w:p>
        </w:tc>
        <w:tc>
          <w:tcPr>
            <w:tcW w:w="1178" w:type="dxa"/>
            <w:tcBorders>
              <w:top w:val="nil"/>
              <w:left w:val="nil"/>
              <w:bottom w:val="nil"/>
              <w:right w:val="nil"/>
            </w:tcBorders>
            <w:vAlign w:val="center"/>
          </w:tcPr>
          <w:p w14:paraId="248B8B30">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USD</w:t>
            </w:r>
          </w:p>
        </w:tc>
      </w:tr>
      <w:tr w14:paraId="6B8F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0" w:type="auto"/>
            <w:vMerge w:val="continue"/>
            <w:tcBorders>
              <w:left w:val="nil"/>
              <w:bottom w:val="single" w:color="auto" w:sz="12" w:space="0"/>
              <w:right w:val="nil"/>
            </w:tcBorders>
            <w:vAlign w:val="center"/>
          </w:tcPr>
          <w:p w14:paraId="5425038A">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single" w:color="auto" w:sz="12" w:space="0"/>
              <w:right w:val="nil"/>
            </w:tcBorders>
            <w:vAlign w:val="center"/>
          </w:tcPr>
          <w:p w14:paraId="051E23E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color w:val="000000"/>
                <w:kern w:val="0"/>
                <w:sz w:val="16"/>
                <w:szCs w:val="16"/>
                <w:lang w:bidi="ar"/>
              </w:rPr>
              <w:t>Ecosystem Qaulity</w:t>
            </w:r>
          </w:p>
        </w:tc>
        <w:tc>
          <w:tcPr>
            <w:tcW w:w="693" w:type="dxa"/>
            <w:tcBorders>
              <w:top w:val="nil"/>
              <w:left w:val="nil"/>
              <w:bottom w:val="single" w:color="auto" w:sz="12" w:space="0"/>
              <w:right w:val="nil"/>
            </w:tcBorders>
            <w:vAlign w:val="center"/>
          </w:tcPr>
          <w:p w14:paraId="2F3CA72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1.74E-09</w:t>
            </w:r>
          </w:p>
        </w:tc>
        <w:tc>
          <w:tcPr>
            <w:tcW w:w="693" w:type="dxa"/>
            <w:tcBorders>
              <w:top w:val="nil"/>
              <w:left w:val="nil"/>
              <w:bottom w:val="single" w:color="auto" w:sz="12" w:space="0"/>
              <w:right w:val="nil"/>
            </w:tcBorders>
            <w:vAlign w:val="center"/>
          </w:tcPr>
          <w:p w14:paraId="4307024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1.07E-09</w:t>
            </w:r>
          </w:p>
        </w:tc>
        <w:tc>
          <w:tcPr>
            <w:tcW w:w="693" w:type="dxa"/>
            <w:tcBorders>
              <w:top w:val="nil"/>
              <w:left w:val="nil"/>
              <w:bottom w:val="single" w:color="auto" w:sz="12" w:space="0"/>
              <w:right w:val="nil"/>
            </w:tcBorders>
            <w:vAlign w:val="center"/>
          </w:tcPr>
          <w:p w14:paraId="06EF03B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1.14E-09</w:t>
            </w:r>
          </w:p>
        </w:tc>
        <w:tc>
          <w:tcPr>
            <w:tcW w:w="750" w:type="dxa"/>
            <w:tcBorders>
              <w:top w:val="nil"/>
              <w:left w:val="nil"/>
              <w:bottom w:val="single" w:color="auto" w:sz="12" w:space="0"/>
              <w:right w:val="nil"/>
            </w:tcBorders>
            <w:vAlign w:val="center"/>
          </w:tcPr>
          <w:p w14:paraId="6ED3CA8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-6.15E-09</w:t>
            </w:r>
          </w:p>
        </w:tc>
        <w:tc>
          <w:tcPr>
            <w:tcW w:w="750" w:type="dxa"/>
            <w:tcBorders>
              <w:top w:val="nil"/>
              <w:left w:val="nil"/>
              <w:bottom w:val="single" w:color="auto" w:sz="12" w:space="0"/>
              <w:right w:val="nil"/>
            </w:tcBorders>
            <w:vAlign w:val="center"/>
          </w:tcPr>
          <w:p w14:paraId="7E7D769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-2.20E-09</w:t>
            </w:r>
          </w:p>
        </w:tc>
        <w:tc>
          <w:tcPr>
            <w:tcW w:w="1178" w:type="dxa"/>
            <w:tcBorders>
              <w:top w:val="nil"/>
              <w:left w:val="nil"/>
              <w:bottom w:val="single" w:color="auto" w:sz="12" w:space="0"/>
              <w:right w:val="nil"/>
            </w:tcBorders>
            <w:vAlign w:val="center"/>
          </w:tcPr>
          <w:p w14:paraId="610C6A42">
            <w:pPr>
              <w:widowControl/>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species.yr</w:t>
            </w:r>
          </w:p>
        </w:tc>
      </w:tr>
    </w:tbl>
    <w:p w14:paraId="1A3F5BA5">
      <w:pPr>
        <w:rPr>
          <w:rFonts w:ascii="Times New Roman" w:hAnsi="Times New Roman" w:cs="Times New Roman"/>
        </w:rPr>
      </w:pPr>
    </w:p>
    <w:p w14:paraId="4DF82FC7">
      <w:pPr>
        <w:rPr>
          <w:rFonts w:ascii="Times New Roman" w:hAnsi="Times New Roman" w:cs="Times New Roman"/>
        </w:rPr>
      </w:pPr>
      <w:r>
        <w:rPr>
          <w:rFonts w:ascii="Times New Roman" w:hAnsi="Times New Roman" w:cs="Times New Roman"/>
        </w:rPr>
        <w:br w:type="page"/>
      </w:r>
    </w:p>
    <w:p w14:paraId="1BB80A2F">
      <w:pPr>
        <w:rPr>
          <w:rFonts w:ascii="Times New Roman" w:hAnsi="Times New Roman" w:cs="Times New Roman"/>
        </w:rPr>
      </w:pPr>
    </w:p>
    <w:p w14:paraId="31DA1E1B">
      <w:pPr>
        <w:pStyle w:val="2"/>
        <w:jc w:val="left"/>
        <w:rPr>
          <w:rFonts w:ascii="Times New Roman" w:hAnsi="Times New Roman" w:cs="Times New Roman"/>
          <w:sz w:val="21"/>
          <w:szCs w:val="21"/>
        </w:rPr>
      </w:pPr>
      <w:r>
        <w:rPr>
          <w:rFonts w:ascii="Times New Roman" w:hAnsi="Times New Roman" w:cs="Times New Roman"/>
          <w:sz w:val="21"/>
          <w:szCs w:val="21"/>
        </w:rPr>
        <w:t>Table S8. The midpoint and endpoint impact of</w:t>
      </w:r>
      <w:r>
        <w:rPr>
          <w:rFonts w:hint="eastAsia" w:ascii="Times New Roman" w:hAnsi="Times New Roman" w:cs="Times New Roman"/>
          <w:sz w:val="21"/>
          <w:szCs w:val="21"/>
          <w:lang w:val="en-US" w:eastAsia="zh-CN"/>
        </w:rPr>
        <w:t xml:space="preserve"> 1 kg</w:t>
      </w:r>
      <w:r>
        <w:rPr>
          <w:rFonts w:ascii="Times New Roman" w:hAnsi="Times New Roman" w:cs="Times New Roman"/>
          <w:sz w:val="21"/>
          <w:szCs w:val="21"/>
        </w:rPr>
        <w:t xml:space="preserve"> PVC waste MR method</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610"/>
        <w:gridCol w:w="678"/>
        <w:gridCol w:w="678"/>
        <w:gridCol w:w="678"/>
        <w:gridCol w:w="734"/>
        <w:gridCol w:w="734"/>
        <w:gridCol w:w="1152"/>
      </w:tblGrid>
      <w:tr w14:paraId="1B31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0" w:type="auto"/>
            <w:tcBorders>
              <w:top w:val="single" w:color="auto" w:sz="12" w:space="0"/>
              <w:left w:val="nil"/>
              <w:bottom w:val="single" w:color="auto" w:sz="4" w:space="0"/>
              <w:right w:val="nil"/>
            </w:tcBorders>
          </w:tcPr>
          <w:p w14:paraId="4250356F">
            <w:pPr>
              <w:rPr>
                <w:rFonts w:ascii="Times New Roman" w:hAnsi="Times New Roman" w:cs="Times New Roman"/>
                <w:sz w:val="16"/>
                <w:szCs w:val="16"/>
              </w:rPr>
            </w:pPr>
            <w:r>
              <w:rPr>
                <w:rFonts w:ascii="Times New Roman" w:hAnsi="Times New Roman" w:cs="Times New Roman"/>
                <w:sz w:val="16"/>
                <w:szCs w:val="16"/>
              </w:rPr>
              <w:t>Impact</w:t>
            </w:r>
          </w:p>
        </w:tc>
        <w:tc>
          <w:tcPr>
            <w:tcW w:w="0" w:type="auto"/>
            <w:tcBorders>
              <w:top w:val="single" w:color="auto" w:sz="12" w:space="0"/>
              <w:left w:val="nil"/>
              <w:bottom w:val="single" w:color="auto" w:sz="4" w:space="0"/>
              <w:right w:val="nil"/>
            </w:tcBorders>
          </w:tcPr>
          <w:p w14:paraId="291C5E18">
            <w:pPr>
              <w:rPr>
                <w:rFonts w:ascii="Times New Roman" w:hAnsi="Times New Roman" w:cs="Times New Roman"/>
                <w:sz w:val="16"/>
                <w:szCs w:val="16"/>
              </w:rPr>
            </w:pPr>
            <w:r>
              <w:rPr>
                <w:rFonts w:ascii="Times New Roman" w:hAnsi="Times New Roman" w:cs="Times New Roman"/>
                <w:sz w:val="16"/>
                <w:szCs w:val="16"/>
              </w:rPr>
              <w:t>Categories</w:t>
            </w:r>
          </w:p>
        </w:tc>
        <w:tc>
          <w:tcPr>
            <w:tcW w:w="0" w:type="auto"/>
            <w:tcBorders>
              <w:top w:val="single" w:color="auto" w:sz="12" w:space="0"/>
              <w:left w:val="nil"/>
              <w:bottom w:val="single" w:color="auto" w:sz="4" w:space="0"/>
              <w:right w:val="nil"/>
            </w:tcBorders>
            <w:vAlign w:val="center"/>
          </w:tcPr>
          <w:p w14:paraId="6C405817">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MI</w:t>
            </w:r>
          </w:p>
        </w:tc>
        <w:tc>
          <w:tcPr>
            <w:tcW w:w="0" w:type="auto"/>
            <w:tcBorders>
              <w:top w:val="single" w:color="auto" w:sz="12" w:space="0"/>
              <w:left w:val="nil"/>
              <w:bottom w:val="single" w:color="auto" w:sz="4" w:space="0"/>
              <w:right w:val="nil"/>
            </w:tcBorders>
            <w:vAlign w:val="center"/>
          </w:tcPr>
          <w:p w14:paraId="15B37FFC">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EI</w:t>
            </w:r>
          </w:p>
        </w:tc>
        <w:tc>
          <w:tcPr>
            <w:tcW w:w="0" w:type="auto"/>
            <w:tcBorders>
              <w:top w:val="single" w:color="auto" w:sz="12" w:space="0"/>
              <w:left w:val="nil"/>
              <w:bottom w:val="single" w:color="auto" w:sz="4" w:space="0"/>
              <w:right w:val="nil"/>
            </w:tcBorders>
            <w:vAlign w:val="center"/>
          </w:tcPr>
          <w:p w14:paraId="32D37033">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W</w:t>
            </w:r>
          </w:p>
        </w:tc>
        <w:tc>
          <w:tcPr>
            <w:tcW w:w="0" w:type="auto"/>
            <w:tcBorders>
              <w:top w:val="single" w:color="auto" w:sz="12" w:space="0"/>
              <w:left w:val="nil"/>
              <w:bottom w:val="single" w:color="auto" w:sz="4" w:space="0"/>
              <w:right w:val="nil"/>
            </w:tcBorders>
            <w:vAlign w:val="center"/>
          </w:tcPr>
          <w:p w14:paraId="4EEF7B19">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R</w:t>
            </w:r>
          </w:p>
        </w:tc>
        <w:tc>
          <w:tcPr>
            <w:tcW w:w="734" w:type="dxa"/>
            <w:tcBorders>
              <w:top w:val="single" w:color="auto" w:sz="12" w:space="0"/>
              <w:left w:val="nil"/>
              <w:bottom w:val="single" w:color="auto" w:sz="4" w:space="0"/>
              <w:right w:val="nil"/>
            </w:tcBorders>
          </w:tcPr>
          <w:p w14:paraId="71E8CF24">
            <w:pPr>
              <w:rPr>
                <w:rFonts w:ascii="Times New Roman" w:hAnsi="Times New Roman" w:cs="Times New Roman"/>
                <w:sz w:val="16"/>
                <w:szCs w:val="16"/>
              </w:rPr>
            </w:pPr>
            <w:r>
              <w:rPr>
                <w:rFonts w:ascii="Times New Roman" w:hAnsi="Times New Roman" w:cs="Times New Roman"/>
                <w:sz w:val="16"/>
                <w:szCs w:val="16"/>
              </w:rPr>
              <w:t xml:space="preserve">Total </w:t>
            </w:r>
          </w:p>
        </w:tc>
        <w:tc>
          <w:tcPr>
            <w:tcW w:w="1152" w:type="dxa"/>
            <w:tcBorders>
              <w:top w:val="single" w:color="auto" w:sz="12" w:space="0"/>
              <w:left w:val="nil"/>
              <w:bottom w:val="single" w:color="auto" w:sz="4" w:space="0"/>
              <w:right w:val="nil"/>
            </w:tcBorders>
          </w:tcPr>
          <w:p w14:paraId="45C571D6">
            <w:pPr>
              <w:rPr>
                <w:rFonts w:ascii="Times New Roman" w:hAnsi="Times New Roman" w:cs="Times New Roman"/>
                <w:sz w:val="16"/>
                <w:szCs w:val="16"/>
              </w:rPr>
            </w:pPr>
            <w:r>
              <w:rPr>
                <w:rFonts w:ascii="Times New Roman" w:hAnsi="Times New Roman" w:cs="Times New Roman"/>
                <w:sz w:val="16"/>
                <w:szCs w:val="16"/>
              </w:rPr>
              <w:t>Units</w:t>
            </w:r>
          </w:p>
        </w:tc>
      </w:tr>
      <w:tr w14:paraId="79B7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restart"/>
            <w:tcBorders>
              <w:top w:val="single" w:color="auto" w:sz="4" w:space="0"/>
              <w:left w:val="nil"/>
              <w:right w:val="nil"/>
            </w:tcBorders>
            <w:vAlign w:val="center"/>
          </w:tcPr>
          <w:p w14:paraId="62243AB3">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 xml:space="preserve">Midpoint </w:t>
            </w:r>
          </w:p>
        </w:tc>
        <w:tc>
          <w:tcPr>
            <w:tcW w:w="0" w:type="auto"/>
            <w:tcBorders>
              <w:top w:val="single" w:color="auto" w:sz="4" w:space="0"/>
              <w:left w:val="nil"/>
              <w:bottom w:val="nil"/>
              <w:right w:val="nil"/>
            </w:tcBorders>
            <w:vAlign w:val="center"/>
          </w:tcPr>
          <w:p w14:paraId="1BB9E77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Climate change</w:t>
            </w:r>
          </w:p>
        </w:tc>
        <w:tc>
          <w:tcPr>
            <w:tcW w:w="678" w:type="dxa"/>
            <w:tcBorders>
              <w:top w:val="single" w:color="auto" w:sz="4" w:space="0"/>
              <w:left w:val="nil"/>
              <w:bottom w:val="nil"/>
              <w:right w:val="nil"/>
            </w:tcBorders>
            <w:vAlign w:val="center"/>
          </w:tcPr>
          <w:p w14:paraId="77B6DBA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1.15E-02</w:t>
            </w:r>
          </w:p>
        </w:tc>
        <w:tc>
          <w:tcPr>
            <w:tcW w:w="678" w:type="dxa"/>
            <w:tcBorders>
              <w:top w:val="single" w:color="auto" w:sz="4" w:space="0"/>
              <w:left w:val="nil"/>
              <w:bottom w:val="nil"/>
              <w:right w:val="nil"/>
            </w:tcBorders>
            <w:vAlign w:val="center"/>
          </w:tcPr>
          <w:p w14:paraId="2D803C3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2.50E-01</w:t>
            </w:r>
          </w:p>
        </w:tc>
        <w:tc>
          <w:tcPr>
            <w:tcW w:w="678" w:type="dxa"/>
            <w:tcBorders>
              <w:top w:val="single" w:color="auto" w:sz="4" w:space="0"/>
              <w:left w:val="nil"/>
              <w:bottom w:val="nil"/>
              <w:right w:val="nil"/>
            </w:tcBorders>
            <w:vAlign w:val="center"/>
          </w:tcPr>
          <w:p w14:paraId="5940BD5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1.00E-02</w:t>
            </w:r>
          </w:p>
        </w:tc>
        <w:tc>
          <w:tcPr>
            <w:tcW w:w="734" w:type="dxa"/>
            <w:tcBorders>
              <w:top w:val="single" w:color="auto" w:sz="4" w:space="0"/>
              <w:left w:val="nil"/>
              <w:bottom w:val="nil"/>
              <w:right w:val="nil"/>
            </w:tcBorders>
            <w:vAlign w:val="center"/>
          </w:tcPr>
          <w:p w14:paraId="630E7CF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-1.50E+00</w:t>
            </w:r>
          </w:p>
        </w:tc>
        <w:tc>
          <w:tcPr>
            <w:tcW w:w="734" w:type="dxa"/>
            <w:tcBorders>
              <w:top w:val="single" w:color="auto" w:sz="4" w:space="0"/>
              <w:left w:val="nil"/>
              <w:bottom w:val="nil"/>
              <w:right w:val="nil"/>
            </w:tcBorders>
            <w:vAlign w:val="center"/>
          </w:tcPr>
          <w:p w14:paraId="673DA6E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-1.22E+00</w:t>
            </w:r>
          </w:p>
        </w:tc>
        <w:tc>
          <w:tcPr>
            <w:tcW w:w="1152" w:type="dxa"/>
            <w:tcBorders>
              <w:top w:val="single" w:color="auto" w:sz="4" w:space="0"/>
              <w:left w:val="nil"/>
              <w:bottom w:val="nil"/>
              <w:right w:val="nil"/>
            </w:tcBorders>
            <w:vAlign w:val="center"/>
          </w:tcPr>
          <w:p w14:paraId="770ED7D9">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CO</w:t>
            </w:r>
            <w:r>
              <w:rPr>
                <w:rFonts w:ascii="Times New Roman" w:hAnsi="Times New Roman" w:eastAsia="宋体" w:cs="Times New Roman"/>
                <w:kern w:val="0"/>
                <w:sz w:val="16"/>
                <w:szCs w:val="16"/>
                <w:vertAlign w:val="subscript"/>
                <w:lang w:bidi="ar"/>
              </w:rPr>
              <w:t>2</w:t>
            </w:r>
            <w:r>
              <w:rPr>
                <w:rFonts w:ascii="Times New Roman" w:hAnsi="Times New Roman" w:eastAsia="宋体" w:cs="Times New Roman"/>
                <w:kern w:val="0"/>
                <w:sz w:val="16"/>
                <w:szCs w:val="16"/>
                <w:lang w:bidi="ar"/>
              </w:rPr>
              <w:t xml:space="preserve"> eq</w:t>
            </w:r>
          </w:p>
        </w:tc>
      </w:tr>
      <w:tr w14:paraId="7CF71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30D7CCE2">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92DF7C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Fine particulate matter formation</w:t>
            </w:r>
          </w:p>
        </w:tc>
        <w:tc>
          <w:tcPr>
            <w:tcW w:w="678" w:type="dxa"/>
            <w:tcBorders>
              <w:top w:val="nil"/>
              <w:left w:val="nil"/>
              <w:bottom w:val="nil"/>
              <w:right w:val="nil"/>
            </w:tcBorders>
            <w:vAlign w:val="center"/>
          </w:tcPr>
          <w:p w14:paraId="62FF88D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1.56E-05</w:t>
            </w:r>
          </w:p>
        </w:tc>
        <w:tc>
          <w:tcPr>
            <w:tcW w:w="678" w:type="dxa"/>
            <w:tcBorders>
              <w:top w:val="nil"/>
              <w:left w:val="nil"/>
              <w:bottom w:val="nil"/>
              <w:right w:val="nil"/>
            </w:tcBorders>
            <w:vAlign w:val="center"/>
          </w:tcPr>
          <w:p w14:paraId="34D7889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4.73E-04</w:t>
            </w:r>
          </w:p>
        </w:tc>
        <w:tc>
          <w:tcPr>
            <w:tcW w:w="678" w:type="dxa"/>
            <w:tcBorders>
              <w:top w:val="nil"/>
              <w:left w:val="nil"/>
              <w:bottom w:val="nil"/>
              <w:right w:val="nil"/>
            </w:tcBorders>
            <w:vAlign w:val="center"/>
          </w:tcPr>
          <w:p w14:paraId="1BF1822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2.99E-06</w:t>
            </w:r>
          </w:p>
        </w:tc>
        <w:tc>
          <w:tcPr>
            <w:tcW w:w="734" w:type="dxa"/>
            <w:tcBorders>
              <w:top w:val="nil"/>
              <w:left w:val="nil"/>
              <w:bottom w:val="nil"/>
              <w:right w:val="nil"/>
            </w:tcBorders>
            <w:vAlign w:val="center"/>
          </w:tcPr>
          <w:p w14:paraId="792EF1F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-2.20E-03</w:t>
            </w:r>
          </w:p>
        </w:tc>
        <w:tc>
          <w:tcPr>
            <w:tcW w:w="734" w:type="dxa"/>
            <w:tcBorders>
              <w:top w:val="nil"/>
              <w:left w:val="nil"/>
              <w:bottom w:val="nil"/>
              <w:right w:val="nil"/>
            </w:tcBorders>
            <w:vAlign w:val="center"/>
          </w:tcPr>
          <w:p w14:paraId="5B48EC3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-1.71E-03</w:t>
            </w:r>
          </w:p>
        </w:tc>
        <w:tc>
          <w:tcPr>
            <w:tcW w:w="1152" w:type="dxa"/>
            <w:tcBorders>
              <w:top w:val="nil"/>
              <w:left w:val="nil"/>
              <w:bottom w:val="nil"/>
              <w:right w:val="nil"/>
            </w:tcBorders>
            <w:vAlign w:val="center"/>
          </w:tcPr>
          <w:p w14:paraId="045CB5E2">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PM2.5 eq</w:t>
            </w:r>
          </w:p>
        </w:tc>
      </w:tr>
      <w:tr w14:paraId="387C7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5C56AE63">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0925BB5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Fossil resource scarcity</w:t>
            </w:r>
          </w:p>
        </w:tc>
        <w:tc>
          <w:tcPr>
            <w:tcW w:w="678" w:type="dxa"/>
            <w:tcBorders>
              <w:top w:val="nil"/>
              <w:left w:val="nil"/>
              <w:bottom w:val="nil"/>
              <w:right w:val="nil"/>
            </w:tcBorders>
            <w:vAlign w:val="center"/>
          </w:tcPr>
          <w:p w14:paraId="78127A0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1.94E-03</w:t>
            </w:r>
          </w:p>
        </w:tc>
        <w:tc>
          <w:tcPr>
            <w:tcW w:w="678" w:type="dxa"/>
            <w:tcBorders>
              <w:top w:val="nil"/>
              <w:left w:val="nil"/>
              <w:bottom w:val="nil"/>
              <w:right w:val="nil"/>
            </w:tcBorders>
            <w:vAlign w:val="center"/>
          </w:tcPr>
          <w:p w14:paraId="173E1EF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5.06E-02</w:t>
            </w:r>
          </w:p>
        </w:tc>
        <w:tc>
          <w:tcPr>
            <w:tcW w:w="678" w:type="dxa"/>
            <w:tcBorders>
              <w:top w:val="nil"/>
              <w:left w:val="nil"/>
              <w:bottom w:val="nil"/>
              <w:right w:val="nil"/>
            </w:tcBorders>
            <w:vAlign w:val="center"/>
          </w:tcPr>
          <w:p w14:paraId="7411994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4.51E-04</w:t>
            </w:r>
          </w:p>
        </w:tc>
        <w:tc>
          <w:tcPr>
            <w:tcW w:w="734" w:type="dxa"/>
            <w:tcBorders>
              <w:top w:val="nil"/>
              <w:left w:val="nil"/>
              <w:bottom w:val="nil"/>
              <w:right w:val="nil"/>
            </w:tcBorders>
            <w:vAlign w:val="center"/>
          </w:tcPr>
          <w:p w14:paraId="1787F8C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-6.65E-01</w:t>
            </w:r>
          </w:p>
        </w:tc>
        <w:tc>
          <w:tcPr>
            <w:tcW w:w="734" w:type="dxa"/>
            <w:tcBorders>
              <w:top w:val="nil"/>
              <w:left w:val="nil"/>
              <w:bottom w:val="nil"/>
              <w:right w:val="nil"/>
            </w:tcBorders>
            <w:vAlign w:val="center"/>
          </w:tcPr>
          <w:p w14:paraId="0299AC1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-6.12E-01</w:t>
            </w:r>
          </w:p>
        </w:tc>
        <w:tc>
          <w:tcPr>
            <w:tcW w:w="1152" w:type="dxa"/>
            <w:tcBorders>
              <w:top w:val="nil"/>
              <w:left w:val="nil"/>
              <w:bottom w:val="nil"/>
              <w:right w:val="nil"/>
            </w:tcBorders>
            <w:vAlign w:val="center"/>
          </w:tcPr>
          <w:p w14:paraId="6BF50726">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oil eq</w:t>
            </w:r>
          </w:p>
        </w:tc>
      </w:tr>
      <w:tr w14:paraId="66A5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0A8BBEA0">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407B23E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Freshwater ecotoxicity</w:t>
            </w:r>
          </w:p>
        </w:tc>
        <w:tc>
          <w:tcPr>
            <w:tcW w:w="678" w:type="dxa"/>
            <w:tcBorders>
              <w:top w:val="nil"/>
              <w:left w:val="nil"/>
              <w:bottom w:val="nil"/>
              <w:right w:val="nil"/>
            </w:tcBorders>
            <w:vAlign w:val="center"/>
          </w:tcPr>
          <w:p w14:paraId="3D1894D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1.01E-03</w:t>
            </w:r>
          </w:p>
        </w:tc>
        <w:tc>
          <w:tcPr>
            <w:tcW w:w="678" w:type="dxa"/>
            <w:tcBorders>
              <w:top w:val="nil"/>
              <w:left w:val="nil"/>
              <w:bottom w:val="nil"/>
              <w:right w:val="nil"/>
            </w:tcBorders>
            <w:vAlign w:val="center"/>
          </w:tcPr>
          <w:p w14:paraId="1783BFB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2.81E-03</w:t>
            </w:r>
          </w:p>
        </w:tc>
        <w:tc>
          <w:tcPr>
            <w:tcW w:w="678" w:type="dxa"/>
            <w:tcBorders>
              <w:top w:val="nil"/>
              <w:left w:val="nil"/>
              <w:bottom w:val="nil"/>
              <w:right w:val="nil"/>
            </w:tcBorders>
            <w:vAlign w:val="center"/>
          </w:tcPr>
          <w:p w14:paraId="135291C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1.01E-04</w:t>
            </w:r>
          </w:p>
        </w:tc>
        <w:tc>
          <w:tcPr>
            <w:tcW w:w="734" w:type="dxa"/>
            <w:tcBorders>
              <w:top w:val="nil"/>
              <w:left w:val="nil"/>
              <w:bottom w:val="nil"/>
              <w:right w:val="nil"/>
            </w:tcBorders>
            <w:vAlign w:val="center"/>
          </w:tcPr>
          <w:p w14:paraId="0FBACC5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-6.82E-02</w:t>
            </w:r>
          </w:p>
        </w:tc>
        <w:tc>
          <w:tcPr>
            <w:tcW w:w="734" w:type="dxa"/>
            <w:tcBorders>
              <w:top w:val="nil"/>
              <w:left w:val="nil"/>
              <w:bottom w:val="nil"/>
              <w:right w:val="nil"/>
            </w:tcBorders>
            <w:vAlign w:val="center"/>
          </w:tcPr>
          <w:p w14:paraId="0033253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-6.43E-02</w:t>
            </w:r>
          </w:p>
        </w:tc>
        <w:tc>
          <w:tcPr>
            <w:tcW w:w="1152" w:type="dxa"/>
            <w:tcBorders>
              <w:top w:val="nil"/>
              <w:left w:val="nil"/>
              <w:bottom w:val="nil"/>
              <w:right w:val="nil"/>
            </w:tcBorders>
            <w:vAlign w:val="center"/>
          </w:tcPr>
          <w:p w14:paraId="59DB393C">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1BDE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7E8323A8">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3DC9A59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Freshwater eutrophication</w:t>
            </w:r>
          </w:p>
        </w:tc>
        <w:tc>
          <w:tcPr>
            <w:tcW w:w="678" w:type="dxa"/>
            <w:tcBorders>
              <w:top w:val="nil"/>
              <w:left w:val="nil"/>
              <w:bottom w:val="nil"/>
              <w:right w:val="nil"/>
            </w:tcBorders>
            <w:vAlign w:val="center"/>
          </w:tcPr>
          <w:p w14:paraId="31C251F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3.81E-06</w:t>
            </w:r>
          </w:p>
        </w:tc>
        <w:tc>
          <w:tcPr>
            <w:tcW w:w="678" w:type="dxa"/>
            <w:tcBorders>
              <w:top w:val="nil"/>
              <w:left w:val="nil"/>
              <w:bottom w:val="nil"/>
              <w:right w:val="nil"/>
            </w:tcBorders>
            <w:vAlign w:val="center"/>
          </w:tcPr>
          <w:p w14:paraId="0ED7237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4.76E-05</w:t>
            </w:r>
          </w:p>
        </w:tc>
        <w:tc>
          <w:tcPr>
            <w:tcW w:w="678" w:type="dxa"/>
            <w:tcBorders>
              <w:top w:val="nil"/>
              <w:left w:val="nil"/>
              <w:bottom w:val="nil"/>
              <w:right w:val="nil"/>
            </w:tcBorders>
            <w:vAlign w:val="center"/>
          </w:tcPr>
          <w:p w14:paraId="349F7C7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7.85E-07</w:t>
            </w:r>
          </w:p>
        </w:tc>
        <w:tc>
          <w:tcPr>
            <w:tcW w:w="734" w:type="dxa"/>
            <w:tcBorders>
              <w:top w:val="nil"/>
              <w:left w:val="nil"/>
              <w:bottom w:val="nil"/>
              <w:right w:val="nil"/>
            </w:tcBorders>
            <w:vAlign w:val="center"/>
          </w:tcPr>
          <w:p w14:paraId="3D003A4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-4.22E-04</w:t>
            </w:r>
          </w:p>
        </w:tc>
        <w:tc>
          <w:tcPr>
            <w:tcW w:w="734" w:type="dxa"/>
            <w:tcBorders>
              <w:top w:val="nil"/>
              <w:left w:val="nil"/>
              <w:bottom w:val="nil"/>
              <w:right w:val="nil"/>
            </w:tcBorders>
            <w:vAlign w:val="center"/>
          </w:tcPr>
          <w:p w14:paraId="364473D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-3.70E-04</w:t>
            </w:r>
          </w:p>
        </w:tc>
        <w:tc>
          <w:tcPr>
            <w:tcW w:w="1152" w:type="dxa"/>
            <w:tcBorders>
              <w:top w:val="nil"/>
              <w:left w:val="nil"/>
              <w:bottom w:val="nil"/>
              <w:right w:val="nil"/>
            </w:tcBorders>
            <w:vAlign w:val="center"/>
          </w:tcPr>
          <w:p w14:paraId="6B6625C7">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P eq</w:t>
            </w:r>
          </w:p>
        </w:tc>
      </w:tr>
      <w:tr w14:paraId="2B642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6D2FB077">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584F89A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Human carcinogenic toxicity</w:t>
            </w:r>
          </w:p>
        </w:tc>
        <w:tc>
          <w:tcPr>
            <w:tcW w:w="678" w:type="dxa"/>
            <w:tcBorders>
              <w:top w:val="nil"/>
              <w:left w:val="nil"/>
              <w:bottom w:val="nil"/>
              <w:right w:val="nil"/>
            </w:tcBorders>
            <w:vAlign w:val="center"/>
          </w:tcPr>
          <w:p w14:paraId="720309F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1.19E-03</w:t>
            </w:r>
          </w:p>
        </w:tc>
        <w:tc>
          <w:tcPr>
            <w:tcW w:w="678" w:type="dxa"/>
            <w:tcBorders>
              <w:top w:val="nil"/>
              <w:left w:val="nil"/>
              <w:bottom w:val="nil"/>
              <w:right w:val="nil"/>
            </w:tcBorders>
            <w:vAlign w:val="center"/>
          </w:tcPr>
          <w:p w14:paraId="795D4C8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9.45E-03</w:t>
            </w:r>
          </w:p>
        </w:tc>
        <w:tc>
          <w:tcPr>
            <w:tcW w:w="678" w:type="dxa"/>
            <w:tcBorders>
              <w:top w:val="nil"/>
              <w:left w:val="nil"/>
              <w:bottom w:val="nil"/>
              <w:right w:val="nil"/>
            </w:tcBorders>
            <w:vAlign w:val="center"/>
          </w:tcPr>
          <w:p w14:paraId="49FA99F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8.15E-04</w:t>
            </w:r>
          </w:p>
        </w:tc>
        <w:tc>
          <w:tcPr>
            <w:tcW w:w="734" w:type="dxa"/>
            <w:tcBorders>
              <w:top w:val="nil"/>
              <w:left w:val="nil"/>
              <w:bottom w:val="nil"/>
              <w:right w:val="nil"/>
            </w:tcBorders>
            <w:vAlign w:val="center"/>
          </w:tcPr>
          <w:p w14:paraId="62E2055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-9.85E-02</w:t>
            </w:r>
          </w:p>
        </w:tc>
        <w:tc>
          <w:tcPr>
            <w:tcW w:w="734" w:type="dxa"/>
            <w:tcBorders>
              <w:top w:val="nil"/>
              <w:left w:val="nil"/>
              <w:bottom w:val="nil"/>
              <w:right w:val="nil"/>
            </w:tcBorders>
            <w:vAlign w:val="center"/>
          </w:tcPr>
          <w:p w14:paraId="05A4334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-8.71E-02</w:t>
            </w:r>
          </w:p>
        </w:tc>
        <w:tc>
          <w:tcPr>
            <w:tcW w:w="1152" w:type="dxa"/>
            <w:tcBorders>
              <w:top w:val="nil"/>
              <w:left w:val="nil"/>
              <w:bottom w:val="nil"/>
              <w:right w:val="nil"/>
            </w:tcBorders>
            <w:vAlign w:val="center"/>
          </w:tcPr>
          <w:p w14:paraId="6B53A352">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3C05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5D5D8672">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055552F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Human non-carcinogenic toxicity</w:t>
            </w:r>
          </w:p>
        </w:tc>
        <w:tc>
          <w:tcPr>
            <w:tcW w:w="678" w:type="dxa"/>
            <w:tcBorders>
              <w:top w:val="nil"/>
              <w:left w:val="nil"/>
              <w:bottom w:val="nil"/>
              <w:right w:val="nil"/>
            </w:tcBorders>
            <w:vAlign w:val="center"/>
          </w:tcPr>
          <w:p w14:paraId="5AD9904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1.63E-02</w:t>
            </w:r>
          </w:p>
        </w:tc>
        <w:tc>
          <w:tcPr>
            <w:tcW w:w="678" w:type="dxa"/>
            <w:tcBorders>
              <w:top w:val="nil"/>
              <w:left w:val="nil"/>
              <w:bottom w:val="nil"/>
              <w:right w:val="nil"/>
            </w:tcBorders>
            <w:vAlign w:val="center"/>
          </w:tcPr>
          <w:p w14:paraId="39F8DC5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1.19E-01</w:t>
            </w:r>
          </w:p>
        </w:tc>
        <w:tc>
          <w:tcPr>
            <w:tcW w:w="678" w:type="dxa"/>
            <w:tcBorders>
              <w:top w:val="nil"/>
              <w:left w:val="nil"/>
              <w:bottom w:val="nil"/>
              <w:right w:val="nil"/>
            </w:tcBorders>
            <w:vAlign w:val="center"/>
          </w:tcPr>
          <w:p w14:paraId="0964338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1.30E-03</w:t>
            </w:r>
          </w:p>
        </w:tc>
        <w:tc>
          <w:tcPr>
            <w:tcW w:w="734" w:type="dxa"/>
            <w:tcBorders>
              <w:top w:val="nil"/>
              <w:left w:val="nil"/>
              <w:bottom w:val="nil"/>
              <w:right w:val="nil"/>
            </w:tcBorders>
            <w:vAlign w:val="center"/>
          </w:tcPr>
          <w:p w14:paraId="4C557DA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-1.27E+00</w:t>
            </w:r>
          </w:p>
        </w:tc>
        <w:tc>
          <w:tcPr>
            <w:tcW w:w="734" w:type="dxa"/>
            <w:tcBorders>
              <w:top w:val="nil"/>
              <w:left w:val="nil"/>
              <w:bottom w:val="nil"/>
              <w:right w:val="nil"/>
            </w:tcBorders>
            <w:vAlign w:val="center"/>
          </w:tcPr>
          <w:p w14:paraId="08320AF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-1.14E+00</w:t>
            </w:r>
          </w:p>
        </w:tc>
        <w:tc>
          <w:tcPr>
            <w:tcW w:w="1152" w:type="dxa"/>
            <w:tcBorders>
              <w:top w:val="nil"/>
              <w:left w:val="nil"/>
              <w:bottom w:val="nil"/>
              <w:right w:val="nil"/>
            </w:tcBorders>
            <w:vAlign w:val="center"/>
          </w:tcPr>
          <w:p w14:paraId="7DBA333A">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53B6A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2966704F">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65E82ED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Ionizing radiation</w:t>
            </w:r>
          </w:p>
        </w:tc>
        <w:tc>
          <w:tcPr>
            <w:tcW w:w="678" w:type="dxa"/>
            <w:tcBorders>
              <w:top w:val="nil"/>
              <w:left w:val="nil"/>
              <w:bottom w:val="nil"/>
              <w:right w:val="nil"/>
            </w:tcBorders>
            <w:vAlign w:val="center"/>
          </w:tcPr>
          <w:p w14:paraId="0677812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4.92E-04</w:t>
            </w:r>
          </w:p>
        </w:tc>
        <w:tc>
          <w:tcPr>
            <w:tcW w:w="678" w:type="dxa"/>
            <w:tcBorders>
              <w:top w:val="nil"/>
              <w:left w:val="nil"/>
              <w:bottom w:val="nil"/>
              <w:right w:val="nil"/>
            </w:tcBorders>
            <w:vAlign w:val="center"/>
          </w:tcPr>
          <w:p w14:paraId="3EC2253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8.99E-03</w:t>
            </w:r>
          </w:p>
        </w:tc>
        <w:tc>
          <w:tcPr>
            <w:tcW w:w="678" w:type="dxa"/>
            <w:tcBorders>
              <w:top w:val="nil"/>
              <w:left w:val="nil"/>
              <w:bottom w:val="nil"/>
              <w:right w:val="nil"/>
            </w:tcBorders>
            <w:vAlign w:val="center"/>
          </w:tcPr>
          <w:p w14:paraId="1109E40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3.98E-05</w:t>
            </w:r>
          </w:p>
        </w:tc>
        <w:tc>
          <w:tcPr>
            <w:tcW w:w="734" w:type="dxa"/>
            <w:tcBorders>
              <w:top w:val="nil"/>
              <w:left w:val="nil"/>
              <w:bottom w:val="nil"/>
              <w:right w:val="nil"/>
            </w:tcBorders>
            <w:vAlign w:val="center"/>
          </w:tcPr>
          <w:p w14:paraId="01E059A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-5.82E-02</w:t>
            </w:r>
          </w:p>
        </w:tc>
        <w:tc>
          <w:tcPr>
            <w:tcW w:w="734" w:type="dxa"/>
            <w:tcBorders>
              <w:top w:val="nil"/>
              <w:left w:val="nil"/>
              <w:bottom w:val="nil"/>
              <w:right w:val="nil"/>
            </w:tcBorders>
            <w:vAlign w:val="center"/>
          </w:tcPr>
          <w:p w14:paraId="4104B0D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-4.87E-02</w:t>
            </w:r>
          </w:p>
        </w:tc>
        <w:tc>
          <w:tcPr>
            <w:tcW w:w="1152" w:type="dxa"/>
            <w:tcBorders>
              <w:top w:val="nil"/>
              <w:left w:val="nil"/>
              <w:bottom w:val="nil"/>
              <w:right w:val="nil"/>
            </w:tcBorders>
            <w:vAlign w:val="center"/>
          </w:tcPr>
          <w:p w14:paraId="138C3BFC">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kBq Co-60 eq</w:t>
            </w:r>
          </w:p>
        </w:tc>
      </w:tr>
      <w:tr w14:paraId="59EC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2D700D64">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02FD1E6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Land use</w:t>
            </w:r>
          </w:p>
        </w:tc>
        <w:tc>
          <w:tcPr>
            <w:tcW w:w="678" w:type="dxa"/>
            <w:tcBorders>
              <w:top w:val="nil"/>
              <w:left w:val="nil"/>
              <w:bottom w:val="nil"/>
              <w:right w:val="nil"/>
            </w:tcBorders>
            <w:vAlign w:val="center"/>
          </w:tcPr>
          <w:p w14:paraId="20FE5DF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2.70E-04</w:t>
            </w:r>
          </w:p>
        </w:tc>
        <w:tc>
          <w:tcPr>
            <w:tcW w:w="678" w:type="dxa"/>
            <w:tcBorders>
              <w:top w:val="nil"/>
              <w:left w:val="nil"/>
              <w:bottom w:val="nil"/>
              <w:right w:val="nil"/>
            </w:tcBorders>
            <w:vAlign w:val="center"/>
          </w:tcPr>
          <w:p w14:paraId="64423BB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5.71E-04</w:t>
            </w:r>
          </w:p>
        </w:tc>
        <w:tc>
          <w:tcPr>
            <w:tcW w:w="678" w:type="dxa"/>
            <w:tcBorders>
              <w:top w:val="nil"/>
              <w:left w:val="nil"/>
              <w:bottom w:val="nil"/>
              <w:right w:val="nil"/>
            </w:tcBorders>
            <w:vAlign w:val="center"/>
          </w:tcPr>
          <w:p w14:paraId="76B7BAB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4.27E-04</w:t>
            </w:r>
          </w:p>
        </w:tc>
        <w:tc>
          <w:tcPr>
            <w:tcW w:w="734" w:type="dxa"/>
            <w:tcBorders>
              <w:top w:val="nil"/>
              <w:left w:val="nil"/>
              <w:bottom w:val="nil"/>
              <w:right w:val="nil"/>
            </w:tcBorders>
            <w:vAlign w:val="center"/>
          </w:tcPr>
          <w:p w14:paraId="02BA671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-1.28E-02</w:t>
            </w:r>
          </w:p>
        </w:tc>
        <w:tc>
          <w:tcPr>
            <w:tcW w:w="734" w:type="dxa"/>
            <w:tcBorders>
              <w:top w:val="nil"/>
              <w:left w:val="nil"/>
              <w:bottom w:val="nil"/>
              <w:right w:val="nil"/>
            </w:tcBorders>
            <w:vAlign w:val="center"/>
          </w:tcPr>
          <w:p w14:paraId="0AF820B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-1.15E-02</w:t>
            </w:r>
          </w:p>
        </w:tc>
        <w:tc>
          <w:tcPr>
            <w:tcW w:w="1152" w:type="dxa"/>
            <w:tcBorders>
              <w:top w:val="nil"/>
              <w:left w:val="nil"/>
              <w:bottom w:val="nil"/>
              <w:right w:val="nil"/>
            </w:tcBorders>
            <w:vAlign w:val="center"/>
          </w:tcPr>
          <w:p w14:paraId="738940A4">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m</w:t>
            </w:r>
            <w:r>
              <w:rPr>
                <w:rFonts w:ascii="Times New Roman" w:hAnsi="Times New Roman" w:eastAsia="宋体" w:cs="Times New Roman"/>
                <w:kern w:val="0"/>
                <w:sz w:val="16"/>
                <w:szCs w:val="16"/>
                <w:vertAlign w:val="superscript"/>
                <w:lang w:bidi="ar"/>
              </w:rPr>
              <w:t>2</w:t>
            </w:r>
            <w:r>
              <w:rPr>
                <w:rFonts w:ascii="Times New Roman" w:hAnsi="Times New Roman" w:eastAsia="宋体" w:cs="Times New Roman"/>
                <w:kern w:val="0"/>
                <w:sz w:val="16"/>
                <w:szCs w:val="16"/>
                <w:lang w:bidi="ar"/>
              </w:rPr>
              <w:t>a crop eq</w:t>
            </w:r>
          </w:p>
        </w:tc>
      </w:tr>
      <w:tr w14:paraId="01CD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1E532DBE">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0ACAE62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Marine ecotoxicity</w:t>
            </w:r>
          </w:p>
        </w:tc>
        <w:tc>
          <w:tcPr>
            <w:tcW w:w="678" w:type="dxa"/>
            <w:tcBorders>
              <w:top w:val="nil"/>
              <w:left w:val="nil"/>
              <w:bottom w:val="nil"/>
              <w:right w:val="nil"/>
            </w:tcBorders>
            <w:vAlign w:val="center"/>
          </w:tcPr>
          <w:p w14:paraId="5F2801C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1.30E-03</w:t>
            </w:r>
          </w:p>
        </w:tc>
        <w:tc>
          <w:tcPr>
            <w:tcW w:w="678" w:type="dxa"/>
            <w:tcBorders>
              <w:top w:val="nil"/>
              <w:left w:val="nil"/>
              <w:bottom w:val="nil"/>
              <w:right w:val="nil"/>
            </w:tcBorders>
            <w:vAlign w:val="center"/>
          </w:tcPr>
          <w:p w14:paraId="0544119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3.85E-03</w:t>
            </w:r>
          </w:p>
        </w:tc>
        <w:tc>
          <w:tcPr>
            <w:tcW w:w="678" w:type="dxa"/>
            <w:tcBorders>
              <w:top w:val="nil"/>
              <w:left w:val="nil"/>
              <w:bottom w:val="nil"/>
              <w:right w:val="nil"/>
            </w:tcBorders>
            <w:vAlign w:val="center"/>
          </w:tcPr>
          <w:p w14:paraId="4CD25D2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1.43E-04</w:t>
            </w:r>
          </w:p>
        </w:tc>
        <w:tc>
          <w:tcPr>
            <w:tcW w:w="734" w:type="dxa"/>
            <w:tcBorders>
              <w:top w:val="nil"/>
              <w:left w:val="nil"/>
              <w:bottom w:val="nil"/>
              <w:right w:val="nil"/>
            </w:tcBorders>
            <w:vAlign w:val="center"/>
          </w:tcPr>
          <w:p w14:paraId="41485B1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-8.81E-02</w:t>
            </w:r>
          </w:p>
        </w:tc>
        <w:tc>
          <w:tcPr>
            <w:tcW w:w="734" w:type="dxa"/>
            <w:tcBorders>
              <w:top w:val="nil"/>
              <w:left w:val="nil"/>
              <w:bottom w:val="nil"/>
              <w:right w:val="nil"/>
            </w:tcBorders>
            <w:vAlign w:val="center"/>
          </w:tcPr>
          <w:p w14:paraId="1898155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-8.28E-02</w:t>
            </w:r>
          </w:p>
        </w:tc>
        <w:tc>
          <w:tcPr>
            <w:tcW w:w="1152" w:type="dxa"/>
            <w:tcBorders>
              <w:top w:val="nil"/>
              <w:left w:val="nil"/>
              <w:bottom w:val="nil"/>
              <w:right w:val="nil"/>
            </w:tcBorders>
            <w:vAlign w:val="center"/>
          </w:tcPr>
          <w:p w14:paraId="5F6532F6">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7629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597A22BB">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E34406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Marine eutrophication</w:t>
            </w:r>
          </w:p>
        </w:tc>
        <w:tc>
          <w:tcPr>
            <w:tcW w:w="678" w:type="dxa"/>
            <w:tcBorders>
              <w:top w:val="nil"/>
              <w:left w:val="nil"/>
              <w:bottom w:val="nil"/>
              <w:right w:val="nil"/>
            </w:tcBorders>
            <w:vAlign w:val="center"/>
          </w:tcPr>
          <w:p w14:paraId="4254E46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1.05E-06</w:t>
            </w:r>
          </w:p>
        </w:tc>
        <w:tc>
          <w:tcPr>
            <w:tcW w:w="678" w:type="dxa"/>
            <w:tcBorders>
              <w:top w:val="nil"/>
              <w:left w:val="nil"/>
              <w:bottom w:val="nil"/>
              <w:right w:val="nil"/>
            </w:tcBorders>
            <w:vAlign w:val="center"/>
          </w:tcPr>
          <w:p w14:paraId="035E9CC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3.23E-06</w:t>
            </w:r>
          </w:p>
        </w:tc>
        <w:tc>
          <w:tcPr>
            <w:tcW w:w="678" w:type="dxa"/>
            <w:tcBorders>
              <w:top w:val="nil"/>
              <w:left w:val="nil"/>
              <w:bottom w:val="nil"/>
              <w:right w:val="nil"/>
            </w:tcBorders>
            <w:vAlign w:val="center"/>
          </w:tcPr>
          <w:p w14:paraId="4507471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7.51E-08</w:t>
            </w:r>
          </w:p>
        </w:tc>
        <w:tc>
          <w:tcPr>
            <w:tcW w:w="734" w:type="dxa"/>
            <w:tcBorders>
              <w:top w:val="nil"/>
              <w:left w:val="nil"/>
              <w:bottom w:val="nil"/>
              <w:right w:val="nil"/>
            </w:tcBorders>
            <w:vAlign w:val="center"/>
          </w:tcPr>
          <w:p w14:paraId="02FC373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-4.93E-05</w:t>
            </w:r>
          </w:p>
        </w:tc>
        <w:tc>
          <w:tcPr>
            <w:tcW w:w="734" w:type="dxa"/>
            <w:tcBorders>
              <w:top w:val="nil"/>
              <w:left w:val="nil"/>
              <w:bottom w:val="nil"/>
              <w:right w:val="nil"/>
            </w:tcBorders>
            <w:vAlign w:val="center"/>
          </w:tcPr>
          <w:p w14:paraId="181F087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-4.49E-05</w:t>
            </w:r>
          </w:p>
        </w:tc>
        <w:tc>
          <w:tcPr>
            <w:tcW w:w="1152" w:type="dxa"/>
            <w:tcBorders>
              <w:top w:val="nil"/>
              <w:left w:val="nil"/>
              <w:bottom w:val="nil"/>
              <w:right w:val="nil"/>
            </w:tcBorders>
            <w:vAlign w:val="center"/>
          </w:tcPr>
          <w:p w14:paraId="54025A7C">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N eq</w:t>
            </w:r>
          </w:p>
        </w:tc>
      </w:tr>
      <w:tr w14:paraId="111B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6C56C41D">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39A0F10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Mineral resource scarcity</w:t>
            </w:r>
          </w:p>
        </w:tc>
        <w:tc>
          <w:tcPr>
            <w:tcW w:w="678" w:type="dxa"/>
            <w:tcBorders>
              <w:top w:val="nil"/>
              <w:left w:val="nil"/>
              <w:bottom w:val="nil"/>
              <w:right w:val="nil"/>
            </w:tcBorders>
            <w:vAlign w:val="center"/>
          </w:tcPr>
          <w:p w14:paraId="328B77B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7.24E-05</w:t>
            </w:r>
          </w:p>
        </w:tc>
        <w:tc>
          <w:tcPr>
            <w:tcW w:w="678" w:type="dxa"/>
            <w:tcBorders>
              <w:top w:val="nil"/>
              <w:left w:val="nil"/>
              <w:bottom w:val="nil"/>
              <w:right w:val="nil"/>
            </w:tcBorders>
            <w:vAlign w:val="center"/>
          </w:tcPr>
          <w:p w14:paraId="528ACC8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7.71E-05</w:t>
            </w:r>
          </w:p>
        </w:tc>
        <w:tc>
          <w:tcPr>
            <w:tcW w:w="678" w:type="dxa"/>
            <w:tcBorders>
              <w:top w:val="nil"/>
              <w:left w:val="nil"/>
              <w:bottom w:val="nil"/>
              <w:right w:val="nil"/>
            </w:tcBorders>
            <w:vAlign w:val="center"/>
          </w:tcPr>
          <w:p w14:paraId="7E1AE7C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6.94E-05</w:t>
            </w:r>
          </w:p>
        </w:tc>
        <w:tc>
          <w:tcPr>
            <w:tcW w:w="734" w:type="dxa"/>
            <w:tcBorders>
              <w:top w:val="nil"/>
              <w:left w:val="nil"/>
              <w:bottom w:val="nil"/>
              <w:right w:val="nil"/>
            </w:tcBorders>
            <w:vAlign w:val="center"/>
          </w:tcPr>
          <w:p w14:paraId="5289DB0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-4.47E-03</w:t>
            </w:r>
          </w:p>
        </w:tc>
        <w:tc>
          <w:tcPr>
            <w:tcW w:w="734" w:type="dxa"/>
            <w:tcBorders>
              <w:top w:val="nil"/>
              <w:left w:val="nil"/>
              <w:bottom w:val="nil"/>
              <w:right w:val="nil"/>
            </w:tcBorders>
            <w:vAlign w:val="center"/>
          </w:tcPr>
          <w:p w14:paraId="4385E4B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-4.25E-03</w:t>
            </w:r>
          </w:p>
        </w:tc>
        <w:tc>
          <w:tcPr>
            <w:tcW w:w="1152" w:type="dxa"/>
            <w:tcBorders>
              <w:top w:val="nil"/>
              <w:left w:val="nil"/>
              <w:bottom w:val="nil"/>
              <w:right w:val="nil"/>
            </w:tcBorders>
            <w:vAlign w:val="center"/>
          </w:tcPr>
          <w:p w14:paraId="74B7D2C4">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Cu eq</w:t>
            </w:r>
          </w:p>
        </w:tc>
      </w:tr>
      <w:tr w14:paraId="1CA3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6F699CC7">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3007D12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Ozone formation, Human health</w:t>
            </w:r>
          </w:p>
        </w:tc>
        <w:tc>
          <w:tcPr>
            <w:tcW w:w="678" w:type="dxa"/>
            <w:tcBorders>
              <w:top w:val="nil"/>
              <w:left w:val="nil"/>
              <w:bottom w:val="nil"/>
              <w:right w:val="nil"/>
            </w:tcBorders>
            <w:vAlign w:val="center"/>
          </w:tcPr>
          <w:p w14:paraId="2BB419C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1.90E-05</w:t>
            </w:r>
          </w:p>
        </w:tc>
        <w:tc>
          <w:tcPr>
            <w:tcW w:w="678" w:type="dxa"/>
            <w:tcBorders>
              <w:top w:val="nil"/>
              <w:left w:val="nil"/>
              <w:bottom w:val="nil"/>
              <w:right w:val="nil"/>
            </w:tcBorders>
            <w:vAlign w:val="center"/>
          </w:tcPr>
          <w:p w14:paraId="23675C1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7.26E-04</w:t>
            </w:r>
          </w:p>
        </w:tc>
        <w:tc>
          <w:tcPr>
            <w:tcW w:w="678" w:type="dxa"/>
            <w:tcBorders>
              <w:top w:val="nil"/>
              <w:left w:val="nil"/>
              <w:bottom w:val="nil"/>
              <w:right w:val="nil"/>
            </w:tcBorders>
            <w:vAlign w:val="center"/>
          </w:tcPr>
          <w:p w14:paraId="6C73E61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4.67E-06</w:t>
            </w:r>
          </w:p>
        </w:tc>
        <w:tc>
          <w:tcPr>
            <w:tcW w:w="734" w:type="dxa"/>
            <w:tcBorders>
              <w:top w:val="nil"/>
              <w:left w:val="nil"/>
              <w:bottom w:val="nil"/>
              <w:right w:val="nil"/>
            </w:tcBorders>
            <w:vAlign w:val="center"/>
          </w:tcPr>
          <w:p w14:paraId="375D7BC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-3.02E-03</w:t>
            </w:r>
          </w:p>
        </w:tc>
        <w:tc>
          <w:tcPr>
            <w:tcW w:w="734" w:type="dxa"/>
            <w:tcBorders>
              <w:top w:val="nil"/>
              <w:left w:val="nil"/>
              <w:bottom w:val="nil"/>
              <w:right w:val="nil"/>
            </w:tcBorders>
            <w:vAlign w:val="center"/>
          </w:tcPr>
          <w:p w14:paraId="3254789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-2.27E-03</w:t>
            </w:r>
          </w:p>
        </w:tc>
        <w:tc>
          <w:tcPr>
            <w:tcW w:w="1152" w:type="dxa"/>
            <w:tcBorders>
              <w:top w:val="nil"/>
              <w:left w:val="nil"/>
              <w:bottom w:val="nil"/>
              <w:right w:val="nil"/>
            </w:tcBorders>
            <w:vAlign w:val="center"/>
          </w:tcPr>
          <w:p w14:paraId="61878DC4">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NOx eq</w:t>
            </w:r>
          </w:p>
        </w:tc>
      </w:tr>
      <w:tr w14:paraId="16D2B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5D49D2AC">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3C2DBC2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Ozone formation, Terrestrial ecosystems</w:t>
            </w:r>
          </w:p>
        </w:tc>
        <w:tc>
          <w:tcPr>
            <w:tcW w:w="678" w:type="dxa"/>
            <w:tcBorders>
              <w:top w:val="nil"/>
              <w:left w:val="nil"/>
              <w:bottom w:val="nil"/>
              <w:right w:val="nil"/>
            </w:tcBorders>
            <w:vAlign w:val="center"/>
          </w:tcPr>
          <w:p w14:paraId="2F9D30E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1.93E-05</w:t>
            </w:r>
          </w:p>
        </w:tc>
        <w:tc>
          <w:tcPr>
            <w:tcW w:w="678" w:type="dxa"/>
            <w:tcBorders>
              <w:top w:val="nil"/>
              <w:left w:val="nil"/>
              <w:bottom w:val="nil"/>
              <w:right w:val="nil"/>
            </w:tcBorders>
            <w:vAlign w:val="center"/>
          </w:tcPr>
          <w:p w14:paraId="4B3015A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7.27E-04</w:t>
            </w:r>
          </w:p>
        </w:tc>
        <w:tc>
          <w:tcPr>
            <w:tcW w:w="678" w:type="dxa"/>
            <w:tcBorders>
              <w:top w:val="nil"/>
              <w:left w:val="nil"/>
              <w:bottom w:val="nil"/>
              <w:right w:val="nil"/>
            </w:tcBorders>
            <w:vAlign w:val="center"/>
          </w:tcPr>
          <w:p w14:paraId="4504AD4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5.02E-06</w:t>
            </w:r>
          </w:p>
        </w:tc>
        <w:tc>
          <w:tcPr>
            <w:tcW w:w="734" w:type="dxa"/>
            <w:tcBorders>
              <w:top w:val="nil"/>
              <w:left w:val="nil"/>
              <w:bottom w:val="nil"/>
              <w:right w:val="nil"/>
            </w:tcBorders>
            <w:vAlign w:val="center"/>
          </w:tcPr>
          <w:p w14:paraId="7B053CE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-3.13E-03</w:t>
            </w:r>
          </w:p>
        </w:tc>
        <w:tc>
          <w:tcPr>
            <w:tcW w:w="734" w:type="dxa"/>
            <w:tcBorders>
              <w:top w:val="nil"/>
              <w:left w:val="nil"/>
              <w:bottom w:val="nil"/>
              <w:right w:val="nil"/>
            </w:tcBorders>
            <w:vAlign w:val="center"/>
          </w:tcPr>
          <w:p w14:paraId="2988453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-2.38E-03</w:t>
            </w:r>
          </w:p>
        </w:tc>
        <w:tc>
          <w:tcPr>
            <w:tcW w:w="1152" w:type="dxa"/>
            <w:tcBorders>
              <w:top w:val="nil"/>
              <w:left w:val="nil"/>
              <w:bottom w:val="nil"/>
              <w:right w:val="nil"/>
            </w:tcBorders>
            <w:vAlign w:val="center"/>
          </w:tcPr>
          <w:p w14:paraId="49B3B9A8">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NOx eq</w:t>
            </w:r>
          </w:p>
        </w:tc>
      </w:tr>
      <w:tr w14:paraId="5327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16CC6B22">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AA831E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Stratospheric ozone depletion</w:t>
            </w:r>
          </w:p>
        </w:tc>
        <w:tc>
          <w:tcPr>
            <w:tcW w:w="678" w:type="dxa"/>
            <w:tcBorders>
              <w:top w:val="nil"/>
              <w:left w:val="nil"/>
              <w:bottom w:val="nil"/>
              <w:right w:val="nil"/>
            </w:tcBorders>
            <w:vAlign w:val="center"/>
          </w:tcPr>
          <w:p w14:paraId="70711ED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2.94E-09</w:t>
            </w:r>
          </w:p>
        </w:tc>
        <w:tc>
          <w:tcPr>
            <w:tcW w:w="678" w:type="dxa"/>
            <w:tcBorders>
              <w:top w:val="nil"/>
              <w:left w:val="nil"/>
              <w:bottom w:val="nil"/>
              <w:right w:val="nil"/>
            </w:tcBorders>
            <w:vAlign w:val="center"/>
          </w:tcPr>
          <w:p w14:paraId="22C084A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3.96E-08</w:t>
            </w:r>
          </w:p>
        </w:tc>
        <w:tc>
          <w:tcPr>
            <w:tcW w:w="678" w:type="dxa"/>
            <w:tcBorders>
              <w:top w:val="nil"/>
              <w:left w:val="nil"/>
              <w:bottom w:val="nil"/>
              <w:right w:val="nil"/>
            </w:tcBorders>
            <w:vAlign w:val="center"/>
          </w:tcPr>
          <w:p w14:paraId="630EE75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4.26E-10</w:t>
            </w:r>
          </w:p>
        </w:tc>
        <w:tc>
          <w:tcPr>
            <w:tcW w:w="734" w:type="dxa"/>
            <w:tcBorders>
              <w:top w:val="nil"/>
              <w:left w:val="nil"/>
              <w:bottom w:val="nil"/>
              <w:right w:val="nil"/>
            </w:tcBorders>
            <w:vAlign w:val="center"/>
          </w:tcPr>
          <w:p w14:paraId="53D83F0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-9.95E-07</w:t>
            </w:r>
          </w:p>
        </w:tc>
        <w:tc>
          <w:tcPr>
            <w:tcW w:w="734" w:type="dxa"/>
            <w:tcBorders>
              <w:top w:val="nil"/>
              <w:left w:val="nil"/>
              <w:bottom w:val="nil"/>
              <w:right w:val="nil"/>
            </w:tcBorders>
            <w:vAlign w:val="center"/>
          </w:tcPr>
          <w:p w14:paraId="58956A6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-9.52E-07</w:t>
            </w:r>
          </w:p>
        </w:tc>
        <w:tc>
          <w:tcPr>
            <w:tcW w:w="1152" w:type="dxa"/>
            <w:tcBorders>
              <w:top w:val="nil"/>
              <w:left w:val="nil"/>
              <w:bottom w:val="nil"/>
              <w:right w:val="nil"/>
            </w:tcBorders>
            <w:vAlign w:val="center"/>
          </w:tcPr>
          <w:p w14:paraId="66AAA175">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CFC11 eq</w:t>
            </w:r>
          </w:p>
        </w:tc>
      </w:tr>
      <w:tr w14:paraId="7812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5332FF21">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7F8DCE2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Terrestrial acidification</w:t>
            </w:r>
          </w:p>
        </w:tc>
        <w:tc>
          <w:tcPr>
            <w:tcW w:w="678" w:type="dxa"/>
            <w:tcBorders>
              <w:top w:val="nil"/>
              <w:left w:val="nil"/>
              <w:bottom w:val="nil"/>
              <w:right w:val="nil"/>
            </w:tcBorders>
            <w:vAlign w:val="center"/>
          </w:tcPr>
          <w:p w14:paraId="4171787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2.91E-05</w:t>
            </w:r>
          </w:p>
        </w:tc>
        <w:tc>
          <w:tcPr>
            <w:tcW w:w="678" w:type="dxa"/>
            <w:tcBorders>
              <w:top w:val="nil"/>
              <w:left w:val="nil"/>
              <w:bottom w:val="nil"/>
              <w:right w:val="nil"/>
            </w:tcBorders>
            <w:vAlign w:val="center"/>
          </w:tcPr>
          <w:p w14:paraId="06C5019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9.38E-04</w:t>
            </w:r>
          </w:p>
        </w:tc>
        <w:tc>
          <w:tcPr>
            <w:tcW w:w="678" w:type="dxa"/>
            <w:tcBorders>
              <w:top w:val="nil"/>
              <w:left w:val="nil"/>
              <w:bottom w:val="nil"/>
              <w:right w:val="nil"/>
            </w:tcBorders>
            <w:vAlign w:val="center"/>
          </w:tcPr>
          <w:p w14:paraId="4E2D063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4.78E-06</w:t>
            </w:r>
          </w:p>
        </w:tc>
        <w:tc>
          <w:tcPr>
            <w:tcW w:w="734" w:type="dxa"/>
            <w:tcBorders>
              <w:top w:val="nil"/>
              <w:left w:val="nil"/>
              <w:bottom w:val="nil"/>
              <w:right w:val="nil"/>
            </w:tcBorders>
            <w:vAlign w:val="center"/>
          </w:tcPr>
          <w:p w14:paraId="2956982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-4.61E-03</w:t>
            </w:r>
          </w:p>
        </w:tc>
        <w:tc>
          <w:tcPr>
            <w:tcW w:w="734" w:type="dxa"/>
            <w:tcBorders>
              <w:top w:val="nil"/>
              <w:left w:val="nil"/>
              <w:bottom w:val="nil"/>
              <w:right w:val="nil"/>
            </w:tcBorders>
            <w:vAlign w:val="center"/>
          </w:tcPr>
          <w:p w14:paraId="21A51AF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-3.64E-03</w:t>
            </w:r>
          </w:p>
        </w:tc>
        <w:tc>
          <w:tcPr>
            <w:tcW w:w="1152" w:type="dxa"/>
            <w:tcBorders>
              <w:top w:val="nil"/>
              <w:left w:val="nil"/>
              <w:bottom w:val="nil"/>
              <w:right w:val="nil"/>
            </w:tcBorders>
            <w:vAlign w:val="center"/>
          </w:tcPr>
          <w:p w14:paraId="08C62FBE">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SO</w:t>
            </w:r>
            <w:r>
              <w:rPr>
                <w:rFonts w:ascii="Times New Roman" w:hAnsi="Times New Roman" w:eastAsia="宋体" w:cs="Times New Roman"/>
                <w:kern w:val="0"/>
                <w:sz w:val="16"/>
                <w:szCs w:val="16"/>
                <w:vertAlign w:val="subscript"/>
                <w:lang w:bidi="ar"/>
              </w:rPr>
              <w:t>2</w:t>
            </w:r>
            <w:r>
              <w:rPr>
                <w:rFonts w:ascii="Times New Roman" w:hAnsi="Times New Roman" w:eastAsia="宋体" w:cs="Times New Roman"/>
                <w:kern w:val="0"/>
                <w:sz w:val="16"/>
                <w:szCs w:val="16"/>
                <w:lang w:bidi="ar"/>
              </w:rPr>
              <w:t xml:space="preserve"> eq</w:t>
            </w:r>
          </w:p>
        </w:tc>
      </w:tr>
      <w:tr w14:paraId="4EE03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4C0EE8E5">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1D6D96F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Terrestrial ecotoxicity</w:t>
            </w:r>
          </w:p>
        </w:tc>
        <w:tc>
          <w:tcPr>
            <w:tcW w:w="678" w:type="dxa"/>
            <w:tcBorders>
              <w:top w:val="nil"/>
              <w:left w:val="nil"/>
              <w:bottom w:val="nil"/>
              <w:right w:val="nil"/>
            </w:tcBorders>
            <w:vAlign w:val="center"/>
          </w:tcPr>
          <w:p w14:paraId="1EC1149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2.77E-02</w:t>
            </w:r>
          </w:p>
        </w:tc>
        <w:tc>
          <w:tcPr>
            <w:tcW w:w="678" w:type="dxa"/>
            <w:tcBorders>
              <w:top w:val="nil"/>
              <w:left w:val="nil"/>
              <w:bottom w:val="nil"/>
              <w:right w:val="nil"/>
            </w:tcBorders>
            <w:vAlign w:val="center"/>
          </w:tcPr>
          <w:p w14:paraId="7A509FD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1.27E-01</w:t>
            </w:r>
          </w:p>
        </w:tc>
        <w:tc>
          <w:tcPr>
            <w:tcW w:w="678" w:type="dxa"/>
            <w:tcBorders>
              <w:top w:val="nil"/>
              <w:left w:val="nil"/>
              <w:bottom w:val="nil"/>
              <w:right w:val="nil"/>
            </w:tcBorders>
            <w:vAlign w:val="center"/>
          </w:tcPr>
          <w:p w14:paraId="58A83DC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2.50E-03</w:t>
            </w:r>
          </w:p>
        </w:tc>
        <w:tc>
          <w:tcPr>
            <w:tcW w:w="734" w:type="dxa"/>
            <w:tcBorders>
              <w:top w:val="nil"/>
              <w:left w:val="nil"/>
              <w:bottom w:val="nil"/>
              <w:right w:val="nil"/>
            </w:tcBorders>
            <w:vAlign w:val="center"/>
          </w:tcPr>
          <w:p w14:paraId="16205E2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-2.25E+00</w:t>
            </w:r>
          </w:p>
        </w:tc>
        <w:tc>
          <w:tcPr>
            <w:tcW w:w="734" w:type="dxa"/>
            <w:tcBorders>
              <w:top w:val="nil"/>
              <w:left w:val="nil"/>
              <w:bottom w:val="nil"/>
              <w:right w:val="nil"/>
            </w:tcBorders>
            <w:vAlign w:val="center"/>
          </w:tcPr>
          <w:p w14:paraId="1D89230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-2.09E+00</w:t>
            </w:r>
          </w:p>
        </w:tc>
        <w:tc>
          <w:tcPr>
            <w:tcW w:w="1152" w:type="dxa"/>
            <w:tcBorders>
              <w:top w:val="nil"/>
              <w:left w:val="nil"/>
              <w:bottom w:val="nil"/>
              <w:right w:val="nil"/>
            </w:tcBorders>
            <w:vAlign w:val="center"/>
          </w:tcPr>
          <w:p w14:paraId="20BFA3BC">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52AFB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bottom w:val="nil"/>
              <w:right w:val="nil"/>
            </w:tcBorders>
            <w:vAlign w:val="center"/>
          </w:tcPr>
          <w:p w14:paraId="1FBEBEB1">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4DAC518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Water consumption</w:t>
            </w:r>
          </w:p>
        </w:tc>
        <w:tc>
          <w:tcPr>
            <w:tcW w:w="678" w:type="dxa"/>
            <w:tcBorders>
              <w:top w:val="nil"/>
              <w:left w:val="nil"/>
              <w:bottom w:val="nil"/>
              <w:right w:val="nil"/>
            </w:tcBorders>
            <w:vAlign w:val="center"/>
          </w:tcPr>
          <w:p w14:paraId="4AFB2F3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1.07E-04</w:t>
            </w:r>
          </w:p>
        </w:tc>
        <w:tc>
          <w:tcPr>
            <w:tcW w:w="678" w:type="dxa"/>
            <w:tcBorders>
              <w:top w:val="nil"/>
              <w:left w:val="nil"/>
              <w:bottom w:val="nil"/>
              <w:right w:val="nil"/>
            </w:tcBorders>
            <w:vAlign w:val="center"/>
          </w:tcPr>
          <w:p w14:paraId="36F518B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6.68E-04</w:t>
            </w:r>
          </w:p>
        </w:tc>
        <w:tc>
          <w:tcPr>
            <w:tcW w:w="678" w:type="dxa"/>
            <w:tcBorders>
              <w:top w:val="nil"/>
              <w:left w:val="nil"/>
              <w:bottom w:val="nil"/>
              <w:right w:val="nil"/>
            </w:tcBorders>
            <w:vAlign w:val="center"/>
          </w:tcPr>
          <w:p w14:paraId="2D79B64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1.01E-05</w:t>
            </w:r>
          </w:p>
        </w:tc>
        <w:tc>
          <w:tcPr>
            <w:tcW w:w="734" w:type="dxa"/>
            <w:tcBorders>
              <w:top w:val="nil"/>
              <w:left w:val="nil"/>
              <w:bottom w:val="nil"/>
              <w:right w:val="nil"/>
            </w:tcBorders>
            <w:vAlign w:val="center"/>
          </w:tcPr>
          <w:p w14:paraId="0138066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-2.12E-02</w:t>
            </w:r>
          </w:p>
        </w:tc>
        <w:tc>
          <w:tcPr>
            <w:tcW w:w="734" w:type="dxa"/>
            <w:tcBorders>
              <w:top w:val="nil"/>
              <w:left w:val="nil"/>
              <w:bottom w:val="nil"/>
              <w:right w:val="nil"/>
            </w:tcBorders>
            <w:vAlign w:val="center"/>
          </w:tcPr>
          <w:p w14:paraId="4BA6AB6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-2.04E-02</w:t>
            </w:r>
          </w:p>
        </w:tc>
        <w:tc>
          <w:tcPr>
            <w:tcW w:w="1152" w:type="dxa"/>
            <w:tcBorders>
              <w:top w:val="nil"/>
              <w:left w:val="nil"/>
              <w:bottom w:val="nil"/>
              <w:right w:val="nil"/>
            </w:tcBorders>
            <w:vAlign w:val="center"/>
          </w:tcPr>
          <w:p w14:paraId="791C157F">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m</w:t>
            </w:r>
            <w:r>
              <w:rPr>
                <w:rFonts w:ascii="Times New Roman" w:hAnsi="Times New Roman" w:eastAsia="宋体" w:cs="Times New Roman"/>
                <w:kern w:val="0"/>
                <w:sz w:val="16"/>
                <w:szCs w:val="16"/>
                <w:vertAlign w:val="superscript"/>
                <w:lang w:bidi="ar"/>
              </w:rPr>
              <w:t>3</w:t>
            </w:r>
          </w:p>
        </w:tc>
      </w:tr>
      <w:tr w14:paraId="1576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restart"/>
            <w:tcBorders>
              <w:top w:val="nil"/>
              <w:left w:val="nil"/>
              <w:right w:val="nil"/>
            </w:tcBorders>
            <w:vAlign w:val="center"/>
          </w:tcPr>
          <w:p w14:paraId="563D8F5D">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r>
              <w:rPr>
                <w:rFonts w:ascii="Times New Roman" w:hAnsi="Times New Roman" w:eastAsia="宋体" w:cs="Times New Roman"/>
                <w:color w:val="000000"/>
                <w:kern w:val="0"/>
                <w:sz w:val="16"/>
                <w:szCs w:val="16"/>
                <w:lang w:bidi="ar"/>
              </w:rPr>
              <w:t xml:space="preserve">Endpoint </w:t>
            </w:r>
          </w:p>
        </w:tc>
        <w:tc>
          <w:tcPr>
            <w:tcW w:w="0" w:type="auto"/>
            <w:tcBorders>
              <w:top w:val="nil"/>
              <w:left w:val="nil"/>
              <w:bottom w:val="nil"/>
              <w:right w:val="nil"/>
            </w:tcBorders>
            <w:vAlign w:val="center"/>
          </w:tcPr>
          <w:p w14:paraId="558E2BB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Human Health</w:t>
            </w:r>
          </w:p>
        </w:tc>
        <w:tc>
          <w:tcPr>
            <w:tcW w:w="678" w:type="dxa"/>
            <w:tcBorders>
              <w:top w:val="nil"/>
              <w:left w:val="nil"/>
              <w:bottom w:val="nil"/>
              <w:right w:val="nil"/>
            </w:tcBorders>
            <w:vAlign w:val="center"/>
          </w:tcPr>
          <w:p w14:paraId="24656B3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2.86E-08</w:t>
            </w:r>
          </w:p>
        </w:tc>
        <w:tc>
          <w:tcPr>
            <w:tcW w:w="678" w:type="dxa"/>
            <w:tcBorders>
              <w:top w:val="nil"/>
              <w:left w:val="nil"/>
              <w:bottom w:val="nil"/>
              <w:right w:val="nil"/>
            </w:tcBorders>
            <w:vAlign w:val="center"/>
          </w:tcPr>
          <w:p w14:paraId="126BACD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5.98E-07</w:t>
            </w:r>
          </w:p>
        </w:tc>
        <w:tc>
          <w:tcPr>
            <w:tcW w:w="678" w:type="dxa"/>
            <w:tcBorders>
              <w:top w:val="nil"/>
              <w:left w:val="nil"/>
              <w:bottom w:val="nil"/>
              <w:right w:val="nil"/>
            </w:tcBorders>
            <w:vAlign w:val="center"/>
          </w:tcPr>
          <w:p w14:paraId="354D2DE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6.62E-09</w:t>
            </w:r>
          </w:p>
        </w:tc>
        <w:tc>
          <w:tcPr>
            <w:tcW w:w="734" w:type="dxa"/>
            <w:tcBorders>
              <w:top w:val="nil"/>
              <w:left w:val="nil"/>
              <w:bottom w:val="nil"/>
              <w:right w:val="nil"/>
            </w:tcBorders>
            <w:vAlign w:val="center"/>
          </w:tcPr>
          <w:p w14:paraId="2893D08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-3.47E-06</w:t>
            </w:r>
          </w:p>
        </w:tc>
        <w:tc>
          <w:tcPr>
            <w:tcW w:w="734" w:type="dxa"/>
            <w:tcBorders>
              <w:top w:val="nil"/>
              <w:left w:val="nil"/>
              <w:bottom w:val="nil"/>
              <w:right w:val="nil"/>
            </w:tcBorders>
            <w:vAlign w:val="center"/>
          </w:tcPr>
          <w:p w14:paraId="745966A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-2.84E-06</w:t>
            </w:r>
          </w:p>
        </w:tc>
        <w:tc>
          <w:tcPr>
            <w:tcW w:w="1152" w:type="dxa"/>
            <w:tcBorders>
              <w:top w:val="nil"/>
              <w:left w:val="nil"/>
              <w:bottom w:val="nil"/>
              <w:right w:val="nil"/>
            </w:tcBorders>
            <w:vAlign w:val="center"/>
          </w:tcPr>
          <w:p w14:paraId="4C500F22">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DALY</w:t>
            </w:r>
          </w:p>
        </w:tc>
      </w:tr>
      <w:tr w14:paraId="6C679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tcBorders>
              <w:left w:val="nil"/>
              <w:right w:val="nil"/>
            </w:tcBorders>
            <w:vAlign w:val="center"/>
          </w:tcPr>
          <w:p w14:paraId="28CF4109">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nil"/>
              <w:right w:val="nil"/>
            </w:tcBorders>
            <w:vAlign w:val="center"/>
          </w:tcPr>
          <w:p w14:paraId="5F6DA49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Resource Depletion</w:t>
            </w:r>
          </w:p>
        </w:tc>
        <w:tc>
          <w:tcPr>
            <w:tcW w:w="678" w:type="dxa"/>
            <w:tcBorders>
              <w:top w:val="nil"/>
              <w:left w:val="nil"/>
              <w:bottom w:val="nil"/>
              <w:right w:val="nil"/>
            </w:tcBorders>
            <w:vAlign w:val="center"/>
          </w:tcPr>
          <w:p w14:paraId="7A3C488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5.11E-04</w:t>
            </w:r>
          </w:p>
        </w:tc>
        <w:tc>
          <w:tcPr>
            <w:tcW w:w="678" w:type="dxa"/>
            <w:tcBorders>
              <w:top w:val="nil"/>
              <w:left w:val="nil"/>
              <w:bottom w:val="nil"/>
              <w:right w:val="nil"/>
            </w:tcBorders>
            <w:vAlign w:val="center"/>
          </w:tcPr>
          <w:p w14:paraId="4FEEB44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4.95E-03</w:t>
            </w:r>
          </w:p>
        </w:tc>
        <w:tc>
          <w:tcPr>
            <w:tcW w:w="678" w:type="dxa"/>
            <w:tcBorders>
              <w:top w:val="nil"/>
              <w:left w:val="nil"/>
              <w:bottom w:val="nil"/>
              <w:right w:val="nil"/>
            </w:tcBorders>
            <w:vAlign w:val="center"/>
          </w:tcPr>
          <w:p w14:paraId="5F6C791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1.09E-04</w:t>
            </w:r>
          </w:p>
        </w:tc>
        <w:tc>
          <w:tcPr>
            <w:tcW w:w="734" w:type="dxa"/>
            <w:tcBorders>
              <w:top w:val="nil"/>
              <w:left w:val="nil"/>
              <w:bottom w:val="nil"/>
              <w:right w:val="nil"/>
            </w:tcBorders>
            <w:vAlign w:val="center"/>
          </w:tcPr>
          <w:p w14:paraId="6C7F917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-2.26E-01</w:t>
            </w:r>
          </w:p>
        </w:tc>
        <w:tc>
          <w:tcPr>
            <w:tcW w:w="734" w:type="dxa"/>
            <w:tcBorders>
              <w:top w:val="nil"/>
              <w:left w:val="nil"/>
              <w:bottom w:val="nil"/>
              <w:right w:val="nil"/>
            </w:tcBorders>
            <w:vAlign w:val="center"/>
          </w:tcPr>
          <w:p w14:paraId="034AFA5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-2.20E-01</w:t>
            </w:r>
          </w:p>
        </w:tc>
        <w:tc>
          <w:tcPr>
            <w:tcW w:w="1152" w:type="dxa"/>
            <w:tcBorders>
              <w:top w:val="nil"/>
              <w:left w:val="nil"/>
              <w:bottom w:val="nil"/>
              <w:right w:val="nil"/>
            </w:tcBorders>
            <w:vAlign w:val="center"/>
          </w:tcPr>
          <w:p w14:paraId="6B145990">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USD</w:t>
            </w:r>
          </w:p>
        </w:tc>
      </w:tr>
      <w:tr w14:paraId="36BC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0" w:type="auto"/>
            <w:vMerge w:val="continue"/>
            <w:tcBorders>
              <w:left w:val="nil"/>
              <w:bottom w:val="single" w:color="auto" w:sz="12" w:space="0"/>
              <w:right w:val="nil"/>
            </w:tcBorders>
            <w:vAlign w:val="center"/>
          </w:tcPr>
          <w:p w14:paraId="5EE84131">
            <w:pPr>
              <w:widowControl/>
              <w:ind w:left="-105" w:leftChars="-50" w:right="-105" w:rightChars="-50"/>
              <w:jc w:val="left"/>
              <w:textAlignment w:val="center"/>
              <w:rPr>
                <w:rFonts w:ascii="Times New Roman" w:hAnsi="Times New Roman" w:eastAsia="宋体" w:cs="Times New Roman"/>
                <w:color w:val="000000"/>
                <w:kern w:val="0"/>
                <w:sz w:val="16"/>
                <w:szCs w:val="16"/>
                <w:lang w:bidi="ar"/>
              </w:rPr>
            </w:pPr>
          </w:p>
        </w:tc>
        <w:tc>
          <w:tcPr>
            <w:tcW w:w="0" w:type="auto"/>
            <w:tcBorders>
              <w:top w:val="nil"/>
              <w:left w:val="nil"/>
              <w:bottom w:val="single" w:color="auto" w:sz="12" w:space="0"/>
              <w:right w:val="nil"/>
            </w:tcBorders>
            <w:vAlign w:val="center"/>
          </w:tcPr>
          <w:p w14:paraId="518C8D6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Ecosystem Quality</w:t>
            </w:r>
          </w:p>
        </w:tc>
        <w:tc>
          <w:tcPr>
            <w:tcW w:w="678" w:type="dxa"/>
            <w:tcBorders>
              <w:top w:val="nil"/>
              <w:left w:val="nil"/>
              <w:bottom w:val="single" w:color="auto" w:sz="12" w:space="0"/>
              <w:right w:val="nil"/>
            </w:tcBorders>
            <w:vAlign w:val="center"/>
          </w:tcPr>
          <w:p w14:paraId="796C7D6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4.89E-11</w:t>
            </w:r>
          </w:p>
        </w:tc>
        <w:tc>
          <w:tcPr>
            <w:tcW w:w="678" w:type="dxa"/>
            <w:tcBorders>
              <w:top w:val="nil"/>
              <w:left w:val="nil"/>
              <w:bottom w:val="single" w:color="auto" w:sz="12" w:space="0"/>
              <w:right w:val="nil"/>
            </w:tcBorders>
            <w:vAlign w:val="center"/>
          </w:tcPr>
          <w:p w14:paraId="3A9C2C1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1.07E-09</w:t>
            </w:r>
          </w:p>
        </w:tc>
        <w:tc>
          <w:tcPr>
            <w:tcW w:w="678" w:type="dxa"/>
            <w:tcBorders>
              <w:top w:val="nil"/>
              <w:left w:val="nil"/>
              <w:bottom w:val="single" w:color="auto" w:sz="12" w:space="0"/>
              <w:right w:val="nil"/>
            </w:tcBorders>
            <w:vAlign w:val="center"/>
          </w:tcPr>
          <w:p w14:paraId="6F31D84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1.14E-11</w:t>
            </w:r>
          </w:p>
        </w:tc>
        <w:tc>
          <w:tcPr>
            <w:tcW w:w="734" w:type="dxa"/>
            <w:tcBorders>
              <w:top w:val="nil"/>
              <w:left w:val="nil"/>
              <w:bottom w:val="single" w:color="auto" w:sz="12" w:space="0"/>
              <w:right w:val="nil"/>
            </w:tcBorders>
            <w:vAlign w:val="center"/>
          </w:tcPr>
          <w:p w14:paraId="7E44E2A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-6.43E-09</w:t>
            </w:r>
          </w:p>
        </w:tc>
        <w:tc>
          <w:tcPr>
            <w:tcW w:w="734" w:type="dxa"/>
            <w:tcBorders>
              <w:top w:val="nil"/>
              <w:left w:val="nil"/>
              <w:bottom w:val="single" w:color="auto" w:sz="12" w:space="0"/>
              <w:right w:val="nil"/>
            </w:tcBorders>
            <w:vAlign w:val="center"/>
          </w:tcPr>
          <w:p w14:paraId="6C0E333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-5.31E-09</w:t>
            </w:r>
          </w:p>
        </w:tc>
        <w:tc>
          <w:tcPr>
            <w:tcW w:w="1152" w:type="dxa"/>
            <w:tcBorders>
              <w:top w:val="nil"/>
              <w:left w:val="nil"/>
              <w:bottom w:val="single" w:color="auto" w:sz="12" w:space="0"/>
              <w:right w:val="nil"/>
            </w:tcBorders>
            <w:vAlign w:val="center"/>
          </w:tcPr>
          <w:p w14:paraId="7771949C">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species.yr</w:t>
            </w:r>
          </w:p>
        </w:tc>
      </w:tr>
    </w:tbl>
    <w:p w14:paraId="3E8D7530">
      <w:pPr>
        <w:rPr>
          <w:rFonts w:ascii="Times New Roman" w:hAnsi="Times New Roman" w:cs="Times New Roman"/>
        </w:rPr>
      </w:pPr>
    </w:p>
    <w:p w14:paraId="66960B3F">
      <w:pPr>
        <w:spacing w:line="480" w:lineRule="auto"/>
        <w:ind w:firstLine="480" w:firstLineChars="200"/>
        <w:rPr>
          <w:rFonts w:ascii="Times New Roman" w:hAnsi="Times New Roman" w:cs="Times New Roman"/>
        </w:rPr>
      </w:pPr>
      <w:r>
        <w:rPr>
          <w:rFonts w:ascii="Times New Roman" w:hAnsi="Times New Roman" w:cs="Times New Roman"/>
          <w:sz w:val="24"/>
          <w:szCs w:val="24"/>
        </w:rPr>
        <w:t>Due to the recycled PVC particles,all of the eighteen environmental impacts are negative, in which terrestrial acidification has the smallest value, -2.09 kg 1,4-DCB, causing from recycled PVC particles, and the main positive impact from indirect impact of energy consumption; and then is climate change, -1.22 kg CO</w:t>
      </w:r>
      <w:r>
        <w:rPr>
          <w:rFonts w:ascii="Times New Roman" w:hAnsi="Times New Roman" w:cs="Times New Roman"/>
          <w:sz w:val="24"/>
          <w:szCs w:val="24"/>
          <w:vertAlign w:val="subscript"/>
        </w:rPr>
        <w:t>2</w:t>
      </w:r>
      <w:r>
        <w:rPr>
          <w:rFonts w:ascii="Times New Roman" w:hAnsi="Times New Roman" w:cs="Times New Roman"/>
          <w:sz w:val="24"/>
          <w:szCs w:val="24"/>
        </w:rPr>
        <w:t>-eq, the indirect impact from energy consumption as the climate change contributor. In addition, the endpoint impact values also beyond zero, among them, human health impact is -2.84×10</w:t>
      </w:r>
      <w:r>
        <w:rPr>
          <w:rFonts w:ascii="Times New Roman" w:hAnsi="Times New Roman" w:cs="Times New Roman"/>
          <w:sz w:val="24"/>
          <w:szCs w:val="24"/>
          <w:vertAlign w:val="superscript"/>
        </w:rPr>
        <w:t xml:space="preserve">-6 </w:t>
      </w:r>
      <w:r>
        <w:rPr>
          <w:rFonts w:ascii="Times New Roman" w:hAnsi="Times New Roman" w:cs="Times New Roman"/>
          <w:sz w:val="24"/>
          <w:szCs w:val="24"/>
        </w:rPr>
        <w:t>DALY, resource depletion impact is -2.2×10</w:t>
      </w:r>
      <w:r>
        <w:rPr>
          <w:rFonts w:ascii="Times New Roman" w:hAnsi="Times New Roman" w:cs="Times New Roman"/>
          <w:sz w:val="24"/>
          <w:szCs w:val="24"/>
          <w:vertAlign w:val="superscript"/>
        </w:rPr>
        <w:t xml:space="preserve">-1 </w:t>
      </w:r>
      <w:r>
        <w:rPr>
          <w:rFonts w:ascii="Times New Roman" w:hAnsi="Times New Roman" w:cs="Times New Roman"/>
          <w:sz w:val="24"/>
          <w:szCs w:val="24"/>
        </w:rPr>
        <w:t>USD ,and ecosystem quality is -5.31×10</w:t>
      </w:r>
      <w:r>
        <w:rPr>
          <w:rFonts w:ascii="Times New Roman" w:hAnsi="Times New Roman" w:cs="Times New Roman"/>
          <w:sz w:val="24"/>
          <w:szCs w:val="24"/>
          <w:vertAlign w:val="superscript"/>
        </w:rPr>
        <w:t>-9</w:t>
      </w:r>
      <w:r>
        <w:rPr>
          <w:rFonts w:ascii="Times New Roman" w:hAnsi="Times New Roman" w:cs="Times New Roman"/>
          <w:sz w:val="24"/>
          <w:szCs w:val="24"/>
        </w:rPr>
        <w:t xml:space="preserve"> species.yr. In MR treatment process, the main positive impact from the indirect impact of energy consumption. But the offset value of recycled PVC particles is far greater than from indirect impact, that makes the total impact are negative. However, it is worth noting that not all PVC waste can be mechanically recycled, especially heavily polluted waste plastics. Therefore, improving the recycling capacity of PVC waste MR technology and enhancing the quality of recycled products are key ways to promote the wider application of PVC waste MR technology</w:t>
      </w:r>
      <w:r>
        <w:rPr>
          <w:rFonts w:hint="eastAsia" w:ascii="Times New Roman" w:hAnsi="Times New Roman" w:cs="Times New Roman"/>
          <w:sz w:val="24"/>
          <w:szCs w:val="24"/>
          <w:lang w:val="en-US" w:eastAsia="zh-CN"/>
        </w:rPr>
        <w:t>.</w:t>
      </w:r>
      <w:r>
        <w:rPr>
          <w:rFonts w:ascii="Times New Roman" w:hAnsi="Times New Roman" w:cs="Times New Roman"/>
        </w:rPr>
        <w:br w:type="page"/>
      </w:r>
    </w:p>
    <w:p w14:paraId="485F8442">
      <w:pPr>
        <w:rPr>
          <w:rFonts w:ascii="Times New Roman" w:hAnsi="Times New Roman" w:cs="Times New Roman"/>
        </w:rPr>
      </w:pPr>
    </w:p>
    <w:p w14:paraId="104A4175">
      <w:pPr>
        <w:pStyle w:val="2"/>
        <w:jc w:val="left"/>
        <w:rPr>
          <w:rFonts w:ascii="Times New Roman" w:hAnsi="Times New Roman" w:cs="Times New Roman"/>
          <w:sz w:val="21"/>
          <w:szCs w:val="21"/>
        </w:rPr>
      </w:pPr>
      <w:r>
        <w:rPr>
          <w:rFonts w:ascii="Times New Roman" w:hAnsi="Times New Roman" w:cs="Times New Roman"/>
          <w:sz w:val="21"/>
          <w:szCs w:val="21"/>
        </w:rPr>
        <w:t xml:space="preserve">Table S9. The midpoint and endpoint impacts of </w:t>
      </w:r>
      <w:r>
        <w:rPr>
          <w:rFonts w:hint="eastAsia" w:ascii="Times New Roman" w:hAnsi="Times New Roman" w:cs="Times New Roman"/>
          <w:sz w:val="21"/>
          <w:szCs w:val="21"/>
          <w:lang w:val="en-US" w:eastAsia="zh-CN"/>
        </w:rPr>
        <w:t xml:space="preserve">1 kg </w:t>
      </w:r>
      <w:r>
        <w:rPr>
          <w:rFonts w:ascii="Times New Roman" w:hAnsi="Times New Roman" w:cs="Times New Roman"/>
          <w:sz w:val="21"/>
          <w:szCs w:val="21"/>
        </w:rPr>
        <w:t>PVC waste CR method</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610"/>
        <w:gridCol w:w="688"/>
        <w:gridCol w:w="688"/>
        <w:gridCol w:w="688"/>
        <w:gridCol w:w="745"/>
        <w:gridCol w:w="745"/>
        <w:gridCol w:w="1169"/>
      </w:tblGrid>
      <w:tr w14:paraId="75FB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0" w:type="auto"/>
            <w:tcBorders>
              <w:top w:val="single" w:color="auto" w:sz="12" w:space="0"/>
              <w:left w:val="nil"/>
              <w:bottom w:val="single" w:color="auto" w:sz="4" w:space="0"/>
              <w:right w:val="nil"/>
            </w:tcBorders>
          </w:tcPr>
          <w:p w14:paraId="7F0846EC">
            <w:pPr>
              <w:rPr>
                <w:rFonts w:ascii="Times New Roman" w:hAnsi="Times New Roman" w:cs="Times New Roman"/>
                <w:sz w:val="16"/>
                <w:szCs w:val="16"/>
              </w:rPr>
            </w:pPr>
            <w:r>
              <w:rPr>
                <w:rFonts w:ascii="Times New Roman" w:hAnsi="Times New Roman" w:cs="Times New Roman"/>
                <w:sz w:val="16"/>
                <w:szCs w:val="16"/>
              </w:rPr>
              <w:t>Impact</w:t>
            </w:r>
          </w:p>
        </w:tc>
        <w:tc>
          <w:tcPr>
            <w:tcW w:w="0" w:type="auto"/>
            <w:tcBorders>
              <w:top w:val="single" w:color="auto" w:sz="12" w:space="0"/>
              <w:left w:val="nil"/>
              <w:bottom w:val="single" w:color="auto" w:sz="4" w:space="0"/>
              <w:right w:val="nil"/>
            </w:tcBorders>
          </w:tcPr>
          <w:p w14:paraId="5368F941">
            <w:pPr>
              <w:rPr>
                <w:rFonts w:ascii="Times New Roman" w:hAnsi="Times New Roman" w:cs="Times New Roman"/>
                <w:sz w:val="16"/>
                <w:szCs w:val="16"/>
              </w:rPr>
            </w:pPr>
            <w:r>
              <w:rPr>
                <w:rFonts w:ascii="Times New Roman" w:hAnsi="Times New Roman" w:cs="Times New Roman"/>
                <w:sz w:val="16"/>
                <w:szCs w:val="16"/>
              </w:rPr>
              <w:t>Categories</w:t>
            </w:r>
          </w:p>
        </w:tc>
        <w:tc>
          <w:tcPr>
            <w:tcW w:w="0" w:type="auto"/>
            <w:tcBorders>
              <w:top w:val="single" w:color="auto" w:sz="12" w:space="0"/>
              <w:left w:val="nil"/>
              <w:bottom w:val="single" w:color="auto" w:sz="4" w:space="0"/>
              <w:right w:val="nil"/>
            </w:tcBorders>
            <w:vAlign w:val="center"/>
          </w:tcPr>
          <w:p w14:paraId="1ED745D5">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MI</w:t>
            </w:r>
          </w:p>
        </w:tc>
        <w:tc>
          <w:tcPr>
            <w:tcW w:w="0" w:type="auto"/>
            <w:tcBorders>
              <w:top w:val="single" w:color="auto" w:sz="12" w:space="0"/>
              <w:left w:val="nil"/>
              <w:bottom w:val="single" w:color="auto" w:sz="4" w:space="0"/>
              <w:right w:val="nil"/>
            </w:tcBorders>
            <w:vAlign w:val="center"/>
          </w:tcPr>
          <w:p w14:paraId="2662F5F5">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EI</w:t>
            </w:r>
          </w:p>
        </w:tc>
        <w:tc>
          <w:tcPr>
            <w:tcW w:w="688" w:type="dxa"/>
            <w:tcBorders>
              <w:top w:val="single" w:color="auto" w:sz="12" w:space="0"/>
              <w:left w:val="nil"/>
              <w:bottom w:val="single" w:color="auto" w:sz="4" w:space="0"/>
              <w:right w:val="nil"/>
            </w:tcBorders>
            <w:vAlign w:val="center"/>
          </w:tcPr>
          <w:p w14:paraId="56DE2060">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W</w:t>
            </w:r>
          </w:p>
        </w:tc>
        <w:tc>
          <w:tcPr>
            <w:tcW w:w="745" w:type="dxa"/>
            <w:tcBorders>
              <w:top w:val="single" w:color="auto" w:sz="12" w:space="0"/>
              <w:left w:val="nil"/>
              <w:bottom w:val="single" w:color="auto" w:sz="4" w:space="0"/>
              <w:right w:val="nil"/>
            </w:tcBorders>
            <w:vAlign w:val="center"/>
          </w:tcPr>
          <w:p w14:paraId="003AB665">
            <w:pPr>
              <w:widowControl/>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R</w:t>
            </w:r>
          </w:p>
        </w:tc>
        <w:tc>
          <w:tcPr>
            <w:tcW w:w="745" w:type="dxa"/>
            <w:tcBorders>
              <w:top w:val="single" w:color="auto" w:sz="12" w:space="0"/>
              <w:left w:val="nil"/>
              <w:bottom w:val="single" w:color="auto" w:sz="4" w:space="0"/>
              <w:right w:val="nil"/>
            </w:tcBorders>
          </w:tcPr>
          <w:p w14:paraId="4AEAFDC2">
            <w:pPr>
              <w:rPr>
                <w:rFonts w:ascii="Times New Roman" w:hAnsi="Times New Roman" w:cs="Times New Roman"/>
                <w:sz w:val="16"/>
                <w:szCs w:val="16"/>
              </w:rPr>
            </w:pPr>
            <w:r>
              <w:rPr>
                <w:rFonts w:ascii="Times New Roman" w:hAnsi="Times New Roman" w:cs="Times New Roman"/>
                <w:sz w:val="16"/>
                <w:szCs w:val="16"/>
              </w:rPr>
              <w:t xml:space="preserve">Total </w:t>
            </w:r>
          </w:p>
        </w:tc>
        <w:tc>
          <w:tcPr>
            <w:tcW w:w="1169" w:type="dxa"/>
            <w:tcBorders>
              <w:top w:val="single" w:color="auto" w:sz="12" w:space="0"/>
              <w:left w:val="nil"/>
              <w:bottom w:val="single" w:color="auto" w:sz="4" w:space="0"/>
              <w:right w:val="nil"/>
            </w:tcBorders>
          </w:tcPr>
          <w:p w14:paraId="3042482E">
            <w:pPr>
              <w:rPr>
                <w:rFonts w:ascii="Times New Roman" w:hAnsi="Times New Roman" w:cs="Times New Roman"/>
                <w:sz w:val="16"/>
                <w:szCs w:val="16"/>
              </w:rPr>
            </w:pPr>
            <w:r>
              <w:rPr>
                <w:rFonts w:ascii="Times New Roman" w:hAnsi="Times New Roman" w:cs="Times New Roman"/>
                <w:sz w:val="16"/>
                <w:szCs w:val="16"/>
              </w:rPr>
              <w:t>Units</w:t>
            </w:r>
          </w:p>
        </w:tc>
      </w:tr>
      <w:tr w14:paraId="204E1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restart"/>
            <w:tcBorders>
              <w:top w:val="single" w:color="auto" w:sz="4" w:space="0"/>
              <w:left w:val="nil"/>
              <w:right w:val="nil"/>
            </w:tcBorders>
            <w:vAlign w:val="center"/>
          </w:tcPr>
          <w:p w14:paraId="108A3E5C">
            <w:pPr>
              <w:widowControl/>
              <w:ind w:left="-105" w:leftChars="-50" w:right="-105" w:rightChars="-50"/>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 xml:space="preserve">Midpoint </w:t>
            </w:r>
          </w:p>
        </w:tc>
        <w:tc>
          <w:tcPr>
            <w:tcW w:w="0" w:type="auto"/>
            <w:tcBorders>
              <w:top w:val="single" w:color="auto" w:sz="4" w:space="0"/>
              <w:left w:val="nil"/>
              <w:bottom w:val="nil"/>
              <w:right w:val="nil"/>
            </w:tcBorders>
            <w:vAlign w:val="center"/>
          </w:tcPr>
          <w:p w14:paraId="102B2CC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Climate change</w:t>
            </w:r>
          </w:p>
        </w:tc>
        <w:tc>
          <w:tcPr>
            <w:tcW w:w="688" w:type="dxa"/>
            <w:tcBorders>
              <w:top w:val="single" w:color="auto" w:sz="4" w:space="0"/>
              <w:left w:val="nil"/>
              <w:bottom w:val="nil"/>
              <w:right w:val="nil"/>
            </w:tcBorders>
            <w:vAlign w:val="center"/>
          </w:tcPr>
          <w:p w14:paraId="26C8742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3.44E-01</w:t>
            </w:r>
          </w:p>
        </w:tc>
        <w:tc>
          <w:tcPr>
            <w:tcW w:w="688" w:type="dxa"/>
            <w:tcBorders>
              <w:top w:val="single" w:color="auto" w:sz="4" w:space="0"/>
              <w:left w:val="nil"/>
              <w:bottom w:val="nil"/>
              <w:right w:val="nil"/>
            </w:tcBorders>
            <w:vAlign w:val="center"/>
          </w:tcPr>
          <w:p w14:paraId="23A7583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8.76E-01</w:t>
            </w:r>
          </w:p>
        </w:tc>
        <w:tc>
          <w:tcPr>
            <w:tcW w:w="688" w:type="dxa"/>
            <w:tcBorders>
              <w:top w:val="single" w:color="auto" w:sz="4" w:space="0"/>
              <w:left w:val="nil"/>
              <w:bottom w:val="nil"/>
              <w:right w:val="nil"/>
            </w:tcBorders>
            <w:vAlign w:val="center"/>
          </w:tcPr>
          <w:p w14:paraId="0476900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9.48E-02</w:t>
            </w:r>
          </w:p>
        </w:tc>
        <w:tc>
          <w:tcPr>
            <w:tcW w:w="745" w:type="dxa"/>
            <w:tcBorders>
              <w:top w:val="single" w:color="auto" w:sz="4" w:space="0"/>
              <w:left w:val="nil"/>
              <w:bottom w:val="nil"/>
              <w:right w:val="nil"/>
            </w:tcBorders>
            <w:vAlign w:val="center"/>
          </w:tcPr>
          <w:p w14:paraId="6E1D27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-2.66E-01</w:t>
            </w:r>
          </w:p>
        </w:tc>
        <w:tc>
          <w:tcPr>
            <w:tcW w:w="745" w:type="dxa"/>
            <w:tcBorders>
              <w:top w:val="single" w:color="auto" w:sz="4" w:space="0"/>
              <w:left w:val="nil"/>
              <w:bottom w:val="nil"/>
              <w:right w:val="nil"/>
            </w:tcBorders>
            <w:vAlign w:val="center"/>
          </w:tcPr>
          <w:p w14:paraId="2395DC7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1.05E+00</w:t>
            </w:r>
          </w:p>
        </w:tc>
        <w:tc>
          <w:tcPr>
            <w:tcW w:w="1169" w:type="dxa"/>
            <w:tcBorders>
              <w:top w:val="single" w:color="auto" w:sz="4" w:space="0"/>
              <w:left w:val="nil"/>
              <w:bottom w:val="nil"/>
              <w:right w:val="nil"/>
            </w:tcBorders>
            <w:vAlign w:val="center"/>
          </w:tcPr>
          <w:p w14:paraId="256C8AD6">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CO</w:t>
            </w:r>
            <w:r>
              <w:rPr>
                <w:rFonts w:ascii="Times New Roman" w:hAnsi="Times New Roman" w:eastAsia="宋体" w:cs="Times New Roman"/>
                <w:kern w:val="0"/>
                <w:sz w:val="16"/>
                <w:szCs w:val="16"/>
                <w:vertAlign w:val="subscript"/>
                <w:lang w:bidi="ar"/>
              </w:rPr>
              <w:t>2</w:t>
            </w:r>
            <w:r>
              <w:rPr>
                <w:rFonts w:ascii="Times New Roman" w:hAnsi="Times New Roman" w:eastAsia="宋体" w:cs="Times New Roman"/>
                <w:kern w:val="0"/>
                <w:sz w:val="16"/>
                <w:szCs w:val="16"/>
                <w:lang w:bidi="ar"/>
              </w:rPr>
              <w:t xml:space="preserve"> eq</w:t>
            </w:r>
          </w:p>
        </w:tc>
      </w:tr>
      <w:tr w14:paraId="15962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63CCE3C7">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754F72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Fine particulate matter formation</w:t>
            </w:r>
          </w:p>
        </w:tc>
        <w:tc>
          <w:tcPr>
            <w:tcW w:w="688" w:type="dxa"/>
            <w:tcBorders>
              <w:top w:val="nil"/>
              <w:left w:val="nil"/>
              <w:bottom w:val="nil"/>
              <w:right w:val="nil"/>
            </w:tcBorders>
            <w:vAlign w:val="center"/>
          </w:tcPr>
          <w:p w14:paraId="354A715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6.87E-04</w:t>
            </w:r>
          </w:p>
        </w:tc>
        <w:tc>
          <w:tcPr>
            <w:tcW w:w="688" w:type="dxa"/>
            <w:tcBorders>
              <w:top w:val="nil"/>
              <w:left w:val="nil"/>
              <w:bottom w:val="nil"/>
              <w:right w:val="nil"/>
            </w:tcBorders>
            <w:vAlign w:val="center"/>
          </w:tcPr>
          <w:p w14:paraId="08743D5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1.31E-03</w:t>
            </w:r>
          </w:p>
        </w:tc>
        <w:tc>
          <w:tcPr>
            <w:tcW w:w="688" w:type="dxa"/>
            <w:tcBorders>
              <w:top w:val="nil"/>
              <w:left w:val="nil"/>
              <w:bottom w:val="nil"/>
              <w:right w:val="nil"/>
            </w:tcBorders>
            <w:vAlign w:val="center"/>
          </w:tcPr>
          <w:p w14:paraId="661DA67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3.93E-05</w:t>
            </w:r>
          </w:p>
        </w:tc>
        <w:tc>
          <w:tcPr>
            <w:tcW w:w="745" w:type="dxa"/>
            <w:tcBorders>
              <w:top w:val="nil"/>
              <w:left w:val="nil"/>
              <w:bottom w:val="nil"/>
              <w:right w:val="nil"/>
            </w:tcBorders>
            <w:vAlign w:val="center"/>
          </w:tcPr>
          <w:p w14:paraId="023AB7F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-7.29E-04</w:t>
            </w:r>
          </w:p>
        </w:tc>
        <w:tc>
          <w:tcPr>
            <w:tcW w:w="745" w:type="dxa"/>
            <w:tcBorders>
              <w:top w:val="nil"/>
              <w:left w:val="nil"/>
              <w:bottom w:val="nil"/>
              <w:right w:val="nil"/>
            </w:tcBorders>
            <w:vAlign w:val="center"/>
          </w:tcPr>
          <w:p w14:paraId="285DDF1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1.31E-03</w:t>
            </w:r>
          </w:p>
        </w:tc>
        <w:tc>
          <w:tcPr>
            <w:tcW w:w="1169" w:type="dxa"/>
            <w:tcBorders>
              <w:top w:val="nil"/>
              <w:left w:val="nil"/>
              <w:bottom w:val="nil"/>
              <w:right w:val="nil"/>
            </w:tcBorders>
            <w:vAlign w:val="center"/>
          </w:tcPr>
          <w:p w14:paraId="44F093E3">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PM2.5 eq</w:t>
            </w:r>
          </w:p>
        </w:tc>
      </w:tr>
      <w:tr w14:paraId="7FB36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6153C0D1">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5DC4397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Fossil resource scarcity</w:t>
            </w:r>
          </w:p>
        </w:tc>
        <w:tc>
          <w:tcPr>
            <w:tcW w:w="688" w:type="dxa"/>
            <w:tcBorders>
              <w:top w:val="nil"/>
              <w:left w:val="nil"/>
              <w:bottom w:val="nil"/>
              <w:right w:val="nil"/>
            </w:tcBorders>
            <w:vAlign w:val="center"/>
          </w:tcPr>
          <w:p w14:paraId="76F8A7B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9.99E-02</w:t>
            </w:r>
          </w:p>
        </w:tc>
        <w:tc>
          <w:tcPr>
            <w:tcW w:w="688" w:type="dxa"/>
            <w:tcBorders>
              <w:top w:val="nil"/>
              <w:left w:val="nil"/>
              <w:bottom w:val="nil"/>
              <w:right w:val="nil"/>
            </w:tcBorders>
            <w:vAlign w:val="center"/>
          </w:tcPr>
          <w:p w14:paraId="74DD499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2.11E-01</w:t>
            </w:r>
          </w:p>
        </w:tc>
        <w:tc>
          <w:tcPr>
            <w:tcW w:w="688" w:type="dxa"/>
            <w:tcBorders>
              <w:top w:val="nil"/>
              <w:left w:val="nil"/>
              <w:bottom w:val="nil"/>
              <w:right w:val="nil"/>
            </w:tcBorders>
            <w:vAlign w:val="center"/>
          </w:tcPr>
          <w:p w14:paraId="211A0D3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3.32E-02</w:t>
            </w:r>
          </w:p>
        </w:tc>
        <w:tc>
          <w:tcPr>
            <w:tcW w:w="745" w:type="dxa"/>
            <w:tcBorders>
              <w:top w:val="nil"/>
              <w:left w:val="nil"/>
              <w:bottom w:val="nil"/>
              <w:right w:val="nil"/>
            </w:tcBorders>
            <w:vAlign w:val="center"/>
          </w:tcPr>
          <w:p w14:paraId="6600FA1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-5.18E-01</w:t>
            </w:r>
          </w:p>
        </w:tc>
        <w:tc>
          <w:tcPr>
            <w:tcW w:w="745" w:type="dxa"/>
            <w:tcBorders>
              <w:top w:val="nil"/>
              <w:left w:val="nil"/>
              <w:bottom w:val="nil"/>
              <w:right w:val="nil"/>
            </w:tcBorders>
            <w:vAlign w:val="center"/>
          </w:tcPr>
          <w:p w14:paraId="5EDA072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-1.74E-01</w:t>
            </w:r>
          </w:p>
        </w:tc>
        <w:tc>
          <w:tcPr>
            <w:tcW w:w="1169" w:type="dxa"/>
            <w:tcBorders>
              <w:top w:val="nil"/>
              <w:left w:val="nil"/>
              <w:bottom w:val="nil"/>
              <w:right w:val="nil"/>
            </w:tcBorders>
            <w:vAlign w:val="center"/>
          </w:tcPr>
          <w:p w14:paraId="4F3C89D2">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oil eq</w:t>
            </w:r>
          </w:p>
        </w:tc>
      </w:tr>
      <w:tr w14:paraId="5AA9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1A398492">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323D3BD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Freshwater ecotoxicity</w:t>
            </w:r>
          </w:p>
        </w:tc>
        <w:tc>
          <w:tcPr>
            <w:tcW w:w="688" w:type="dxa"/>
            <w:tcBorders>
              <w:top w:val="nil"/>
              <w:left w:val="nil"/>
              <w:bottom w:val="nil"/>
              <w:right w:val="nil"/>
            </w:tcBorders>
            <w:vAlign w:val="center"/>
          </w:tcPr>
          <w:p w14:paraId="0E0F94E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1.65E-02</w:t>
            </w:r>
          </w:p>
        </w:tc>
        <w:tc>
          <w:tcPr>
            <w:tcW w:w="688" w:type="dxa"/>
            <w:tcBorders>
              <w:top w:val="nil"/>
              <w:left w:val="nil"/>
              <w:bottom w:val="nil"/>
              <w:right w:val="nil"/>
            </w:tcBorders>
            <w:vAlign w:val="center"/>
          </w:tcPr>
          <w:p w14:paraId="56219A8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8.53E-03</w:t>
            </w:r>
          </w:p>
        </w:tc>
        <w:tc>
          <w:tcPr>
            <w:tcW w:w="688" w:type="dxa"/>
            <w:tcBorders>
              <w:top w:val="nil"/>
              <w:left w:val="nil"/>
              <w:bottom w:val="nil"/>
              <w:right w:val="nil"/>
            </w:tcBorders>
            <w:vAlign w:val="center"/>
          </w:tcPr>
          <w:p w14:paraId="512CEFD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1.15E-03</w:t>
            </w:r>
          </w:p>
        </w:tc>
        <w:tc>
          <w:tcPr>
            <w:tcW w:w="745" w:type="dxa"/>
            <w:tcBorders>
              <w:top w:val="nil"/>
              <w:left w:val="nil"/>
              <w:bottom w:val="nil"/>
              <w:right w:val="nil"/>
            </w:tcBorders>
            <w:vAlign w:val="center"/>
          </w:tcPr>
          <w:p w14:paraId="3D43823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-1.49E-02</w:t>
            </w:r>
          </w:p>
        </w:tc>
        <w:tc>
          <w:tcPr>
            <w:tcW w:w="745" w:type="dxa"/>
            <w:tcBorders>
              <w:top w:val="nil"/>
              <w:left w:val="nil"/>
              <w:bottom w:val="nil"/>
              <w:right w:val="nil"/>
            </w:tcBorders>
            <w:vAlign w:val="center"/>
          </w:tcPr>
          <w:p w14:paraId="3109F6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1.13E-02</w:t>
            </w:r>
          </w:p>
        </w:tc>
        <w:tc>
          <w:tcPr>
            <w:tcW w:w="1169" w:type="dxa"/>
            <w:tcBorders>
              <w:top w:val="nil"/>
              <w:left w:val="nil"/>
              <w:bottom w:val="nil"/>
              <w:right w:val="nil"/>
            </w:tcBorders>
            <w:vAlign w:val="center"/>
          </w:tcPr>
          <w:p w14:paraId="2E430A2D">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46C6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5ABDB803">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0F520DD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Freshwater eutrophication</w:t>
            </w:r>
          </w:p>
        </w:tc>
        <w:tc>
          <w:tcPr>
            <w:tcW w:w="688" w:type="dxa"/>
            <w:tcBorders>
              <w:top w:val="nil"/>
              <w:left w:val="nil"/>
              <w:bottom w:val="nil"/>
              <w:right w:val="nil"/>
            </w:tcBorders>
            <w:vAlign w:val="center"/>
          </w:tcPr>
          <w:p w14:paraId="6D58B13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1.40E-04</w:t>
            </w:r>
          </w:p>
        </w:tc>
        <w:tc>
          <w:tcPr>
            <w:tcW w:w="688" w:type="dxa"/>
            <w:tcBorders>
              <w:top w:val="nil"/>
              <w:left w:val="nil"/>
              <w:bottom w:val="nil"/>
              <w:right w:val="nil"/>
            </w:tcBorders>
            <w:vAlign w:val="center"/>
          </w:tcPr>
          <w:p w14:paraId="28E8A6C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1.31E-04</w:t>
            </w:r>
          </w:p>
        </w:tc>
        <w:tc>
          <w:tcPr>
            <w:tcW w:w="688" w:type="dxa"/>
            <w:tcBorders>
              <w:top w:val="nil"/>
              <w:left w:val="nil"/>
              <w:bottom w:val="nil"/>
              <w:right w:val="nil"/>
            </w:tcBorders>
            <w:vAlign w:val="center"/>
          </w:tcPr>
          <w:p w14:paraId="0C95F92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7.34E-06</w:t>
            </w:r>
          </w:p>
        </w:tc>
        <w:tc>
          <w:tcPr>
            <w:tcW w:w="745" w:type="dxa"/>
            <w:tcBorders>
              <w:top w:val="nil"/>
              <w:left w:val="nil"/>
              <w:bottom w:val="nil"/>
              <w:right w:val="nil"/>
            </w:tcBorders>
            <w:vAlign w:val="center"/>
          </w:tcPr>
          <w:p w14:paraId="25D3655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-5.99E-05</w:t>
            </w:r>
          </w:p>
        </w:tc>
        <w:tc>
          <w:tcPr>
            <w:tcW w:w="745" w:type="dxa"/>
            <w:tcBorders>
              <w:top w:val="nil"/>
              <w:left w:val="nil"/>
              <w:bottom w:val="nil"/>
              <w:right w:val="nil"/>
            </w:tcBorders>
            <w:vAlign w:val="center"/>
          </w:tcPr>
          <w:p w14:paraId="2B0E94B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2.19E-04</w:t>
            </w:r>
          </w:p>
        </w:tc>
        <w:tc>
          <w:tcPr>
            <w:tcW w:w="1169" w:type="dxa"/>
            <w:tcBorders>
              <w:top w:val="nil"/>
              <w:left w:val="nil"/>
              <w:bottom w:val="nil"/>
              <w:right w:val="nil"/>
            </w:tcBorders>
            <w:vAlign w:val="center"/>
          </w:tcPr>
          <w:p w14:paraId="67781F0D">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P eq</w:t>
            </w:r>
          </w:p>
        </w:tc>
      </w:tr>
      <w:tr w14:paraId="4BD3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5672B996">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6B7985D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Human carcinogenic toxicity</w:t>
            </w:r>
          </w:p>
        </w:tc>
        <w:tc>
          <w:tcPr>
            <w:tcW w:w="688" w:type="dxa"/>
            <w:tcBorders>
              <w:top w:val="nil"/>
              <w:left w:val="nil"/>
              <w:bottom w:val="nil"/>
              <w:right w:val="nil"/>
            </w:tcBorders>
            <w:vAlign w:val="center"/>
          </w:tcPr>
          <w:p w14:paraId="76A6F18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2.38E-02</w:t>
            </w:r>
          </w:p>
        </w:tc>
        <w:tc>
          <w:tcPr>
            <w:tcW w:w="688" w:type="dxa"/>
            <w:tcBorders>
              <w:top w:val="nil"/>
              <w:left w:val="nil"/>
              <w:bottom w:val="nil"/>
              <w:right w:val="nil"/>
            </w:tcBorders>
            <w:vAlign w:val="center"/>
          </w:tcPr>
          <w:p w14:paraId="4499B01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2.92E-02</w:t>
            </w:r>
          </w:p>
        </w:tc>
        <w:tc>
          <w:tcPr>
            <w:tcW w:w="688" w:type="dxa"/>
            <w:tcBorders>
              <w:top w:val="nil"/>
              <w:left w:val="nil"/>
              <w:bottom w:val="nil"/>
              <w:right w:val="nil"/>
            </w:tcBorders>
            <w:vAlign w:val="center"/>
          </w:tcPr>
          <w:p w14:paraId="5E2FD94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7.54E-03</w:t>
            </w:r>
          </w:p>
        </w:tc>
        <w:tc>
          <w:tcPr>
            <w:tcW w:w="745" w:type="dxa"/>
            <w:tcBorders>
              <w:top w:val="nil"/>
              <w:left w:val="nil"/>
              <w:bottom w:val="nil"/>
              <w:right w:val="nil"/>
            </w:tcBorders>
            <w:vAlign w:val="center"/>
          </w:tcPr>
          <w:p w14:paraId="71E43F6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-2.46E-02</w:t>
            </w:r>
          </w:p>
        </w:tc>
        <w:tc>
          <w:tcPr>
            <w:tcW w:w="745" w:type="dxa"/>
            <w:tcBorders>
              <w:top w:val="nil"/>
              <w:left w:val="nil"/>
              <w:bottom w:val="nil"/>
              <w:right w:val="nil"/>
            </w:tcBorders>
            <w:vAlign w:val="center"/>
          </w:tcPr>
          <w:p w14:paraId="01E5EC5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3.60E-02</w:t>
            </w:r>
          </w:p>
        </w:tc>
        <w:tc>
          <w:tcPr>
            <w:tcW w:w="1169" w:type="dxa"/>
            <w:tcBorders>
              <w:top w:val="nil"/>
              <w:left w:val="nil"/>
              <w:bottom w:val="nil"/>
              <w:right w:val="nil"/>
            </w:tcBorders>
            <w:vAlign w:val="center"/>
          </w:tcPr>
          <w:p w14:paraId="003730AF">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0901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76D8BE73">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7950752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Human non-carcinogenic toxicity</w:t>
            </w:r>
          </w:p>
        </w:tc>
        <w:tc>
          <w:tcPr>
            <w:tcW w:w="688" w:type="dxa"/>
            <w:tcBorders>
              <w:top w:val="nil"/>
              <w:left w:val="nil"/>
              <w:bottom w:val="nil"/>
              <w:right w:val="nil"/>
            </w:tcBorders>
            <w:vAlign w:val="center"/>
          </w:tcPr>
          <w:p w14:paraId="5021A6F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3.47E-01</w:t>
            </w:r>
          </w:p>
        </w:tc>
        <w:tc>
          <w:tcPr>
            <w:tcW w:w="688" w:type="dxa"/>
            <w:tcBorders>
              <w:top w:val="nil"/>
              <w:left w:val="nil"/>
              <w:bottom w:val="nil"/>
              <w:right w:val="nil"/>
            </w:tcBorders>
            <w:vAlign w:val="center"/>
          </w:tcPr>
          <w:p w14:paraId="0D44160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3.33E-01</w:t>
            </w:r>
          </w:p>
        </w:tc>
        <w:tc>
          <w:tcPr>
            <w:tcW w:w="688" w:type="dxa"/>
            <w:tcBorders>
              <w:top w:val="nil"/>
              <w:left w:val="nil"/>
              <w:bottom w:val="nil"/>
              <w:right w:val="nil"/>
            </w:tcBorders>
            <w:vAlign w:val="center"/>
          </w:tcPr>
          <w:p w14:paraId="0709B8E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1.50E-02</w:t>
            </w:r>
          </w:p>
        </w:tc>
        <w:tc>
          <w:tcPr>
            <w:tcW w:w="745" w:type="dxa"/>
            <w:tcBorders>
              <w:top w:val="nil"/>
              <w:left w:val="nil"/>
              <w:bottom w:val="nil"/>
              <w:right w:val="nil"/>
            </w:tcBorders>
            <w:vAlign w:val="center"/>
          </w:tcPr>
          <w:p w14:paraId="03B18CE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-2.64E-01</w:t>
            </w:r>
          </w:p>
        </w:tc>
        <w:tc>
          <w:tcPr>
            <w:tcW w:w="745" w:type="dxa"/>
            <w:tcBorders>
              <w:top w:val="nil"/>
              <w:left w:val="nil"/>
              <w:bottom w:val="nil"/>
              <w:right w:val="nil"/>
            </w:tcBorders>
            <w:vAlign w:val="center"/>
          </w:tcPr>
          <w:p w14:paraId="66B0A75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4.31E-01</w:t>
            </w:r>
          </w:p>
        </w:tc>
        <w:tc>
          <w:tcPr>
            <w:tcW w:w="1169" w:type="dxa"/>
            <w:tcBorders>
              <w:top w:val="nil"/>
              <w:left w:val="nil"/>
              <w:bottom w:val="nil"/>
              <w:right w:val="nil"/>
            </w:tcBorders>
            <w:vAlign w:val="center"/>
          </w:tcPr>
          <w:p w14:paraId="69D6125D">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1F98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7028C74E">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49C24F6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Ionizing radiation</w:t>
            </w:r>
          </w:p>
        </w:tc>
        <w:tc>
          <w:tcPr>
            <w:tcW w:w="688" w:type="dxa"/>
            <w:tcBorders>
              <w:top w:val="nil"/>
              <w:left w:val="nil"/>
              <w:bottom w:val="nil"/>
              <w:right w:val="nil"/>
            </w:tcBorders>
            <w:vAlign w:val="center"/>
          </w:tcPr>
          <w:p w14:paraId="5486F04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2.40E-02</w:t>
            </w:r>
          </w:p>
        </w:tc>
        <w:tc>
          <w:tcPr>
            <w:tcW w:w="688" w:type="dxa"/>
            <w:tcBorders>
              <w:top w:val="nil"/>
              <w:left w:val="nil"/>
              <w:bottom w:val="nil"/>
              <w:right w:val="nil"/>
            </w:tcBorders>
            <w:vAlign w:val="center"/>
          </w:tcPr>
          <w:p w14:paraId="1DD90F6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2.47E-02</w:t>
            </w:r>
          </w:p>
        </w:tc>
        <w:tc>
          <w:tcPr>
            <w:tcW w:w="688" w:type="dxa"/>
            <w:tcBorders>
              <w:top w:val="nil"/>
              <w:left w:val="nil"/>
              <w:bottom w:val="nil"/>
              <w:right w:val="nil"/>
            </w:tcBorders>
            <w:vAlign w:val="center"/>
          </w:tcPr>
          <w:p w14:paraId="113B2D4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5.36E-04</w:t>
            </w:r>
          </w:p>
        </w:tc>
        <w:tc>
          <w:tcPr>
            <w:tcW w:w="745" w:type="dxa"/>
            <w:tcBorders>
              <w:top w:val="nil"/>
              <w:left w:val="nil"/>
              <w:bottom w:val="nil"/>
              <w:right w:val="nil"/>
            </w:tcBorders>
            <w:vAlign w:val="center"/>
          </w:tcPr>
          <w:p w14:paraId="7AC33AB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-1.84E-02</w:t>
            </w:r>
          </w:p>
        </w:tc>
        <w:tc>
          <w:tcPr>
            <w:tcW w:w="745" w:type="dxa"/>
            <w:tcBorders>
              <w:top w:val="nil"/>
              <w:left w:val="nil"/>
              <w:bottom w:val="nil"/>
              <w:right w:val="nil"/>
            </w:tcBorders>
            <w:vAlign w:val="center"/>
          </w:tcPr>
          <w:p w14:paraId="38A2596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3.08E-02</w:t>
            </w:r>
          </w:p>
        </w:tc>
        <w:tc>
          <w:tcPr>
            <w:tcW w:w="1169" w:type="dxa"/>
            <w:tcBorders>
              <w:top w:val="nil"/>
              <w:left w:val="nil"/>
              <w:bottom w:val="nil"/>
              <w:right w:val="nil"/>
            </w:tcBorders>
            <w:vAlign w:val="center"/>
          </w:tcPr>
          <w:p w14:paraId="0ADE9B85">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kBq Co-60 eq</w:t>
            </w:r>
          </w:p>
        </w:tc>
      </w:tr>
      <w:tr w14:paraId="301A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0F0C60CE">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36A5DDD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Land use</w:t>
            </w:r>
          </w:p>
        </w:tc>
        <w:tc>
          <w:tcPr>
            <w:tcW w:w="688" w:type="dxa"/>
            <w:tcBorders>
              <w:top w:val="nil"/>
              <w:left w:val="nil"/>
              <w:bottom w:val="nil"/>
              <w:right w:val="nil"/>
            </w:tcBorders>
            <w:vAlign w:val="center"/>
          </w:tcPr>
          <w:p w14:paraId="24AECDD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4.51E-03</w:t>
            </w:r>
          </w:p>
        </w:tc>
        <w:tc>
          <w:tcPr>
            <w:tcW w:w="688" w:type="dxa"/>
            <w:tcBorders>
              <w:top w:val="nil"/>
              <w:left w:val="nil"/>
              <w:bottom w:val="nil"/>
              <w:right w:val="nil"/>
            </w:tcBorders>
            <w:vAlign w:val="center"/>
          </w:tcPr>
          <w:p w14:paraId="02350D8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1.67E-03</w:t>
            </w:r>
          </w:p>
        </w:tc>
        <w:tc>
          <w:tcPr>
            <w:tcW w:w="688" w:type="dxa"/>
            <w:tcBorders>
              <w:top w:val="nil"/>
              <w:left w:val="nil"/>
              <w:bottom w:val="nil"/>
              <w:right w:val="nil"/>
            </w:tcBorders>
            <w:vAlign w:val="center"/>
          </w:tcPr>
          <w:p w14:paraId="0EA8A7A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3.18E-03</w:t>
            </w:r>
          </w:p>
        </w:tc>
        <w:tc>
          <w:tcPr>
            <w:tcW w:w="745" w:type="dxa"/>
            <w:tcBorders>
              <w:top w:val="nil"/>
              <w:left w:val="nil"/>
              <w:bottom w:val="nil"/>
              <w:right w:val="nil"/>
            </w:tcBorders>
            <w:vAlign w:val="center"/>
          </w:tcPr>
          <w:p w14:paraId="4439D6C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-4.43E-03</w:t>
            </w:r>
          </w:p>
        </w:tc>
        <w:tc>
          <w:tcPr>
            <w:tcW w:w="745" w:type="dxa"/>
            <w:tcBorders>
              <w:top w:val="nil"/>
              <w:left w:val="nil"/>
              <w:bottom w:val="nil"/>
              <w:right w:val="nil"/>
            </w:tcBorders>
            <w:vAlign w:val="center"/>
          </w:tcPr>
          <w:p w14:paraId="41024D8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4.94E-03</w:t>
            </w:r>
          </w:p>
        </w:tc>
        <w:tc>
          <w:tcPr>
            <w:tcW w:w="1169" w:type="dxa"/>
            <w:tcBorders>
              <w:top w:val="nil"/>
              <w:left w:val="nil"/>
              <w:bottom w:val="nil"/>
              <w:right w:val="nil"/>
            </w:tcBorders>
            <w:vAlign w:val="center"/>
          </w:tcPr>
          <w:p w14:paraId="5B4EB97D">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m</w:t>
            </w:r>
            <w:r>
              <w:rPr>
                <w:rFonts w:ascii="Times New Roman" w:hAnsi="Times New Roman" w:eastAsia="宋体" w:cs="Times New Roman"/>
                <w:kern w:val="0"/>
                <w:sz w:val="16"/>
                <w:szCs w:val="16"/>
                <w:vertAlign w:val="superscript"/>
                <w:lang w:bidi="ar"/>
              </w:rPr>
              <w:t>2</w:t>
            </w:r>
            <w:r>
              <w:rPr>
                <w:rFonts w:ascii="Times New Roman" w:hAnsi="Times New Roman" w:eastAsia="宋体" w:cs="Times New Roman"/>
                <w:kern w:val="0"/>
                <w:sz w:val="16"/>
                <w:szCs w:val="16"/>
                <w:lang w:bidi="ar"/>
              </w:rPr>
              <w:t>a crop eq</w:t>
            </w:r>
          </w:p>
        </w:tc>
      </w:tr>
      <w:tr w14:paraId="3BD2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6EEFE44C">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4DA80B6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Marine ecotoxicity</w:t>
            </w:r>
          </w:p>
        </w:tc>
        <w:tc>
          <w:tcPr>
            <w:tcW w:w="688" w:type="dxa"/>
            <w:tcBorders>
              <w:top w:val="nil"/>
              <w:left w:val="nil"/>
              <w:bottom w:val="nil"/>
              <w:right w:val="nil"/>
            </w:tcBorders>
            <w:vAlign w:val="center"/>
          </w:tcPr>
          <w:p w14:paraId="025E11ED">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2.15E-02</w:t>
            </w:r>
          </w:p>
        </w:tc>
        <w:tc>
          <w:tcPr>
            <w:tcW w:w="688" w:type="dxa"/>
            <w:tcBorders>
              <w:top w:val="nil"/>
              <w:left w:val="nil"/>
              <w:bottom w:val="nil"/>
              <w:right w:val="nil"/>
            </w:tcBorders>
            <w:vAlign w:val="center"/>
          </w:tcPr>
          <w:p w14:paraId="6E90A3F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1.19E-02</w:t>
            </w:r>
          </w:p>
        </w:tc>
        <w:tc>
          <w:tcPr>
            <w:tcW w:w="688" w:type="dxa"/>
            <w:tcBorders>
              <w:top w:val="nil"/>
              <w:left w:val="nil"/>
              <w:bottom w:val="nil"/>
              <w:right w:val="nil"/>
            </w:tcBorders>
            <w:vAlign w:val="center"/>
          </w:tcPr>
          <w:p w14:paraId="033B588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1.67E-03</w:t>
            </w:r>
          </w:p>
        </w:tc>
        <w:tc>
          <w:tcPr>
            <w:tcW w:w="745" w:type="dxa"/>
            <w:tcBorders>
              <w:top w:val="nil"/>
              <w:left w:val="nil"/>
              <w:bottom w:val="nil"/>
              <w:right w:val="nil"/>
            </w:tcBorders>
            <w:vAlign w:val="center"/>
          </w:tcPr>
          <w:p w14:paraId="2BF291A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-2.00E-02</w:t>
            </w:r>
          </w:p>
        </w:tc>
        <w:tc>
          <w:tcPr>
            <w:tcW w:w="745" w:type="dxa"/>
            <w:tcBorders>
              <w:top w:val="nil"/>
              <w:left w:val="nil"/>
              <w:bottom w:val="nil"/>
              <w:right w:val="nil"/>
            </w:tcBorders>
            <w:vAlign w:val="center"/>
          </w:tcPr>
          <w:p w14:paraId="553E07B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1.50E-02</w:t>
            </w:r>
          </w:p>
        </w:tc>
        <w:tc>
          <w:tcPr>
            <w:tcW w:w="1169" w:type="dxa"/>
            <w:tcBorders>
              <w:top w:val="nil"/>
              <w:left w:val="nil"/>
              <w:bottom w:val="nil"/>
              <w:right w:val="nil"/>
            </w:tcBorders>
            <w:vAlign w:val="center"/>
          </w:tcPr>
          <w:p w14:paraId="01ADC93D">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3D86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72D9C547">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42681D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Marine eutrophication</w:t>
            </w:r>
          </w:p>
        </w:tc>
        <w:tc>
          <w:tcPr>
            <w:tcW w:w="688" w:type="dxa"/>
            <w:tcBorders>
              <w:top w:val="nil"/>
              <w:left w:val="nil"/>
              <w:bottom w:val="nil"/>
              <w:right w:val="nil"/>
            </w:tcBorders>
            <w:vAlign w:val="center"/>
          </w:tcPr>
          <w:p w14:paraId="4B879CD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1.53E-05</w:t>
            </w:r>
          </w:p>
        </w:tc>
        <w:tc>
          <w:tcPr>
            <w:tcW w:w="688" w:type="dxa"/>
            <w:tcBorders>
              <w:top w:val="nil"/>
              <w:left w:val="nil"/>
              <w:bottom w:val="nil"/>
              <w:right w:val="nil"/>
            </w:tcBorders>
            <w:vAlign w:val="center"/>
          </w:tcPr>
          <w:p w14:paraId="5C8138E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9.00E-06</w:t>
            </w:r>
          </w:p>
        </w:tc>
        <w:tc>
          <w:tcPr>
            <w:tcW w:w="688" w:type="dxa"/>
            <w:tcBorders>
              <w:top w:val="nil"/>
              <w:left w:val="nil"/>
              <w:bottom w:val="nil"/>
              <w:right w:val="nil"/>
            </w:tcBorders>
            <w:vAlign w:val="center"/>
          </w:tcPr>
          <w:p w14:paraId="1622C30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6.90E-07</w:t>
            </w:r>
          </w:p>
        </w:tc>
        <w:tc>
          <w:tcPr>
            <w:tcW w:w="745" w:type="dxa"/>
            <w:tcBorders>
              <w:top w:val="nil"/>
              <w:left w:val="nil"/>
              <w:bottom w:val="nil"/>
              <w:right w:val="nil"/>
            </w:tcBorders>
            <w:vAlign w:val="center"/>
          </w:tcPr>
          <w:p w14:paraId="79F916E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-1.44E-05</w:t>
            </w:r>
          </w:p>
        </w:tc>
        <w:tc>
          <w:tcPr>
            <w:tcW w:w="745" w:type="dxa"/>
            <w:tcBorders>
              <w:top w:val="nil"/>
              <w:left w:val="nil"/>
              <w:bottom w:val="nil"/>
              <w:right w:val="nil"/>
            </w:tcBorders>
            <w:vAlign w:val="center"/>
          </w:tcPr>
          <w:p w14:paraId="53D2FA3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1.06E-05</w:t>
            </w:r>
          </w:p>
        </w:tc>
        <w:tc>
          <w:tcPr>
            <w:tcW w:w="1169" w:type="dxa"/>
            <w:tcBorders>
              <w:top w:val="nil"/>
              <w:left w:val="nil"/>
              <w:bottom w:val="nil"/>
              <w:right w:val="nil"/>
            </w:tcBorders>
            <w:vAlign w:val="center"/>
          </w:tcPr>
          <w:p w14:paraId="53E70B67">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N eq</w:t>
            </w:r>
          </w:p>
        </w:tc>
      </w:tr>
      <w:tr w14:paraId="389B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1A889A47">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0C59FC2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Mineral resource scarcity</w:t>
            </w:r>
          </w:p>
        </w:tc>
        <w:tc>
          <w:tcPr>
            <w:tcW w:w="688" w:type="dxa"/>
            <w:tcBorders>
              <w:top w:val="nil"/>
              <w:left w:val="nil"/>
              <w:bottom w:val="nil"/>
              <w:right w:val="nil"/>
            </w:tcBorders>
            <w:vAlign w:val="center"/>
          </w:tcPr>
          <w:p w14:paraId="1278E7A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9.35E-04</w:t>
            </w:r>
          </w:p>
        </w:tc>
        <w:tc>
          <w:tcPr>
            <w:tcW w:w="688" w:type="dxa"/>
            <w:tcBorders>
              <w:top w:val="nil"/>
              <w:left w:val="nil"/>
              <w:bottom w:val="nil"/>
              <w:right w:val="nil"/>
            </w:tcBorders>
            <w:vAlign w:val="center"/>
          </w:tcPr>
          <w:p w14:paraId="0ACB116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2.93E-04</w:t>
            </w:r>
          </w:p>
        </w:tc>
        <w:tc>
          <w:tcPr>
            <w:tcW w:w="688" w:type="dxa"/>
            <w:tcBorders>
              <w:top w:val="nil"/>
              <w:left w:val="nil"/>
              <w:bottom w:val="nil"/>
              <w:right w:val="nil"/>
            </w:tcBorders>
            <w:vAlign w:val="center"/>
          </w:tcPr>
          <w:p w14:paraId="4F7F284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5.43E-04</w:t>
            </w:r>
          </w:p>
        </w:tc>
        <w:tc>
          <w:tcPr>
            <w:tcW w:w="745" w:type="dxa"/>
            <w:tcBorders>
              <w:top w:val="nil"/>
              <w:left w:val="nil"/>
              <w:bottom w:val="nil"/>
              <w:right w:val="nil"/>
            </w:tcBorders>
            <w:vAlign w:val="center"/>
          </w:tcPr>
          <w:p w14:paraId="4170C94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-1.19E-03</w:t>
            </w:r>
          </w:p>
        </w:tc>
        <w:tc>
          <w:tcPr>
            <w:tcW w:w="745" w:type="dxa"/>
            <w:tcBorders>
              <w:top w:val="nil"/>
              <w:left w:val="nil"/>
              <w:bottom w:val="nil"/>
              <w:right w:val="nil"/>
            </w:tcBorders>
            <w:vAlign w:val="center"/>
          </w:tcPr>
          <w:p w14:paraId="102B320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5.85E-04</w:t>
            </w:r>
          </w:p>
        </w:tc>
        <w:tc>
          <w:tcPr>
            <w:tcW w:w="1169" w:type="dxa"/>
            <w:tcBorders>
              <w:top w:val="nil"/>
              <w:left w:val="nil"/>
              <w:bottom w:val="nil"/>
              <w:right w:val="nil"/>
            </w:tcBorders>
            <w:vAlign w:val="center"/>
          </w:tcPr>
          <w:p w14:paraId="51A099D2">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Cu eq</w:t>
            </w:r>
          </w:p>
        </w:tc>
      </w:tr>
      <w:tr w14:paraId="0CAE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12AE28F9">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5D83374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Ozone formation, Human health</w:t>
            </w:r>
          </w:p>
        </w:tc>
        <w:tc>
          <w:tcPr>
            <w:tcW w:w="688" w:type="dxa"/>
            <w:tcBorders>
              <w:top w:val="nil"/>
              <w:left w:val="nil"/>
              <w:bottom w:val="nil"/>
              <w:right w:val="nil"/>
            </w:tcBorders>
            <w:vAlign w:val="center"/>
          </w:tcPr>
          <w:p w14:paraId="75C137B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7.66E-04</w:t>
            </w:r>
          </w:p>
        </w:tc>
        <w:tc>
          <w:tcPr>
            <w:tcW w:w="688" w:type="dxa"/>
            <w:tcBorders>
              <w:top w:val="nil"/>
              <w:left w:val="nil"/>
              <w:bottom w:val="nil"/>
              <w:right w:val="nil"/>
            </w:tcBorders>
            <w:vAlign w:val="center"/>
          </w:tcPr>
          <w:p w14:paraId="72A385E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2.07E-03</w:t>
            </w:r>
          </w:p>
        </w:tc>
        <w:tc>
          <w:tcPr>
            <w:tcW w:w="688" w:type="dxa"/>
            <w:tcBorders>
              <w:top w:val="nil"/>
              <w:left w:val="nil"/>
              <w:bottom w:val="nil"/>
              <w:right w:val="nil"/>
            </w:tcBorders>
            <w:vAlign w:val="center"/>
          </w:tcPr>
          <w:p w14:paraId="214242F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8.41E-05</w:t>
            </w:r>
          </w:p>
        </w:tc>
        <w:tc>
          <w:tcPr>
            <w:tcW w:w="745" w:type="dxa"/>
            <w:tcBorders>
              <w:top w:val="nil"/>
              <w:left w:val="nil"/>
              <w:bottom w:val="nil"/>
              <w:right w:val="nil"/>
            </w:tcBorders>
            <w:vAlign w:val="center"/>
          </w:tcPr>
          <w:p w14:paraId="1765284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-1.03E-03</w:t>
            </w:r>
          </w:p>
        </w:tc>
        <w:tc>
          <w:tcPr>
            <w:tcW w:w="745" w:type="dxa"/>
            <w:tcBorders>
              <w:top w:val="nil"/>
              <w:left w:val="nil"/>
              <w:bottom w:val="nil"/>
              <w:right w:val="nil"/>
            </w:tcBorders>
            <w:vAlign w:val="center"/>
          </w:tcPr>
          <w:p w14:paraId="4489FC5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1.89E-03</w:t>
            </w:r>
          </w:p>
        </w:tc>
        <w:tc>
          <w:tcPr>
            <w:tcW w:w="1169" w:type="dxa"/>
            <w:tcBorders>
              <w:top w:val="nil"/>
              <w:left w:val="nil"/>
              <w:bottom w:val="nil"/>
              <w:right w:val="nil"/>
            </w:tcBorders>
            <w:vAlign w:val="center"/>
          </w:tcPr>
          <w:p w14:paraId="33C72CD9">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NOx eq</w:t>
            </w:r>
          </w:p>
        </w:tc>
      </w:tr>
      <w:tr w14:paraId="1DB92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4F64185B">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461FEC1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Ozone formation, Terrestrial ecosystems</w:t>
            </w:r>
          </w:p>
        </w:tc>
        <w:tc>
          <w:tcPr>
            <w:tcW w:w="688" w:type="dxa"/>
            <w:tcBorders>
              <w:top w:val="nil"/>
              <w:left w:val="nil"/>
              <w:bottom w:val="nil"/>
              <w:right w:val="nil"/>
            </w:tcBorders>
            <w:vAlign w:val="center"/>
          </w:tcPr>
          <w:p w14:paraId="75EEC50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7.76E-04</w:t>
            </w:r>
          </w:p>
        </w:tc>
        <w:tc>
          <w:tcPr>
            <w:tcW w:w="688" w:type="dxa"/>
            <w:tcBorders>
              <w:top w:val="nil"/>
              <w:left w:val="nil"/>
              <w:bottom w:val="nil"/>
              <w:right w:val="nil"/>
            </w:tcBorders>
            <w:vAlign w:val="center"/>
          </w:tcPr>
          <w:p w14:paraId="7D49F0A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2.08E-03</w:t>
            </w:r>
          </w:p>
        </w:tc>
        <w:tc>
          <w:tcPr>
            <w:tcW w:w="688" w:type="dxa"/>
            <w:tcBorders>
              <w:top w:val="nil"/>
              <w:left w:val="nil"/>
              <w:bottom w:val="nil"/>
              <w:right w:val="nil"/>
            </w:tcBorders>
            <w:vAlign w:val="center"/>
          </w:tcPr>
          <w:p w14:paraId="1AA6E6D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8.93E-05</w:t>
            </w:r>
          </w:p>
        </w:tc>
        <w:tc>
          <w:tcPr>
            <w:tcW w:w="745" w:type="dxa"/>
            <w:tcBorders>
              <w:top w:val="nil"/>
              <w:left w:val="nil"/>
              <w:bottom w:val="nil"/>
              <w:right w:val="nil"/>
            </w:tcBorders>
            <w:vAlign w:val="center"/>
          </w:tcPr>
          <w:p w14:paraId="56B8B1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-1.09E-03</w:t>
            </w:r>
          </w:p>
        </w:tc>
        <w:tc>
          <w:tcPr>
            <w:tcW w:w="745" w:type="dxa"/>
            <w:tcBorders>
              <w:top w:val="nil"/>
              <w:left w:val="nil"/>
              <w:bottom w:val="nil"/>
              <w:right w:val="nil"/>
            </w:tcBorders>
            <w:vAlign w:val="center"/>
          </w:tcPr>
          <w:p w14:paraId="31B569C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1.86E-03</w:t>
            </w:r>
          </w:p>
        </w:tc>
        <w:tc>
          <w:tcPr>
            <w:tcW w:w="1169" w:type="dxa"/>
            <w:tcBorders>
              <w:top w:val="nil"/>
              <w:left w:val="nil"/>
              <w:bottom w:val="nil"/>
              <w:right w:val="nil"/>
            </w:tcBorders>
            <w:vAlign w:val="center"/>
          </w:tcPr>
          <w:p w14:paraId="0C553D75">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NOx eq</w:t>
            </w:r>
          </w:p>
        </w:tc>
      </w:tr>
      <w:tr w14:paraId="3C1C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08D3C1CD">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1987990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Stratospheric ozone depletion</w:t>
            </w:r>
          </w:p>
        </w:tc>
        <w:tc>
          <w:tcPr>
            <w:tcW w:w="688" w:type="dxa"/>
            <w:tcBorders>
              <w:top w:val="nil"/>
              <w:left w:val="nil"/>
              <w:bottom w:val="nil"/>
              <w:right w:val="nil"/>
            </w:tcBorders>
            <w:vAlign w:val="center"/>
          </w:tcPr>
          <w:p w14:paraId="1F14468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3.17E-07</w:t>
            </w:r>
          </w:p>
        </w:tc>
        <w:tc>
          <w:tcPr>
            <w:tcW w:w="688" w:type="dxa"/>
            <w:tcBorders>
              <w:top w:val="nil"/>
              <w:left w:val="nil"/>
              <w:bottom w:val="nil"/>
              <w:right w:val="nil"/>
            </w:tcBorders>
            <w:vAlign w:val="center"/>
          </w:tcPr>
          <w:p w14:paraId="04099BB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1.66E-07</w:t>
            </w:r>
          </w:p>
        </w:tc>
        <w:tc>
          <w:tcPr>
            <w:tcW w:w="688" w:type="dxa"/>
            <w:tcBorders>
              <w:top w:val="nil"/>
              <w:left w:val="nil"/>
              <w:bottom w:val="nil"/>
              <w:right w:val="nil"/>
            </w:tcBorders>
            <w:vAlign w:val="center"/>
          </w:tcPr>
          <w:p w14:paraId="6618F5D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2.69E-08</w:t>
            </w:r>
          </w:p>
        </w:tc>
        <w:tc>
          <w:tcPr>
            <w:tcW w:w="745" w:type="dxa"/>
            <w:tcBorders>
              <w:top w:val="nil"/>
              <w:left w:val="nil"/>
              <w:bottom w:val="nil"/>
              <w:right w:val="nil"/>
            </w:tcBorders>
            <w:vAlign w:val="center"/>
          </w:tcPr>
          <w:p w14:paraId="0452C33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-3.93E-07</w:t>
            </w:r>
          </w:p>
        </w:tc>
        <w:tc>
          <w:tcPr>
            <w:tcW w:w="745" w:type="dxa"/>
            <w:tcBorders>
              <w:top w:val="nil"/>
              <w:left w:val="nil"/>
              <w:bottom w:val="nil"/>
              <w:right w:val="nil"/>
            </w:tcBorders>
            <w:vAlign w:val="center"/>
          </w:tcPr>
          <w:p w14:paraId="5929292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1.17E-07</w:t>
            </w:r>
          </w:p>
        </w:tc>
        <w:tc>
          <w:tcPr>
            <w:tcW w:w="1169" w:type="dxa"/>
            <w:tcBorders>
              <w:top w:val="nil"/>
              <w:left w:val="nil"/>
              <w:bottom w:val="nil"/>
              <w:right w:val="nil"/>
            </w:tcBorders>
            <w:vAlign w:val="center"/>
          </w:tcPr>
          <w:p w14:paraId="2D1537E3">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CFC11 eq</w:t>
            </w:r>
          </w:p>
        </w:tc>
      </w:tr>
      <w:tr w14:paraId="61DD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724996F6">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2BCE5BE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Terrestrial acidification</w:t>
            </w:r>
          </w:p>
        </w:tc>
        <w:tc>
          <w:tcPr>
            <w:tcW w:w="688" w:type="dxa"/>
            <w:tcBorders>
              <w:top w:val="nil"/>
              <w:left w:val="nil"/>
              <w:bottom w:val="nil"/>
              <w:right w:val="nil"/>
            </w:tcBorders>
            <w:vAlign w:val="center"/>
          </w:tcPr>
          <w:p w14:paraId="17BEDC5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1.12E-03</w:t>
            </w:r>
          </w:p>
        </w:tc>
        <w:tc>
          <w:tcPr>
            <w:tcW w:w="688" w:type="dxa"/>
            <w:tcBorders>
              <w:top w:val="nil"/>
              <w:left w:val="nil"/>
              <w:bottom w:val="nil"/>
              <w:right w:val="nil"/>
            </w:tcBorders>
            <w:vAlign w:val="center"/>
          </w:tcPr>
          <w:p w14:paraId="7E10D98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2.63E-03</w:t>
            </w:r>
          </w:p>
        </w:tc>
        <w:tc>
          <w:tcPr>
            <w:tcW w:w="688" w:type="dxa"/>
            <w:tcBorders>
              <w:top w:val="nil"/>
              <w:left w:val="nil"/>
              <w:bottom w:val="nil"/>
              <w:right w:val="nil"/>
            </w:tcBorders>
            <w:vAlign w:val="center"/>
          </w:tcPr>
          <w:p w14:paraId="4478F5D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8.06E-05</w:t>
            </w:r>
          </w:p>
        </w:tc>
        <w:tc>
          <w:tcPr>
            <w:tcW w:w="745" w:type="dxa"/>
            <w:tcBorders>
              <w:top w:val="nil"/>
              <w:left w:val="nil"/>
              <w:bottom w:val="nil"/>
              <w:right w:val="nil"/>
            </w:tcBorders>
            <w:vAlign w:val="center"/>
          </w:tcPr>
          <w:p w14:paraId="75BC654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-1.96E-03</w:t>
            </w:r>
          </w:p>
        </w:tc>
        <w:tc>
          <w:tcPr>
            <w:tcW w:w="745" w:type="dxa"/>
            <w:tcBorders>
              <w:top w:val="nil"/>
              <w:left w:val="nil"/>
              <w:bottom w:val="nil"/>
              <w:right w:val="nil"/>
            </w:tcBorders>
            <w:vAlign w:val="center"/>
          </w:tcPr>
          <w:p w14:paraId="4C43799E">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1.87E-03</w:t>
            </w:r>
          </w:p>
        </w:tc>
        <w:tc>
          <w:tcPr>
            <w:tcW w:w="1169" w:type="dxa"/>
            <w:tcBorders>
              <w:top w:val="nil"/>
              <w:left w:val="nil"/>
              <w:bottom w:val="nil"/>
              <w:right w:val="nil"/>
            </w:tcBorders>
            <w:vAlign w:val="center"/>
          </w:tcPr>
          <w:p w14:paraId="59A34DC1">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SO</w:t>
            </w:r>
            <w:r>
              <w:rPr>
                <w:rFonts w:ascii="Times New Roman" w:hAnsi="Times New Roman" w:eastAsia="宋体" w:cs="Times New Roman"/>
                <w:kern w:val="0"/>
                <w:sz w:val="16"/>
                <w:szCs w:val="16"/>
                <w:vertAlign w:val="subscript"/>
                <w:lang w:bidi="ar"/>
              </w:rPr>
              <w:t>2</w:t>
            </w:r>
            <w:r>
              <w:rPr>
                <w:rFonts w:ascii="Times New Roman" w:hAnsi="Times New Roman" w:eastAsia="宋体" w:cs="Times New Roman"/>
                <w:kern w:val="0"/>
                <w:sz w:val="16"/>
                <w:szCs w:val="16"/>
                <w:lang w:bidi="ar"/>
              </w:rPr>
              <w:t xml:space="preserve"> eq</w:t>
            </w:r>
          </w:p>
        </w:tc>
      </w:tr>
      <w:tr w14:paraId="5EB3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38821BED">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2BF3483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Terrestrial ecotoxicity</w:t>
            </w:r>
          </w:p>
        </w:tc>
        <w:tc>
          <w:tcPr>
            <w:tcW w:w="688" w:type="dxa"/>
            <w:tcBorders>
              <w:top w:val="nil"/>
              <w:left w:val="nil"/>
              <w:bottom w:val="nil"/>
              <w:right w:val="nil"/>
            </w:tcBorders>
            <w:vAlign w:val="center"/>
          </w:tcPr>
          <w:p w14:paraId="3B9358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5.01E-01</w:t>
            </w:r>
          </w:p>
        </w:tc>
        <w:tc>
          <w:tcPr>
            <w:tcW w:w="688" w:type="dxa"/>
            <w:tcBorders>
              <w:top w:val="nil"/>
              <w:left w:val="nil"/>
              <w:bottom w:val="nil"/>
              <w:right w:val="nil"/>
            </w:tcBorders>
            <w:vAlign w:val="center"/>
          </w:tcPr>
          <w:p w14:paraId="51029A8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3.59E-01</w:t>
            </w:r>
          </w:p>
        </w:tc>
        <w:tc>
          <w:tcPr>
            <w:tcW w:w="688" w:type="dxa"/>
            <w:tcBorders>
              <w:top w:val="nil"/>
              <w:left w:val="nil"/>
              <w:bottom w:val="nil"/>
              <w:right w:val="nil"/>
            </w:tcBorders>
            <w:vAlign w:val="center"/>
          </w:tcPr>
          <w:p w14:paraId="5FF66B4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2.55E-02</w:t>
            </w:r>
          </w:p>
        </w:tc>
        <w:tc>
          <w:tcPr>
            <w:tcW w:w="745" w:type="dxa"/>
            <w:tcBorders>
              <w:top w:val="nil"/>
              <w:left w:val="nil"/>
              <w:bottom w:val="nil"/>
              <w:right w:val="nil"/>
            </w:tcBorders>
            <w:vAlign w:val="center"/>
          </w:tcPr>
          <w:p w14:paraId="04688A2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-7.18E-01</w:t>
            </w:r>
          </w:p>
        </w:tc>
        <w:tc>
          <w:tcPr>
            <w:tcW w:w="745" w:type="dxa"/>
            <w:tcBorders>
              <w:top w:val="nil"/>
              <w:left w:val="nil"/>
              <w:bottom w:val="nil"/>
              <w:right w:val="nil"/>
            </w:tcBorders>
            <w:vAlign w:val="center"/>
          </w:tcPr>
          <w:p w14:paraId="54A05E28">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1.67E-01</w:t>
            </w:r>
          </w:p>
        </w:tc>
        <w:tc>
          <w:tcPr>
            <w:tcW w:w="1169" w:type="dxa"/>
            <w:tcBorders>
              <w:top w:val="nil"/>
              <w:left w:val="nil"/>
              <w:bottom w:val="nil"/>
              <w:right w:val="nil"/>
            </w:tcBorders>
            <w:vAlign w:val="center"/>
          </w:tcPr>
          <w:p w14:paraId="25314D77">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kg 1,4-DCB</w:t>
            </w:r>
          </w:p>
        </w:tc>
      </w:tr>
      <w:tr w14:paraId="32B89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bottom w:val="nil"/>
              <w:right w:val="nil"/>
            </w:tcBorders>
            <w:vAlign w:val="center"/>
          </w:tcPr>
          <w:p w14:paraId="469BD447">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6102937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Water consumption</w:t>
            </w:r>
          </w:p>
        </w:tc>
        <w:tc>
          <w:tcPr>
            <w:tcW w:w="688" w:type="dxa"/>
            <w:tcBorders>
              <w:top w:val="nil"/>
              <w:left w:val="nil"/>
              <w:bottom w:val="nil"/>
              <w:right w:val="nil"/>
            </w:tcBorders>
            <w:vAlign w:val="center"/>
          </w:tcPr>
          <w:p w14:paraId="3687796A">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6.97E-03</w:t>
            </w:r>
          </w:p>
        </w:tc>
        <w:tc>
          <w:tcPr>
            <w:tcW w:w="688" w:type="dxa"/>
            <w:tcBorders>
              <w:top w:val="nil"/>
              <w:left w:val="nil"/>
              <w:bottom w:val="nil"/>
              <w:right w:val="nil"/>
            </w:tcBorders>
            <w:vAlign w:val="center"/>
          </w:tcPr>
          <w:p w14:paraId="20A4AB2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1.87E-03</w:t>
            </w:r>
          </w:p>
        </w:tc>
        <w:tc>
          <w:tcPr>
            <w:tcW w:w="688" w:type="dxa"/>
            <w:tcBorders>
              <w:top w:val="nil"/>
              <w:left w:val="nil"/>
              <w:bottom w:val="nil"/>
              <w:right w:val="nil"/>
            </w:tcBorders>
            <w:vAlign w:val="center"/>
          </w:tcPr>
          <w:p w14:paraId="1854553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1.07E-04</w:t>
            </w:r>
          </w:p>
        </w:tc>
        <w:tc>
          <w:tcPr>
            <w:tcW w:w="745" w:type="dxa"/>
            <w:tcBorders>
              <w:top w:val="nil"/>
              <w:left w:val="nil"/>
              <w:bottom w:val="nil"/>
              <w:right w:val="nil"/>
            </w:tcBorders>
            <w:vAlign w:val="center"/>
          </w:tcPr>
          <w:p w14:paraId="32DF4FB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-1.68E-03</w:t>
            </w:r>
          </w:p>
        </w:tc>
        <w:tc>
          <w:tcPr>
            <w:tcW w:w="745" w:type="dxa"/>
            <w:tcBorders>
              <w:top w:val="nil"/>
              <w:left w:val="nil"/>
              <w:bottom w:val="nil"/>
              <w:right w:val="nil"/>
            </w:tcBorders>
            <w:vAlign w:val="center"/>
          </w:tcPr>
          <w:p w14:paraId="44C07F7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7.26E-03</w:t>
            </w:r>
          </w:p>
        </w:tc>
        <w:tc>
          <w:tcPr>
            <w:tcW w:w="1169" w:type="dxa"/>
            <w:tcBorders>
              <w:top w:val="nil"/>
              <w:left w:val="nil"/>
              <w:bottom w:val="nil"/>
              <w:right w:val="nil"/>
            </w:tcBorders>
            <w:vAlign w:val="center"/>
          </w:tcPr>
          <w:p w14:paraId="18C263D7">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m</w:t>
            </w:r>
            <w:r>
              <w:rPr>
                <w:rFonts w:ascii="Times New Roman" w:hAnsi="Times New Roman" w:eastAsia="宋体" w:cs="Times New Roman"/>
                <w:kern w:val="0"/>
                <w:sz w:val="16"/>
                <w:szCs w:val="16"/>
                <w:vertAlign w:val="superscript"/>
                <w:lang w:bidi="ar"/>
              </w:rPr>
              <w:t>3</w:t>
            </w:r>
          </w:p>
        </w:tc>
      </w:tr>
      <w:tr w14:paraId="14A0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0" w:type="auto"/>
            <w:vMerge w:val="restart"/>
            <w:tcBorders>
              <w:top w:val="nil"/>
              <w:left w:val="nil"/>
              <w:right w:val="nil"/>
            </w:tcBorders>
            <w:vAlign w:val="center"/>
          </w:tcPr>
          <w:p w14:paraId="75C493DA">
            <w:pPr>
              <w:widowControl/>
              <w:ind w:left="-105" w:leftChars="-50" w:right="-105" w:rightChars="-50"/>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 xml:space="preserve">Endpoint </w:t>
            </w:r>
          </w:p>
        </w:tc>
        <w:tc>
          <w:tcPr>
            <w:tcW w:w="0" w:type="auto"/>
            <w:tcBorders>
              <w:top w:val="nil"/>
              <w:left w:val="nil"/>
              <w:bottom w:val="nil"/>
              <w:right w:val="nil"/>
            </w:tcBorders>
            <w:vAlign w:val="center"/>
          </w:tcPr>
          <w:p w14:paraId="6238F9E2">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Human Health</w:t>
            </w:r>
          </w:p>
        </w:tc>
        <w:tc>
          <w:tcPr>
            <w:tcW w:w="688" w:type="dxa"/>
            <w:tcBorders>
              <w:top w:val="nil"/>
              <w:left w:val="nil"/>
              <w:bottom w:val="nil"/>
              <w:right w:val="nil"/>
            </w:tcBorders>
            <w:vAlign w:val="center"/>
          </w:tcPr>
          <w:p w14:paraId="265969F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9.32E-07</w:t>
            </w:r>
          </w:p>
        </w:tc>
        <w:tc>
          <w:tcPr>
            <w:tcW w:w="688" w:type="dxa"/>
            <w:tcBorders>
              <w:top w:val="nil"/>
              <w:left w:val="nil"/>
              <w:bottom w:val="nil"/>
              <w:right w:val="nil"/>
            </w:tcBorders>
            <w:vAlign w:val="center"/>
          </w:tcPr>
          <w:p w14:paraId="382FAA8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1.84E-06</w:t>
            </w:r>
          </w:p>
        </w:tc>
        <w:tc>
          <w:tcPr>
            <w:tcW w:w="688" w:type="dxa"/>
            <w:tcBorders>
              <w:top w:val="nil"/>
              <w:left w:val="nil"/>
              <w:bottom w:val="nil"/>
              <w:right w:val="nil"/>
            </w:tcBorders>
            <w:vAlign w:val="center"/>
          </w:tcPr>
          <w:p w14:paraId="687AD399">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1.43E-07</w:t>
            </w:r>
          </w:p>
        </w:tc>
        <w:tc>
          <w:tcPr>
            <w:tcW w:w="745" w:type="dxa"/>
            <w:tcBorders>
              <w:top w:val="nil"/>
              <w:left w:val="nil"/>
              <w:bottom w:val="nil"/>
              <w:right w:val="nil"/>
            </w:tcBorders>
            <w:vAlign w:val="center"/>
          </w:tcPr>
          <w:p w14:paraId="1995EABB">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-8.57E-07</w:t>
            </w:r>
          </w:p>
        </w:tc>
        <w:tc>
          <w:tcPr>
            <w:tcW w:w="745" w:type="dxa"/>
            <w:tcBorders>
              <w:top w:val="nil"/>
              <w:left w:val="nil"/>
              <w:bottom w:val="nil"/>
              <w:right w:val="nil"/>
            </w:tcBorders>
            <w:vAlign w:val="center"/>
          </w:tcPr>
          <w:p w14:paraId="53E5C53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2.06E-06</w:t>
            </w:r>
          </w:p>
        </w:tc>
        <w:tc>
          <w:tcPr>
            <w:tcW w:w="1169" w:type="dxa"/>
            <w:tcBorders>
              <w:top w:val="nil"/>
              <w:left w:val="nil"/>
              <w:bottom w:val="nil"/>
              <w:right w:val="nil"/>
            </w:tcBorders>
            <w:vAlign w:val="center"/>
          </w:tcPr>
          <w:p w14:paraId="29A1AC17">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DALY</w:t>
            </w:r>
          </w:p>
        </w:tc>
      </w:tr>
      <w:tr w14:paraId="5BFB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0" w:type="auto"/>
            <w:vMerge w:val="continue"/>
            <w:tcBorders>
              <w:left w:val="nil"/>
              <w:right w:val="nil"/>
            </w:tcBorders>
            <w:vAlign w:val="center"/>
          </w:tcPr>
          <w:p w14:paraId="7311593D">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nil"/>
              <w:right w:val="nil"/>
            </w:tcBorders>
            <w:vAlign w:val="center"/>
          </w:tcPr>
          <w:p w14:paraId="114111C0">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Resource Depletion</w:t>
            </w:r>
          </w:p>
        </w:tc>
        <w:tc>
          <w:tcPr>
            <w:tcW w:w="688" w:type="dxa"/>
            <w:tcBorders>
              <w:top w:val="nil"/>
              <w:left w:val="nil"/>
              <w:bottom w:val="nil"/>
              <w:right w:val="nil"/>
            </w:tcBorders>
            <w:vAlign w:val="center"/>
          </w:tcPr>
          <w:p w14:paraId="7564003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2.41E-02</w:t>
            </w:r>
          </w:p>
        </w:tc>
        <w:tc>
          <w:tcPr>
            <w:tcW w:w="688" w:type="dxa"/>
            <w:tcBorders>
              <w:top w:val="nil"/>
              <w:left w:val="nil"/>
              <w:bottom w:val="nil"/>
              <w:right w:val="nil"/>
            </w:tcBorders>
            <w:vAlign w:val="center"/>
          </w:tcPr>
          <w:p w14:paraId="22C65F23">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4.00E-02</w:t>
            </w:r>
          </w:p>
        </w:tc>
        <w:tc>
          <w:tcPr>
            <w:tcW w:w="688" w:type="dxa"/>
            <w:tcBorders>
              <w:top w:val="nil"/>
              <w:left w:val="nil"/>
              <w:bottom w:val="nil"/>
              <w:right w:val="nil"/>
            </w:tcBorders>
            <w:vAlign w:val="center"/>
          </w:tcPr>
          <w:p w14:paraId="0CCA09A7">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1.14E-02</w:t>
            </w:r>
          </w:p>
        </w:tc>
        <w:tc>
          <w:tcPr>
            <w:tcW w:w="745" w:type="dxa"/>
            <w:tcBorders>
              <w:top w:val="nil"/>
              <w:left w:val="nil"/>
              <w:bottom w:val="nil"/>
              <w:right w:val="nil"/>
            </w:tcBorders>
            <w:vAlign w:val="center"/>
          </w:tcPr>
          <w:p w14:paraId="572C70B5">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-2.29E-01</w:t>
            </w:r>
          </w:p>
        </w:tc>
        <w:tc>
          <w:tcPr>
            <w:tcW w:w="745" w:type="dxa"/>
            <w:tcBorders>
              <w:top w:val="nil"/>
              <w:left w:val="nil"/>
              <w:bottom w:val="nil"/>
              <w:right w:val="nil"/>
            </w:tcBorders>
            <w:vAlign w:val="center"/>
          </w:tcPr>
          <w:p w14:paraId="65A5BB9F">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-1.53E-01</w:t>
            </w:r>
          </w:p>
        </w:tc>
        <w:tc>
          <w:tcPr>
            <w:tcW w:w="1169" w:type="dxa"/>
            <w:tcBorders>
              <w:top w:val="nil"/>
              <w:left w:val="nil"/>
              <w:bottom w:val="nil"/>
              <w:right w:val="nil"/>
            </w:tcBorders>
            <w:vAlign w:val="center"/>
          </w:tcPr>
          <w:p w14:paraId="1058B3A8">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USD</w:t>
            </w:r>
          </w:p>
        </w:tc>
      </w:tr>
      <w:tr w14:paraId="7222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0" w:type="auto"/>
            <w:vMerge w:val="continue"/>
            <w:tcBorders>
              <w:left w:val="nil"/>
              <w:bottom w:val="single" w:color="auto" w:sz="12" w:space="0"/>
              <w:right w:val="nil"/>
            </w:tcBorders>
            <w:vAlign w:val="center"/>
          </w:tcPr>
          <w:p w14:paraId="5BB04C2B">
            <w:pPr>
              <w:widowControl/>
              <w:ind w:left="-105" w:leftChars="-50" w:right="-105" w:rightChars="-50"/>
              <w:jc w:val="left"/>
              <w:textAlignment w:val="center"/>
              <w:rPr>
                <w:rFonts w:ascii="Times New Roman" w:hAnsi="Times New Roman" w:eastAsia="宋体" w:cs="Times New Roman"/>
                <w:kern w:val="0"/>
                <w:sz w:val="16"/>
                <w:szCs w:val="16"/>
                <w:lang w:bidi="ar"/>
              </w:rPr>
            </w:pPr>
          </w:p>
        </w:tc>
        <w:tc>
          <w:tcPr>
            <w:tcW w:w="0" w:type="auto"/>
            <w:tcBorders>
              <w:top w:val="nil"/>
              <w:left w:val="nil"/>
              <w:bottom w:val="single" w:color="auto" w:sz="12" w:space="0"/>
              <w:right w:val="nil"/>
            </w:tcBorders>
            <w:vAlign w:val="center"/>
          </w:tcPr>
          <w:p w14:paraId="30C4EA9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eastAsia="宋体" w:cs="Times New Roman"/>
                <w:kern w:val="0"/>
                <w:sz w:val="16"/>
                <w:szCs w:val="16"/>
                <w:lang w:bidi="ar"/>
              </w:rPr>
              <w:t>Ecosystem Qaulity</w:t>
            </w:r>
          </w:p>
        </w:tc>
        <w:tc>
          <w:tcPr>
            <w:tcW w:w="688" w:type="dxa"/>
            <w:tcBorders>
              <w:top w:val="nil"/>
              <w:left w:val="nil"/>
              <w:bottom w:val="single" w:color="auto" w:sz="12" w:space="0"/>
              <w:right w:val="nil"/>
            </w:tcBorders>
            <w:vAlign w:val="center"/>
          </w:tcPr>
          <w:p w14:paraId="36F2E47C">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1.57E-09</w:t>
            </w:r>
          </w:p>
        </w:tc>
        <w:tc>
          <w:tcPr>
            <w:tcW w:w="688" w:type="dxa"/>
            <w:tcBorders>
              <w:top w:val="nil"/>
              <w:left w:val="nil"/>
              <w:bottom w:val="single" w:color="auto" w:sz="12" w:space="0"/>
              <w:right w:val="nil"/>
            </w:tcBorders>
            <w:vAlign w:val="center"/>
          </w:tcPr>
          <w:p w14:paraId="383760C4">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3.49E-09</w:t>
            </w:r>
          </w:p>
        </w:tc>
        <w:tc>
          <w:tcPr>
            <w:tcW w:w="688" w:type="dxa"/>
            <w:tcBorders>
              <w:top w:val="nil"/>
              <w:left w:val="nil"/>
              <w:bottom w:val="single" w:color="auto" w:sz="12" w:space="0"/>
              <w:right w:val="nil"/>
            </w:tcBorders>
            <w:vAlign w:val="center"/>
          </w:tcPr>
          <w:p w14:paraId="0B47C786">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3.36E-10</w:t>
            </w:r>
          </w:p>
        </w:tc>
        <w:tc>
          <w:tcPr>
            <w:tcW w:w="745" w:type="dxa"/>
            <w:tcBorders>
              <w:top w:val="nil"/>
              <w:left w:val="nil"/>
              <w:bottom w:val="single" w:color="auto" w:sz="12" w:space="0"/>
              <w:right w:val="nil"/>
            </w:tcBorders>
            <w:vAlign w:val="center"/>
          </w:tcPr>
          <w:p w14:paraId="49B3698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-1.44E-09</w:t>
            </w:r>
          </w:p>
        </w:tc>
        <w:tc>
          <w:tcPr>
            <w:tcW w:w="745" w:type="dxa"/>
            <w:tcBorders>
              <w:top w:val="nil"/>
              <w:left w:val="nil"/>
              <w:bottom w:val="single" w:color="auto" w:sz="12" w:space="0"/>
              <w:right w:val="nil"/>
            </w:tcBorders>
            <w:vAlign w:val="center"/>
          </w:tcPr>
          <w:p w14:paraId="22550181">
            <w:pPr>
              <w:widowControl/>
              <w:ind w:left="-105" w:leftChars="-50" w:right="-105" w:rightChars="-50"/>
              <w:jc w:val="left"/>
              <w:textAlignment w:val="center"/>
              <w:rPr>
                <w:rFonts w:ascii="Times New Roman" w:hAnsi="Times New Roman" w:cs="Times New Roman"/>
                <w:sz w:val="16"/>
                <w:szCs w:val="16"/>
              </w:rPr>
            </w:pPr>
            <w:r>
              <w:rPr>
                <w:rFonts w:ascii="Times New Roman" w:hAnsi="Times New Roman" w:cs="Times New Roman"/>
                <w:sz w:val="16"/>
                <w:szCs w:val="16"/>
              </w:rPr>
              <w:t>3.96E-09</w:t>
            </w:r>
          </w:p>
        </w:tc>
        <w:tc>
          <w:tcPr>
            <w:tcW w:w="1169" w:type="dxa"/>
            <w:tcBorders>
              <w:top w:val="nil"/>
              <w:left w:val="nil"/>
              <w:bottom w:val="single" w:color="auto" w:sz="12" w:space="0"/>
              <w:right w:val="nil"/>
            </w:tcBorders>
            <w:vAlign w:val="center"/>
          </w:tcPr>
          <w:p w14:paraId="6435C7CC">
            <w:pPr>
              <w:widowControl/>
              <w:jc w:val="left"/>
              <w:textAlignment w:val="center"/>
              <w:rPr>
                <w:rFonts w:ascii="Times New Roman" w:hAnsi="Times New Roman" w:eastAsia="宋体" w:cs="Times New Roman"/>
                <w:kern w:val="0"/>
                <w:sz w:val="16"/>
                <w:szCs w:val="16"/>
                <w:lang w:bidi="ar"/>
              </w:rPr>
            </w:pPr>
            <w:r>
              <w:rPr>
                <w:rFonts w:ascii="Times New Roman" w:hAnsi="Times New Roman" w:eastAsia="宋体" w:cs="Times New Roman"/>
                <w:kern w:val="0"/>
                <w:sz w:val="16"/>
                <w:szCs w:val="16"/>
                <w:lang w:bidi="ar"/>
              </w:rPr>
              <w:t>species.yr</w:t>
            </w:r>
          </w:p>
        </w:tc>
      </w:tr>
    </w:tbl>
    <w:p w14:paraId="0A2C0460">
      <w:pPr>
        <w:rPr>
          <w:rFonts w:ascii="Times New Roman" w:hAnsi="Times New Roman" w:cs="Times New Roman"/>
        </w:rPr>
      </w:pPr>
    </w:p>
    <w:p w14:paraId="33972C93">
      <w:pPr>
        <w:spacing w:line="480" w:lineRule="auto"/>
        <w:ind w:firstLine="480" w:firstLineChars="200"/>
        <w:rPr>
          <w:rFonts w:ascii="Times New Roman" w:hAnsi="Times New Roman" w:cs="Times New Roman"/>
        </w:rPr>
      </w:pPr>
      <w:r>
        <w:rPr>
          <w:rFonts w:ascii="Times New Roman" w:hAnsi="Times New Roman" w:cs="Times New Roman"/>
          <w:sz w:val="24"/>
        </w:rPr>
        <w:t>Different with ER and MR process, the midpoint impact of CR method shown that the maximum value of impact is climate change,1.05 kg CO</w:t>
      </w:r>
      <w:r>
        <w:rPr>
          <w:rFonts w:ascii="Times New Roman" w:hAnsi="Times New Roman" w:cs="Times New Roman"/>
          <w:sz w:val="24"/>
          <w:vertAlign w:val="subscript"/>
        </w:rPr>
        <w:t>2</w:t>
      </w:r>
      <w:r>
        <w:rPr>
          <w:rFonts w:ascii="Times New Roman" w:hAnsi="Times New Roman" w:cs="Times New Roman"/>
          <w:sz w:val="24"/>
        </w:rPr>
        <w:t>-eq whose direct impact from material consumption and waste emission is slightly lower than indirect impact of energy consumption. Then is Human non-carcinogenic toxicity, 4.31×10</w:t>
      </w:r>
      <w:r>
        <w:rPr>
          <w:rFonts w:ascii="Times New Roman" w:hAnsi="Times New Roman" w:cs="Times New Roman"/>
          <w:sz w:val="24"/>
          <w:vertAlign w:val="superscript"/>
        </w:rPr>
        <w:t>-1</w:t>
      </w:r>
      <w:r>
        <w:rPr>
          <w:rFonts w:ascii="Times New Roman" w:hAnsi="Times New Roman" w:cs="Times New Roman"/>
          <w:sz w:val="24"/>
        </w:rPr>
        <w:t xml:space="preserve"> kg 1,4-DCB and terrestrial ecotoxicity 1.67×10</w:t>
      </w:r>
      <w:r>
        <w:rPr>
          <w:rFonts w:ascii="Times New Roman" w:hAnsi="Times New Roman" w:cs="Times New Roman"/>
          <w:sz w:val="24"/>
          <w:vertAlign w:val="superscript"/>
        </w:rPr>
        <w:t>-1</w:t>
      </w:r>
      <w:r>
        <w:rPr>
          <w:rFonts w:ascii="Times New Roman" w:hAnsi="Times New Roman" w:cs="Times New Roman"/>
          <w:sz w:val="24"/>
        </w:rPr>
        <w:t xml:space="preserve"> kg 1,4-DCB, both them causing from the materials and energy consumption. The endpoint values indicated that convert PVC waste into petrochemical production and NaCl have grand potential in mitigating the resource depletion impact, which is -1.53×10</w:t>
      </w:r>
      <w:r>
        <w:rPr>
          <w:rFonts w:ascii="Times New Roman" w:hAnsi="Times New Roman" w:cs="Times New Roman"/>
          <w:sz w:val="24"/>
          <w:vertAlign w:val="superscript"/>
        </w:rPr>
        <w:t xml:space="preserve">-1 </w:t>
      </w:r>
      <w:r>
        <w:rPr>
          <w:rFonts w:ascii="Times New Roman" w:hAnsi="Times New Roman" w:cs="Times New Roman"/>
          <w:sz w:val="24"/>
        </w:rPr>
        <w:t>USD. Other impacts like human health impact main comes from the indirect impact of energy consumption, 2.06×10</w:t>
      </w:r>
      <w:r>
        <w:rPr>
          <w:rFonts w:ascii="Times New Roman" w:hAnsi="Times New Roman" w:cs="Times New Roman"/>
          <w:sz w:val="24"/>
          <w:vertAlign w:val="superscript"/>
        </w:rPr>
        <w:t xml:space="preserve">-6 </w:t>
      </w:r>
      <w:r>
        <w:rPr>
          <w:rFonts w:ascii="Times New Roman" w:hAnsi="Times New Roman" w:cs="Times New Roman"/>
          <w:sz w:val="24"/>
        </w:rPr>
        <w:t>DALY. While for ecosystem quality, the direct impact of material consumption, 1.57×10</w:t>
      </w:r>
      <w:r>
        <w:rPr>
          <w:rFonts w:ascii="Times New Roman" w:hAnsi="Times New Roman" w:cs="Times New Roman"/>
          <w:sz w:val="24"/>
          <w:vertAlign w:val="superscript"/>
        </w:rPr>
        <w:t xml:space="preserve">-9 </w:t>
      </w:r>
      <w:r>
        <w:rPr>
          <w:rFonts w:ascii="Times New Roman" w:hAnsi="Times New Roman" w:cs="Times New Roman"/>
          <w:sz w:val="24"/>
        </w:rPr>
        <w:t>species.yr is equal to the indirect impact of energy consumption, 3.49×10</w:t>
      </w:r>
      <w:r>
        <w:rPr>
          <w:rFonts w:ascii="Times New Roman" w:hAnsi="Times New Roman" w:cs="Times New Roman"/>
          <w:sz w:val="24"/>
          <w:vertAlign w:val="superscript"/>
        </w:rPr>
        <w:t xml:space="preserve">-9 </w:t>
      </w:r>
      <w:r>
        <w:rPr>
          <w:rFonts w:ascii="Times New Roman" w:hAnsi="Times New Roman" w:cs="Times New Roman"/>
          <w:sz w:val="24"/>
        </w:rPr>
        <w:t>species.yr. For these two impacts, recycled materials can’t afford the credit from process input. Above all, in the input-output process of CR treatment, matching more renewable energy and recycled materials to reduce the environmental impact caused by material and energy consumption during the recycling process. In addition, improving the thermal utilization efficiency and product recovery rate of technology is another way to enhance the efficient utilization of PVC waste.</w:t>
      </w:r>
    </w:p>
    <w:p w14:paraId="533C8E4B">
      <w:pPr>
        <w:rPr>
          <w:rFonts w:ascii="Times New Roman" w:hAnsi="Times New Roman" w:eastAsia="等线" w:cs="Times New Roman"/>
          <w:kern w:val="0"/>
          <w:sz w:val="24"/>
        </w:rPr>
      </w:pPr>
      <w:r>
        <w:rPr>
          <w:rFonts w:ascii="Times New Roman" w:hAnsi="Times New Roman" w:eastAsia="等线" w:cs="Times New Roman"/>
          <w:kern w:val="0"/>
          <w:sz w:val="24"/>
        </w:rPr>
        <w:br w:type="page"/>
      </w:r>
    </w:p>
    <w:p w14:paraId="6EAA6426">
      <w:pPr>
        <w:widowControl/>
        <w:spacing w:after="200"/>
        <w:rPr>
          <w:rFonts w:ascii="Times New Roman" w:hAnsi="Times New Roman" w:cs="Times New Roman"/>
        </w:rPr>
      </w:pPr>
      <w:r>
        <w:rPr>
          <w:rFonts w:ascii="Times New Roman" w:hAnsi="Times New Roman" w:eastAsia="等线" w:cs="Times New Roman"/>
          <w:b/>
          <w:bCs/>
          <w:i/>
          <w:iCs/>
          <w:kern w:val="0"/>
          <w:sz w:val="24"/>
        </w:rPr>
        <w:t>4. Scenario analysis for treating 1 kg PVC waste by ER, MR,CR methods</w:t>
      </w:r>
    </w:p>
    <w:p w14:paraId="1786ABFD">
      <w:pPr>
        <w:jc w:val="left"/>
        <w:rPr>
          <w:rFonts w:ascii="Times New Roman" w:hAnsi="Times New Roman" w:eastAsia="宋体" w:cs="Times New Roman"/>
          <w:i/>
          <w:color w:val="000000"/>
          <w:kern w:val="0"/>
          <w:sz w:val="24"/>
          <w:szCs w:val="20"/>
          <w:lang w:bidi="ar"/>
        </w:rPr>
      </w:pPr>
      <w:r>
        <w:rPr>
          <w:rFonts w:ascii="Times New Roman" w:hAnsi="Times New Roman" w:eastAsia="宋体" w:cs="Times New Roman"/>
          <w:i/>
          <w:color w:val="000000"/>
          <w:kern w:val="0"/>
          <w:sz w:val="24"/>
          <w:szCs w:val="20"/>
          <w:lang w:val="en-PH" w:eastAsia="en-PH"/>
        </w:rPr>
        <w:drawing>
          <wp:inline distT="0" distB="0" distL="114300" distR="114300">
            <wp:extent cx="5224780" cy="5215255"/>
            <wp:effectExtent l="0" t="0" r="4445" b="4445"/>
            <wp:docPr id="11" name="图片 11" descr="SA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A图"/>
                    <pic:cNvPicPr>
                      <a:picLocks noChangeAspect="1"/>
                    </pic:cNvPicPr>
                  </pic:nvPicPr>
                  <pic:blipFill>
                    <a:blip r:embed="rId13"/>
                    <a:stretch>
                      <a:fillRect/>
                    </a:stretch>
                  </pic:blipFill>
                  <pic:spPr>
                    <a:xfrm>
                      <a:off x="0" y="0"/>
                      <a:ext cx="5224780" cy="5215255"/>
                    </a:xfrm>
                    <a:prstGeom prst="rect">
                      <a:avLst/>
                    </a:prstGeom>
                  </pic:spPr>
                </pic:pic>
              </a:graphicData>
            </a:graphic>
          </wp:inline>
        </w:drawing>
      </w:r>
    </w:p>
    <w:p w14:paraId="166CEFE6">
      <w:pPr>
        <w:pStyle w:val="2"/>
        <w:rPr>
          <w:rFonts w:ascii="Times New Roman" w:hAnsi="Times New Roman" w:cs="Times New Roman"/>
          <w:i/>
          <w:color w:val="000000"/>
          <w:kern w:val="0"/>
          <w:szCs w:val="20"/>
          <w:lang w:bidi="ar"/>
        </w:rPr>
      </w:pPr>
      <w:r>
        <w:rPr>
          <w:rFonts w:ascii="Times New Roman" w:hAnsi="Times New Roman" w:cs="Times New Roman"/>
          <w:szCs w:val="20"/>
        </w:rPr>
        <w:t>Figure S</w:t>
      </w:r>
      <w:r>
        <w:rPr>
          <w:rFonts w:ascii="Times New Roman" w:hAnsi="Times New Roman" w:cs="Times New Roman"/>
          <w:szCs w:val="20"/>
        </w:rPr>
        <w:fldChar w:fldCharType="begin"/>
      </w:r>
      <w:r>
        <w:rPr>
          <w:rFonts w:ascii="Times New Roman" w:hAnsi="Times New Roman" w:cs="Times New Roman"/>
          <w:szCs w:val="20"/>
        </w:rPr>
        <w:instrText xml:space="preserve"> SEQ 图 \* ARABIC </w:instrText>
      </w:r>
      <w:r>
        <w:rPr>
          <w:rFonts w:ascii="Times New Roman" w:hAnsi="Times New Roman" w:cs="Times New Roman"/>
          <w:szCs w:val="20"/>
        </w:rPr>
        <w:fldChar w:fldCharType="separate"/>
      </w:r>
      <w:r>
        <w:rPr>
          <w:rFonts w:ascii="Times New Roman" w:hAnsi="Times New Roman" w:cs="Times New Roman"/>
          <w:szCs w:val="20"/>
        </w:rPr>
        <w:t>10</w:t>
      </w:r>
      <w:r>
        <w:rPr>
          <w:rFonts w:ascii="Times New Roman" w:hAnsi="Times New Roman" w:cs="Times New Roman"/>
          <w:szCs w:val="20"/>
        </w:rPr>
        <w:fldChar w:fldCharType="end"/>
      </w:r>
      <w:r>
        <w:rPr>
          <w:rFonts w:ascii="Times New Roman" w:hAnsi="Times New Roman" w:cs="Times New Roman"/>
          <w:szCs w:val="20"/>
        </w:rPr>
        <w:t>. The scenario analysis of ER, MR and CR from 2020 to 2050 under three decarbonization of power grids. From a-c are the carbon footprint variety of ER, MR and CR from 2020 to 2050; From d-f are the human health changes of them from 2020 to 2050; From g-i are the resource depletion changes of them from 2020 to 2050; From j-l are the ecosystem quality changes of them from 2020 to 2050. The red line represents the results under SA1, the blue line represents the results under SA2, the green line represents the results under SA3.</w:t>
      </w:r>
    </w:p>
    <w:p w14:paraId="096C801B">
      <w:pPr>
        <w:jc w:val="left"/>
        <w:rPr>
          <w:rFonts w:ascii="Times New Roman" w:hAnsi="Times New Roman" w:eastAsia="宋体" w:cs="Times New Roman"/>
          <w:iCs/>
          <w:color w:val="000000"/>
          <w:kern w:val="0"/>
          <w:sz w:val="24"/>
          <w:szCs w:val="20"/>
          <w:lang w:bidi="ar"/>
        </w:rPr>
      </w:pPr>
    </w:p>
    <w:p w14:paraId="4F68BDFB">
      <w:pPr>
        <w:spacing w:line="480" w:lineRule="auto"/>
        <w:ind w:firstLine="480" w:firstLineChars="200"/>
        <w:rPr>
          <w:rFonts w:ascii="Times New Roman" w:hAnsi="Times New Roman" w:eastAsia="宋体" w:cs="Times New Roman"/>
          <w:iCs/>
          <w:color w:val="000000"/>
          <w:kern w:val="0"/>
          <w:sz w:val="24"/>
          <w:szCs w:val="20"/>
          <w:lang w:bidi="ar"/>
        </w:rPr>
      </w:pPr>
      <w:r>
        <w:rPr>
          <w:rFonts w:ascii="Times New Roman" w:hAnsi="Times New Roman" w:eastAsia="宋体" w:cs="Times New Roman"/>
          <w:iCs/>
          <w:color w:val="000000"/>
          <w:kern w:val="0"/>
          <w:sz w:val="24"/>
          <w:szCs w:val="20"/>
          <w:lang w:bidi="ar"/>
        </w:rPr>
        <w:t>For three types of PVC waste recycling methods, the scenario analysis results of them are shown in Figure S10. We can find that for three types recycling methods, the change tendency of carbon footprint, human health, and ecosystem quality are similar, while the values of them are different, but for the initial value of resource depletion are same nearly under three scenarios, which is caused by the resource depletion impact of electricity are equaled almost under decarbonization of power grid scenarios (0.0191USD, 0.0191USD, 0.0188USD). Based on the environmental impact results of ER, we find that when keep the dominant of thermal generation in structure of power grid as the scenario 1, the carbon footprint, human health, resource depletion and ecosystem quality impacts decreased by 10.39%, 1300.04%, 6.99%, and 25.84%, due to the deduction of regenerated electricity, the initial value of human health is too small that the change ratio from is more big than others. However once the decarbonztion of power grid with the renewable energy development, the situation is starting to veer under SA2 and SA3. Specially, under SA3, which is the deep decarbonization scenario, the carbon footprint, human health, resource depletion and ecosystem quality impacts increased by 100.32%, 15148.10%, 229.39%, 202.79%, the more decarbonization of power grid, the more increasing of environmental impacts, resulting from the deduction of regenerated electricity decrease much by the low environmental impact with year variation.</w:t>
      </w:r>
    </w:p>
    <w:p w14:paraId="75CDBA27">
      <w:pPr>
        <w:spacing w:line="480" w:lineRule="auto"/>
        <w:ind w:firstLine="480" w:firstLineChars="200"/>
        <w:rPr>
          <w:rFonts w:ascii="Times New Roman" w:hAnsi="Times New Roman" w:eastAsia="宋体" w:cs="Times New Roman"/>
          <w:iCs/>
          <w:color w:val="000000"/>
          <w:kern w:val="0"/>
          <w:sz w:val="24"/>
          <w:szCs w:val="20"/>
          <w:lang w:bidi="ar"/>
        </w:rPr>
      </w:pPr>
      <w:r>
        <w:rPr>
          <w:rFonts w:ascii="Times New Roman" w:hAnsi="Times New Roman" w:eastAsia="宋体" w:cs="Times New Roman"/>
          <w:iCs/>
          <w:color w:val="000000"/>
          <w:kern w:val="0"/>
          <w:sz w:val="24"/>
          <w:szCs w:val="20"/>
          <w:lang w:bidi="ar"/>
        </w:rPr>
        <w:t xml:space="preserve">From the figure b,e,f,k, we find a different condition for environmental impacts of PVC waste MR process that under scenario 1, the four environmental impacts all decrease by 2.03%, 4.05%, 0.14%, 3.53% , by analyzing of the calculation process, it was found that it was due to the simultaneous scenario analysis of the upstream electricity consumption in the production process of PVC particles that can be avoided by recycling products. In SA1, the environmental footprints of electricity increased, and the environmental footprints of the corresponding amount of PVC particles produced also increased . In addition, the electricity consumption in the MR process was very low, and the increase in indirect effects was not as fast as the deduction amount of recycled products. In SA2 and SA3, the environmental impacts increase variation ratio are near 22.31%, 40.32%, 4.61%, 36.79% and 22.62%, 41.44%, 5.00%, 37.70% for the carbon footprint, human health, resource depletion and ecosystem quality impacts respectively, the increasing condition stems from the environmental impacts of electricity, which inducing the indirect impacts from electricity both consumption and offset go down.  </w:t>
      </w:r>
    </w:p>
    <w:p w14:paraId="2F35D566">
      <w:pPr>
        <w:spacing w:line="480" w:lineRule="auto"/>
        <w:ind w:firstLine="480" w:firstLineChars="200"/>
        <w:rPr>
          <w:rFonts w:ascii="Times New Roman" w:hAnsi="Times New Roman" w:eastAsia="宋体" w:cs="Times New Roman"/>
          <w:iCs/>
          <w:color w:val="000000"/>
          <w:kern w:val="0"/>
          <w:sz w:val="24"/>
          <w:szCs w:val="20"/>
          <w:lang w:bidi="ar"/>
        </w:rPr>
      </w:pPr>
      <w:r>
        <w:rPr>
          <w:rFonts w:ascii="Times New Roman" w:hAnsi="Times New Roman" w:eastAsia="宋体" w:cs="Times New Roman"/>
          <w:iCs/>
          <w:color w:val="000000"/>
          <w:kern w:val="0"/>
          <w:sz w:val="24"/>
          <w:szCs w:val="20"/>
          <w:lang w:bidi="ar"/>
        </w:rPr>
        <w:t xml:space="preserve">The environmental footprint changes of CR process are different from those of ER and MR. The key factor is the electricity consumption accounting main contribution of environmental impacts, which is higher than the electricity consumption from the upstream of recycled materials. Therefore, under SA1, the electricity environmental impacts change from small to big, the CR environmental impacts follow the change to vary by 3.72%, 5.03%, 0.04%, 5.48%. According to the results of the carbon footprint, human health, resource depletion and ecosystem quality impacts under SA2 and SA3, those environmental impacts have changed by -40.89%, -50.10%, -1.27%, -57.24%, and -42.34%, -52.12%, -1.38%, -60.10%, indicating that the deep decarbonization of power grid benefits the development of CR method. Additionally from the contribution analysis, we known that the most contributor of environmental impacts can be divided into two parts: one is the electricity consumption, two is the material consumption, however, in this study,we didn’t consider the decarbonization of upstream electricity consumption from input materials, which will cause the environmental impacts results of CR higher than reality. The input materials of ER and MR are too little to finding the significant change after decarbonizing the upstream electricity of input materials, but for CR, the input material of NaOH accounts for 1/3 environmental impacts almost, and during the production of NaOH, the electricity consumption occupies more than 76% of total environmental impacts. </w:t>
      </w:r>
    </w:p>
    <w:p w14:paraId="52A5237A">
      <w:pPr>
        <w:spacing w:line="480" w:lineRule="auto"/>
        <w:ind w:firstLine="480" w:firstLineChars="200"/>
        <w:rPr>
          <w:rFonts w:ascii="Times New Roman" w:hAnsi="Times New Roman" w:eastAsia="宋体" w:cs="Times New Roman"/>
          <w:iCs/>
          <w:color w:val="000000"/>
          <w:kern w:val="0"/>
          <w:sz w:val="24"/>
          <w:szCs w:val="20"/>
          <w:lang w:bidi="ar"/>
        </w:rPr>
      </w:pPr>
      <w:r>
        <w:rPr>
          <w:rFonts w:ascii="Times New Roman" w:hAnsi="Times New Roman" w:eastAsia="宋体" w:cs="Times New Roman"/>
          <w:iCs/>
          <w:color w:val="000000"/>
          <w:kern w:val="0"/>
          <w:sz w:val="24"/>
          <w:szCs w:val="20"/>
          <w:lang w:bidi="ar"/>
        </w:rPr>
        <w:t>In high-carbon scenario, the CR has the greatest potential, followed by ER, and ultimately CR. However, regardless of the decarbonization scenarios, the potential for MR is still the greatest, followed by CR, and ultimately ER. The planning of China's future power grid structure will develop more renewable energy, and the high carbon scenario does not conform to the actual situation. Therefore, under the future development trend, the potential of CR cannot be underestimated.</w:t>
      </w:r>
    </w:p>
    <w:p w14:paraId="4DF17535">
      <w:pPr>
        <w:rPr>
          <w:rFonts w:ascii="Times New Roman" w:hAnsi="Times New Roman" w:cs="Times New Roman"/>
        </w:rPr>
      </w:pPr>
    </w:p>
    <w:p w14:paraId="53D88CBD">
      <w:pPr>
        <w:rPr>
          <w:rFonts w:ascii="Times New Roman" w:hAnsi="Times New Roman" w:eastAsia="等线" w:cs="Times New Roman"/>
          <w:b/>
          <w:bCs/>
          <w:i/>
          <w:iCs/>
          <w:kern w:val="0"/>
          <w:sz w:val="24"/>
        </w:rPr>
      </w:pPr>
      <w:r>
        <w:rPr>
          <w:rFonts w:ascii="Times New Roman" w:hAnsi="Times New Roman" w:eastAsia="等线" w:cs="Times New Roman"/>
          <w:b/>
          <w:bCs/>
          <w:i/>
          <w:iCs/>
          <w:kern w:val="0"/>
          <w:sz w:val="24"/>
        </w:rPr>
        <w:br w:type="page"/>
      </w:r>
    </w:p>
    <w:p w14:paraId="249CB427">
      <w:pPr>
        <w:widowControl/>
        <w:spacing w:after="200"/>
        <w:rPr>
          <w:rFonts w:ascii="Times New Roman" w:hAnsi="Times New Roman" w:cs="Times New Roman"/>
        </w:rPr>
      </w:pPr>
      <w:r>
        <w:rPr>
          <w:rFonts w:ascii="Times New Roman" w:hAnsi="Times New Roman" w:eastAsia="等线" w:cs="Times New Roman"/>
          <w:b/>
          <w:bCs/>
          <w:i/>
          <w:iCs/>
          <w:kern w:val="0"/>
          <w:sz w:val="24"/>
        </w:rPr>
        <w:t>5. Sensitivity analysis of electricity and PVC waste amount</w:t>
      </w:r>
    </w:p>
    <w:p w14:paraId="37E9D851">
      <w:pPr>
        <w:pStyle w:val="2"/>
        <w:rPr>
          <w:rFonts w:ascii="Times New Roman" w:hAnsi="Times New Roman" w:cs="Times New Roman"/>
        </w:rPr>
      </w:pPr>
      <w:r>
        <w:rPr>
          <w:rFonts w:ascii="Times New Roman" w:hAnsi="Times New Roman" w:cs="Times New Roman"/>
        </w:rPr>
        <w:t>Table S10 The sensitivity of environmental impacts with electricity change</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7"/>
        <w:gridCol w:w="1156"/>
        <w:gridCol w:w="1156"/>
        <w:gridCol w:w="1156"/>
        <w:gridCol w:w="1157"/>
      </w:tblGrid>
      <w:tr w14:paraId="2008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single" w:color="auto" w:sz="12" w:space="0"/>
              <w:left w:val="nil"/>
              <w:bottom w:val="single" w:color="auto" w:sz="4" w:space="0"/>
              <w:right w:val="nil"/>
            </w:tcBorders>
          </w:tcPr>
          <w:p w14:paraId="65BB77A6">
            <w:pPr>
              <w:jc w:val="center"/>
              <w:rPr>
                <w:rFonts w:ascii="Times New Roman" w:hAnsi="Times New Roman" w:cs="Times New Roman"/>
                <w:b/>
                <w:bCs/>
                <w:szCs w:val="21"/>
              </w:rPr>
            </w:pPr>
            <w:r>
              <w:rPr>
                <w:rFonts w:ascii="Times New Roman" w:hAnsi="Times New Roman" w:cs="Times New Roman"/>
                <w:b/>
                <w:bCs/>
                <w:szCs w:val="21"/>
              </w:rPr>
              <w:t>Sensitivity analysis of electricity</w:t>
            </w:r>
          </w:p>
        </w:tc>
        <w:tc>
          <w:tcPr>
            <w:tcW w:w="1156" w:type="dxa"/>
            <w:tcBorders>
              <w:top w:val="single" w:color="auto" w:sz="12" w:space="0"/>
              <w:left w:val="nil"/>
              <w:bottom w:val="single" w:color="auto" w:sz="4" w:space="0"/>
              <w:right w:val="nil"/>
            </w:tcBorders>
          </w:tcPr>
          <w:p w14:paraId="0F686306">
            <w:pPr>
              <w:jc w:val="center"/>
              <w:rPr>
                <w:rFonts w:ascii="Times New Roman" w:hAnsi="Times New Roman" w:cs="Times New Roman"/>
                <w:b/>
                <w:bCs/>
                <w:szCs w:val="21"/>
              </w:rPr>
            </w:pPr>
            <w:r>
              <w:rPr>
                <w:rFonts w:ascii="Times New Roman" w:hAnsi="Times New Roman" w:cs="Times New Roman"/>
                <w:b/>
                <w:bCs/>
                <w:szCs w:val="21"/>
              </w:rPr>
              <w:t>CF</w:t>
            </w:r>
          </w:p>
        </w:tc>
        <w:tc>
          <w:tcPr>
            <w:tcW w:w="1156" w:type="dxa"/>
            <w:tcBorders>
              <w:top w:val="single" w:color="auto" w:sz="12" w:space="0"/>
              <w:left w:val="nil"/>
              <w:bottom w:val="single" w:color="auto" w:sz="4" w:space="0"/>
              <w:right w:val="nil"/>
            </w:tcBorders>
          </w:tcPr>
          <w:p w14:paraId="62E7F33D">
            <w:pPr>
              <w:jc w:val="center"/>
              <w:rPr>
                <w:rFonts w:ascii="Times New Roman" w:hAnsi="Times New Roman" w:cs="Times New Roman"/>
                <w:b/>
                <w:bCs/>
                <w:szCs w:val="21"/>
              </w:rPr>
            </w:pPr>
            <w:r>
              <w:rPr>
                <w:rFonts w:ascii="Times New Roman" w:hAnsi="Times New Roman" w:cs="Times New Roman"/>
                <w:b/>
                <w:bCs/>
                <w:szCs w:val="21"/>
              </w:rPr>
              <w:t>HH</w:t>
            </w:r>
          </w:p>
        </w:tc>
        <w:tc>
          <w:tcPr>
            <w:tcW w:w="1156" w:type="dxa"/>
            <w:tcBorders>
              <w:top w:val="single" w:color="auto" w:sz="12" w:space="0"/>
              <w:left w:val="nil"/>
              <w:bottom w:val="single" w:color="auto" w:sz="4" w:space="0"/>
              <w:right w:val="nil"/>
            </w:tcBorders>
          </w:tcPr>
          <w:p w14:paraId="56B205A6">
            <w:pPr>
              <w:jc w:val="center"/>
              <w:rPr>
                <w:rFonts w:ascii="Times New Roman" w:hAnsi="Times New Roman" w:cs="Times New Roman"/>
                <w:b/>
                <w:bCs/>
                <w:szCs w:val="21"/>
              </w:rPr>
            </w:pPr>
            <w:r>
              <w:rPr>
                <w:rFonts w:ascii="Times New Roman" w:hAnsi="Times New Roman" w:cs="Times New Roman"/>
                <w:b/>
                <w:bCs/>
                <w:szCs w:val="21"/>
              </w:rPr>
              <w:t>RD</w:t>
            </w:r>
          </w:p>
        </w:tc>
        <w:tc>
          <w:tcPr>
            <w:tcW w:w="1157" w:type="dxa"/>
            <w:tcBorders>
              <w:top w:val="single" w:color="auto" w:sz="12" w:space="0"/>
              <w:left w:val="nil"/>
              <w:bottom w:val="single" w:color="auto" w:sz="4" w:space="0"/>
              <w:right w:val="nil"/>
            </w:tcBorders>
          </w:tcPr>
          <w:p w14:paraId="52AD5248">
            <w:pPr>
              <w:jc w:val="center"/>
              <w:rPr>
                <w:rFonts w:ascii="Times New Roman" w:hAnsi="Times New Roman" w:cs="Times New Roman"/>
                <w:b/>
                <w:bCs/>
                <w:szCs w:val="21"/>
              </w:rPr>
            </w:pPr>
            <w:r>
              <w:rPr>
                <w:rFonts w:ascii="Times New Roman" w:hAnsi="Times New Roman" w:cs="Times New Roman"/>
                <w:b/>
                <w:bCs/>
                <w:szCs w:val="21"/>
              </w:rPr>
              <w:t>EQ</w:t>
            </w:r>
          </w:p>
        </w:tc>
      </w:tr>
      <w:tr w14:paraId="7160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single" w:color="auto" w:sz="4" w:space="0"/>
              <w:left w:val="nil"/>
              <w:bottom w:val="nil"/>
              <w:right w:val="nil"/>
            </w:tcBorders>
          </w:tcPr>
          <w:p w14:paraId="5549D40A">
            <w:pPr>
              <w:jc w:val="center"/>
              <w:rPr>
                <w:rFonts w:ascii="Times New Roman" w:hAnsi="Times New Roman" w:cs="Times New Roman"/>
                <w:szCs w:val="21"/>
              </w:rPr>
            </w:pPr>
            <w:r>
              <w:rPr>
                <w:rFonts w:ascii="Times New Roman" w:hAnsi="Times New Roman" w:cs="Times New Roman"/>
                <w:szCs w:val="21"/>
              </w:rPr>
              <w:t>-20%</w:t>
            </w:r>
          </w:p>
        </w:tc>
        <w:tc>
          <w:tcPr>
            <w:tcW w:w="1156" w:type="dxa"/>
            <w:tcBorders>
              <w:top w:val="single" w:color="auto" w:sz="4" w:space="0"/>
              <w:left w:val="nil"/>
              <w:bottom w:val="nil"/>
              <w:right w:val="nil"/>
            </w:tcBorders>
            <w:vAlign w:val="center"/>
          </w:tcPr>
          <w:p w14:paraId="77572B49">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633.33</w:t>
            </w:r>
          </w:p>
        </w:tc>
        <w:tc>
          <w:tcPr>
            <w:tcW w:w="1156" w:type="dxa"/>
            <w:tcBorders>
              <w:top w:val="single" w:color="auto" w:sz="4" w:space="0"/>
              <w:left w:val="nil"/>
              <w:bottom w:val="nil"/>
              <w:right w:val="nil"/>
            </w:tcBorders>
            <w:vAlign w:val="center"/>
          </w:tcPr>
          <w:p w14:paraId="4DDBDAB0">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0.00056</w:t>
            </w:r>
          </w:p>
        </w:tc>
        <w:tc>
          <w:tcPr>
            <w:tcW w:w="1156" w:type="dxa"/>
            <w:tcBorders>
              <w:top w:val="single" w:color="auto" w:sz="4" w:space="0"/>
              <w:left w:val="nil"/>
              <w:bottom w:val="nil"/>
              <w:right w:val="nil"/>
            </w:tcBorders>
            <w:vAlign w:val="center"/>
          </w:tcPr>
          <w:p w14:paraId="7616D2CB">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-28.83</w:t>
            </w:r>
          </w:p>
        </w:tc>
        <w:tc>
          <w:tcPr>
            <w:tcW w:w="1157" w:type="dxa"/>
            <w:tcBorders>
              <w:top w:val="single" w:color="auto" w:sz="4" w:space="0"/>
              <w:left w:val="nil"/>
              <w:bottom w:val="nil"/>
              <w:right w:val="nil"/>
            </w:tcBorders>
            <w:vAlign w:val="center"/>
          </w:tcPr>
          <w:p w14:paraId="4A51B56A">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1.73×10</w:t>
            </w:r>
            <w:r>
              <w:rPr>
                <w:rFonts w:ascii="Times New Roman" w:hAnsi="Times New Roman" w:eastAsia="宋体" w:cs="Times New Roman"/>
                <w:color w:val="000000"/>
                <w:kern w:val="0"/>
                <w:szCs w:val="21"/>
                <w:vertAlign w:val="superscript"/>
                <w:lang w:bidi="ar"/>
              </w:rPr>
              <w:t>-6</w:t>
            </w:r>
          </w:p>
        </w:tc>
      </w:tr>
      <w:tr w14:paraId="5B31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nil"/>
              <w:right w:val="nil"/>
            </w:tcBorders>
          </w:tcPr>
          <w:p w14:paraId="25C99C49">
            <w:pPr>
              <w:jc w:val="center"/>
              <w:rPr>
                <w:rFonts w:ascii="Times New Roman" w:hAnsi="Times New Roman" w:cs="Times New Roman"/>
                <w:szCs w:val="21"/>
              </w:rPr>
            </w:pPr>
            <w:r>
              <w:rPr>
                <w:rFonts w:ascii="Times New Roman" w:hAnsi="Times New Roman" w:cs="Times New Roman"/>
                <w:szCs w:val="21"/>
              </w:rPr>
              <w:t>-10%</w:t>
            </w:r>
          </w:p>
        </w:tc>
        <w:tc>
          <w:tcPr>
            <w:tcW w:w="1156" w:type="dxa"/>
            <w:tcBorders>
              <w:top w:val="nil"/>
              <w:left w:val="nil"/>
              <w:bottom w:val="nil"/>
              <w:right w:val="nil"/>
            </w:tcBorders>
            <w:vAlign w:val="center"/>
          </w:tcPr>
          <w:p w14:paraId="659C6FB8">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569.13</w:t>
            </w:r>
          </w:p>
        </w:tc>
        <w:tc>
          <w:tcPr>
            <w:tcW w:w="1156" w:type="dxa"/>
            <w:tcBorders>
              <w:top w:val="nil"/>
              <w:left w:val="nil"/>
              <w:bottom w:val="nil"/>
              <w:right w:val="nil"/>
            </w:tcBorders>
            <w:vAlign w:val="center"/>
          </w:tcPr>
          <w:p w14:paraId="345D996C">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0.00041</w:t>
            </w:r>
          </w:p>
        </w:tc>
        <w:tc>
          <w:tcPr>
            <w:tcW w:w="1156" w:type="dxa"/>
            <w:tcBorders>
              <w:top w:val="nil"/>
              <w:left w:val="nil"/>
              <w:bottom w:val="nil"/>
              <w:right w:val="nil"/>
            </w:tcBorders>
            <w:vAlign w:val="center"/>
          </w:tcPr>
          <w:p w14:paraId="0FE32109">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-30.32</w:t>
            </w:r>
          </w:p>
        </w:tc>
        <w:tc>
          <w:tcPr>
            <w:tcW w:w="1157" w:type="dxa"/>
            <w:tcBorders>
              <w:top w:val="nil"/>
              <w:left w:val="nil"/>
              <w:bottom w:val="nil"/>
              <w:right w:val="nil"/>
            </w:tcBorders>
            <w:vAlign w:val="center"/>
          </w:tcPr>
          <w:p w14:paraId="104676F9">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1.46×10</w:t>
            </w:r>
            <w:r>
              <w:rPr>
                <w:rFonts w:ascii="Times New Roman" w:hAnsi="Times New Roman" w:eastAsia="宋体" w:cs="Times New Roman"/>
                <w:color w:val="000000"/>
                <w:kern w:val="0"/>
                <w:szCs w:val="21"/>
                <w:vertAlign w:val="superscript"/>
                <w:lang w:bidi="ar"/>
              </w:rPr>
              <w:t>-6</w:t>
            </w:r>
          </w:p>
        </w:tc>
      </w:tr>
      <w:tr w14:paraId="7D7C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nil"/>
              <w:right w:val="nil"/>
            </w:tcBorders>
          </w:tcPr>
          <w:p w14:paraId="19D74E90">
            <w:pPr>
              <w:jc w:val="center"/>
              <w:rPr>
                <w:rFonts w:ascii="Times New Roman" w:hAnsi="Times New Roman" w:cs="Times New Roman"/>
                <w:szCs w:val="21"/>
              </w:rPr>
            </w:pPr>
            <w:r>
              <w:rPr>
                <w:rFonts w:ascii="Times New Roman" w:hAnsi="Times New Roman" w:cs="Times New Roman"/>
                <w:szCs w:val="21"/>
              </w:rPr>
              <w:t>0</w:t>
            </w:r>
          </w:p>
        </w:tc>
        <w:tc>
          <w:tcPr>
            <w:tcW w:w="1156" w:type="dxa"/>
            <w:tcBorders>
              <w:top w:val="nil"/>
              <w:left w:val="nil"/>
              <w:bottom w:val="nil"/>
              <w:right w:val="nil"/>
            </w:tcBorders>
            <w:vAlign w:val="center"/>
          </w:tcPr>
          <w:p w14:paraId="6DBE2993">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504.93</w:t>
            </w:r>
          </w:p>
        </w:tc>
        <w:tc>
          <w:tcPr>
            <w:tcW w:w="1156" w:type="dxa"/>
            <w:tcBorders>
              <w:top w:val="nil"/>
              <w:left w:val="nil"/>
              <w:bottom w:val="nil"/>
              <w:right w:val="nil"/>
            </w:tcBorders>
            <w:vAlign w:val="center"/>
          </w:tcPr>
          <w:p w14:paraId="19AE0247">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0.00026</w:t>
            </w:r>
          </w:p>
        </w:tc>
        <w:tc>
          <w:tcPr>
            <w:tcW w:w="1156" w:type="dxa"/>
            <w:tcBorders>
              <w:top w:val="nil"/>
              <w:left w:val="nil"/>
              <w:bottom w:val="nil"/>
              <w:right w:val="nil"/>
            </w:tcBorders>
            <w:vAlign w:val="center"/>
          </w:tcPr>
          <w:p w14:paraId="4111DC68">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-31.81</w:t>
            </w:r>
          </w:p>
        </w:tc>
        <w:tc>
          <w:tcPr>
            <w:tcW w:w="1157" w:type="dxa"/>
            <w:tcBorders>
              <w:top w:val="nil"/>
              <w:left w:val="nil"/>
              <w:bottom w:val="nil"/>
              <w:right w:val="nil"/>
            </w:tcBorders>
            <w:vAlign w:val="center"/>
          </w:tcPr>
          <w:p w14:paraId="793A2F8B">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1.19×10</w:t>
            </w:r>
            <w:r>
              <w:rPr>
                <w:rFonts w:ascii="Times New Roman" w:hAnsi="Times New Roman" w:eastAsia="宋体" w:cs="Times New Roman"/>
                <w:color w:val="000000"/>
                <w:kern w:val="0"/>
                <w:szCs w:val="21"/>
                <w:vertAlign w:val="superscript"/>
                <w:lang w:bidi="ar"/>
              </w:rPr>
              <w:t>-6</w:t>
            </w:r>
          </w:p>
        </w:tc>
      </w:tr>
      <w:tr w14:paraId="6138C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nil"/>
              <w:right w:val="nil"/>
            </w:tcBorders>
          </w:tcPr>
          <w:p w14:paraId="5552E3C5">
            <w:pPr>
              <w:jc w:val="center"/>
              <w:rPr>
                <w:rFonts w:ascii="Times New Roman" w:hAnsi="Times New Roman" w:cs="Times New Roman"/>
                <w:szCs w:val="21"/>
              </w:rPr>
            </w:pPr>
            <w:r>
              <w:rPr>
                <w:rFonts w:ascii="Times New Roman" w:hAnsi="Times New Roman" w:cs="Times New Roman"/>
                <w:szCs w:val="21"/>
              </w:rPr>
              <w:t>10%</w:t>
            </w:r>
          </w:p>
        </w:tc>
        <w:tc>
          <w:tcPr>
            <w:tcW w:w="1156" w:type="dxa"/>
            <w:tcBorders>
              <w:top w:val="nil"/>
              <w:left w:val="nil"/>
              <w:bottom w:val="nil"/>
              <w:right w:val="nil"/>
            </w:tcBorders>
            <w:vAlign w:val="center"/>
          </w:tcPr>
          <w:p w14:paraId="0FBCFD09">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440.72</w:t>
            </w:r>
          </w:p>
        </w:tc>
        <w:tc>
          <w:tcPr>
            <w:tcW w:w="1156" w:type="dxa"/>
            <w:tcBorders>
              <w:top w:val="nil"/>
              <w:left w:val="nil"/>
              <w:bottom w:val="nil"/>
              <w:right w:val="nil"/>
            </w:tcBorders>
            <w:vAlign w:val="center"/>
          </w:tcPr>
          <w:p w14:paraId="2153CF58">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0.00011</w:t>
            </w:r>
          </w:p>
        </w:tc>
        <w:tc>
          <w:tcPr>
            <w:tcW w:w="1156" w:type="dxa"/>
            <w:tcBorders>
              <w:top w:val="nil"/>
              <w:left w:val="nil"/>
              <w:bottom w:val="nil"/>
              <w:right w:val="nil"/>
            </w:tcBorders>
            <w:vAlign w:val="center"/>
          </w:tcPr>
          <w:p w14:paraId="458116AF">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-33.29</w:t>
            </w:r>
          </w:p>
        </w:tc>
        <w:tc>
          <w:tcPr>
            <w:tcW w:w="1157" w:type="dxa"/>
            <w:tcBorders>
              <w:top w:val="nil"/>
              <w:left w:val="nil"/>
              <w:bottom w:val="nil"/>
              <w:right w:val="nil"/>
            </w:tcBorders>
            <w:vAlign w:val="center"/>
          </w:tcPr>
          <w:p w14:paraId="761EF8E4">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9.18×10</w:t>
            </w:r>
            <w:r>
              <w:rPr>
                <w:rFonts w:ascii="Times New Roman" w:hAnsi="Times New Roman" w:eastAsia="宋体" w:cs="Times New Roman"/>
                <w:color w:val="000000"/>
                <w:kern w:val="0"/>
                <w:szCs w:val="21"/>
                <w:vertAlign w:val="superscript"/>
                <w:lang w:bidi="ar"/>
              </w:rPr>
              <w:t>-7</w:t>
            </w:r>
          </w:p>
        </w:tc>
      </w:tr>
      <w:tr w14:paraId="0B80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single" w:color="auto" w:sz="12" w:space="0"/>
              <w:right w:val="nil"/>
            </w:tcBorders>
          </w:tcPr>
          <w:p w14:paraId="67559013">
            <w:pPr>
              <w:jc w:val="center"/>
              <w:rPr>
                <w:rFonts w:ascii="Times New Roman" w:hAnsi="Times New Roman" w:cs="Times New Roman"/>
                <w:szCs w:val="21"/>
              </w:rPr>
            </w:pPr>
            <w:r>
              <w:rPr>
                <w:rFonts w:ascii="Times New Roman" w:hAnsi="Times New Roman" w:cs="Times New Roman"/>
                <w:szCs w:val="21"/>
              </w:rPr>
              <w:t>20%</w:t>
            </w:r>
          </w:p>
        </w:tc>
        <w:tc>
          <w:tcPr>
            <w:tcW w:w="1156" w:type="dxa"/>
            <w:tcBorders>
              <w:top w:val="nil"/>
              <w:left w:val="nil"/>
              <w:bottom w:val="single" w:color="auto" w:sz="12" w:space="0"/>
              <w:right w:val="nil"/>
            </w:tcBorders>
            <w:vAlign w:val="center"/>
          </w:tcPr>
          <w:p w14:paraId="0EC45C4A">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376.52</w:t>
            </w:r>
          </w:p>
        </w:tc>
        <w:tc>
          <w:tcPr>
            <w:tcW w:w="1156" w:type="dxa"/>
            <w:tcBorders>
              <w:top w:val="nil"/>
              <w:left w:val="nil"/>
              <w:bottom w:val="single" w:color="auto" w:sz="12" w:space="0"/>
              <w:right w:val="nil"/>
            </w:tcBorders>
            <w:vAlign w:val="center"/>
          </w:tcPr>
          <w:p w14:paraId="58A5AB81">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-4.51×10</w:t>
            </w:r>
            <w:r>
              <w:rPr>
                <w:rFonts w:ascii="Times New Roman" w:hAnsi="Times New Roman" w:eastAsia="宋体" w:cs="Times New Roman"/>
                <w:color w:val="000000"/>
                <w:kern w:val="0"/>
                <w:szCs w:val="21"/>
                <w:vertAlign w:val="superscript"/>
                <w:lang w:bidi="ar"/>
              </w:rPr>
              <w:t>-5</w:t>
            </w:r>
          </w:p>
        </w:tc>
        <w:tc>
          <w:tcPr>
            <w:tcW w:w="1156" w:type="dxa"/>
            <w:tcBorders>
              <w:top w:val="nil"/>
              <w:left w:val="nil"/>
              <w:bottom w:val="single" w:color="auto" w:sz="12" w:space="0"/>
              <w:right w:val="nil"/>
            </w:tcBorders>
            <w:vAlign w:val="center"/>
          </w:tcPr>
          <w:p w14:paraId="52A1DD0C">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-34.78</w:t>
            </w:r>
          </w:p>
        </w:tc>
        <w:tc>
          <w:tcPr>
            <w:tcW w:w="1157" w:type="dxa"/>
            <w:tcBorders>
              <w:top w:val="nil"/>
              <w:left w:val="nil"/>
              <w:bottom w:val="single" w:color="auto" w:sz="12" w:space="0"/>
              <w:right w:val="nil"/>
            </w:tcBorders>
            <w:vAlign w:val="center"/>
          </w:tcPr>
          <w:p w14:paraId="31378B44">
            <w:pPr>
              <w:widowControl/>
              <w:jc w:val="center"/>
              <w:textAlignment w:val="center"/>
              <w:rPr>
                <w:rFonts w:ascii="Times New Roman" w:hAnsi="Times New Roman" w:cs="Times New Roman"/>
                <w:szCs w:val="21"/>
              </w:rPr>
            </w:pPr>
            <w:r>
              <w:rPr>
                <w:rFonts w:ascii="Times New Roman" w:hAnsi="Times New Roman" w:eastAsia="宋体" w:cs="Times New Roman"/>
                <w:color w:val="000000"/>
                <w:kern w:val="0"/>
                <w:szCs w:val="21"/>
                <w:lang w:bidi="ar"/>
              </w:rPr>
              <w:t>6.47×10</w:t>
            </w:r>
            <w:r>
              <w:rPr>
                <w:rFonts w:ascii="Times New Roman" w:hAnsi="Times New Roman" w:eastAsia="宋体" w:cs="Times New Roman"/>
                <w:color w:val="000000"/>
                <w:kern w:val="0"/>
                <w:szCs w:val="21"/>
                <w:vertAlign w:val="superscript"/>
                <w:lang w:bidi="ar"/>
              </w:rPr>
              <w:t>-7</w:t>
            </w:r>
          </w:p>
        </w:tc>
      </w:tr>
    </w:tbl>
    <w:p w14:paraId="3A8FF1D8">
      <w:pPr>
        <w:jc w:val="center"/>
        <w:rPr>
          <w:rFonts w:ascii="Times New Roman" w:hAnsi="Times New Roman" w:cs="Times New Roman"/>
        </w:rPr>
      </w:pPr>
    </w:p>
    <w:p w14:paraId="269F884B">
      <w:pPr>
        <w:pStyle w:val="2"/>
        <w:rPr>
          <w:rFonts w:ascii="Times New Roman" w:hAnsi="Times New Roman" w:cs="Times New Roman"/>
        </w:rPr>
      </w:pPr>
      <w:r>
        <w:rPr>
          <w:rFonts w:ascii="Times New Roman" w:hAnsi="Times New Roman" w:cs="Times New Roman"/>
        </w:rPr>
        <w:t>Table S11 The sensitivity of environmental impacts with PVC waste amount</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7"/>
        <w:gridCol w:w="1156"/>
        <w:gridCol w:w="1156"/>
        <w:gridCol w:w="1156"/>
        <w:gridCol w:w="1157"/>
      </w:tblGrid>
      <w:tr w14:paraId="0FF2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single" w:color="auto" w:sz="12" w:space="0"/>
              <w:left w:val="nil"/>
              <w:bottom w:val="single" w:color="auto" w:sz="4" w:space="0"/>
              <w:right w:val="nil"/>
            </w:tcBorders>
          </w:tcPr>
          <w:p w14:paraId="05CBAF2A">
            <w:pPr>
              <w:jc w:val="center"/>
              <w:rPr>
                <w:rFonts w:ascii="Times New Roman" w:hAnsi="Times New Roman" w:cs="Times New Roman"/>
                <w:b/>
                <w:bCs/>
              </w:rPr>
            </w:pPr>
            <w:r>
              <w:rPr>
                <w:rFonts w:ascii="Times New Roman" w:hAnsi="Times New Roman" w:cs="Times New Roman"/>
                <w:b/>
                <w:bCs/>
              </w:rPr>
              <w:t>Sensitivity analysis of PVC waste amount</w:t>
            </w:r>
          </w:p>
        </w:tc>
        <w:tc>
          <w:tcPr>
            <w:tcW w:w="1156" w:type="dxa"/>
            <w:tcBorders>
              <w:top w:val="single" w:color="auto" w:sz="12" w:space="0"/>
              <w:left w:val="nil"/>
              <w:bottom w:val="single" w:color="auto" w:sz="4" w:space="0"/>
              <w:right w:val="nil"/>
            </w:tcBorders>
          </w:tcPr>
          <w:p w14:paraId="515EDC80">
            <w:pPr>
              <w:jc w:val="center"/>
              <w:rPr>
                <w:rFonts w:ascii="Times New Roman" w:hAnsi="Times New Roman" w:cs="Times New Roman"/>
                <w:b/>
                <w:bCs/>
              </w:rPr>
            </w:pPr>
            <w:r>
              <w:rPr>
                <w:rFonts w:ascii="Times New Roman" w:hAnsi="Times New Roman" w:cs="Times New Roman"/>
                <w:b/>
                <w:bCs/>
              </w:rPr>
              <w:t>CF</w:t>
            </w:r>
          </w:p>
        </w:tc>
        <w:tc>
          <w:tcPr>
            <w:tcW w:w="1156" w:type="dxa"/>
            <w:tcBorders>
              <w:top w:val="single" w:color="auto" w:sz="12" w:space="0"/>
              <w:left w:val="nil"/>
              <w:bottom w:val="single" w:color="auto" w:sz="4" w:space="0"/>
              <w:right w:val="nil"/>
            </w:tcBorders>
          </w:tcPr>
          <w:p w14:paraId="7F4010DC">
            <w:pPr>
              <w:jc w:val="center"/>
              <w:rPr>
                <w:rFonts w:ascii="Times New Roman" w:hAnsi="Times New Roman" w:cs="Times New Roman"/>
                <w:b/>
                <w:bCs/>
              </w:rPr>
            </w:pPr>
            <w:r>
              <w:rPr>
                <w:rFonts w:ascii="Times New Roman" w:hAnsi="Times New Roman" w:cs="Times New Roman"/>
                <w:b/>
                <w:bCs/>
              </w:rPr>
              <w:t>HH</w:t>
            </w:r>
          </w:p>
        </w:tc>
        <w:tc>
          <w:tcPr>
            <w:tcW w:w="1156" w:type="dxa"/>
            <w:tcBorders>
              <w:top w:val="single" w:color="auto" w:sz="12" w:space="0"/>
              <w:left w:val="nil"/>
              <w:bottom w:val="single" w:color="auto" w:sz="4" w:space="0"/>
              <w:right w:val="nil"/>
            </w:tcBorders>
          </w:tcPr>
          <w:p w14:paraId="25C43A00">
            <w:pPr>
              <w:jc w:val="center"/>
              <w:rPr>
                <w:rFonts w:ascii="Times New Roman" w:hAnsi="Times New Roman" w:cs="Times New Roman"/>
                <w:b/>
                <w:bCs/>
              </w:rPr>
            </w:pPr>
            <w:r>
              <w:rPr>
                <w:rFonts w:ascii="Times New Roman" w:hAnsi="Times New Roman" w:cs="Times New Roman"/>
                <w:b/>
                <w:bCs/>
              </w:rPr>
              <w:t>RD</w:t>
            </w:r>
          </w:p>
        </w:tc>
        <w:tc>
          <w:tcPr>
            <w:tcW w:w="1157" w:type="dxa"/>
            <w:tcBorders>
              <w:top w:val="single" w:color="auto" w:sz="12" w:space="0"/>
              <w:left w:val="nil"/>
              <w:bottom w:val="single" w:color="auto" w:sz="4" w:space="0"/>
              <w:right w:val="nil"/>
            </w:tcBorders>
          </w:tcPr>
          <w:p w14:paraId="1E702391">
            <w:pPr>
              <w:jc w:val="center"/>
              <w:rPr>
                <w:rFonts w:ascii="Times New Roman" w:hAnsi="Times New Roman" w:cs="Times New Roman"/>
                <w:b/>
                <w:bCs/>
              </w:rPr>
            </w:pPr>
            <w:r>
              <w:rPr>
                <w:rFonts w:ascii="Times New Roman" w:hAnsi="Times New Roman" w:cs="Times New Roman"/>
                <w:b/>
                <w:bCs/>
              </w:rPr>
              <w:t>EQ</w:t>
            </w:r>
          </w:p>
        </w:tc>
      </w:tr>
      <w:tr w14:paraId="7FE8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single" w:color="auto" w:sz="4" w:space="0"/>
              <w:left w:val="nil"/>
              <w:bottom w:val="nil"/>
              <w:right w:val="nil"/>
            </w:tcBorders>
          </w:tcPr>
          <w:p w14:paraId="3DB0651B">
            <w:pPr>
              <w:jc w:val="center"/>
              <w:rPr>
                <w:rFonts w:ascii="Times New Roman" w:hAnsi="Times New Roman" w:cs="Times New Roman"/>
              </w:rPr>
            </w:pPr>
            <w:r>
              <w:rPr>
                <w:rFonts w:ascii="Times New Roman" w:hAnsi="Times New Roman" w:cs="Times New Roman"/>
              </w:rPr>
              <w:t>-20%</w:t>
            </w:r>
          </w:p>
        </w:tc>
        <w:tc>
          <w:tcPr>
            <w:tcW w:w="1156" w:type="dxa"/>
            <w:tcBorders>
              <w:top w:val="single" w:color="auto" w:sz="4" w:space="0"/>
              <w:left w:val="nil"/>
              <w:bottom w:val="nil"/>
              <w:right w:val="nil"/>
            </w:tcBorders>
            <w:vAlign w:val="center"/>
          </w:tcPr>
          <w:p w14:paraId="4987D593">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403.94</w:t>
            </w:r>
          </w:p>
        </w:tc>
        <w:tc>
          <w:tcPr>
            <w:tcW w:w="1156" w:type="dxa"/>
            <w:tcBorders>
              <w:top w:val="single" w:color="auto" w:sz="4" w:space="0"/>
              <w:left w:val="nil"/>
              <w:bottom w:val="nil"/>
              <w:right w:val="nil"/>
            </w:tcBorders>
            <w:vAlign w:val="center"/>
          </w:tcPr>
          <w:p w14:paraId="5395A595">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0.00021</w:t>
            </w:r>
          </w:p>
        </w:tc>
        <w:tc>
          <w:tcPr>
            <w:tcW w:w="1156" w:type="dxa"/>
            <w:tcBorders>
              <w:top w:val="single" w:color="auto" w:sz="4" w:space="0"/>
              <w:left w:val="nil"/>
              <w:bottom w:val="nil"/>
              <w:right w:val="nil"/>
            </w:tcBorders>
            <w:vAlign w:val="center"/>
          </w:tcPr>
          <w:p w14:paraId="25EF8E50">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-25.44</w:t>
            </w:r>
          </w:p>
        </w:tc>
        <w:tc>
          <w:tcPr>
            <w:tcW w:w="1157" w:type="dxa"/>
            <w:tcBorders>
              <w:top w:val="single" w:color="auto" w:sz="4" w:space="0"/>
              <w:left w:val="nil"/>
              <w:bottom w:val="nil"/>
              <w:right w:val="nil"/>
            </w:tcBorders>
            <w:vAlign w:val="center"/>
          </w:tcPr>
          <w:p w14:paraId="3125329B">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9.52</w:t>
            </w:r>
            <w:r>
              <w:rPr>
                <w:rFonts w:ascii="Times New Roman" w:hAnsi="Times New Roman" w:eastAsia="宋体" w:cs="Times New Roman"/>
                <w:color w:val="000000"/>
                <w:kern w:val="0"/>
                <w:szCs w:val="21"/>
                <w:lang w:bidi="ar"/>
              </w:rPr>
              <w:t>×10</w:t>
            </w:r>
            <w:r>
              <w:rPr>
                <w:rFonts w:ascii="Times New Roman" w:hAnsi="Times New Roman" w:eastAsia="宋体" w:cs="Times New Roman"/>
                <w:color w:val="000000"/>
                <w:kern w:val="0"/>
                <w:sz w:val="22"/>
                <w:szCs w:val="22"/>
                <w:vertAlign w:val="superscript"/>
                <w:lang w:bidi="ar"/>
              </w:rPr>
              <w:t>-7</w:t>
            </w:r>
          </w:p>
        </w:tc>
      </w:tr>
      <w:tr w14:paraId="5403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nil"/>
              <w:right w:val="nil"/>
            </w:tcBorders>
          </w:tcPr>
          <w:p w14:paraId="0518E3C1">
            <w:pPr>
              <w:jc w:val="center"/>
              <w:rPr>
                <w:rFonts w:ascii="Times New Roman" w:hAnsi="Times New Roman" w:cs="Times New Roman"/>
              </w:rPr>
            </w:pPr>
            <w:r>
              <w:rPr>
                <w:rFonts w:ascii="Times New Roman" w:hAnsi="Times New Roman" w:cs="Times New Roman"/>
              </w:rPr>
              <w:t>-10%</w:t>
            </w:r>
          </w:p>
        </w:tc>
        <w:tc>
          <w:tcPr>
            <w:tcW w:w="1156" w:type="dxa"/>
            <w:tcBorders>
              <w:top w:val="nil"/>
              <w:left w:val="nil"/>
              <w:bottom w:val="nil"/>
              <w:right w:val="nil"/>
            </w:tcBorders>
            <w:vAlign w:val="center"/>
          </w:tcPr>
          <w:p w14:paraId="22798C54">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454.43</w:t>
            </w:r>
          </w:p>
        </w:tc>
        <w:tc>
          <w:tcPr>
            <w:tcW w:w="1156" w:type="dxa"/>
            <w:tcBorders>
              <w:top w:val="nil"/>
              <w:left w:val="nil"/>
              <w:bottom w:val="nil"/>
              <w:right w:val="nil"/>
            </w:tcBorders>
            <w:vAlign w:val="center"/>
          </w:tcPr>
          <w:p w14:paraId="2108A5E8">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0.00023</w:t>
            </w:r>
          </w:p>
        </w:tc>
        <w:tc>
          <w:tcPr>
            <w:tcW w:w="1156" w:type="dxa"/>
            <w:tcBorders>
              <w:top w:val="nil"/>
              <w:left w:val="nil"/>
              <w:bottom w:val="nil"/>
              <w:right w:val="nil"/>
            </w:tcBorders>
            <w:vAlign w:val="center"/>
          </w:tcPr>
          <w:p w14:paraId="450FEDC7">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-28.63</w:t>
            </w:r>
          </w:p>
        </w:tc>
        <w:tc>
          <w:tcPr>
            <w:tcW w:w="1157" w:type="dxa"/>
            <w:tcBorders>
              <w:top w:val="nil"/>
              <w:left w:val="nil"/>
              <w:bottom w:val="nil"/>
              <w:right w:val="nil"/>
            </w:tcBorders>
            <w:vAlign w:val="center"/>
          </w:tcPr>
          <w:p w14:paraId="0741072C">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1.07</w:t>
            </w:r>
            <w:r>
              <w:rPr>
                <w:rFonts w:ascii="Times New Roman" w:hAnsi="Times New Roman" w:eastAsia="宋体" w:cs="Times New Roman"/>
                <w:color w:val="000000"/>
                <w:kern w:val="0"/>
                <w:szCs w:val="21"/>
                <w:lang w:bidi="ar"/>
              </w:rPr>
              <w:t>×10</w:t>
            </w:r>
            <w:r>
              <w:rPr>
                <w:rFonts w:ascii="Times New Roman" w:hAnsi="Times New Roman" w:eastAsia="宋体" w:cs="Times New Roman"/>
                <w:color w:val="000000"/>
                <w:kern w:val="0"/>
                <w:sz w:val="22"/>
                <w:szCs w:val="22"/>
                <w:vertAlign w:val="superscript"/>
                <w:lang w:bidi="ar"/>
              </w:rPr>
              <w:t>-6</w:t>
            </w:r>
          </w:p>
        </w:tc>
      </w:tr>
      <w:tr w14:paraId="53C9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nil"/>
              <w:right w:val="nil"/>
            </w:tcBorders>
          </w:tcPr>
          <w:p w14:paraId="2DDA99BF">
            <w:pPr>
              <w:jc w:val="center"/>
              <w:rPr>
                <w:rFonts w:ascii="Times New Roman" w:hAnsi="Times New Roman" w:cs="Times New Roman"/>
              </w:rPr>
            </w:pPr>
            <w:r>
              <w:rPr>
                <w:rFonts w:ascii="Times New Roman" w:hAnsi="Times New Roman" w:cs="Times New Roman"/>
              </w:rPr>
              <w:t>0</w:t>
            </w:r>
          </w:p>
        </w:tc>
        <w:tc>
          <w:tcPr>
            <w:tcW w:w="1156" w:type="dxa"/>
            <w:tcBorders>
              <w:top w:val="nil"/>
              <w:left w:val="nil"/>
              <w:bottom w:val="nil"/>
              <w:right w:val="nil"/>
            </w:tcBorders>
            <w:vAlign w:val="center"/>
          </w:tcPr>
          <w:p w14:paraId="1C46A27C">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504.93</w:t>
            </w:r>
          </w:p>
        </w:tc>
        <w:tc>
          <w:tcPr>
            <w:tcW w:w="1156" w:type="dxa"/>
            <w:tcBorders>
              <w:top w:val="nil"/>
              <w:left w:val="nil"/>
              <w:bottom w:val="nil"/>
              <w:right w:val="nil"/>
            </w:tcBorders>
            <w:vAlign w:val="center"/>
          </w:tcPr>
          <w:p w14:paraId="7BA10A20">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0.00026</w:t>
            </w:r>
          </w:p>
        </w:tc>
        <w:tc>
          <w:tcPr>
            <w:tcW w:w="1156" w:type="dxa"/>
            <w:tcBorders>
              <w:top w:val="nil"/>
              <w:left w:val="nil"/>
              <w:bottom w:val="nil"/>
              <w:right w:val="nil"/>
            </w:tcBorders>
            <w:vAlign w:val="center"/>
          </w:tcPr>
          <w:p w14:paraId="1D44FC44">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-31.81</w:t>
            </w:r>
          </w:p>
        </w:tc>
        <w:tc>
          <w:tcPr>
            <w:tcW w:w="1157" w:type="dxa"/>
            <w:tcBorders>
              <w:top w:val="nil"/>
              <w:left w:val="nil"/>
              <w:bottom w:val="nil"/>
              <w:right w:val="nil"/>
            </w:tcBorders>
            <w:vAlign w:val="center"/>
          </w:tcPr>
          <w:p w14:paraId="6925B907">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1.19</w:t>
            </w:r>
            <w:r>
              <w:rPr>
                <w:rFonts w:ascii="Times New Roman" w:hAnsi="Times New Roman" w:eastAsia="宋体" w:cs="Times New Roman"/>
                <w:color w:val="000000"/>
                <w:kern w:val="0"/>
                <w:szCs w:val="21"/>
                <w:lang w:bidi="ar"/>
              </w:rPr>
              <w:t>×10</w:t>
            </w:r>
            <w:r>
              <w:rPr>
                <w:rFonts w:ascii="Times New Roman" w:hAnsi="Times New Roman" w:eastAsia="宋体" w:cs="Times New Roman"/>
                <w:color w:val="000000"/>
                <w:kern w:val="0"/>
                <w:sz w:val="22"/>
                <w:szCs w:val="22"/>
                <w:vertAlign w:val="superscript"/>
                <w:lang w:bidi="ar"/>
              </w:rPr>
              <w:t>-6</w:t>
            </w:r>
          </w:p>
        </w:tc>
      </w:tr>
      <w:tr w14:paraId="0668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nil"/>
              <w:right w:val="nil"/>
            </w:tcBorders>
          </w:tcPr>
          <w:p w14:paraId="212F0DC9">
            <w:pPr>
              <w:jc w:val="center"/>
              <w:rPr>
                <w:rFonts w:ascii="Times New Roman" w:hAnsi="Times New Roman" w:cs="Times New Roman"/>
              </w:rPr>
            </w:pPr>
            <w:r>
              <w:rPr>
                <w:rFonts w:ascii="Times New Roman" w:hAnsi="Times New Roman" w:cs="Times New Roman"/>
              </w:rPr>
              <w:t>10%</w:t>
            </w:r>
          </w:p>
        </w:tc>
        <w:tc>
          <w:tcPr>
            <w:tcW w:w="1156" w:type="dxa"/>
            <w:tcBorders>
              <w:top w:val="nil"/>
              <w:left w:val="nil"/>
              <w:bottom w:val="nil"/>
              <w:right w:val="nil"/>
            </w:tcBorders>
            <w:vAlign w:val="center"/>
          </w:tcPr>
          <w:p w14:paraId="55DAC7D9">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555.42</w:t>
            </w:r>
          </w:p>
        </w:tc>
        <w:tc>
          <w:tcPr>
            <w:tcW w:w="1156" w:type="dxa"/>
            <w:tcBorders>
              <w:top w:val="nil"/>
              <w:left w:val="nil"/>
              <w:bottom w:val="nil"/>
              <w:right w:val="nil"/>
            </w:tcBorders>
            <w:vAlign w:val="center"/>
          </w:tcPr>
          <w:p w14:paraId="76E83178">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0.00028</w:t>
            </w:r>
          </w:p>
        </w:tc>
        <w:tc>
          <w:tcPr>
            <w:tcW w:w="1156" w:type="dxa"/>
            <w:tcBorders>
              <w:top w:val="nil"/>
              <w:left w:val="nil"/>
              <w:bottom w:val="nil"/>
              <w:right w:val="nil"/>
            </w:tcBorders>
            <w:vAlign w:val="center"/>
          </w:tcPr>
          <w:p w14:paraId="7E0097B4">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-34.99</w:t>
            </w:r>
          </w:p>
        </w:tc>
        <w:tc>
          <w:tcPr>
            <w:tcW w:w="1157" w:type="dxa"/>
            <w:tcBorders>
              <w:top w:val="nil"/>
              <w:left w:val="nil"/>
              <w:bottom w:val="nil"/>
              <w:right w:val="nil"/>
            </w:tcBorders>
            <w:vAlign w:val="center"/>
          </w:tcPr>
          <w:p w14:paraId="1AE0DFC9">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1.31</w:t>
            </w:r>
            <w:r>
              <w:rPr>
                <w:rFonts w:ascii="Times New Roman" w:hAnsi="Times New Roman" w:eastAsia="宋体" w:cs="Times New Roman"/>
                <w:color w:val="000000"/>
                <w:kern w:val="0"/>
                <w:szCs w:val="21"/>
                <w:lang w:bidi="ar"/>
              </w:rPr>
              <w:t>×10</w:t>
            </w:r>
            <w:r>
              <w:rPr>
                <w:rFonts w:ascii="Times New Roman" w:hAnsi="Times New Roman" w:eastAsia="宋体" w:cs="Times New Roman"/>
                <w:color w:val="000000"/>
                <w:kern w:val="0"/>
                <w:szCs w:val="21"/>
                <w:vertAlign w:val="superscript"/>
                <w:lang w:bidi="ar"/>
              </w:rPr>
              <w:t>-</w:t>
            </w:r>
            <w:r>
              <w:rPr>
                <w:rFonts w:ascii="Times New Roman" w:hAnsi="Times New Roman" w:eastAsia="宋体" w:cs="Times New Roman"/>
                <w:color w:val="000000"/>
                <w:kern w:val="0"/>
                <w:sz w:val="22"/>
                <w:szCs w:val="22"/>
                <w:vertAlign w:val="superscript"/>
                <w:lang w:bidi="ar"/>
              </w:rPr>
              <w:t>6</w:t>
            </w:r>
          </w:p>
        </w:tc>
      </w:tr>
      <w:tr w14:paraId="3235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7" w:type="dxa"/>
            <w:tcBorders>
              <w:top w:val="nil"/>
              <w:left w:val="nil"/>
              <w:bottom w:val="single" w:color="auto" w:sz="12" w:space="0"/>
              <w:right w:val="nil"/>
            </w:tcBorders>
          </w:tcPr>
          <w:p w14:paraId="655118B3">
            <w:pPr>
              <w:jc w:val="center"/>
              <w:rPr>
                <w:rFonts w:ascii="Times New Roman" w:hAnsi="Times New Roman" w:cs="Times New Roman"/>
              </w:rPr>
            </w:pPr>
            <w:r>
              <w:rPr>
                <w:rFonts w:ascii="Times New Roman" w:hAnsi="Times New Roman" w:cs="Times New Roman"/>
              </w:rPr>
              <w:t>20%</w:t>
            </w:r>
          </w:p>
        </w:tc>
        <w:tc>
          <w:tcPr>
            <w:tcW w:w="1156" w:type="dxa"/>
            <w:tcBorders>
              <w:top w:val="nil"/>
              <w:left w:val="nil"/>
              <w:bottom w:val="single" w:color="auto" w:sz="12" w:space="0"/>
              <w:right w:val="nil"/>
            </w:tcBorders>
            <w:vAlign w:val="center"/>
          </w:tcPr>
          <w:p w14:paraId="12DCBDD5">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605.91</w:t>
            </w:r>
          </w:p>
        </w:tc>
        <w:tc>
          <w:tcPr>
            <w:tcW w:w="1156" w:type="dxa"/>
            <w:tcBorders>
              <w:top w:val="nil"/>
              <w:left w:val="nil"/>
              <w:bottom w:val="single" w:color="auto" w:sz="12" w:space="0"/>
              <w:right w:val="nil"/>
            </w:tcBorders>
            <w:vAlign w:val="center"/>
          </w:tcPr>
          <w:p w14:paraId="60F27F9F">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0.00031</w:t>
            </w:r>
          </w:p>
        </w:tc>
        <w:tc>
          <w:tcPr>
            <w:tcW w:w="1156" w:type="dxa"/>
            <w:tcBorders>
              <w:top w:val="nil"/>
              <w:left w:val="nil"/>
              <w:bottom w:val="single" w:color="auto" w:sz="12" w:space="0"/>
              <w:right w:val="nil"/>
            </w:tcBorders>
            <w:vAlign w:val="center"/>
          </w:tcPr>
          <w:p w14:paraId="037BE0A8">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-38.17</w:t>
            </w:r>
          </w:p>
        </w:tc>
        <w:tc>
          <w:tcPr>
            <w:tcW w:w="1157" w:type="dxa"/>
            <w:tcBorders>
              <w:top w:val="nil"/>
              <w:left w:val="nil"/>
              <w:bottom w:val="single" w:color="auto" w:sz="12" w:space="0"/>
              <w:right w:val="nil"/>
            </w:tcBorders>
            <w:vAlign w:val="center"/>
          </w:tcPr>
          <w:p w14:paraId="1C492298">
            <w:pPr>
              <w:widowControl/>
              <w:jc w:val="center"/>
              <w:textAlignment w:val="center"/>
              <w:rPr>
                <w:rFonts w:ascii="Times New Roman" w:hAnsi="Times New Roman" w:cs="Times New Roman"/>
              </w:rPr>
            </w:pPr>
            <w:r>
              <w:rPr>
                <w:rFonts w:ascii="Times New Roman" w:hAnsi="Times New Roman" w:eastAsia="宋体" w:cs="Times New Roman"/>
                <w:color w:val="000000"/>
                <w:kern w:val="0"/>
                <w:sz w:val="22"/>
                <w:szCs w:val="22"/>
                <w:lang w:bidi="ar"/>
              </w:rPr>
              <w:t>1.43</w:t>
            </w:r>
            <w:r>
              <w:rPr>
                <w:rFonts w:ascii="Times New Roman" w:hAnsi="Times New Roman" w:eastAsia="宋体" w:cs="Times New Roman"/>
                <w:color w:val="000000"/>
                <w:kern w:val="0"/>
                <w:szCs w:val="21"/>
                <w:lang w:bidi="ar"/>
              </w:rPr>
              <w:t>×10</w:t>
            </w:r>
            <w:r>
              <w:rPr>
                <w:rFonts w:ascii="Times New Roman" w:hAnsi="Times New Roman" w:eastAsia="宋体" w:cs="Times New Roman"/>
                <w:color w:val="000000"/>
                <w:kern w:val="0"/>
                <w:sz w:val="22"/>
                <w:szCs w:val="22"/>
                <w:vertAlign w:val="superscript"/>
                <w:lang w:bidi="ar"/>
              </w:rPr>
              <w:t>-6</w:t>
            </w:r>
          </w:p>
        </w:tc>
      </w:tr>
    </w:tbl>
    <w:p w14:paraId="04B52E32">
      <w:pPr>
        <w:rPr>
          <w:rFonts w:ascii="Times New Roman" w:hAnsi="Times New Roman" w:eastAsia="等线" w:cs="Times New Roman"/>
          <w:b/>
          <w:bCs/>
          <w:i/>
          <w:iCs/>
          <w:kern w:val="0"/>
          <w:sz w:val="24"/>
        </w:rPr>
      </w:pPr>
      <w:r>
        <w:rPr>
          <w:rFonts w:ascii="Times New Roman" w:hAnsi="Times New Roman" w:eastAsia="等线" w:cs="Times New Roman"/>
          <w:b/>
          <w:bCs/>
          <w:i/>
          <w:iCs/>
          <w:kern w:val="0"/>
          <w:sz w:val="24"/>
        </w:rPr>
        <w:br w:type="page"/>
      </w:r>
    </w:p>
    <w:p w14:paraId="2513DDF7">
      <w:pPr>
        <w:widowControl/>
        <w:spacing w:after="200"/>
        <w:rPr>
          <w:rFonts w:ascii="Times New Roman" w:hAnsi="Times New Roman" w:eastAsia="等线" w:cs="Times New Roman"/>
          <w:b/>
          <w:bCs/>
          <w:i/>
          <w:iCs/>
          <w:kern w:val="0"/>
          <w:sz w:val="24"/>
        </w:rPr>
      </w:pPr>
      <w:r>
        <w:rPr>
          <w:rFonts w:ascii="Times New Roman" w:hAnsi="Times New Roman" w:eastAsia="等线" w:cs="Times New Roman"/>
          <w:b/>
          <w:bCs/>
          <w:i/>
          <w:iCs/>
          <w:kern w:val="0"/>
          <w:sz w:val="24"/>
        </w:rPr>
        <w:t>5. Provincial and interprovincial transportation models</w:t>
      </w:r>
    </w:p>
    <w:p w14:paraId="72505138">
      <w:pPr>
        <w:jc w:val="center"/>
        <w:rPr>
          <w:rFonts w:ascii="Times New Roman" w:hAnsi="Times New Roman" w:eastAsia="宋体" w:cs="Times New Roman"/>
          <w:color w:val="000000"/>
          <w:kern w:val="0"/>
          <w:sz w:val="24"/>
          <w:szCs w:val="20"/>
        </w:rPr>
      </w:pPr>
      <w:r>
        <w:rPr>
          <w:rFonts w:ascii="Times New Roman" w:hAnsi="Times New Roman" w:eastAsia="宋体" w:cs="Times New Roman"/>
          <w:color w:val="000000"/>
          <w:kern w:val="0"/>
          <w:sz w:val="24"/>
          <w:szCs w:val="20"/>
          <w:lang w:val="en-PH" w:eastAsia="en-PH"/>
        </w:rPr>
        <w:drawing>
          <wp:inline distT="0" distB="0" distL="114300" distR="114300">
            <wp:extent cx="3702050" cy="2505710"/>
            <wp:effectExtent l="0" t="0" r="3175" b="0"/>
            <wp:docPr id="12" name="图片 12" descr="运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运输"/>
                    <pic:cNvPicPr>
                      <a:picLocks noChangeAspect="1"/>
                    </pic:cNvPicPr>
                  </pic:nvPicPr>
                  <pic:blipFill>
                    <a:blip r:embed="rId14"/>
                    <a:stretch>
                      <a:fillRect/>
                    </a:stretch>
                  </pic:blipFill>
                  <pic:spPr>
                    <a:xfrm>
                      <a:off x="0" y="0"/>
                      <a:ext cx="3702050" cy="2505710"/>
                    </a:xfrm>
                    <a:prstGeom prst="rect">
                      <a:avLst/>
                    </a:prstGeom>
                  </pic:spPr>
                </pic:pic>
              </a:graphicData>
            </a:graphic>
          </wp:inline>
        </w:drawing>
      </w:r>
    </w:p>
    <w:p w14:paraId="139AB5B7">
      <w:pPr>
        <w:pStyle w:val="2"/>
        <w:jc w:val="center"/>
        <w:rPr>
          <w:rFonts w:ascii="Times New Roman" w:hAnsi="Times New Roman" w:cs="Times New Roman"/>
          <w:color w:val="000000"/>
          <w:kern w:val="0"/>
          <w:sz w:val="21"/>
          <w:szCs w:val="21"/>
        </w:rPr>
      </w:pPr>
      <w:r>
        <w:rPr>
          <w:rFonts w:ascii="Times New Roman" w:hAnsi="Times New Roman" w:cs="Times New Roman"/>
          <w:sz w:val="21"/>
          <w:szCs w:val="21"/>
        </w:rPr>
        <w:t>Figure S</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SEQ 图 \* ARABIC </w:instrText>
      </w:r>
      <w:r>
        <w:rPr>
          <w:rFonts w:ascii="Times New Roman" w:hAnsi="Times New Roman" w:cs="Times New Roman"/>
          <w:sz w:val="21"/>
          <w:szCs w:val="21"/>
        </w:rPr>
        <w:fldChar w:fldCharType="separate"/>
      </w:r>
      <w:r>
        <w:rPr>
          <w:rFonts w:ascii="Times New Roman" w:hAnsi="Times New Roman" w:cs="Times New Roman"/>
          <w:sz w:val="21"/>
          <w:szCs w:val="21"/>
        </w:rPr>
        <w:t>11</w:t>
      </w:r>
      <w:r>
        <w:rPr>
          <w:rFonts w:ascii="Times New Roman" w:hAnsi="Times New Roman" w:cs="Times New Roman"/>
          <w:sz w:val="21"/>
          <w:szCs w:val="21"/>
        </w:rPr>
        <w:fldChar w:fldCharType="end"/>
      </w:r>
      <w:r>
        <w:rPr>
          <w:rFonts w:ascii="Times New Roman" w:hAnsi="Times New Roman" w:cs="Times New Roman"/>
          <w:sz w:val="21"/>
          <w:szCs w:val="21"/>
        </w:rPr>
        <w:t>. The concept of provincial and interprovincial transportation</w:t>
      </w:r>
    </w:p>
    <w:p w14:paraId="78A93450">
      <w:pPr>
        <w:rPr>
          <w:rFonts w:ascii="Times New Roman" w:hAnsi="Times New Roman" w:eastAsia="等线" w:cs="Times New Roman"/>
          <w:kern w:val="0"/>
          <w:sz w:val="24"/>
        </w:rPr>
      </w:pPr>
    </w:p>
    <w:p w14:paraId="1BD981AF">
      <w:pPr>
        <w:spacing w:line="480" w:lineRule="auto"/>
        <w:ind w:firstLine="480" w:firstLineChars="200"/>
        <w:rPr>
          <w:rFonts w:ascii="Times New Roman" w:hAnsi="Times New Roman" w:eastAsia="等线" w:cs="Times New Roman"/>
          <w:kern w:val="0"/>
          <w:sz w:val="24"/>
        </w:rPr>
      </w:pPr>
      <w:r>
        <w:rPr>
          <w:rFonts w:ascii="Times New Roman" w:hAnsi="Times New Roman" w:eastAsia="宋体" w:cs="Times New Roman"/>
          <w:color w:val="000000" w:themeColor="text1"/>
          <w:kern w:val="0"/>
          <w:sz w:val="24"/>
          <w:szCs w:val="20"/>
          <w14:textFill>
            <w14:solidFill>
              <w14:schemeClr w14:val="tx1"/>
            </w14:solidFill>
          </w14:textFill>
        </w:rPr>
        <w:t>When PVC waste is recycled, all the recycled materials should be used to supply the avoided materials, however, there are little research consider the transportation of recycled material in provincial and interprovincial by according the demand and supply in each province. Therefore, we conduct a transportation analysis with and between provinces to calculate the CR regenerated materials reusing and flowing.</w:t>
      </w:r>
    </w:p>
    <w:p w14:paraId="5D6DFA13">
      <w:pPr>
        <w:spacing w:line="480" w:lineRule="auto"/>
        <w:ind w:firstLine="480" w:firstLineChars="200"/>
        <w:rPr>
          <w:rFonts w:ascii="Times New Roman" w:hAnsi="Times New Roman" w:eastAsia="等线" w:cs="Times New Roman"/>
          <w:kern w:val="0"/>
          <w:sz w:val="24"/>
        </w:rPr>
      </w:pPr>
      <w:r>
        <w:rPr>
          <w:rFonts w:ascii="Times New Roman" w:hAnsi="Times New Roman" w:eastAsia="等线" w:cs="Times New Roman"/>
          <w:kern w:val="0"/>
          <w:sz w:val="24"/>
        </w:rPr>
        <w:t>Refer to Lu’s study</w:t>
      </w:r>
      <w:r>
        <w:rPr>
          <w:rFonts w:hint="eastAsia" w:ascii="Times New Roman" w:hAnsi="Times New Roman" w:eastAsia="等线" w:cs="Times New Roman"/>
          <w:kern w:val="0"/>
          <w:sz w:val="24"/>
          <w:lang w:val="en-US" w:eastAsia="zh-CN"/>
        </w:rPr>
        <w:t xml:space="preserve"> </w:t>
      </w:r>
      <w:r>
        <w:rPr>
          <w:rFonts w:ascii="Times New Roman" w:hAnsi="Times New Roman" w:eastAsia="等线" w:cs="Times New Roman"/>
          <w:kern w:val="0"/>
          <w:sz w:val="24"/>
        </w:rPr>
        <w:fldChar w:fldCharType="begin"/>
      </w:r>
      <w:r>
        <w:rPr>
          <w:rFonts w:ascii="Times New Roman" w:hAnsi="Times New Roman" w:eastAsia="等线" w:cs="Times New Roman"/>
          <w:kern w:val="0"/>
          <w:sz w:val="24"/>
        </w:rPr>
        <w:instrText xml:space="preserve"> ADDIN EN.CITE &lt;EndNote&gt;&lt;Cite&gt;&lt;Author&gt;Lu&lt;/Author&gt;&lt;Year&gt;2023&lt;/Year&gt;&lt;RecNum&gt;876&lt;/RecNum&gt;&lt;DisplayText&gt;(Lu 2023)&lt;/DisplayText&gt;&lt;record&gt;&lt;rec-number&gt;876&lt;/rec-number&gt;&lt;foreign-keys&gt;&lt;key app="EN" db-id="a0vx9dvem9p0duex9flv0fpn0a2tsfpe5dxp" timestamp="1732324096"&gt;876&lt;/key&gt;&lt;/foreign-keys&gt;&lt;ref-type name="Journal Article"&gt;17&lt;/ref-type&gt;&lt;contributors&gt;&lt;authors&gt;&lt;author&gt;Lu, Jiaqi&lt;/author&gt;&lt;author&gt;Shan, Rui&lt;/author&gt;&lt;author&gt;Kittner, Noah&lt;/author&gt;&lt;author&gt;Hu, Wenqi&lt;/author&gt;&lt;author&gt;Zhang, Nan&lt;/author&gt;&lt;/authors&gt;&lt;/contributors&gt;&lt;titles&gt;&lt;title&gt;Emission reductions from heavy-duty freight electrification aided by smart fleet management&lt;/title&gt;&lt;secondary-title&gt;Transportation Research Part D: Transport and Environment&lt;/secondary-title&gt;&lt;/titles&gt;&lt;periodical&gt;&lt;full-title&gt;Transportation Research Part D: Transport and Environment&lt;/full-title&gt;&lt;/periodical&gt;&lt;volume&gt;121&lt;/volume&gt;&lt;section&gt;103846&lt;/section&gt;&lt;dates&gt;&lt;year&gt;2023&lt;/year&gt;&lt;/dates&gt;&lt;isbn&gt;13619209&lt;/isbn&gt;&lt;urls&gt;&lt;/urls&gt;&lt;electronic-resource-num&gt;10.1016/j.trd.2023.103846&lt;/electronic-resource-num&gt;&lt;/record&gt;&lt;/Cite&gt;&lt;/EndNote&gt;</w:instrText>
      </w:r>
      <w:r>
        <w:rPr>
          <w:rFonts w:ascii="Times New Roman" w:hAnsi="Times New Roman" w:eastAsia="等线" w:cs="Times New Roman"/>
          <w:kern w:val="0"/>
          <w:sz w:val="24"/>
        </w:rPr>
        <w:fldChar w:fldCharType="separate"/>
      </w:r>
      <w:r>
        <w:rPr>
          <w:rFonts w:ascii="Times New Roman" w:hAnsi="Times New Roman" w:eastAsia="等线" w:cs="Times New Roman"/>
          <w:kern w:val="0"/>
          <w:sz w:val="24"/>
        </w:rPr>
        <w:t>(Lu 2023)</w:t>
      </w:r>
      <w:r>
        <w:rPr>
          <w:rFonts w:ascii="Times New Roman" w:hAnsi="Times New Roman" w:eastAsia="等线" w:cs="Times New Roman"/>
          <w:kern w:val="0"/>
          <w:sz w:val="24"/>
        </w:rPr>
        <w:fldChar w:fldCharType="end"/>
      </w:r>
      <w:r>
        <w:rPr>
          <w:rFonts w:ascii="Times New Roman" w:hAnsi="Times New Roman" w:eastAsia="等线" w:cs="Times New Roman"/>
          <w:kern w:val="0"/>
          <w:sz w:val="24"/>
        </w:rPr>
        <w:t xml:space="preserve">, we simply the provincial and interprovincial transportation models by only optimizing the CO2 emission from the transportation under balance the supply from CR recycled materials and the demand from different provinces. </w:t>
      </w:r>
    </w:p>
    <w:p w14:paraId="2F03BEE4">
      <w:pPr>
        <w:spacing w:line="480" w:lineRule="auto"/>
        <w:ind w:firstLine="480" w:firstLineChars="200"/>
        <w:rPr>
          <w:rFonts w:ascii="Times New Roman" w:hAnsi="Times New Roman" w:eastAsia="等线" w:cs="Times New Roman"/>
          <w:kern w:val="0"/>
          <w:sz w:val="24"/>
        </w:rPr>
      </w:pPr>
      <w:r>
        <w:rPr>
          <w:rFonts w:ascii="Times New Roman" w:hAnsi="Times New Roman" w:eastAsia="等线" w:cs="Times New Roman"/>
          <w:kern w:val="0"/>
          <w:sz w:val="24"/>
        </w:rPr>
        <w:t>The simplified objective function is expressed as:</w:t>
      </w:r>
    </w:p>
    <w:p w14:paraId="1A940BFB">
      <w:pPr>
        <w:spacing w:line="480" w:lineRule="auto"/>
        <w:ind w:firstLine="480" w:firstLineChars="200"/>
        <w:rPr>
          <w:rFonts w:ascii="Times New Roman" w:hAnsi="Times New Roman" w:eastAsia="等线" w:cs="Times New Roman"/>
          <w:kern w:val="0"/>
          <w:sz w:val="24"/>
        </w:rPr>
      </w:pPr>
      <m:oMathPara>
        <m:oMath>
          <m:r>
            <m:rPr>
              <m:sty m:val="p"/>
            </m:rPr>
            <w:rPr>
              <w:rFonts w:ascii="Cambria Math" w:hAnsi="Cambria Math" w:eastAsia="等线" w:cs="Times New Roman"/>
              <w:kern w:val="0"/>
              <w:sz w:val="24"/>
            </w:rPr>
            <m:t xml:space="preserve">minimize </m:t>
          </m:r>
          <m:nary>
            <m:naryPr>
              <m:chr m:val="∑"/>
              <m:limLoc m:val="undOvr"/>
              <m:supHide m:val="1"/>
              <m:ctrlPr>
                <w:rPr>
                  <w:rFonts w:ascii="Cambria Math" w:hAnsi="Cambria Math" w:eastAsia="等线" w:cs="Times New Roman"/>
                  <w:kern w:val="0"/>
                  <w:sz w:val="24"/>
                </w:rPr>
              </m:ctrlPr>
            </m:naryPr>
            <m:sub>
              <m:r>
                <m:rPr>
                  <m:sty m:val="p"/>
                </m:rPr>
                <w:rPr>
                  <w:rFonts w:ascii="Cambria Math" w:hAnsi="Cambria Math" w:eastAsia="等线" w:cs="Times New Roman"/>
                  <w:kern w:val="0"/>
                  <w:sz w:val="24"/>
                </w:rPr>
                <m:t>i,j</m:t>
              </m:r>
              <m:ctrlPr>
                <w:rPr>
                  <w:rFonts w:ascii="Cambria Math" w:hAnsi="Cambria Math" w:eastAsia="等线" w:cs="Times New Roman"/>
                  <w:kern w:val="0"/>
                  <w:sz w:val="24"/>
                </w:rPr>
              </m:ctrlPr>
            </m:sub>
            <m:sup>
              <m:ctrlPr>
                <w:rPr>
                  <w:rFonts w:ascii="Cambria Math" w:hAnsi="Cambria Math" w:eastAsia="等线" w:cs="Times New Roman"/>
                  <w:kern w:val="0"/>
                  <w:sz w:val="24"/>
                </w:rPr>
              </m:ctrlPr>
            </m:sup>
            <m:e>
              <m:r>
                <m:rPr>
                  <m:sty m:val="p"/>
                </m:rPr>
                <w:rPr>
                  <w:rFonts w:ascii="Cambria Math" w:hAnsi="Cambria Math" w:eastAsia="等线" w:cs="Times New Roman"/>
                  <w:kern w:val="0"/>
                  <w:sz w:val="24"/>
                </w:rPr>
                <m:t>(</m:t>
              </m:r>
              <m:sSub>
                <m:sSubPr>
                  <m:ctrlPr>
                    <w:rPr>
                      <w:rFonts w:ascii="Cambria Math" w:hAnsi="Cambria Math" w:eastAsia="等线" w:cs="Times New Roman"/>
                      <w:kern w:val="0"/>
                      <w:sz w:val="24"/>
                    </w:rPr>
                  </m:ctrlPr>
                </m:sSubPr>
                <m:e>
                  <m:r>
                    <m:rPr>
                      <m:sty m:val="p"/>
                    </m:rPr>
                    <w:rPr>
                      <w:rFonts w:ascii="Cambria Math" w:hAnsi="Cambria Math" w:eastAsia="等线" w:cs="Times New Roman"/>
                      <w:kern w:val="0"/>
                      <w:sz w:val="24"/>
                    </w:rPr>
                    <m:t>W</m:t>
                  </m:r>
                  <m:ctrlPr>
                    <w:rPr>
                      <w:rFonts w:ascii="Cambria Math" w:hAnsi="Cambria Math" w:eastAsia="等线" w:cs="Times New Roman"/>
                      <w:kern w:val="0"/>
                      <w:sz w:val="24"/>
                    </w:rPr>
                  </m:ctrlPr>
                </m:e>
                <m:sub>
                  <m:r>
                    <m:rPr>
                      <m:sty m:val="p"/>
                    </m:rPr>
                    <w:rPr>
                      <w:rFonts w:ascii="Cambria Math" w:hAnsi="Cambria Math" w:eastAsia="等线" w:cs="Times New Roman"/>
                      <w:kern w:val="0"/>
                      <w:sz w:val="24"/>
                    </w:rPr>
                    <m:t>i,j</m:t>
                  </m:r>
                  <m:ctrlPr>
                    <w:rPr>
                      <w:rFonts w:ascii="Cambria Math" w:hAnsi="Cambria Math" w:eastAsia="等线" w:cs="Times New Roman"/>
                      <w:kern w:val="0"/>
                      <w:sz w:val="24"/>
                    </w:rPr>
                  </m:ctrlPr>
                </m:sub>
              </m:sSub>
              <m:r>
                <m:rPr>
                  <m:sty m:val="p"/>
                </m:rPr>
                <w:rPr>
                  <w:rFonts w:ascii="Cambria Math" w:hAnsi="Cambria Math" w:eastAsia="等线" w:cs="Times New Roman"/>
                  <w:kern w:val="0"/>
                  <w:sz w:val="24"/>
                </w:rPr>
                <m:t>×</m:t>
              </m:r>
              <m:sSub>
                <m:sSubPr>
                  <m:ctrlPr>
                    <w:rPr>
                      <w:rFonts w:ascii="Cambria Math" w:hAnsi="Cambria Math" w:eastAsia="等线" w:cs="Times New Roman"/>
                      <w:kern w:val="0"/>
                      <w:sz w:val="24"/>
                    </w:rPr>
                  </m:ctrlPr>
                </m:sSubPr>
                <m:e>
                  <m:r>
                    <m:rPr>
                      <m:sty m:val="p"/>
                    </m:rPr>
                    <w:rPr>
                      <w:rFonts w:ascii="Cambria Math" w:hAnsi="Cambria Math" w:eastAsia="等线" w:cs="Times New Roman"/>
                      <w:kern w:val="0"/>
                      <w:sz w:val="24"/>
                    </w:rPr>
                    <m:t>D</m:t>
                  </m:r>
                  <m:ctrlPr>
                    <w:rPr>
                      <w:rFonts w:ascii="Cambria Math" w:hAnsi="Cambria Math" w:eastAsia="等线" w:cs="Times New Roman"/>
                      <w:kern w:val="0"/>
                      <w:sz w:val="24"/>
                    </w:rPr>
                  </m:ctrlPr>
                </m:e>
                <m:sub>
                  <m:r>
                    <m:rPr>
                      <m:sty m:val="p"/>
                    </m:rPr>
                    <w:rPr>
                      <w:rFonts w:ascii="Cambria Math" w:hAnsi="Cambria Math" w:eastAsia="等线" w:cs="Times New Roman"/>
                      <w:kern w:val="0"/>
                      <w:sz w:val="24"/>
                    </w:rPr>
                    <m:t>i,j</m:t>
                  </m:r>
                  <m:ctrlPr>
                    <w:rPr>
                      <w:rFonts w:ascii="Cambria Math" w:hAnsi="Cambria Math" w:eastAsia="等线" w:cs="Times New Roman"/>
                      <w:kern w:val="0"/>
                      <w:sz w:val="24"/>
                    </w:rPr>
                  </m:ctrlPr>
                </m:sub>
              </m:sSub>
              <m:r>
                <m:rPr>
                  <m:sty m:val="p"/>
                </m:rPr>
                <w:rPr>
                  <w:rFonts w:ascii="Cambria Math" w:hAnsi="Cambria Math" w:eastAsia="等线" w:cs="Times New Roman"/>
                  <w:kern w:val="0"/>
                  <w:sz w:val="24"/>
                </w:rPr>
                <m:t>×</m:t>
              </m:r>
              <m:sSub>
                <m:sSubPr>
                  <m:ctrlPr>
                    <w:rPr>
                      <w:rFonts w:ascii="Cambria Math" w:hAnsi="Cambria Math" w:eastAsia="等线" w:cs="Times New Roman"/>
                      <w:kern w:val="0"/>
                      <w:sz w:val="24"/>
                    </w:rPr>
                  </m:ctrlPr>
                </m:sSubPr>
                <m:e>
                  <m:r>
                    <m:rPr>
                      <m:sty m:val="p"/>
                    </m:rPr>
                    <w:rPr>
                      <w:rFonts w:ascii="Cambria Math" w:hAnsi="Cambria Math" w:eastAsia="等线" w:cs="Times New Roman"/>
                      <w:kern w:val="0"/>
                      <w:sz w:val="24"/>
                    </w:rPr>
                    <m:t>c</m:t>
                  </m:r>
                  <m:ctrlPr>
                    <w:rPr>
                      <w:rFonts w:ascii="Cambria Math" w:hAnsi="Cambria Math" w:eastAsia="等线" w:cs="Times New Roman"/>
                      <w:kern w:val="0"/>
                      <w:sz w:val="24"/>
                    </w:rPr>
                  </m:ctrlPr>
                </m:e>
                <m:sub>
                  <m:r>
                    <m:rPr>
                      <m:sty m:val="p"/>
                    </m:rPr>
                    <w:rPr>
                      <w:rFonts w:ascii="Cambria Math" w:hAnsi="Cambria Math" w:eastAsia="等线" w:cs="Times New Roman"/>
                      <w:kern w:val="0"/>
                      <w:sz w:val="24"/>
                    </w:rPr>
                    <m:t>eff</m:t>
                  </m:r>
                  <m:ctrlPr>
                    <w:rPr>
                      <w:rFonts w:ascii="Cambria Math" w:hAnsi="Cambria Math" w:eastAsia="等线" w:cs="Times New Roman"/>
                      <w:kern w:val="0"/>
                      <w:sz w:val="24"/>
                    </w:rPr>
                  </m:ctrlPr>
                </m:sub>
              </m:sSub>
              <m:r>
                <m:rPr>
                  <m:sty m:val="p"/>
                </m:rPr>
                <w:rPr>
                  <w:rFonts w:ascii="Cambria Math" w:hAnsi="Cambria Math" w:eastAsia="等线" w:cs="Times New Roman"/>
                  <w:kern w:val="0"/>
                  <w:sz w:val="24"/>
                </w:rPr>
                <m:t>×</m:t>
              </m:r>
              <m:sSub>
                <m:sSubPr>
                  <m:ctrlPr>
                    <w:rPr>
                      <w:rFonts w:ascii="Cambria Math" w:hAnsi="Cambria Math" w:eastAsia="等线" w:cs="Times New Roman"/>
                      <w:kern w:val="0"/>
                      <w:sz w:val="24"/>
                    </w:rPr>
                  </m:ctrlPr>
                </m:sSubPr>
                <m:e>
                  <m:r>
                    <m:rPr>
                      <m:sty m:val="p"/>
                    </m:rPr>
                    <w:rPr>
                      <w:rFonts w:ascii="Cambria Math" w:hAnsi="Cambria Math" w:eastAsia="等线" w:cs="Times New Roman"/>
                      <w:kern w:val="0"/>
                      <w:sz w:val="24"/>
                    </w:rPr>
                    <m:t>EF</m:t>
                  </m:r>
                  <m:ctrlPr>
                    <w:rPr>
                      <w:rFonts w:ascii="Cambria Math" w:hAnsi="Cambria Math" w:eastAsia="等线" w:cs="Times New Roman"/>
                      <w:kern w:val="0"/>
                      <w:sz w:val="24"/>
                    </w:rPr>
                  </m:ctrlPr>
                </m:e>
                <m:sub>
                  <m:r>
                    <m:rPr>
                      <m:sty m:val="p"/>
                    </m:rPr>
                    <w:rPr>
                      <w:rFonts w:ascii="Cambria Math" w:hAnsi="Cambria Math" w:eastAsia="等线" w:cs="Times New Roman"/>
                      <w:kern w:val="0"/>
                      <w:sz w:val="24"/>
                    </w:rPr>
                    <m:t>i,j</m:t>
                  </m:r>
                  <m:ctrlPr>
                    <w:rPr>
                      <w:rFonts w:ascii="Cambria Math" w:hAnsi="Cambria Math" w:eastAsia="等线" w:cs="Times New Roman"/>
                      <w:kern w:val="0"/>
                      <w:sz w:val="24"/>
                    </w:rPr>
                  </m:ctrlPr>
                </m:sub>
              </m:sSub>
              <m:r>
                <m:rPr>
                  <m:sty m:val="p"/>
                </m:rPr>
                <w:rPr>
                  <w:rFonts w:ascii="Cambria Math" w:hAnsi="Cambria Math" w:eastAsia="等线" w:cs="Times New Roman"/>
                  <w:kern w:val="0"/>
                  <w:sz w:val="24"/>
                </w:rPr>
                <m:t>)</m:t>
              </m:r>
              <m:ctrlPr>
                <w:rPr>
                  <w:rFonts w:ascii="Cambria Math" w:hAnsi="Cambria Math" w:eastAsia="等线" w:cs="Times New Roman"/>
                  <w:kern w:val="0"/>
                  <w:sz w:val="24"/>
                </w:rPr>
              </m:ctrlPr>
            </m:e>
          </m:nary>
        </m:oMath>
      </m:oMathPara>
    </w:p>
    <w:p w14:paraId="1EED86C9">
      <w:pPr>
        <w:spacing w:line="480" w:lineRule="auto"/>
        <w:rPr>
          <w:rFonts w:ascii="Times New Roman" w:hAnsi="Times New Roman" w:eastAsia="等线" w:cs="Times New Roman"/>
          <w:b/>
          <w:bCs/>
          <w:kern w:val="0"/>
          <w:sz w:val="24"/>
        </w:rPr>
      </w:pPr>
      <w:r>
        <w:rPr>
          <w:rFonts w:ascii="Times New Roman" w:hAnsi="Times New Roman" w:eastAsia="等线" w:cs="Times New Roman"/>
          <w:b/>
          <w:bCs/>
          <w:kern w:val="0"/>
          <w:sz w:val="24"/>
        </w:rPr>
        <w:t>Main variables and parameters:</w:t>
      </w:r>
    </w:p>
    <w:p w14:paraId="4CB3D62C">
      <w:pPr>
        <w:spacing w:line="480" w:lineRule="auto"/>
        <w:rPr>
          <w:rFonts w:ascii="Times New Roman" w:hAnsi="Times New Roman" w:eastAsia="等线" w:cs="Times New Roman"/>
          <w:kern w:val="0"/>
          <w:sz w:val="24"/>
        </w:rPr>
      </w:pPr>
      <w:r>
        <w:rPr>
          <w:rFonts w:ascii="Times New Roman" w:hAnsi="Times New Roman" w:eastAsia="等线" w:cs="Times New Roman"/>
          <w:kern w:val="0"/>
          <w:sz w:val="24"/>
        </w:rPr>
        <w:t xml:space="preserve">Transport weight </w:t>
      </w:r>
      <w:r>
        <w:rPr>
          <w:rFonts w:ascii="Times New Roman" w:hAnsi="Times New Roman" w:eastAsia="等线" w:cs="Times New Roman"/>
          <w:i/>
          <w:iCs/>
          <w:kern w:val="0"/>
          <w:sz w:val="24"/>
        </w:rPr>
        <w:t>Wi,j</w:t>
      </w:r>
      <w:r>
        <w:rPr>
          <w:rFonts w:ascii="Times New Roman" w:hAnsi="Times New Roman" w:eastAsia="等线" w:cs="Times New Roman"/>
          <w:kern w:val="0"/>
          <w:sz w:val="24"/>
        </w:rPr>
        <w:t>: Decision variable representing the weight of cargo transported from province i to province</w:t>
      </w:r>
      <w:r>
        <w:rPr>
          <w:rFonts w:ascii="Times New Roman" w:hAnsi="Times New Roman" w:eastAsia="等线" w:cs="Times New Roman"/>
          <w:i/>
          <w:iCs/>
          <w:kern w:val="0"/>
          <w:sz w:val="24"/>
        </w:rPr>
        <w:t xml:space="preserve"> j</w:t>
      </w:r>
      <w:r>
        <w:rPr>
          <w:rFonts w:ascii="Times New Roman" w:hAnsi="Times New Roman" w:eastAsia="等线" w:cs="Times New Roman"/>
          <w:kern w:val="0"/>
          <w:sz w:val="24"/>
        </w:rPr>
        <w:t>.</w:t>
      </w:r>
    </w:p>
    <w:p w14:paraId="0366DF48">
      <w:pPr>
        <w:spacing w:line="480" w:lineRule="auto"/>
        <w:rPr>
          <w:rFonts w:ascii="Times New Roman" w:hAnsi="Times New Roman" w:eastAsia="等线" w:cs="Times New Roman"/>
          <w:kern w:val="0"/>
          <w:sz w:val="24"/>
        </w:rPr>
      </w:pPr>
      <w:r>
        <w:rPr>
          <w:rFonts w:ascii="Times New Roman" w:hAnsi="Times New Roman" w:eastAsia="等线" w:cs="Times New Roman"/>
          <w:kern w:val="0"/>
          <w:sz w:val="24"/>
        </w:rPr>
        <w:t xml:space="preserve">Transport distance </w:t>
      </w:r>
      <w:r>
        <w:rPr>
          <w:rFonts w:ascii="Times New Roman" w:hAnsi="Times New Roman" w:eastAsia="等线" w:cs="Times New Roman"/>
          <w:i/>
          <w:iCs/>
          <w:kern w:val="0"/>
          <w:sz w:val="24"/>
        </w:rPr>
        <w:t>Di,j</w:t>
      </w:r>
      <w:r>
        <w:rPr>
          <w:rFonts w:ascii="Times New Roman" w:hAnsi="Times New Roman" w:eastAsia="等线" w:cs="Times New Roman"/>
          <w:kern w:val="0"/>
          <w:sz w:val="24"/>
        </w:rPr>
        <w:t xml:space="preserve">: Constant representing the distance from province i to province </w:t>
      </w:r>
      <w:r>
        <w:rPr>
          <w:rFonts w:ascii="Times New Roman" w:hAnsi="Times New Roman" w:eastAsia="等线" w:cs="Times New Roman"/>
          <w:i/>
          <w:iCs/>
          <w:kern w:val="0"/>
          <w:sz w:val="24"/>
        </w:rPr>
        <w:t>j</w:t>
      </w:r>
      <w:r>
        <w:rPr>
          <w:rFonts w:ascii="Times New Roman" w:hAnsi="Times New Roman" w:eastAsia="等线" w:cs="Times New Roman"/>
          <w:kern w:val="0"/>
          <w:sz w:val="24"/>
        </w:rPr>
        <w:t>.</w:t>
      </w:r>
    </w:p>
    <w:p w14:paraId="5ABB3FC4">
      <w:pPr>
        <w:spacing w:line="480" w:lineRule="auto"/>
        <w:rPr>
          <w:rFonts w:ascii="Times New Roman" w:hAnsi="Times New Roman" w:eastAsia="等线" w:cs="Times New Roman"/>
          <w:kern w:val="0"/>
          <w:sz w:val="24"/>
        </w:rPr>
      </w:pPr>
      <w:r>
        <w:rPr>
          <w:rFonts w:ascii="Times New Roman" w:hAnsi="Times New Roman" w:eastAsia="等线" w:cs="Times New Roman"/>
          <w:kern w:val="0"/>
          <w:sz w:val="24"/>
        </w:rPr>
        <w:t xml:space="preserve">Energy efficiency </w:t>
      </w:r>
      <w:r>
        <w:rPr>
          <w:rFonts w:ascii="Times New Roman" w:hAnsi="Times New Roman" w:eastAsia="等线" w:cs="Times New Roman"/>
          <w:i/>
          <w:iCs/>
          <w:kern w:val="0"/>
          <w:sz w:val="24"/>
        </w:rPr>
        <w:t>ceff</w:t>
      </w:r>
      <w:r>
        <w:rPr>
          <w:rFonts w:ascii="Times New Roman" w:hAnsi="Times New Roman" w:eastAsia="等线" w:cs="Times New Roman"/>
          <w:kern w:val="0"/>
          <w:sz w:val="24"/>
        </w:rPr>
        <w:t>: Constant indicating energy consumption per ton of cargo per kilometer, representing the electricity usage efficiency.</w:t>
      </w:r>
    </w:p>
    <w:p w14:paraId="310896CD">
      <w:pPr>
        <w:spacing w:line="480" w:lineRule="auto"/>
        <w:rPr>
          <w:rFonts w:ascii="Times New Roman" w:hAnsi="Times New Roman" w:eastAsia="等线" w:cs="Times New Roman"/>
          <w:kern w:val="0"/>
          <w:sz w:val="24"/>
        </w:rPr>
      </w:pPr>
      <w:r>
        <w:rPr>
          <w:rFonts w:ascii="Times New Roman" w:hAnsi="Times New Roman" w:eastAsia="等线" w:cs="Times New Roman"/>
          <w:kern w:val="0"/>
          <w:sz w:val="24"/>
        </w:rPr>
        <w:t xml:space="preserve">Electricity emission factor </w:t>
      </w:r>
      <w:r>
        <w:rPr>
          <w:rFonts w:ascii="Times New Roman" w:hAnsi="Times New Roman" w:eastAsia="等线" w:cs="Times New Roman"/>
          <w:i/>
          <w:iCs/>
          <w:kern w:val="0"/>
          <w:sz w:val="24"/>
        </w:rPr>
        <w:t>EFi,j</w:t>
      </w:r>
      <w:r>
        <w:rPr>
          <w:rFonts w:ascii="Times New Roman" w:hAnsi="Times New Roman" w:eastAsia="等线" w:cs="Times New Roman"/>
          <w:kern w:val="0"/>
          <w:sz w:val="24"/>
        </w:rPr>
        <w:t>: The emission factor associated with electricity usage for each province or city, indicating the carbon emissions per kWh.</w:t>
      </w:r>
    </w:p>
    <w:p w14:paraId="29BD82EB">
      <w:pPr>
        <w:spacing w:line="480" w:lineRule="auto"/>
        <w:rPr>
          <w:rFonts w:ascii="Times New Roman" w:hAnsi="Times New Roman" w:eastAsia="等线" w:cs="Times New Roman"/>
          <w:kern w:val="0"/>
          <w:sz w:val="24"/>
        </w:rPr>
      </w:pPr>
      <w:r>
        <w:rPr>
          <w:rFonts w:ascii="Times New Roman" w:hAnsi="Times New Roman" w:eastAsia="等线" w:cs="Times New Roman"/>
          <w:kern w:val="0"/>
          <w:sz w:val="24"/>
        </w:rPr>
        <w:t xml:space="preserve">Adjustable supply </w:t>
      </w:r>
      <w:r>
        <w:rPr>
          <w:rFonts w:ascii="Times New Roman" w:hAnsi="Times New Roman" w:eastAsia="等线" w:cs="Times New Roman"/>
          <w:i/>
          <w:iCs/>
          <w:kern w:val="0"/>
          <w:sz w:val="24"/>
        </w:rPr>
        <w:t>ASupi</w:t>
      </w:r>
      <w:r>
        <w:rPr>
          <w:rFonts w:ascii="Times New Roman" w:hAnsi="Times New Roman" w:eastAsia="等线" w:cs="Times New Roman"/>
          <w:kern w:val="0"/>
          <w:sz w:val="24"/>
        </w:rPr>
        <w:t>: The adjustable supply amount at each production center, constrained within a specified range.</w:t>
      </w:r>
    </w:p>
    <w:p w14:paraId="7084CFAE">
      <w:pPr>
        <w:spacing w:line="480" w:lineRule="auto"/>
        <w:rPr>
          <w:rFonts w:ascii="Times New Roman" w:hAnsi="Times New Roman" w:eastAsia="等线" w:cs="Times New Roman"/>
          <w:kern w:val="0"/>
          <w:sz w:val="24"/>
        </w:rPr>
      </w:pPr>
      <w:r>
        <w:rPr>
          <w:rFonts w:ascii="Times New Roman" w:hAnsi="Times New Roman" w:eastAsia="等线" w:cs="Times New Roman"/>
          <w:kern w:val="0"/>
          <w:sz w:val="24"/>
        </w:rPr>
        <w:t xml:space="preserve">Charging amount </w:t>
      </w:r>
      <w:r>
        <w:rPr>
          <w:rFonts w:ascii="Times New Roman" w:hAnsi="Times New Roman" w:eastAsia="等线" w:cs="Times New Roman"/>
          <w:i/>
          <w:iCs/>
          <w:kern w:val="0"/>
          <w:sz w:val="24"/>
        </w:rPr>
        <w:t>Cdepi,j</w:t>
      </w:r>
      <w:r>
        <w:rPr>
          <w:rFonts w:ascii="Times New Roman" w:hAnsi="Times New Roman" w:eastAsia="等线" w:cs="Times New Roman"/>
          <w:kern w:val="0"/>
          <w:sz w:val="24"/>
        </w:rPr>
        <w:t xml:space="preserve"> and </w:t>
      </w:r>
      <w:r>
        <w:rPr>
          <w:rFonts w:ascii="Times New Roman" w:hAnsi="Times New Roman" w:eastAsia="等线" w:cs="Times New Roman"/>
          <w:i/>
          <w:iCs/>
          <w:kern w:val="0"/>
          <w:sz w:val="24"/>
        </w:rPr>
        <w:t>Cdesi,j</w:t>
      </w:r>
      <w:r>
        <w:rPr>
          <w:rFonts w:ascii="Times New Roman" w:hAnsi="Times New Roman" w:eastAsia="等线" w:cs="Times New Roman"/>
          <w:kern w:val="0"/>
          <w:sz w:val="24"/>
        </w:rPr>
        <w:t>: Charging amounts at the departure and destination points of province i to j, balancing electricity needs across locations.</w:t>
      </w:r>
    </w:p>
    <w:p w14:paraId="7530AC9B">
      <w:pPr>
        <w:spacing w:line="480" w:lineRule="auto"/>
        <w:rPr>
          <w:rFonts w:ascii="Times New Roman" w:hAnsi="Times New Roman" w:eastAsia="等线" w:cs="Times New Roman"/>
          <w:kern w:val="0"/>
          <w:sz w:val="24"/>
        </w:rPr>
      </w:pPr>
      <w:r>
        <w:rPr>
          <w:rFonts w:ascii="Times New Roman" w:hAnsi="Times New Roman" w:eastAsia="等线" w:cs="Times New Roman"/>
          <w:b/>
          <w:bCs/>
          <w:kern w:val="0"/>
          <w:sz w:val="24"/>
        </w:rPr>
        <w:t>Model constraints:</w:t>
      </w:r>
    </w:p>
    <w:p w14:paraId="26C78FF4">
      <w:pPr>
        <w:spacing w:line="480" w:lineRule="auto"/>
        <w:rPr>
          <w:rFonts w:ascii="Times New Roman" w:hAnsi="Times New Roman" w:eastAsia="等线" w:cs="Times New Roman"/>
          <w:b/>
          <w:bCs/>
          <w:kern w:val="0"/>
          <w:sz w:val="24"/>
        </w:rPr>
      </w:pPr>
      <w:r>
        <w:rPr>
          <w:rFonts w:ascii="Times New Roman" w:hAnsi="Times New Roman" w:eastAsia="等线" w:cs="Times New Roman"/>
          <w:b/>
          <w:bCs/>
          <w:kern w:val="0"/>
          <w:sz w:val="24"/>
        </w:rPr>
        <w:t>Supply-demand balance:</w:t>
      </w:r>
    </w:p>
    <w:p w14:paraId="403A5C8A">
      <w:pPr>
        <w:spacing w:line="480" w:lineRule="auto"/>
        <w:rPr>
          <w:rFonts w:ascii="Times New Roman" w:hAnsi="Times New Roman" w:cs="Times New Roman"/>
          <w:kern w:val="0"/>
          <w:sz w:val="24"/>
        </w:rPr>
      </w:pPr>
      <m:oMathPara>
        <m:oMath>
          <m:sSub>
            <m:sSubPr>
              <m:ctrlPr>
                <w:rPr>
                  <w:rFonts w:ascii="Cambria Math" w:hAnsi="Cambria Math" w:cs="Times New Roman"/>
                  <w:i/>
                  <w:kern w:val="0"/>
                  <w:sz w:val="24"/>
                </w:rPr>
              </m:ctrlPr>
            </m:sSubPr>
            <m:e>
              <m:r>
                <m:rPr/>
                <w:rPr>
                  <w:rFonts w:ascii="Cambria Math" w:hAnsi="Cambria Math" w:cs="Times New Roman"/>
                  <w:kern w:val="0"/>
                  <w:sz w:val="24"/>
                </w:rPr>
                <m:t>ASup</m:t>
              </m:r>
              <m:ctrlPr>
                <w:rPr>
                  <w:rFonts w:ascii="Cambria Math" w:hAnsi="Cambria Math" w:cs="Times New Roman"/>
                  <w:i/>
                  <w:kern w:val="0"/>
                  <w:sz w:val="24"/>
                </w:rPr>
              </m:ctrlPr>
            </m:e>
            <m:sub>
              <m:r>
                <m:rPr/>
                <w:rPr>
                  <w:rFonts w:ascii="Cambria Math" w:hAnsi="Cambria Math" w:cs="Times New Roman"/>
                  <w:kern w:val="0"/>
                  <w:sz w:val="24"/>
                </w:rPr>
                <m:t>i</m:t>
              </m:r>
              <m:ctrlPr>
                <w:rPr>
                  <w:rFonts w:ascii="Cambria Math" w:hAnsi="Cambria Math" w:cs="Times New Roman"/>
                  <w:i/>
                  <w:kern w:val="0"/>
                  <w:sz w:val="24"/>
                </w:rPr>
              </m:ctrlPr>
            </m:sub>
          </m:sSub>
          <m:r>
            <m:rPr/>
            <w:rPr>
              <w:rFonts w:ascii="Cambria Math" w:hAnsi="Cambria Math" w:cs="Times New Roman"/>
              <w:kern w:val="0"/>
              <w:sz w:val="24"/>
            </w:rPr>
            <m:t>+</m:t>
          </m:r>
          <m:nary>
            <m:naryPr>
              <m:chr m:val="∑"/>
              <m:limLoc m:val="undOvr"/>
              <m:ctrlPr>
                <w:rPr>
                  <w:rFonts w:ascii="Cambria Math" w:hAnsi="Cambria Math" w:cs="Times New Roman"/>
                  <w:i/>
                  <w:kern w:val="0"/>
                  <w:sz w:val="24"/>
                </w:rPr>
              </m:ctrlPr>
            </m:naryPr>
            <m:sub>
              <m:r>
                <m:rPr/>
                <w:rPr>
                  <w:rFonts w:ascii="Cambria Math" w:hAnsi="Cambria Math" w:cs="Times New Roman"/>
                  <w:kern w:val="0"/>
                  <w:sz w:val="24"/>
                </w:rPr>
                <m:t>j=1</m:t>
              </m:r>
              <m:ctrlPr>
                <w:rPr>
                  <w:rFonts w:ascii="Cambria Math" w:hAnsi="Cambria Math" w:cs="Times New Roman"/>
                  <w:i/>
                  <w:kern w:val="0"/>
                  <w:sz w:val="24"/>
                </w:rPr>
              </m:ctrlPr>
            </m:sub>
            <m:sup>
              <m:r>
                <m:rPr/>
                <w:rPr>
                  <w:rFonts w:ascii="Cambria Math" w:hAnsi="Cambria Math" w:cs="Times New Roman"/>
                  <w:kern w:val="0"/>
                  <w:sz w:val="24"/>
                </w:rPr>
                <m:t>P</m:t>
              </m:r>
              <m:ctrlPr>
                <w:rPr>
                  <w:rFonts w:ascii="Cambria Math" w:hAnsi="Cambria Math" w:cs="Times New Roman"/>
                  <w:i/>
                  <w:kern w:val="0"/>
                  <w:sz w:val="24"/>
                </w:rPr>
              </m:ctrlPr>
            </m:sup>
            <m:e>
              <m:sSub>
                <m:sSubPr>
                  <m:ctrlPr>
                    <w:rPr>
                      <w:rFonts w:ascii="Cambria Math" w:hAnsi="Cambria Math" w:cs="Times New Roman"/>
                      <w:i/>
                      <w:kern w:val="0"/>
                      <w:sz w:val="24"/>
                    </w:rPr>
                  </m:ctrlPr>
                </m:sSubPr>
                <m:e>
                  <m:r>
                    <m:rPr/>
                    <w:rPr>
                      <w:rFonts w:ascii="Cambria Math" w:hAnsi="Cambria Math" w:cs="Times New Roman"/>
                      <w:kern w:val="0"/>
                      <w:sz w:val="24"/>
                    </w:rPr>
                    <m:t>W</m:t>
                  </m:r>
                  <m:ctrlPr>
                    <w:rPr>
                      <w:rFonts w:ascii="Cambria Math" w:hAnsi="Cambria Math" w:cs="Times New Roman"/>
                      <w:i/>
                      <w:kern w:val="0"/>
                      <w:sz w:val="24"/>
                    </w:rPr>
                  </m:ctrlPr>
                </m:e>
                <m:sub>
                  <m:r>
                    <m:rPr/>
                    <w:rPr>
                      <w:rFonts w:ascii="Cambria Math" w:hAnsi="Cambria Math" w:cs="Times New Roman"/>
                      <w:kern w:val="0"/>
                      <w:sz w:val="24"/>
                    </w:rPr>
                    <m:t>j,i</m:t>
                  </m:r>
                  <m:ctrlPr>
                    <w:rPr>
                      <w:rFonts w:ascii="Cambria Math" w:hAnsi="Cambria Math" w:cs="Times New Roman"/>
                      <w:i/>
                      <w:kern w:val="0"/>
                      <w:sz w:val="24"/>
                    </w:rPr>
                  </m:ctrlPr>
                </m:sub>
              </m:sSub>
              <m:ctrlPr>
                <w:rPr>
                  <w:rFonts w:ascii="Cambria Math" w:hAnsi="Cambria Math" w:cs="Times New Roman"/>
                  <w:i/>
                  <w:kern w:val="0"/>
                  <w:sz w:val="24"/>
                </w:rPr>
              </m:ctrlPr>
            </m:e>
          </m:nary>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Dem</m:t>
              </m:r>
              <m:ctrlPr>
                <w:rPr>
                  <w:rFonts w:ascii="Cambria Math" w:hAnsi="Cambria Math" w:cs="Times New Roman"/>
                  <w:i/>
                  <w:kern w:val="0"/>
                  <w:sz w:val="24"/>
                </w:rPr>
              </m:ctrlPr>
            </m:e>
            <m:sub>
              <m:r>
                <m:rPr/>
                <w:rPr>
                  <w:rFonts w:ascii="Cambria Math" w:hAnsi="Cambria Math" w:cs="Times New Roman"/>
                  <w:kern w:val="0"/>
                  <w:sz w:val="24"/>
                </w:rPr>
                <m:t>i</m:t>
              </m:r>
              <m:ctrlPr>
                <w:rPr>
                  <w:rFonts w:ascii="Cambria Math" w:hAnsi="Cambria Math" w:cs="Times New Roman"/>
                  <w:i/>
                  <w:kern w:val="0"/>
                  <w:sz w:val="24"/>
                </w:rPr>
              </m:ctrlPr>
            </m:sub>
          </m:sSub>
          <m:r>
            <m:rPr/>
            <w:rPr>
              <w:rFonts w:ascii="Cambria Math" w:hAnsi="Cambria Math" w:cs="Times New Roman"/>
              <w:kern w:val="0"/>
              <w:sz w:val="24"/>
            </w:rPr>
            <m:t>+</m:t>
          </m:r>
          <m:nary>
            <m:naryPr>
              <m:chr m:val="∑"/>
              <m:limLoc m:val="undOvr"/>
              <m:ctrlPr>
                <w:rPr>
                  <w:rFonts w:ascii="Cambria Math" w:hAnsi="Cambria Math" w:cs="Times New Roman"/>
                  <w:i/>
                  <w:kern w:val="0"/>
                  <w:sz w:val="24"/>
                </w:rPr>
              </m:ctrlPr>
            </m:naryPr>
            <m:sub>
              <m:r>
                <m:rPr/>
                <w:rPr>
                  <w:rFonts w:ascii="Cambria Math" w:hAnsi="Cambria Math" w:cs="Times New Roman"/>
                  <w:kern w:val="0"/>
                  <w:sz w:val="24"/>
                </w:rPr>
                <m:t>j=1</m:t>
              </m:r>
              <m:ctrlPr>
                <w:rPr>
                  <w:rFonts w:ascii="Cambria Math" w:hAnsi="Cambria Math" w:cs="Times New Roman"/>
                  <w:i/>
                  <w:kern w:val="0"/>
                  <w:sz w:val="24"/>
                </w:rPr>
              </m:ctrlPr>
            </m:sub>
            <m:sup>
              <m:r>
                <m:rPr/>
                <w:rPr>
                  <w:rFonts w:ascii="Cambria Math" w:hAnsi="Cambria Math" w:cs="Times New Roman"/>
                  <w:kern w:val="0"/>
                  <w:sz w:val="24"/>
                </w:rPr>
                <m:t>P</m:t>
              </m:r>
              <m:ctrlPr>
                <w:rPr>
                  <w:rFonts w:ascii="Cambria Math" w:hAnsi="Cambria Math" w:cs="Times New Roman"/>
                  <w:i/>
                  <w:kern w:val="0"/>
                  <w:sz w:val="24"/>
                </w:rPr>
              </m:ctrlPr>
            </m:sup>
            <m:e>
              <m:sSub>
                <m:sSubPr>
                  <m:ctrlPr>
                    <w:rPr>
                      <w:rFonts w:ascii="Cambria Math" w:hAnsi="Cambria Math" w:cs="Times New Roman"/>
                      <w:i/>
                      <w:kern w:val="0"/>
                      <w:sz w:val="24"/>
                    </w:rPr>
                  </m:ctrlPr>
                </m:sSubPr>
                <m:e>
                  <m:r>
                    <m:rPr/>
                    <w:rPr>
                      <w:rFonts w:ascii="Cambria Math" w:hAnsi="Cambria Math" w:cs="Times New Roman"/>
                      <w:kern w:val="0"/>
                      <w:sz w:val="24"/>
                    </w:rPr>
                    <m:t>W</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ctrlPr>
                <w:rPr>
                  <w:rFonts w:ascii="Cambria Math" w:hAnsi="Cambria Math" w:cs="Times New Roman"/>
                  <w:i/>
                  <w:kern w:val="0"/>
                  <w:sz w:val="24"/>
                </w:rPr>
              </m:ctrlPr>
            </m:e>
          </m:nary>
        </m:oMath>
      </m:oMathPara>
    </w:p>
    <w:p w14:paraId="220FC2EF">
      <w:pPr>
        <w:spacing w:line="480" w:lineRule="auto"/>
        <w:rPr>
          <w:rFonts w:ascii="Times New Roman" w:hAnsi="Times New Roman" w:cs="Times New Roman"/>
          <w:kern w:val="0"/>
          <w:sz w:val="24"/>
        </w:rPr>
      </w:pPr>
      <w:r>
        <w:rPr>
          <w:rFonts w:ascii="Times New Roman" w:hAnsi="Times New Roman" w:cs="Times New Roman"/>
          <w:kern w:val="0"/>
          <w:sz w:val="24"/>
        </w:rPr>
        <w:t xml:space="preserve">Where </w:t>
      </w:r>
      <w:r>
        <w:rPr>
          <w:rFonts w:ascii="Times New Roman" w:hAnsi="Times New Roman" w:cs="Times New Roman"/>
          <w:i/>
          <w:iCs/>
          <w:kern w:val="0"/>
          <w:sz w:val="24"/>
        </w:rPr>
        <w:t>ASupi</w:t>
      </w:r>
      <w:r>
        <w:rPr>
          <w:rFonts w:ascii="Times New Roman" w:hAnsi="Times New Roman" w:cs="Times New Roman"/>
          <w:kern w:val="0"/>
          <w:sz w:val="24"/>
        </w:rPr>
        <w:t xml:space="preserve"> is the adjustable supply at province </w:t>
      </w:r>
      <w:r>
        <w:rPr>
          <w:rFonts w:ascii="Times New Roman" w:hAnsi="Times New Roman" w:cs="Times New Roman"/>
          <w:i/>
          <w:iCs/>
          <w:kern w:val="0"/>
          <w:sz w:val="24"/>
        </w:rPr>
        <w:t>i</w:t>
      </w:r>
      <w:r>
        <w:rPr>
          <w:rFonts w:ascii="Times New Roman" w:hAnsi="Times New Roman" w:cs="Times New Roman"/>
          <w:kern w:val="0"/>
          <w:sz w:val="24"/>
        </w:rPr>
        <w:t xml:space="preserve">, and Demi is the demand for province </w:t>
      </w:r>
      <w:r>
        <w:rPr>
          <w:rFonts w:ascii="Times New Roman" w:hAnsi="Times New Roman" w:cs="Times New Roman"/>
          <w:i/>
          <w:iCs/>
          <w:kern w:val="0"/>
          <w:sz w:val="24"/>
        </w:rPr>
        <w:t>i</w:t>
      </w:r>
      <w:r>
        <w:rPr>
          <w:rFonts w:ascii="Times New Roman" w:hAnsi="Times New Roman" w:cs="Times New Roman"/>
          <w:kern w:val="0"/>
          <w:sz w:val="24"/>
        </w:rPr>
        <w:t>.</w:t>
      </w:r>
    </w:p>
    <w:p w14:paraId="48DCE25D">
      <w:pPr>
        <w:spacing w:line="480" w:lineRule="auto"/>
        <w:rPr>
          <w:rFonts w:ascii="Times New Roman" w:hAnsi="Times New Roman" w:eastAsia="等线" w:cs="Times New Roman"/>
          <w:b/>
          <w:bCs/>
          <w:kern w:val="0"/>
          <w:sz w:val="24"/>
        </w:rPr>
      </w:pPr>
      <w:r>
        <w:rPr>
          <w:rFonts w:ascii="Times New Roman" w:hAnsi="Times New Roman" w:eastAsia="等线" w:cs="Times New Roman"/>
          <w:b/>
          <w:bCs/>
          <w:kern w:val="0"/>
          <w:sz w:val="24"/>
        </w:rPr>
        <w:t>Production adjustment limit:</w:t>
      </w:r>
    </w:p>
    <w:p w14:paraId="350735C6">
      <w:pPr>
        <w:spacing w:line="480" w:lineRule="auto"/>
        <w:rPr>
          <w:rFonts w:ascii="Times New Roman" w:hAnsi="Times New Roman" w:cs="Times New Roman"/>
          <w:kern w:val="0"/>
          <w:sz w:val="24"/>
        </w:rPr>
      </w:pPr>
      <m:oMathPara>
        <m:oMath>
          <m:sSub>
            <m:sSubPr>
              <m:ctrlPr>
                <w:rPr>
                  <w:rFonts w:ascii="Cambria Math" w:hAnsi="Cambria Math" w:cs="Times New Roman"/>
                  <w:i/>
                  <w:kern w:val="0"/>
                  <w:sz w:val="24"/>
                </w:rPr>
              </m:ctrlPr>
            </m:sSubPr>
            <m:e>
              <m:r>
                <m:rPr/>
                <w:rPr>
                  <w:rFonts w:ascii="Cambria Math" w:hAnsi="Cambria Math" w:cs="Times New Roman"/>
                  <w:kern w:val="0"/>
                  <w:sz w:val="24"/>
                </w:rPr>
                <m:t>ASup</m:t>
              </m:r>
              <m:ctrlPr>
                <w:rPr>
                  <w:rFonts w:ascii="Cambria Math" w:hAnsi="Cambria Math" w:cs="Times New Roman"/>
                  <w:i/>
                  <w:kern w:val="0"/>
                  <w:sz w:val="24"/>
                </w:rPr>
              </m:ctrlPr>
            </m:e>
            <m:sub>
              <m:r>
                <m:rPr/>
                <w:rPr>
                  <w:rFonts w:ascii="Cambria Math" w:hAnsi="Cambria Math" w:cs="Times New Roman"/>
                  <w:kern w:val="0"/>
                  <w:sz w:val="24"/>
                </w:rPr>
                <m:t>i</m:t>
              </m:r>
              <m:ctrlPr>
                <w:rPr>
                  <w:rFonts w:ascii="Cambria Math" w:hAnsi="Cambria Math" w:cs="Times New Roman"/>
                  <w:i/>
                  <w:kern w:val="0"/>
                  <w:sz w:val="24"/>
                </w:rPr>
              </m:ctrlPr>
            </m:sub>
          </m:sSub>
          <m:r>
            <m:rPr/>
            <w:rPr>
              <w:rFonts w:ascii="Cambria Math" w:hAnsi="Cambria Math" w:cs="Times New Roman"/>
              <w:kern w:val="0"/>
              <w:sz w:val="24"/>
            </w:rPr>
            <m:t>≤</m:t>
          </m:r>
          <m:d>
            <m:dPr>
              <m:ctrlPr>
                <w:rPr>
                  <w:rFonts w:ascii="Cambria Math" w:hAnsi="Cambria Math" w:cs="Times New Roman"/>
                  <w:i/>
                  <w:kern w:val="0"/>
                  <w:sz w:val="24"/>
                </w:rPr>
              </m:ctrlPr>
            </m:dPr>
            <m:e>
              <m:r>
                <m:rPr/>
                <w:rPr>
                  <w:rFonts w:ascii="Cambria Math" w:hAnsi="Cambria Math" w:cs="Times New Roman"/>
                  <w:kern w:val="0"/>
                  <w:sz w:val="24"/>
                </w:rPr>
                <m:t>1+APC</m:t>
              </m:r>
              <m:ctrlPr>
                <w:rPr>
                  <w:rFonts w:ascii="Cambria Math" w:hAnsi="Cambria Math" w:cs="Times New Roman"/>
                  <w:i/>
                  <w:kern w:val="0"/>
                  <w:sz w:val="24"/>
                </w:rPr>
              </m:ctrlPr>
            </m:e>
          </m:d>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Sup</m:t>
              </m:r>
              <m:ctrlPr>
                <w:rPr>
                  <w:rFonts w:ascii="Cambria Math" w:hAnsi="Cambria Math" w:cs="Times New Roman"/>
                  <w:i/>
                  <w:kern w:val="0"/>
                  <w:sz w:val="24"/>
                </w:rPr>
              </m:ctrlPr>
            </m:e>
            <m:sub>
              <m:r>
                <m:rPr/>
                <w:rPr>
                  <w:rFonts w:ascii="Cambria Math" w:hAnsi="Cambria Math" w:cs="Times New Roman"/>
                  <w:kern w:val="0"/>
                  <w:sz w:val="24"/>
                </w:rPr>
                <m:t>i</m:t>
              </m:r>
              <m:ctrlPr>
                <w:rPr>
                  <w:rFonts w:ascii="Cambria Math" w:hAnsi="Cambria Math" w:cs="Times New Roman"/>
                  <w:i/>
                  <w:kern w:val="0"/>
                  <w:sz w:val="24"/>
                </w:rPr>
              </m:ctrlPr>
            </m:sub>
          </m:sSub>
        </m:oMath>
      </m:oMathPara>
    </w:p>
    <w:p w14:paraId="126C5DFE">
      <w:pPr>
        <w:spacing w:line="480" w:lineRule="auto"/>
        <w:rPr>
          <w:rFonts w:ascii="Times New Roman" w:hAnsi="Times New Roman" w:cs="Times New Roman"/>
          <w:kern w:val="0"/>
          <w:sz w:val="24"/>
        </w:rPr>
      </w:pPr>
      <m:oMathPara>
        <m:oMath>
          <m:sSub>
            <m:sSubPr>
              <m:ctrlPr>
                <w:rPr>
                  <w:rFonts w:ascii="Cambria Math" w:hAnsi="Cambria Math" w:cs="Times New Roman"/>
                  <w:i/>
                  <w:kern w:val="0"/>
                  <w:sz w:val="24"/>
                </w:rPr>
              </m:ctrlPr>
            </m:sSubPr>
            <m:e>
              <m:r>
                <m:rPr/>
                <w:rPr>
                  <w:rFonts w:ascii="Cambria Math" w:hAnsi="Cambria Math" w:cs="Times New Roman"/>
                  <w:kern w:val="0"/>
                  <w:sz w:val="24"/>
                </w:rPr>
                <m:t>ASup</m:t>
              </m:r>
              <m:ctrlPr>
                <w:rPr>
                  <w:rFonts w:ascii="Cambria Math" w:hAnsi="Cambria Math" w:cs="Times New Roman"/>
                  <w:i/>
                  <w:kern w:val="0"/>
                  <w:sz w:val="24"/>
                </w:rPr>
              </m:ctrlPr>
            </m:e>
            <m:sub>
              <m:r>
                <m:rPr/>
                <w:rPr>
                  <w:rFonts w:ascii="Cambria Math" w:hAnsi="Cambria Math" w:cs="Times New Roman"/>
                  <w:kern w:val="0"/>
                  <w:sz w:val="24"/>
                </w:rPr>
                <m:t>i</m:t>
              </m:r>
              <m:ctrlPr>
                <w:rPr>
                  <w:rFonts w:ascii="Cambria Math" w:hAnsi="Cambria Math" w:cs="Times New Roman"/>
                  <w:i/>
                  <w:kern w:val="0"/>
                  <w:sz w:val="24"/>
                </w:rPr>
              </m:ctrlPr>
            </m:sub>
          </m:sSub>
          <m:r>
            <m:rPr/>
            <w:rPr>
              <w:rFonts w:ascii="Cambria Math" w:hAnsi="Cambria Math" w:cs="Times New Roman"/>
              <w:kern w:val="0"/>
              <w:sz w:val="24"/>
            </w:rPr>
            <m:t>≥</m:t>
          </m:r>
          <m:d>
            <m:dPr>
              <m:ctrlPr>
                <w:rPr>
                  <w:rFonts w:ascii="Cambria Math" w:hAnsi="Cambria Math" w:cs="Times New Roman"/>
                  <w:i/>
                  <w:kern w:val="0"/>
                  <w:sz w:val="24"/>
                </w:rPr>
              </m:ctrlPr>
            </m:dPr>
            <m:e>
              <m:r>
                <m:rPr/>
                <w:rPr>
                  <w:rFonts w:ascii="Cambria Math" w:hAnsi="Cambria Math" w:cs="Times New Roman"/>
                  <w:kern w:val="0"/>
                  <w:sz w:val="24"/>
                </w:rPr>
                <m:t>1−APC</m:t>
              </m:r>
              <m:ctrlPr>
                <w:rPr>
                  <w:rFonts w:ascii="Cambria Math" w:hAnsi="Cambria Math" w:cs="Times New Roman"/>
                  <w:i/>
                  <w:kern w:val="0"/>
                  <w:sz w:val="24"/>
                </w:rPr>
              </m:ctrlPr>
            </m:e>
          </m:d>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Sup</m:t>
              </m:r>
              <m:ctrlPr>
                <w:rPr>
                  <w:rFonts w:ascii="Cambria Math" w:hAnsi="Cambria Math" w:cs="Times New Roman"/>
                  <w:i/>
                  <w:kern w:val="0"/>
                  <w:sz w:val="24"/>
                </w:rPr>
              </m:ctrlPr>
            </m:e>
            <m:sub>
              <m:r>
                <m:rPr/>
                <w:rPr>
                  <w:rFonts w:ascii="Cambria Math" w:hAnsi="Cambria Math" w:cs="Times New Roman"/>
                  <w:kern w:val="0"/>
                  <w:sz w:val="24"/>
                </w:rPr>
                <m:t>i</m:t>
              </m:r>
              <m:ctrlPr>
                <w:rPr>
                  <w:rFonts w:ascii="Cambria Math" w:hAnsi="Cambria Math" w:cs="Times New Roman"/>
                  <w:i/>
                  <w:kern w:val="0"/>
                  <w:sz w:val="24"/>
                </w:rPr>
              </m:ctrlPr>
            </m:sub>
          </m:sSub>
        </m:oMath>
      </m:oMathPara>
    </w:p>
    <w:p w14:paraId="3CDF1001">
      <w:pPr>
        <w:spacing w:line="480" w:lineRule="auto"/>
        <w:rPr>
          <w:rFonts w:ascii="Times New Roman" w:hAnsi="Times New Roman" w:cs="Times New Roman"/>
          <w:kern w:val="0"/>
          <w:sz w:val="24"/>
        </w:rPr>
      </w:pPr>
      <w:r>
        <w:rPr>
          <w:rFonts w:ascii="Times New Roman" w:hAnsi="Times New Roman" w:cs="Times New Roman"/>
          <w:kern w:val="0"/>
          <w:sz w:val="24"/>
        </w:rPr>
        <w:t>Where APC is the allowable percentage adjustment for production allocation.</w:t>
      </w:r>
    </w:p>
    <w:p w14:paraId="74709BF6">
      <w:pPr>
        <w:spacing w:line="480" w:lineRule="auto"/>
        <w:rPr>
          <w:rFonts w:ascii="Times New Roman" w:hAnsi="Times New Roman" w:cs="Times New Roman"/>
          <w:b/>
          <w:bCs/>
          <w:kern w:val="0"/>
          <w:sz w:val="24"/>
        </w:rPr>
      </w:pPr>
      <w:r>
        <w:rPr>
          <w:rFonts w:ascii="Times New Roman" w:hAnsi="Times New Roman" w:cs="Times New Roman"/>
          <w:b/>
          <w:bCs/>
          <w:kern w:val="0"/>
          <w:sz w:val="24"/>
        </w:rPr>
        <w:t>Energy consumption constraint:</w:t>
      </w:r>
    </w:p>
    <w:p w14:paraId="4ABD5201">
      <w:pPr>
        <w:spacing w:line="480" w:lineRule="auto"/>
        <w:rPr>
          <w:rFonts w:ascii="Times New Roman" w:hAnsi="Times New Roman" w:cs="Times New Roman"/>
          <w:kern w:val="0"/>
          <w:sz w:val="24"/>
        </w:rPr>
      </w:pPr>
      <m:oMathPara>
        <m:oMath>
          <m:sSub>
            <m:sSubPr>
              <m:ctrlPr>
                <w:rPr>
                  <w:rFonts w:ascii="Cambria Math" w:hAnsi="Cambria Math" w:cs="Times New Roman"/>
                  <w:i/>
                  <w:kern w:val="0"/>
                  <w:sz w:val="24"/>
                </w:rPr>
              </m:ctrlPr>
            </m:sSubPr>
            <m:e>
              <m:r>
                <m:rPr/>
                <w:rPr>
                  <w:rFonts w:ascii="Cambria Math" w:hAnsi="Cambria Math" w:cs="Times New Roman"/>
                  <w:kern w:val="0"/>
                  <w:sz w:val="24"/>
                </w:rPr>
                <m:t>E</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W</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D</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c</m:t>
              </m:r>
              <m:ctrlPr>
                <w:rPr>
                  <w:rFonts w:ascii="Cambria Math" w:hAnsi="Cambria Math" w:cs="Times New Roman"/>
                  <w:i/>
                  <w:kern w:val="0"/>
                  <w:sz w:val="24"/>
                </w:rPr>
              </m:ctrlPr>
            </m:e>
            <m:sub>
              <m:r>
                <m:rPr/>
                <w:rPr>
                  <w:rFonts w:ascii="Cambria Math" w:hAnsi="Cambria Math" w:cs="Times New Roman"/>
                  <w:kern w:val="0"/>
                  <w:sz w:val="24"/>
                </w:rPr>
                <m:t>eff</m:t>
              </m:r>
              <m:ctrlPr>
                <w:rPr>
                  <w:rFonts w:ascii="Cambria Math" w:hAnsi="Cambria Math" w:cs="Times New Roman"/>
                  <w:i/>
                  <w:kern w:val="0"/>
                  <w:sz w:val="24"/>
                </w:rPr>
              </m:ctrlPr>
            </m:sub>
          </m:sSub>
        </m:oMath>
      </m:oMathPara>
    </w:p>
    <w:p w14:paraId="21E9B300">
      <w:pPr>
        <w:spacing w:line="480" w:lineRule="auto"/>
        <w:rPr>
          <w:rFonts w:ascii="Times New Roman" w:hAnsi="Times New Roman" w:cs="Times New Roman"/>
          <w:kern w:val="0"/>
          <w:sz w:val="24"/>
        </w:rPr>
      </w:pPr>
      <w:r>
        <w:rPr>
          <w:rFonts w:ascii="Times New Roman" w:hAnsi="Times New Roman" w:cs="Times New Roman"/>
          <w:kern w:val="0"/>
          <w:sz w:val="24"/>
        </w:rPr>
        <w:t xml:space="preserve">This calculates the total energy consumption for transporting goods from province </w:t>
      </w:r>
      <w:r>
        <w:rPr>
          <w:rFonts w:ascii="Times New Roman" w:hAnsi="Times New Roman" w:cs="Times New Roman"/>
          <w:i/>
          <w:iCs/>
          <w:kern w:val="0"/>
          <w:sz w:val="24"/>
        </w:rPr>
        <w:t>i</w:t>
      </w:r>
      <w:r>
        <w:rPr>
          <w:rFonts w:ascii="Times New Roman" w:hAnsi="Times New Roman" w:cs="Times New Roman"/>
          <w:kern w:val="0"/>
          <w:sz w:val="24"/>
        </w:rPr>
        <w:t xml:space="preserve"> to province </w:t>
      </w:r>
      <w:r>
        <w:rPr>
          <w:rFonts w:ascii="Times New Roman" w:hAnsi="Times New Roman" w:cs="Times New Roman"/>
          <w:i/>
          <w:iCs/>
          <w:kern w:val="0"/>
          <w:sz w:val="24"/>
        </w:rPr>
        <w:t>j</w:t>
      </w:r>
      <w:r>
        <w:rPr>
          <w:rFonts w:ascii="Times New Roman" w:hAnsi="Times New Roman" w:cs="Times New Roman"/>
          <w:kern w:val="0"/>
          <w:sz w:val="24"/>
        </w:rPr>
        <w:t>.</w:t>
      </w:r>
    </w:p>
    <w:p w14:paraId="7A25D1E5">
      <w:pPr>
        <w:spacing w:line="480" w:lineRule="auto"/>
        <w:rPr>
          <w:rFonts w:ascii="Times New Roman" w:hAnsi="Times New Roman" w:cs="Times New Roman"/>
          <w:b/>
          <w:bCs/>
          <w:kern w:val="0"/>
          <w:sz w:val="24"/>
        </w:rPr>
      </w:pPr>
      <w:r>
        <w:rPr>
          <w:rFonts w:ascii="Times New Roman" w:hAnsi="Times New Roman" w:cs="Times New Roman"/>
          <w:b/>
          <w:bCs/>
          <w:kern w:val="0"/>
          <w:sz w:val="24"/>
        </w:rPr>
        <w:t>Charging balance and battery capacity constraints:</w:t>
      </w:r>
    </w:p>
    <w:p w14:paraId="34ECC65C">
      <w:pPr>
        <w:spacing w:line="480" w:lineRule="auto"/>
        <w:rPr>
          <w:rFonts w:ascii="Times New Roman" w:hAnsi="Times New Roman" w:cs="Times New Roman"/>
          <w:kern w:val="0"/>
          <w:sz w:val="24"/>
        </w:rPr>
      </w:pPr>
      <m:oMathPara>
        <m:oMath>
          <m:sSub>
            <m:sSubPr>
              <m:ctrlPr>
                <w:rPr>
                  <w:rFonts w:ascii="Cambria Math" w:hAnsi="Cambria Math" w:cs="Times New Roman"/>
                  <w:i/>
                  <w:kern w:val="0"/>
                  <w:sz w:val="24"/>
                </w:rPr>
              </m:ctrlPr>
            </m:sSubPr>
            <m:e>
              <m:r>
                <m:rPr/>
                <w:rPr>
                  <w:rFonts w:ascii="Cambria Math" w:hAnsi="Cambria Math" w:cs="Times New Roman"/>
                  <w:kern w:val="0"/>
                  <w:sz w:val="24"/>
                </w:rPr>
                <m:t>US</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Cdep</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Cdes</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S</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E</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oMath>
      </m:oMathPara>
    </w:p>
    <w:p w14:paraId="4E62E5BB">
      <w:pPr>
        <w:spacing w:line="480" w:lineRule="auto"/>
        <w:rPr>
          <w:rFonts w:ascii="Times New Roman" w:hAnsi="Times New Roman" w:cs="Times New Roman"/>
          <w:kern w:val="0"/>
          <w:sz w:val="24"/>
        </w:rPr>
      </w:pPr>
      <m:oMathPara>
        <m:oMath>
          <m:sSub>
            <m:sSubPr>
              <m:ctrlPr>
                <w:rPr>
                  <w:rFonts w:ascii="Cambria Math" w:hAnsi="Cambria Math" w:cs="Times New Roman"/>
                  <w:i/>
                  <w:kern w:val="0"/>
                  <w:sz w:val="24"/>
                </w:rPr>
              </m:ctrlPr>
            </m:sSubPr>
            <m:e>
              <m:r>
                <m:rPr/>
                <w:rPr>
                  <w:rFonts w:ascii="Cambria Math" w:hAnsi="Cambria Math" w:cs="Times New Roman"/>
                  <w:kern w:val="0"/>
                  <w:sz w:val="24"/>
                </w:rPr>
                <m:t>US</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Cdep</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W</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B</m:t>
              </m:r>
              <m:ctrlPr>
                <w:rPr>
                  <w:rFonts w:ascii="Cambria Math" w:hAnsi="Cambria Math" w:cs="Times New Roman"/>
                  <w:i/>
                  <w:kern w:val="0"/>
                  <w:sz w:val="24"/>
                </w:rPr>
              </m:ctrlPr>
            </m:e>
            <m:sub>
              <m:r>
                <m:rPr/>
                <w:rPr>
                  <w:rFonts w:ascii="Cambria Math" w:hAnsi="Cambria Math" w:cs="Times New Roman"/>
                  <w:kern w:val="0"/>
                  <w:sz w:val="24"/>
                </w:rPr>
                <m:t>i,j</m:t>
              </m:r>
              <m:ctrlPr>
                <w:rPr>
                  <w:rFonts w:ascii="Cambria Math" w:hAnsi="Cambria Math" w:cs="Times New Roman"/>
                  <w:i/>
                  <w:kern w:val="0"/>
                  <w:sz w:val="24"/>
                </w:rPr>
              </m:ctrlPr>
            </m:sub>
          </m:sSub>
          <m:r>
            <m:rPr/>
            <w:rPr>
              <w:rFonts w:ascii="Cambria Math" w:hAnsi="Cambria Math" w:cs="Times New Roman"/>
              <w:kern w:val="0"/>
              <w:sz w:val="24"/>
            </w:rPr>
            <m:t>×</m:t>
          </m:r>
          <m:sSub>
            <m:sSubPr>
              <m:ctrlPr>
                <w:rPr>
                  <w:rFonts w:ascii="Cambria Math" w:hAnsi="Cambria Math" w:cs="Times New Roman"/>
                  <w:i/>
                  <w:kern w:val="0"/>
                  <w:sz w:val="24"/>
                </w:rPr>
              </m:ctrlPr>
            </m:sSubPr>
            <m:e>
              <m:r>
                <m:rPr/>
                <w:rPr>
                  <w:rFonts w:ascii="Cambria Math" w:hAnsi="Cambria Math" w:cs="Times New Roman"/>
                  <w:kern w:val="0"/>
                  <w:sz w:val="24"/>
                </w:rPr>
                <m:t>c</m:t>
              </m:r>
              <m:ctrlPr>
                <w:rPr>
                  <w:rFonts w:ascii="Cambria Math" w:hAnsi="Cambria Math" w:cs="Times New Roman"/>
                  <w:i/>
                  <w:kern w:val="0"/>
                  <w:sz w:val="24"/>
                </w:rPr>
              </m:ctrlPr>
            </m:e>
            <m:sub>
              <m:r>
                <m:rPr/>
                <w:rPr>
                  <w:rFonts w:ascii="Cambria Math" w:hAnsi="Cambria Math" w:cs="Times New Roman"/>
                  <w:kern w:val="0"/>
                  <w:sz w:val="24"/>
                </w:rPr>
                <m:t>eff</m:t>
              </m:r>
              <m:ctrlPr>
                <w:rPr>
                  <w:rFonts w:ascii="Cambria Math" w:hAnsi="Cambria Math" w:cs="Times New Roman"/>
                  <w:i/>
                  <w:kern w:val="0"/>
                  <w:sz w:val="24"/>
                </w:rPr>
              </m:ctrlPr>
            </m:sub>
          </m:sSub>
        </m:oMath>
      </m:oMathPara>
    </w:p>
    <w:p w14:paraId="5C4AAD77">
      <w:pPr>
        <w:spacing w:line="480" w:lineRule="auto"/>
        <w:rPr>
          <w:rFonts w:ascii="Times New Roman" w:hAnsi="Times New Roman" w:cs="Times New Roman"/>
          <w:kern w:val="0"/>
          <w:sz w:val="24"/>
        </w:rPr>
      </w:pPr>
      <w:r>
        <w:rPr>
          <w:rFonts w:ascii="Times New Roman" w:hAnsi="Times New Roman" w:cs="Times New Roman"/>
          <w:kern w:val="0"/>
          <w:sz w:val="24"/>
        </w:rPr>
        <w:t xml:space="preserve">Where </w:t>
      </w:r>
      <w:r>
        <w:rPr>
          <w:rFonts w:ascii="Times New Roman" w:hAnsi="Times New Roman" w:cs="Times New Roman"/>
          <w:i/>
          <w:iCs/>
          <w:kern w:val="0"/>
          <w:sz w:val="24"/>
        </w:rPr>
        <w:t>USi,j</w:t>
      </w:r>
      <w:r>
        <w:rPr>
          <w:rFonts w:ascii="Times New Roman" w:hAnsi="Times New Roman" w:cs="Times New Roman"/>
          <w:kern w:val="0"/>
          <w:sz w:val="24"/>
        </w:rPr>
        <w:t xml:space="preserve"> is the electricity stored from the previous trip, and </w:t>
      </w:r>
      <w:r>
        <w:rPr>
          <w:rFonts w:ascii="Times New Roman" w:hAnsi="Times New Roman" w:cs="Times New Roman"/>
          <w:i/>
          <w:iCs/>
          <w:kern w:val="0"/>
          <w:sz w:val="24"/>
        </w:rPr>
        <w:t>Si,j</w:t>
      </w:r>
      <w:r>
        <w:rPr>
          <w:rFonts w:ascii="Times New Roman" w:hAnsi="Times New Roman" w:cs="Times New Roman"/>
          <w:kern w:val="0"/>
          <w:sz w:val="24"/>
        </w:rPr>
        <w:t xml:space="preserve"> is the stored electricity reserved for the next leg.</w:t>
      </w:r>
    </w:p>
    <w:p w14:paraId="0A012672">
      <w:pPr>
        <w:spacing w:line="480" w:lineRule="auto"/>
        <w:rPr>
          <w:rFonts w:ascii="Times New Roman" w:hAnsi="Times New Roman" w:cs="Times New Roman"/>
          <w:kern w:val="0"/>
          <w:sz w:val="24"/>
        </w:rPr>
      </w:pPr>
      <w:r>
        <w:rPr>
          <w:rFonts w:ascii="Times New Roman" w:hAnsi="Times New Roman" w:cs="Times New Roman"/>
          <w:kern w:val="0"/>
          <w:sz w:val="24"/>
        </w:rPr>
        <w:t>The optimization results for the regenerated NaCl and oil.</w:t>
      </w:r>
    </w:p>
    <w:p w14:paraId="50F65AF8">
      <w:pPr>
        <w:pStyle w:val="2"/>
        <w:rPr>
          <w:rFonts w:ascii="Times New Roman" w:hAnsi="Times New Roman" w:cs="Times New Roman"/>
        </w:rPr>
      </w:pPr>
      <w:r>
        <w:rPr>
          <w:rFonts w:ascii="Times New Roman" w:hAnsi="Times New Roman" w:cs="Times New Roman"/>
        </w:rPr>
        <w:t>Table S12. The fossil-fueled vehicle transportation carbon footprint optimization results of NaCl</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1D3C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45B6C3F0">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6130BF23">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504C09F0">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023B05BD">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592E4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68FD1EB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6EF1466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6379.75</w:t>
            </w:r>
          </w:p>
        </w:tc>
        <w:tc>
          <w:tcPr>
            <w:tcW w:w="2518" w:type="dxa"/>
            <w:tcBorders>
              <w:top w:val="single" w:color="auto" w:sz="4" w:space="0"/>
              <w:left w:val="nil"/>
              <w:bottom w:val="nil"/>
              <w:right w:val="nil"/>
            </w:tcBorders>
            <w:vAlign w:val="bottom"/>
          </w:tcPr>
          <w:p w14:paraId="3213D5C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601.79</w:t>
            </w:r>
          </w:p>
        </w:tc>
        <w:tc>
          <w:tcPr>
            <w:tcW w:w="2520" w:type="dxa"/>
            <w:tcBorders>
              <w:top w:val="single" w:color="auto" w:sz="4" w:space="0"/>
              <w:left w:val="nil"/>
              <w:bottom w:val="nil"/>
              <w:right w:val="nil"/>
            </w:tcBorders>
            <w:vAlign w:val="bottom"/>
          </w:tcPr>
          <w:p w14:paraId="0F34123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6981.54</w:t>
            </w:r>
          </w:p>
        </w:tc>
      </w:tr>
      <w:tr w14:paraId="057B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313111C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50016D0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30413.92</w:t>
            </w:r>
          </w:p>
        </w:tc>
        <w:tc>
          <w:tcPr>
            <w:tcW w:w="2518" w:type="dxa"/>
            <w:tcBorders>
              <w:top w:val="nil"/>
              <w:left w:val="nil"/>
              <w:bottom w:val="nil"/>
              <w:right w:val="nil"/>
            </w:tcBorders>
            <w:vAlign w:val="bottom"/>
          </w:tcPr>
          <w:p w14:paraId="2B5E6C5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2698.75</w:t>
            </w:r>
          </w:p>
        </w:tc>
        <w:tc>
          <w:tcPr>
            <w:tcW w:w="2520" w:type="dxa"/>
            <w:tcBorders>
              <w:top w:val="nil"/>
              <w:left w:val="nil"/>
              <w:bottom w:val="nil"/>
              <w:right w:val="nil"/>
            </w:tcBorders>
            <w:vAlign w:val="bottom"/>
          </w:tcPr>
          <w:p w14:paraId="0872F84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33112.66</w:t>
            </w:r>
          </w:p>
        </w:tc>
      </w:tr>
      <w:tr w14:paraId="13723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409831D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417EB57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44127.67</w:t>
            </w:r>
          </w:p>
        </w:tc>
        <w:tc>
          <w:tcPr>
            <w:tcW w:w="2518" w:type="dxa"/>
            <w:tcBorders>
              <w:top w:val="nil"/>
              <w:left w:val="nil"/>
              <w:bottom w:val="nil"/>
              <w:right w:val="nil"/>
            </w:tcBorders>
            <w:vAlign w:val="bottom"/>
          </w:tcPr>
          <w:p w14:paraId="14779AB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4495.76</w:t>
            </w:r>
          </w:p>
        </w:tc>
        <w:tc>
          <w:tcPr>
            <w:tcW w:w="2520" w:type="dxa"/>
            <w:tcBorders>
              <w:top w:val="nil"/>
              <w:left w:val="nil"/>
              <w:bottom w:val="nil"/>
              <w:right w:val="nil"/>
            </w:tcBorders>
            <w:vAlign w:val="bottom"/>
          </w:tcPr>
          <w:p w14:paraId="7FDC7C5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48623.43</w:t>
            </w:r>
          </w:p>
        </w:tc>
      </w:tr>
      <w:tr w14:paraId="24EF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3C96B8F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48AA824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30674.59</w:t>
            </w:r>
          </w:p>
        </w:tc>
        <w:tc>
          <w:tcPr>
            <w:tcW w:w="2518" w:type="dxa"/>
            <w:tcBorders>
              <w:top w:val="nil"/>
              <w:left w:val="nil"/>
              <w:bottom w:val="single" w:color="auto" w:sz="12" w:space="0"/>
              <w:right w:val="nil"/>
            </w:tcBorders>
            <w:vAlign w:val="bottom"/>
          </w:tcPr>
          <w:p w14:paraId="06DD2AC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7600.76</w:t>
            </w:r>
          </w:p>
        </w:tc>
        <w:tc>
          <w:tcPr>
            <w:tcW w:w="2520" w:type="dxa"/>
            <w:tcBorders>
              <w:top w:val="nil"/>
              <w:left w:val="nil"/>
              <w:bottom w:val="single" w:color="auto" w:sz="12" w:space="0"/>
              <w:right w:val="nil"/>
            </w:tcBorders>
            <w:vAlign w:val="bottom"/>
          </w:tcPr>
          <w:p w14:paraId="545322C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38275.35</w:t>
            </w:r>
          </w:p>
        </w:tc>
      </w:tr>
    </w:tbl>
    <w:p w14:paraId="63027459">
      <w:pPr>
        <w:pStyle w:val="2"/>
        <w:rPr>
          <w:rFonts w:ascii="Times New Roman" w:hAnsi="Times New Roman" w:cs="Times New Roman"/>
        </w:rPr>
      </w:pPr>
    </w:p>
    <w:p w14:paraId="12E10DB6">
      <w:pPr>
        <w:pStyle w:val="2"/>
        <w:rPr>
          <w:rFonts w:ascii="Times New Roman" w:hAnsi="Times New Roman" w:cs="Times New Roman"/>
        </w:rPr>
      </w:pPr>
      <w:r>
        <w:rPr>
          <w:rFonts w:ascii="Times New Roman" w:hAnsi="Times New Roman" w:cs="Times New Roman"/>
        </w:rPr>
        <w:t>Table S13. The electric vehicle transportation carbon footprint optimization results of NaCl under SA1</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4081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74D5055E">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1C69C057">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6C500C3E">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4D7E82E7">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626A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7EA5B96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71024AC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7271.23 </w:t>
            </w:r>
          </w:p>
        </w:tc>
        <w:tc>
          <w:tcPr>
            <w:tcW w:w="2518" w:type="dxa"/>
            <w:tcBorders>
              <w:top w:val="single" w:color="auto" w:sz="4" w:space="0"/>
              <w:left w:val="nil"/>
              <w:bottom w:val="nil"/>
              <w:right w:val="nil"/>
            </w:tcBorders>
            <w:vAlign w:val="bottom"/>
          </w:tcPr>
          <w:p w14:paraId="43D8608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632.37 </w:t>
            </w:r>
          </w:p>
        </w:tc>
        <w:tc>
          <w:tcPr>
            <w:tcW w:w="2520" w:type="dxa"/>
            <w:tcBorders>
              <w:top w:val="single" w:color="auto" w:sz="4" w:space="0"/>
              <w:left w:val="nil"/>
              <w:bottom w:val="nil"/>
              <w:right w:val="nil"/>
            </w:tcBorders>
            <w:vAlign w:val="bottom"/>
          </w:tcPr>
          <w:p w14:paraId="43D82C8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7903.60 </w:t>
            </w:r>
          </w:p>
        </w:tc>
      </w:tr>
      <w:tr w14:paraId="0AE5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09215EF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525ADAD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57977.71 </w:t>
            </w:r>
          </w:p>
        </w:tc>
        <w:tc>
          <w:tcPr>
            <w:tcW w:w="2518" w:type="dxa"/>
            <w:tcBorders>
              <w:top w:val="nil"/>
              <w:left w:val="nil"/>
              <w:bottom w:val="nil"/>
              <w:right w:val="nil"/>
            </w:tcBorders>
            <w:vAlign w:val="bottom"/>
          </w:tcPr>
          <w:p w14:paraId="3B2E935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4421.14 </w:t>
            </w:r>
          </w:p>
        </w:tc>
        <w:tc>
          <w:tcPr>
            <w:tcW w:w="2520" w:type="dxa"/>
            <w:tcBorders>
              <w:top w:val="nil"/>
              <w:left w:val="nil"/>
              <w:bottom w:val="nil"/>
              <w:right w:val="nil"/>
            </w:tcBorders>
            <w:vAlign w:val="bottom"/>
          </w:tcPr>
          <w:p w14:paraId="6195E45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62398.85 </w:t>
            </w:r>
          </w:p>
        </w:tc>
      </w:tr>
      <w:tr w14:paraId="6587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0190432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43B48B6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138159.22 </w:t>
            </w:r>
          </w:p>
        </w:tc>
        <w:tc>
          <w:tcPr>
            <w:tcW w:w="2518" w:type="dxa"/>
            <w:tcBorders>
              <w:top w:val="nil"/>
              <w:left w:val="nil"/>
              <w:bottom w:val="nil"/>
              <w:right w:val="nil"/>
            </w:tcBorders>
            <w:vAlign w:val="bottom"/>
          </w:tcPr>
          <w:p w14:paraId="7D7163F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13478.42 </w:t>
            </w:r>
          </w:p>
        </w:tc>
        <w:tc>
          <w:tcPr>
            <w:tcW w:w="2520" w:type="dxa"/>
            <w:tcBorders>
              <w:top w:val="nil"/>
              <w:left w:val="nil"/>
              <w:bottom w:val="nil"/>
              <w:right w:val="nil"/>
            </w:tcBorders>
            <w:vAlign w:val="bottom"/>
          </w:tcPr>
          <w:p w14:paraId="3B32180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151637.64 </w:t>
            </w:r>
          </w:p>
        </w:tc>
      </w:tr>
      <w:tr w14:paraId="0E44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6756AA8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156AB0B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263815.94 </w:t>
            </w:r>
          </w:p>
        </w:tc>
        <w:tc>
          <w:tcPr>
            <w:tcW w:w="2518" w:type="dxa"/>
            <w:tcBorders>
              <w:top w:val="nil"/>
              <w:left w:val="nil"/>
              <w:bottom w:val="single" w:color="auto" w:sz="12" w:space="0"/>
              <w:right w:val="nil"/>
            </w:tcBorders>
            <w:vAlign w:val="bottom"/>
          </w:tcPr>
          <w:p w14:paraId="267E9C2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26655.93 </w:t>
            </w:r>
          </w:p>
        </w:tc>
        <w:tc>
          <w:tcPr>
            <w:tcW w:w="2520" w:type="dxa"/>
            <w:tcBorders>
              <w:top w:val="nil"/>
              <w:left w:val="nil"/>
              <w:bottom w:val="single" w:color="auto" w:sz="12" w:space="0"/>
              <w:right w:val="nil"/>
            </w:tcBorders>
            <w:vAlign w:val="bottom"/>
          </w:tcPr>
          <w:p w14:paraId="53FA78C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290471.87 </w:t>
            </w:r>
          </w:p>
        </w:tc>
      </w:tr>
    </w:tbl>
    <w:p w14:paraId="5DA4FD12">
      <w:pPr>
        <w:pStyle w:val="2"/>
        <w:rPr>
          <w:rFonts w:ascii="Times New Roman" w:hAnsi="Times New Roman" w:cs="Times New Roman"/>
        </w:rPr>
      </w:pPr>
    </w:p>
    <w:p w14:paraId="512A4A09">
      <w:pPr>
        <w:pStyle w:val="2"/>
        <w:rPr>
          <w:rFonts w:ascii="Times New Roman" w:hAnsi="Times New Roman" w:cs="Times New Roman"/>
        </w:rPr>
      </w:pPr>
      <w:r>
        <w:rPr>
          <w:rFonts w:ascii="Times New Roman" w:hAnsi="Times New Roman" w:cs="Times New Roman"/>
        </w:rPr>
        <w:t>Table S14. The electric vehicle transportation carbon footprint optimization results of NaCl under SA2</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08D5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1580FED5">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186A23E7">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3EF9133B">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735089AB">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29EC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2FF89A9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3EC445F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6239.67 </w:t>
            </w:r>
          </w:p>
        </w:tc>
        <w:tc>
          <w:tcPr>
            <w:tcW w:w="2518" w:type="dxa"/>
            <w:tcBorders>
              <w:top w:val="single" w:color="auto" w:sz="4" w:space="0"/>
              <w:left w:val="nil"/>
              <w:bottom w:val="nil"/>
              <w:right w:val="nil"/>
            </w:tcBorders>
            <w:vAlign w:val="bottom"/>
          </w:tcPr>
          <w:p w14:paraId="0B9E027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547.94 </w:t>
            </w:r>
          </w:p>
        </w:tc>
        <w:tc>
          <w:tcPr>
            <w:tcW w:w="2520" w:type="dxa"/>
            <w:tcBorders>
              <w:top w:val="single" w:color="auto" w:sz="4" w:space="0"/>
              <w:left w:val="nil"/>
              <w:bottom w:val="nil"/>
              <w:right w:val="nil"/>
            </w:tcBorders>
            <w:vAlign w:val="bottom"/>
          </w:tcPr>
          <w:p w14:paraId="2E8C2C5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6787.60 </w:t>
            </w:r>
          </w:p>
        </w:tc>
      </w:tr>
      <w:tr w14:paraId="5C2F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7F304C0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13D15A3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36044.98 </w:t>
            </w:r>
          </w:p>
        </w:tc>
        <w:tc>
          <w:tcPr>
            <w:tcW w:w="2518" w:type="dxa"/>
            <w:tcBorders>
              <w:top w:val="nil"/>
              <w:left w:val="nil"/>
              <w:bottom w:val="nil"/>
              <w:right w:val="nil"/>
            </w:tcBorders>
            <w:vAlign w:val="bottom"/>
          </w:tcPr>
          <w:p w14:paraId="5A74E15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2917.90 </w:t>
            </w:r>
          </w:p>
        </w:tc>
        <w:tc>
          <w:tcPr>
            <w:tcW w:w="2520" w:type="dxa"/>
            <w:tcBorders>
              <w:top w:val="nil"/>
              <w:left w:val="nil"/>
              <w:bottom w:val="nil"/>
              <w:right w:val="nil"/>
            </w:tcBorders>
            <w:vAlign w:val="bottom"/>
          </w:tcPr>
          <w:p w14:paraId="66EFA6D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38962.88 </w:t>
            </w:r>
          </w:p>
        </w:tc>
      </w:tr>
      <w:tr w14:paraId="43CD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175CA17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62A4EF7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63617.59 </w:t>
            </w:r>
          </w:p>
        </w:tc>
        <w:tc>
          <w:tcPr>
            <w:tcW w:w="2518" w:type="dxa"/>
            <w:tcBorders>
              <w:top w:val="nil"/>
              <w:left w:val="nil"/>
              <w:bottom w:val="nil"/>
              <w:right w:val="nil"/>
            </w:tcBorders>
            <w:vAlign w:val="bottom"/>
          </w:tcPr>
          <w:p w14:paraId="43EBF24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5926.43 </w:t>
            </w:r>
          </w:p>
        </w:tc>
        <w:tc>
          <w:tcPr>
            <w:tcW w:w="2520" w:type="dxa"/>
            <w:tcBorders>
              <w:top w:val="nil"/>
              <w:left w:val="nil"/>
              <w:bottom w:val="nil"/>
              <w:right w:val="nil"/>
            </w:tcBorders>
            <w:vAlign w:val="bottom"/>
          </w:tcPr>
          <w:p w14:paraId="3402BE6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69544.02 </w:t>
            </w:r>
          </w:p>
        </w:tc>
      </w:tr>
      <w:tr w14:paraId="4413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1E1B203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12B1EE2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48206.40 </w:t>
            </w:r>
          </w:p>
        </w:tc>
        <w:tc>
          <w:tcPr>
            <w:tcW w:w="2518" w:type="dxa"/>
            <w:tcBorders>
              <w:top w:val="nil"/>
              <w:left w:val="nil"/>
              <w:bottom w:val="single" w:color="auto" w:sz="12" w:space="0"/>
              <w:right w:val="nil"/>
            </w:tcBorders>
            <w:vAlign w:val="bottom"/>
          </w:tcPr>
          <w:p w14:paraId="7AAC4B9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9479.10 </w:t>
            </w:r>
          </w:p>
        </w:tc>
        <w:tc>
          <w:tcPr>
            <w:tcW w:w="2520" w:type="dxa"/>
            <w:tcBorders>
              <w:top w:val="nil"/>
              <w:left w:val="nil"/>
              <w:bottom w:val="single" w:color="auto" w:sz="12" w:space="0"/>
              <w:right w:val="nil"/>
            </w:tcBorders>
            <w:vAlign w:val="bottom"/>
          </w:tcPr>
          <w:p w14:paraId="69FECE3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57685.50 </w:t>
            </w:r>
          </w:p>
        </w:tc>
      </w:tr>
    </w:tbl>
    <w:p w14:paraId="6356F70D">
      <w:pPr>
        <w:pStyle w:val="2"/>
        <w:rPr>
          <w:rFonts w:ascii="Times New Roman" w:hAnsi="Times New Roman" w:cs="Times New Roman"/>
        </w:rPr>
      </w:pPr>
    </w:p>
    <w:p w14:paraId="502BF087">
      <w:pPr>
        <w:pStyle w:val="2"/>
        <w:rPr>
          <w:rFonts w:ascii="Times New Roman" w:hAnsi="Times New Roman" w:cs="Times New Roman"/>
        </w:rPr>
      </w:pPr>
      <w:r>
        <w:rPr>
          <w:rFonts w:ascii="Times New Roman" w:hAnsi="Times New Roman" w:cs="Times New Roman"/>
        </w:rPr>
        <w:t>Table S15. The electric vehicle transportation carbon footprint optimization results of NaCl under SA3</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6545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0E90E93E">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2BCA34C8">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4667C70E">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635AD178">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330F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22E33BE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07AF23C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6379.75 </w:t>
            </w:r>
          </w:p>
        </w:tc>
        <w:tc>
          <w:tcPr>
            <w:tcW w:w="2518" w:type="dxa"/>
            <w:tcBorders>
              <w:top w:val="single" w:color="auto" w:sz="4" w:space="0"/>
              <w:left w:val="nil"/>
              <w:bottom w:val="nil"/>
              <w:right w:val="nil"/>
            </w:tcBorders>
            <w:vAlign w:val="bottom"/>
          </w:tcPr>
          <w:p w14:paraId="2B59352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601.79 </w:t>
            </w:r>
          </w:p>
        </w:tc>
        <w:tc>
          <w:tcPr>
            <w:tcW w:w="2520" w:type="dxa"/>
            <w:tcBorders>
              <w:top w:val="single" w:color="auto" w:sz="4" w:space="0"/>
              <w:left w:val="nil"/>
              <w:bottom w:val="nil"/>
              <w:right w:val="nil"/>
            </w:tcBorders>
            <w:vAlign w:val="bottom"/>
          </w:tcPr>
          <w:p w14:paraId="6DFD390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6981.54 </w:t>
            </w:r>
          </w:p>
        </w:tc>
      </w:tr>
      <w:tr w14:paraId="5A4A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275DFE4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5C9216E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30413.92 </w:t>
            </w:r>
          </w:p>
        </w:tc>
        <w:tc>
          <w:tcPr>
            <w:tcW w:w="2518" w:type="dxa"/>
            <w:tcBorders>
              <w:top w:val="nil"/>
              <w:left w:val="nil"/>
              <w:bottom w:val="nil"/>
              <w:right w:val="nil"/>
            </w:tcBorders>
            <w:vAlign w:val="bottom"/>
          </w:tcPr>
          <w:p w14:paraId="01020E6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2698.75 </w:t>
            </w:r>
          </w:p>
        </w:tc>
        <w:tc>
          <w:tcPr>
            <w:tcW w:w="2520" w:type="dxa"/>
            <w:tcBorders>
              <w:top w:val="nil"/>
              <w:left w:val="nil"/>
              <w:bottom w:val="nil"/>
              <w:right w:val="nil"/>
            </w:tcBorders>
            <w:vAlign w:val="bottom"/>
          </w:tcPr>
          <w:p w14:paraId="3FAC28A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33112.66 </w:t>
            </w:r>
          </w:p>
        </w:tc>
      </w:tr>
      <w:tr w14:paraId="71BE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4094F4A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613A7F9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44127.67 </w:t>
            </w:r>
          </w:p>
        </w:tc>
        <w:tc>
          <w:tcPr>
            <w:tcW w:w="2518" w:type="dxa"/>
            <w:tcBorders>
              <w:top w:val="nil"/>
              <w:left w:val="nil"/>
              <w:bottom w:val="nil"/>
              <w:right w:val="nil"/>
            </w:tcBorders>
            <w:vAlign w:val="bottom"/>
          </w:tcPr>
          <w:p w14:paraId="40D85AF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4495.76 </w:t>
            </w:r>
          </w:p>
        </w:tc>
        <w:tc>
          <w:tcPr>
            <w:tcW w:w="2520" w:type="dxa"/>
            <w:tcBorders>
              <w:top w:val="nil"/>
              <w:left w:val="nil"/>
              <w:bottom w:val="nil"/>
              <w:right w:val="nil"/>
            </w:tcBorders>
            <w:vAlign w:val="bottom"/>
          </w:tcPr>
          <w:p w14:paraId="15AC636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48623.43 </w:t>
            </w:r>
          </w:p>
        </w:tc>
      </w:tr>
      <w:tr w14:paraId="63C6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7EBB9F2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7F1DC1C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30674.59 </w:t>
            </w:r>
          </w:p>
        </w:tc>
        <w:tc>
          <w:tcPr>
            <w:tcW w:w="2518" w:type="dxa"/>
            <w:tcBorders>
              <w:top w:val="nil"/>
              <w:left w:val="nil"/>
              <w:bottom w:val="single" w:color="auto" w:sz="12" w:space="0"/>
              <w:right w:val="nil"/>
            </w:tcBorders>
            <w:vAlign w:val="bottom"/>
          </w:tcPr>
          <w:p w14:paraId="02527B4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7600.76 </w:t>
            </w:r>
          </w:p>
        </w:tc>
        <w:tc>
          <w:tcPr>
            <w:tcW w:w="2520" w:type="dxa"/>
            <w:tcBorders>
              <w:top w:val="nil"/>
              <w:left w:val="nil"/>
              <w:bottom w:val="single" w:color="auto" w:sz="12" w:space="0"/>
              <w:right w:val="nil"/>
            </w:tcBorders>
            <w:vAlign w:val="bottom"/>
          </w:tcPr>
          <w:p w14:paraId="3DD972D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38275.35 </w:t>
            </w:r>
          </w:p>
        </w:tc>
      </w:tr>
    </w:tbl>
    <w:p w14:paraId="7E81DD68">
      <w:pPr>
        <w:pStyle w:val="2"/>
        <w:rPr>
          <w:rFonts w:ascii="Times New Roman" w:hAnsi="Times New Roman" w:cs="Times New Roman"/>
        </w:rPr>
      </w:pPr>
    </w:p>
    <w:p w14:paraId="7F0B7C8E">
      <w:pPr>
        <w:pStyle w:val="2"/>
        <w:rPr>
          <w:rFonts w:ascii="Times New Roman" w:hAnsi="Times New Roman" w:cs="Times New Roman"/>
        </w:rPr>
      </w:pPr>
      <w:r>
        <w:rPr>
          <w:rFonts w:ascii="Times New Roman" w:hAnsi="Times New Roman" w:cs="Times New Roman"/>
        </w:rPr>
        <w:t>Table S16. The fossil-fueled vehicle transportation carbon footprint optimization results of oil</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1EDD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117A4CA1">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515A4EFF">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568C6258">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5413456A">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0CAB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5B95307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3D42048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9249.73</w:t>
            </w:r>
          </w:p>
        </w:tc>
        <w:tc>
          <w:tcPr>
            <w:tcW w:w="2518" w:type="dxa"/>
            <w:tcBorders>
              <w:top w:val="single" w:color="auto" w:sz="4" w:space="0"/>
              <w:left w:val="nil"/>
              <w:bottom w:val="nil"/>
              <w:right w:val="nil"/>
            </w:tcBorders>
            <w:vAlign w:val="bottom"/>
          </w:tcPr>
          <w:p w14:paraId="6756828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7249.00</w:t>
            </w:r>
          </w:p>
        </w:tc>
        <w:tc>
          <w:tcPr>
            <w:tcW w:w="2520" w:type="dxa"/>
            <w:tcBorders>
              <w:top w:val="single" w:color="auto" w:sz="4" w:space="0"/>
              <w:left w:val="nil"/>
              <w:bottom w:val="nil"/>
              <w:right w:val="nil"/>
            </w:tcBorders>
            <w:vAlign w:val="bottom"/>
          </w:tcPr>
          <w:p w14:paraId="148669B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16498.72</w:t>
            </w:r>
          </w:p>
        </w:tc>
      </w:tr>
      <w:tr w14:paraId="051A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28B3DF0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2B8EDA2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71973.10</w:t>
            </w:r>
          </w:p>
        </w:tc>
        <w:tc>
          <w:tcPr>
            <w:tcW w:w="2518" w:type="dxa"/>
            <w:tcBorders>
              <w:top w:val="nil"/>
              <w:left w:val="nil"/>
              <w:bottom w:val="nil"/>
              <w:right w:val="nil"/>
            </w:tcBorders>
            <w:vAlign w:val="bottom"/>
          </w:tcPr>
          <w:p w14:paraId="320798B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56405.19</w:t>
            </w:r>
          </w:p>
        </w:tc>
        <w:tc>
          <w:tcPr>
            <w:tcW w:w="2520" w:type="dxa"/>
            <w:tcBorders>
              <w:top w:val="nil"/>
              <w:left w:val="nil"/>
              <w:bottom w:val="nil"/>
              <w:right w:val="nil"/>
            </w:tcBorders>
            <w:vAlign w:val="bottom"/>
          </w:tcPr>
          <w:p w14:paraId="35B2117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128378.28</w:t>
            </w:r>
          </w:p>
        </w:tc>
      </w:tr>
      <w:tr w14:paraId="1D61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3F99199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33F9B99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159798.60</w:t>
            </w:r>
          </w:p>
        </w:tc>
        <w:tc>
          <w:tcPr>
            <w:tcW w:w="2518" w:type="dxa"/>
            <w:tcBorders>
              <w:top w:val="nil"/>
              <w:left w:val="nil"/>
              <w:bottom w:val="nil"/>
              <w:right w:val="nil"/>
            </w:tcBorders>
            <w:vAlign w:val="bottom"/>
          </w:tcPr>
          <w:p w14:paraId="6313ED8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125233.88</w:t>
            </w:r>
          </w:p>
        </w:tc>
        <w:tc>
          <w:tcPr>
            <w:tcW w:w="2520" w:type="dxa"/>
            <w:tcBorders>
              <w:top w:val="nil"/>
              <w:left w:val="nil"/>
              <w:bottom w:val="nil"/>
              <w:right w:val="nil"/>
            </w:tcBorders>
            <w:vAlign w:val="bottom"/>
          </w:tcPr>
          <w:p w14:paraId="1B8C3DF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285032.48</w:t>
            </w:r>
          </w:p>
        </w:tc>
      </w:tr>
      <w:tr w14:paraId="5BE5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4A9B2C7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72E8C4F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281265.60</w:t>
            </w:r>
          </w:p>
        </w:tc>
        <w:tc>
          <w:tcPr>
            <w:tcW w:w="2518" w:type="dxa"/>
            <w:tcBorders>
              <w:top w:val="nil"/>
              <w:left w:val="nil"/>
              <w:bottom w:val="single" w:color="auto" w:sz="12" w:space="0"/>
              <w:right w:val="nil"/>
            </w:tcBorders>
            <w:vAlign w:val="bottom"/>
          </w:tcPr>
          <w:p w14:paraId="00BA574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220427.35</w:t>
            </w:r>
          </w:p>
        </w:tc>
        <w:tc>
          <w:tcPr>
            <w:tcW w:w="2520" w:type="dxa"/>
            <w:tcBorders>
              <w:top w:val="nil"/>
              <w:left w:val="nil"/>
              <w:bottom w:val="single" w:color="auto" w:sz="12" w:space="0"/>
              <w:right w:val="nil"/>
            </w:tcBorders>
            <w:vAlign w:val="bottom"/>
          </w:tcPr>
          <w:p w14:paraId="66E4FA8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501692.95</w:t>
            </w:r>
          </w:p>
        </w:tc>
      </w:tr>
    </w:tbl>
    <w:p w14:paraId="222FB6C0">
      <w:pPr>
        <w:pStyle w:val="4"/>
        <w:widowControl/>
        <w:spacing w:beforeAutospacing="0" w:afterAutospacing="0"/>
        <w:rPr>
          <w:rFonts w:ascii="Times New Roman" w:hAnsi="Times New Roman"/>
          <w:sz w:val="20"/>
          <w:szCs w:val="20"/>
        </w:rPr>
      </w:pPr>
    </w:p>
    <w:p w14:paraId="51731569">
      <w:pPr>
        <w:pStyle w:val="4"/>
        <w:widowControl/>
        <w:spacing w:beforeAutospacing="0" w:afterAutospacing="0"/>
        <w:rPr>
          <w:rFonts w:ascii="Times New Roman" w:hAnsi="Times New Roman"/>
          <w:sz w:val="20"/>
          <w:szCs w:val="20"/>
        </w:rPr>
      </w:pPr>
      <w:r>
        <w:rPr>
          <w:rFonts w:ascii="Times New Roman" w:hAnsi="Times New Roman"/>
          <w:sz w:val="20"/>
          <w:szCs w:val="20"/>
        </w:rPr>
        <w:t>Table S17. The electric vehicle transportation carbon footprint optimization results of oil under SA1</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6C6E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65DFD151">
            <w:pPr>
              <w:widowControl/>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3D74A1F4">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6B5F6A27">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14EAEBC6">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1627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3A90B97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312E9D2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6763.74 </w:t>
            </w:r>
          </w:p>
        </w:tc>
        <w:tc>
          <w:tcPr>
            <w:tcW w:w="2518" w:type="dxa"/>
            <w:tcBorders>
              <w:top w:val="single" w:color="auto" w:sz="4" w:space="0"/>
              <w:left w:val="nil"/>
              <w:bottom w:val="nil"/>
              <w:right w:val="nil"/>
            </w:tcBorders>
            <w:vAlign w:val="bottom"/>
          </w:tcPr>
          <w:p w14:paraId="6CD7996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1521.69 </w:t>
            </w:r>
          </w:p>
        </w:tc>
        <w:tc>
          <w:tcPr>
            <w:tcW w:w="2520" w:type="dxa"/>
            <w:tcBorders>
              <w:top w:val="single" w:color="auto" w:sz="4" w:space="0"/>
              <w:left w:val="nil"/>
              <w:bottom w:val="nil"/>
              <w:right w:val="nil"/>
            </w:tcBorders>
            <w:vAlign w:val="bottom"/>
          </w:tcPr>
          <w:p w14:paraId="7532714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8285.44 </w:t>
            </w:r>
          </w:p>
        </w:tc>
      </w:tr>
      <w:tr w14:paraId="4D34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7E63323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1305D00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53761.25 </w:t>
            </w:r>
          </w:p>
        </w:tc>
        <w:tc>
          <w:tcPr>
            <w:tcW w:w="2518" w:type="dxa"/>
            <w:tcBorders>
              <w:top w:val="nil"/>
              <w:left w:val="nil"/>
              <w:bottom w:val="nil"/>
              <w:right w:val="nil"/>
            </w:tcBorders>
            <w:vAlign w:val="bottom"/>
          </w:tcPr>
          <w:p w14:paraId="60147E1B">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13070.81 </w:t>
            </w:r>
          </w:p>
        </w:tc>
        <w:tc>
          <w:tcPr>
            <w:tcW w:w="2520" w:type="dxa"/>
            <w:tcBorders>
              <w:top w:val="nil"/>
              <w:left w:val="nil"/>
              <w:bottom w:val="nil"/>
              <w:right w:val="nil"/>
            </w:tcBorders>
            <w:vAlign w:val="bottom"/>
          </w:tcPr>
          <w:p w14:paraId="3A4EC0B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66832.07 </w:t>
            </w:r>
          </w:p>
        </w:tc>
      </w:tr>
      <w:tr w14:paraId="5995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7C060E4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4B98E23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124863.43 </w:t>
            </w:r>
          </w:p>
        </w:tc>
        <w:tc>
          <w:tcPr>
            <w:tcW w:w="2518" w:type="dxa"/>
            <w:tcBorders>
              <w:top w:val="nil"/>
              <w:left w:val="nil"/>
              <w:bottom w:val="nil"/>
              <w:right w:val="nil"/>
            </w:tcBorders>
            <w:vAlign w:val="bottom"/>
          </w:tcPr>
          <w:p w14:paraId="6C2E5BE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48142.15 </w:t>
            </w:r>
          </w:p>
        </w:tc>
        <w:tc>
          <w:tcPr>
            <w:tcW w:w="2520" w:type="dxa"/>
            <w:tcBorders>
              <w:top w:val="nil"/>
              <w:left w:val="nil"/>
              <w:bottom w:val="nil"/>
              <w:right w:val="nil"/>
            </w:tcBorders>
            <w:vAlign w:val="bottom"/>
          </w:tcPr>
          <w:p w14:paraId="6A42342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173005.59 </w:t>
            </w:r>
          </w:p>
        </w:tc>
      </w:tr>
      <w:tr w14:paraId="63BA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3DA666C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34FFD24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241229.92 </w:t>
            </w:r>
          </w:p>
        </w:tc>
        <w:tc>
          <w:tcPr>
            <w:tcW w:w="2518" w:type="dxa"/>
            <w:tcBorders>
              <w:top w:val="nil"/>
              <w:left w:val="nil"/>
              <w:bottom w:val="single" w:color="auto" w:sz="12" w:space="0"/>
              <w:right w:val="nil"/>
            </w:tcBorders>
            <w:vAlign w:val="bottom"/>
          </w:tcPr>
          <w:p w14:paraId="636949D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113675.00 </w:t>
            </w:r>
          </w:p>
        </w:tc>
        <w:tc>
          <w:tcPr>
            <w:tcW w:w="2520" w:type="dxa"/>
            <w:tcBorders>
              <w:top w:val="nil"/>
              <w:left w:val="nil"/>
              <w:bottom w:val="single" w:color="auto" w:sz="12" w:space="0"/>
              <w:right w:val="nil"/>
            </w:tcBorders>
            <w:vAlign w:val="bottom"/>
          </w:tcPr>
          <w:p w14:paraId="37727F1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354904.92 </w:t>
            </w:r>
          </w:p>
        </w:tc>
      </w:tr>
    </w:tbl>
    <w:p w14:paraId="726F3B87">
      <w:pPr>
        <w:pStyle w:val="4"/>
        <w:widowControl/>
        <w:spacing w:beforeAutospacing="0" w:afterAutospacing="0"/>
        <w:rPr>
          <w:rFonts w:ascii="Times New Roman" w:hAnsi="Times New Roman"/>
          <w:sz w:val="20"/>
          <w:szCs w:val="20"/>
        </w:rPr>
      </w:pPr>
    </w:p>
    <w:p w14:paraId="50D0E4B4">
      <w:pPr>
        <w:pStyle w:val="4"/>
        <w:widowControl/>
        <w:spacing w:beforeAutospacing="0" w:afterAutospacing="0"/>
        <w:rPr>
          <w:rFonts w:ascii="Times New Roman" w:hAnsi="Times New Roman"/>
          <w:sz w:val="20"/>
          <w:szCs w:val="20"/>
        </w:rPr>
      </w:pPr>
      <w:r>
        <w:rPr>
          <w:rFonts w:ascii="Times New Roman" w:hAnsi="Times New Roman"/>
          <w:sz w:val="20"/>
          <w:szCs w:val="20"/>
        </w:rPr>
        <w:t>Table S18. The electric vehicle transportation carbon footprint optimization results of oil under SA2</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4BAF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63851D90">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6D2F5236">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093B5C61">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5E71ADDE">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6A81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11E9092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671C429F">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5858.73 </w:t>
            </w:r>
          </w:p>
        </w:tc>
        <w:tc>
          <w:tcPr>
            <w:tcW w:w="2518" w:type="dxa"/>
            <w:tcBorders>
              <w:top w:val="single" w:color="auto" w:sz="4" w:space="0"/>
              <w:left w:val="nil"/>
              <w:bottom w:val="nil"/>
              <w:right w:val="nil"/>
            </w:tcBorders>
            <w:vAlign w:val="bottom"/>
          </w:tcPr>
          <w:p w14:paraId="509B33E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1051.58 </w:t>
            </w:r>
          </w:p>
        </w:tc>
        <w:tc>
          <w:tcPr>
            <w:tcW w:w="2520" w:type="dxa"/>
            <w:tcBorders>
              <w:top w:val="single" w:color="auto" w:sz="4" w:space="0"/>
              <w:left w:val="nil"/>
              <w:bottom w:val="nil"/>
              <w:right w:val="nil"/>
            </w:tcBorders>
            <w:vAlign w:val="bottom"/>
          </w:tcPr>
          <w:p w14:paraId="1378606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6910.30 </w:t>
            </w:r>
          </w:p>
        </w:tc>
      </w:tr>
      <w:tr w14:paraId="7D6B6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7AA0D2C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314900B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33123.41 </w:t>
            </w:r>
          </w:p>
        </w:tc>
        <w:tc>
          <w:tcPr>
            <w:tcW w:w="2518" w:type="dxa"/>
            <w:tcBorders>
              <w:top w:val="nil"/>
              <w:left w:val="nil"/>
              <w:bottom w:val="nil"/>
              <w:right w:val="nil"/>
            </w:tcBorders>
            <w:vAlign w:val="bottom"/>
          </w:tcPr>
          <w:p w14:paraId="2B0D9B3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6881.17 </w:t>
            </w:r>
          </w:p>
        </w:tc>
        <w:tc>
          <w:tcPr>
            <w:tcW w:w="2520" w:type="dxa"/>
            <w:tcBorders>
              <w:top w:val="nil"/>
              <w:left w:val="nil"/>
              <w:bottom w:val="nil"/>
              <w:right w:val="nil"/>
            </w:tcBorders>
            <w:vAlign w:val="bottom"/>
          </w:tcPr>
          <w:p w14:paraId="798DF74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40004.58 </w:t>
            </w:r>
          </w:p>
        </w:tc>
      </w:tr>
      <w:tr w14:paraId="68D8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1EAA8E8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73302BA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57701.08 </w:t>
            </w:r>
          </w:p>
        </w:tc>
        <w:tc>
          <w:tcPr>
            <w:tcW w:w="2518" w:type="dxa"/>
            <w:tcBorders>
              <w:top w:val="nil"/>
              <w:left w:val="nil"/>
              <w:bottom w:val="nil"/>
              <w:right w:val="nil"/>
            </w:tcBorders>
            <w:vAlign w:val="bottom"/>
          </w:tcPr>
          <w:p w14:paraId="365A0B9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16548.21 </w:t>
            </w:r>
          </w:p>
        </w:tc>
        <w:tc>
          <w:tcPr>
            <w:tcW w:w="2520" w:type="dxa"/>
            <w:tcBorders>
              <w:top w:val="nil"/>
              <w:left w:val="nil"/>
              <w:bottom w:val="nil"/>
              <w:right w:val="nil"/>
            </w:tcBorders>
            <w:vAlign w:val="bottom"/>
          </w:tcPr>
          <w:p w14:paraId="4D07DD7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74249.29 </w:t>
            </w:r>
          </w:p>
        </w:tc>
      </w:tr>
      <w:tr w14:paraId="4F1C8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3FC7715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715801B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41361.84 </w:t>
            </w:r>
          </w:p>
        </w:tc>
        <w:tc>
          <w:tcPr>
            <w:tcW w:w="2518" w:type="dxa"/>
            <w:tcBorders>
              <w:top w:val="nil"/>
              <w:left w:val="nil"/>
              <w:bottom w:val="single" w:color="auto" w:sz="12" w:space="0"/>
              <w:right w:val="nil"/>
            </w:tcBorders>
            <w:vAlign w:val="bottom"/>
          </w:tcPr>
          <w:p w14:paraId="6A01F05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19024.27 </w:t>
            </w:r>
          </w:p>
        </w:tc>
        <w:tc>
          <w:tcPr>
            <w:tcW w:w="2520" w:type="dxa"/>
            <w:tcBorders>
              <w:top w:val="nil"/>
              <w:left w:val="nil"/>
              <w:bottom w:val="single" w:color="auto" w:sz="12" w:space="0"/>
              <w:right w:val="nil"/>
            </w:tcBorders>
            <w:vAlign w:val="bottom"/>
          </w:tcPr>
          <w:p w14:paraId="2281275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60386.11 </w:t>
            </w:r>
          </w:p>
        </w:tc>
      </w:tr>
    </w:tbl>
    <w:p w14:paraId="5BABB66E">
      <w:pPr>
        <w:pStyle w:val="2"/>
        <w:rPr>
          <w:rFonts w:ascii="Times New Roman" w:hAnsi="Times New Roman" w:cs="Times New Roman"/>
        </w:rPr>
      </w:pPr>
    </w:p>
    <w:p w14:paraId="39FCCCBB">
      <w:pPr>
        <w:pStyle w:val="2"/>
        <w:rPr>
          <w:rFonts w:ascii="Times New Roman" w:hAnsi="Times New Roman" w:cs="Times New Roman"/>
        </w:rPr>
      </w:pPr>
      <w:r>
        <w:rPr>
          <w:rFonts w:ascii="Times New Roman" w:hAnsi="Times New Roman" w:cs="Times New Roman"/>
        </w:rPr>
        <w:t>Table S19. The electric vehicle transportation carbon footprint optimization results of oil under SA3</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033E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41F1D7D9">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0513AB37">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Interprovincial carbon footprint</w:t>
            </w:r>
          </w:p>
        </w:tc>
        <w:tc>
          <w:tcPr>
            <w:tcW w:w="2518" w:type="dxa"/>
            <w:tcBorders>
              <w:top w:val="single" w:color="auto" w:sz="12" w:space="0"/>
              <w:left w:val="nil"/>
              <w:bottom w:val="single" w:color="auto" w:sz="4" w:space="0"/>
              <w:right w:val="nil"/>
            </w:tcBorders>
          </w:tcPr>
          <w:p w14:paraId="23265D91">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Provincial carbon footprint</w:t>
            </w:r>
          </w:p>
        </w:tc>
        <w:tc>
          <w:tcPr>
            <w:tcW w:w="2520" w:type="dxa"/>
            <w:tcBorders>
              <w:top w:val="single" w:color="auto" w:sz="12" w:space="0"/>
              <w:left w:val="nil"/>
              <w:bottom w:val="single" w:color="auto" w:sz="4" w:space="0"/>
              <w:right w:val="nil"/>
            </w:tcBorders>
          </w:tcPr>
          <w:p w14:paraId="61C61D72">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Total carbon footprint</w:t>
            </w:r>
          </w:p>
        </w:tc>
      </w:tr>
      <w:tr w14:paraId="20C0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35D87C8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55CAB78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5804.14 </w:t>
            </w:r>
          </w:p>
        </w:tc>
        <w:tc>
          <w:tcPr>
            <w:tcW w:w="2518" w:type="dxa"/>
            <w:tcBorders>
              <w:top w:val="single" w:color="auto" w:sz="4" w:space="0"/>
              <w:left w:val="nil"/>
              <w:bottom w:val="nil"/>
              <w:right w:val="nil"/>
            </w:tcBorders>
            <w:vAlign w:val="bottom"/>
          </w:tcPr>
          <w:p w14:paraId="1C18ABD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2129.90 </w:t>
            </w:r>
          </w:p>
        </w:tc>
        <w:tc>
          <w:tcPr>
            <w:tcW w:w="2520" w:type="dxa"/>
            <w:tcBorders>
              <w:top w:val="single" w:color="auto" w:sz="4" w:space="0"/>
              <w:left w:val="nil"/>
              <w:bottom w:val="nil"/>
              <w:right w:val="nil"/>
            </w:tcBorders>
            <w:vAlign w:val="bottom"/>
          </w:tcPr>
          <w:p w14:paraId="5652736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7934.04 </w:t>
            </w:r>
          </w:p>
        </w:tc>
      </w:tr>
      <w:tr w14:paraId="372F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47C9B7F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6963381C">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27833.34 </w:t>
            </w:r>
          </w:p>
        </w:tc>
        <w:tc>
          <w:tcPr>
            <w:tcW w:w="2518" w:type="dxa"/>
            <w:tcBorders>
              <w:top w:val="nil"/>
              <w:left w:val="nil"/>
              <w:bottom w:val="nil"/>
              <w:right w:val="nil"/>
            </w:tcBorders>
            <w:vAlign w:val="bottom"/>
          </w:tcPr>
          <w:p w14:paraId="6DC2B0C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5287.34 </w:t>
            </w:r>
          </w:p>
        </w:tc>
        <w:tc>
          <w:tcPr>
            <w:tcW w:w="2520" w:type="dxa"/>
            <w:tcBorders>
              <w:top w:val="nil"/>
              <w:left w:val="nil"/>
              <w:bottom w:val="nil"/>
              <w:right w:val="nil"/>
            </w:tcBorders>
            <w:vAlign w:val="bottom"/>
          </w:tcPr>
          <w:p w14:paraId="423B563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33120.68 </w:t>
            </w:r>
          </w:p>
        </w:tc>
      </w:tr>
      <w:tr w14:paraId="546A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2819B25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3142C75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40511.33 </w:t>
            </w:r>
          </w:p>
        </w:tc>
        <w:tc>
          <w:tcPr>
            <w:tcW w:w="2518" w:type="dxa"/>
            <w:tcBorders>
              <w:top w:val="nil"/>
              <w:left w:val="nil"/>
              <w:bottom w:val="nil"/>
              <w:right w:val="nil"/>
            </w:tcBorders>
            <w:vAlign w:val="bottom"/>
          </w:tcPr>
          <w:p w14:paraId="5A18190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9226.42 </w:t>
            </w:r>
          </w:p>
        </w:tc>
        <w:tc>
          <w:tcPr>
            <w:tcW w:w="2520" w:type="dxa"/>
            <w:tcBorders>
              <w:top w:val="nil"/>
              <w:left w:val="nil"/>
              <w:bottom w:val="nil"/>
              <w:right w:val="nil"/>
            </w:tcBorders>
            <w:vAlign w:val="bottom"/>
          </w:tcPr>
          <w:p w14:paraId="1C21D3F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49737.75 </w:t>
            </w:r>
          </w:p>
        </w:tc>
      </w:tr>
      <w:tr w14:paraId="0ABD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2041B3D7">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34B3308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29373.49 </w:t>
            </w:r>
          </w:p>
        </w:tc>
        <w:tc>
          <w:tcPr>
            <w:tcW w:w="2518" w:type="dxa"/>
            <w:tcBorders>
              <w:top w:val="nil"/>
              <w:left w:val="nil"/>
              <w:bottom w:val="single" w:color="auto" w:sz="12" w:space="0"/>
              <w:right w:val="nil"/>
            </w:tcBorders>
            <w:vAlign w:val="bottom"/>
          </w:tcPr>
          <w:p w14:paraId="0FFDB5B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11338.61 </w:t>
            </w:r>
          </w:p>
        </w:tc>
        <w:tc>
          <w:tcPr>
            <w:tcW w:w="2520" w:type="dxa"/>
            <w:tcBorders>
              <w:top w:val="nil"/>
              <w:left w:val="nil"/>
              <w:bottom w:val="single" w:color="auto" w:sz="12" w:space="0"/>
              <w:right w:val="nil"/>
            </w:tcBorders>
            <w:vAlign w:val="bottom"/>
          </w:tcPr>
          <w:p w14:paraId="1826DEC6">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 xml:space="preserve">40712.10 </w:t>
            </w:r>
          </w:p>
        </w:tc>
      </w:tr>
    </w:tbl>
    <w:p w14:paraId="18903E82">
      <w:pPr>
        <w:spacing w:line="480" w:lineRule="auto"/>
        <w:ind w:firstLine="240" w:firstLineChars="100"/>
        <w:rPr>
          <w:rFonts w:ascii="Times New Roman" w:hAnsi="Times New Roman" w:cs="Times New Roman"/>
          <w:kern w:val="0"/>
          <w:sz w:val="24"/>
        </w:rPr>
      </w:pPr>
      <w:r>
        <w:rPr>
          <w:rFonts w:hint="eastAsia" w:ascii="Times New Roman" w:hAnsi="Times New Roman" w:cs="Times New Roman"/>
          <w:kern w:val="0"/>
          <w:sz w:val="24"/>
        </w:rPr>
        <w:t>Regard of the optimal condition, we calculated other environmental impacts of NaCl and oil transportation under the best scenario-SA1. The results are shown below:</w:t>
      </w:r>
    </w:p>
    <w:p w14:paraId="0AE86152">
      <w:pPr>
        <w:pStyle w:val="2"/>
        <w:rPr>
          <w:rFonts w:ascii="Times New Roman" w:hAnsi="Times New Roman" w:cs="Times New Roman"/>
        </w:rPr>
      </w:pPr>
      <w:r>
        <w:rPr>
          <w:rFonts w:ascii="Times New Roman" w:hAnsi="Times New Roman" w:cs="Times New Roman"/>
        </w:rPr>
        <w:t>Table S</w:t>
      </w:r>
      <w:r>
        <w:rPr>
          <w:rFonts w:hint="eastAsia" w:ascii="Times New Roman" w:hAnsi="Times New Roman" w:cs="Times New Roman"/>
        </w:rPr>
        <w:t>20</w:t>
      </w:r>
      <w:r>
        <w:rPr>
          <w:rFonts w:ascii="Times New Roman" w:hAnsi="Times New Roman" w:cs="Times New Roman"/>
        </w:rPr>
        <w:t>. The fossil-fueled vehicle transportation carbon footprint optimization results of NaCl</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54376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523C2EC2">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5337AF48">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E</w:t>
            </w:r>
            <w:r>
              <w:rPr>
                <w:rFonts w:ascii="Times New Roman" w:hAnsi="Times New Roman" w:cs="Times New Roman"/>
                <w:kern w:val="0"/>
                <w:sz w:val="24"/>
              </w:rPr>
              <w:t>cosystem quality</w:t>
            </w:r>
            <w:r>
              <w:rPr>
                <w:rFonts w:hint="eastAsia" w:ascii="Times New Roman" w:hAnsi="Times New Roman" w:cs="Times New Roman"/>
                <w:kern w:val="0"/>
                <w:sz w:val="24"/>
              </w:rPr>
              <w:t>(MT*spec</w:t>
            </w:r>
            <w:r>
              <w:rPr>
                <w:rFonts w:hint="eastAsia" w:ascii="Times New Roman" w:hAnsi="Times New Roman" w:cs="Times New Roman"/>
                <w:kern w:val="0"/>
                <w:sz w:val="24"/>
                <w:lang w:val="en-US" w:eastAsia="zh-CN"/>
              </w:rPr>
              <w:t>i</w:t>
            </w:r>
            <w:r>
              <w:rPr>
                <w:rFonts w:hint="eastAsia" w:ascii="Times New Roman" w:hAnsi="Times New Roman" w:cs="Times New Roman"/>
                <w:kern w:val="0"/>
                <w:sz w:val="24"/>
              </w:rPr>
              <w:t>e.yr)_</w:t>
            </w:r>
          </w:p>
        </w:tc>
        <w:tc>
          <w:tcPr>
            <w:tcW w:w="2518" w:type="dxa"/>
            <w:tcBorders>
              <w:top w:val="single" w:color="auto" w:sz="12" w:space="0"/>
              <w:left w:val="nil"/>
              <w:bottom w:val="single" w:color="auto" w:sz="4" w:space="0"/>
              <w:right w:val="nil"/>
            </w:tcBorders>
          </w:tcPr>
          <w:p w14:paraId="50012E33">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H</w:t>
            </w:r>
            <w:r>
              <w:rPr>
                <w:rFonts w:ascii="Times New Roman" w:hAnsi="Times New Roman" w:cs="Times New Roman"/>
                <w:kern w:val="0"/>
                <w:sz w:val="24"/>
              </w:rPr>
              <w:t>uman health</w:t>
            </w:r>
            <w:r>
              <w:rPr>
                <w:rFonts w:hint="eastAsia" w:ascii="Times New Roman" w:hAnsi="Times New Roman" w:cs="Times New Roman"/>
                <w:kern w:val="0"/>
                <w:sz w:val="24"/>
              </w:rPr>
              <w:t>(MT*DALY)</w:t>
            </w:r>
          </w:p>
        </w:tc>
        <w:tc>
          <w:tcPr>
            <w:tcW w:w="2520" w:type="dxa"/>
            <w:tcBorders>
              <w:top w:val="single" w:color="auto" w:sz="12" w:space="0"/>
              <w:left w:val="nil"/>
              <w:bottom w:val="single" w:color="auto" w:sz="4" w:space="0"/>
              <w:right w:val="nil"/>
            </w:tcBorders>
          </w:tcPr>
          <w:p w14:paraId="35F7C7D9">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Resource depletion(MT*USD)</w:t>
            </w:r>
          </w:p>
        </w:tc>
      </w:tr>
      <w:tr w14:paraId="4375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75A65D7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64707FC4">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0.046</w:t>
            </w:r>
          </w:p>
        </w:tc>
        <w:tc>
          <w:tcPr>
            <w:tcW w:w="2518" w:type="dxa"/>
            <w:tcBorders>
              <w:top w:val="single" w:color="auto" w:sz="4" w:space="0"/>
              <w:left w:val="nil"/>
              <w:bottom w:val="nil"/>
              <w:right w:val="nil"/>
            </w:tcBorders>
            <w:vAlign w:val="bottom"/>
          </w:tcPr>
          <w:p w14:paraId="74D6AC30">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19.99</w:t>
            </w:r>
          </w:p>
        </w:tc>
        <w:tc>
          <w:tcPr>
            <w:tcW w:w="2520" w:type="dxa"/>
            <w:tcBorders>
              <w:top w:val="single" w:color="auto" w:sz="4" w:space="0"/>
              <w:left w:val="nil"/>
              <w:bottom w:val="nil"/>
              <w:right w:val="nil"/>
            </w:tcBorders>
            <w:vAlign w:val="bottom"/>
          </w:tcPr>
          <w:p w14:paraId="7094E771">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1960943.52</w:t>
            </w:r>
          </w:p>
        </w:tc>
      </w:tr>
      <w:tr w14:paraId="4EE5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119797B4">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7C347B1A">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0.26</w:t>
            </w:r>
          </w:p>
        </w:tc>
        <w:tc>
          <w:tcPr>
            <w:tcW w:w="2518" w:type="dxa"/>
            <w:tcBorders>
              <w:top w:val="nil"/>
              <w:left w:val="nil"/>
              <w:bottom w:val="nil"/>
              <w:right w:val="nil"/>
            </w:tcBorders>
            <w:vAlign w:val="bottom"/>
          </w:tcPr>
          <w:p w14:paraId="7B60F54A">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153.44</w:t>
            </w:r>
          </w:p>
        </w:tc>
        <w:tc>
          <w:tcPr>
            <w:tcW w:w="2520" w:type="dxa"/>
            <w:tcBorders>
              <w:top w:val="nil"/>
              <w:left w:val="nil"/>
              <w:bottom w:val="nil"/>
              <w:right w:val="nil"/>
            </w:tcBorders>
            <w:vAlign w:val="bottom"/>
          </w:tcPr>
          <w:p w14:paraId="40F6C299">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15239855.63</w:t>
            </w:r>
          </w:p>
        </w:tc>
      </w:tr>
      <w:tr w14:paraId="1D10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146A6B92">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60DE4F82">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0.59</w:t>
            </w:r>
          </w:p>
        </w:tc>
        <w:tc>
          <w:tcPr>
            <w:tcW w:w="2518" w:type="dxa"/>
            <w:tcBorders>
              <w:top w:val="nil"/>
              <w:left w:val="nil"/>
              <w:bottom w:val="nil"/>
              <w:right w:val="nil"/>
            </w:tcBorders>
            <w:vAlign w:val="bottom"/>
          </w:tcPr>
          <w:p w14:paraId="78ADA3D6">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339.26</w:t>
            </w:r>
          </w:p>
        </w:tc>
        <w:tc>
          <w:tcPr>
            <w:tcW w:w="2520" w:type="dxa"/>
            <w:tcBorders>
              <w:top w:val="nil"/>
              <w:left w:val="nil"/>
              <w:bottom w:val="nil"/>
              <w:right w:val="nil"/>
            </w:tcBorders>
            <w:vAlign w:val="bottom"/>
          </w:tcPr>
          <w:p w14:paraId="16E8AAE7">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33825879.35</w:t>
            </w:r>
          </w:p>
        </w:tc>
      </w:tr>
      <w:tr w14:paraId="5334B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0B35455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42E4DB95">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1.01</w:t>
            </w:r>
          </w:p>
        </w:tc>
        <w:tc>
          <w:tcPr>
            <w:tcW w:w="2518" w:type="dxa"/>
            <w:tcBorders>
              <w:top w:val="nil"/>
              <w:left w:val="nil"/>
              <w:bottom w:val="single" w:color="auto" w:sz="12" w:space="0"/>
              <w:right w:val="nil"/>
            </w:tcBorders>
            <w:vAlign w:val="bottom"/>
          </w:tcPr>
          <w:p w14:paraId="7EA3423F">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597.13</w:t>
            </w:r>
          </w:p>
        </w:tc>
        <w:tc>
          <w:tcPr>
            <w:tcW w:w="2520" w:type="dxa"/>
            <w:tcBorders>
              <w:top w:val="nil"/>
              <w:left w:val="nil"/>
              <w:bottom w:val="single" w:color="auto" w:sz="12" w:space="0"/>
              <w:right w:val="nil"/>
            </w:tcBorders>
            <w:vAlign w:val="bottom"/>
          </w:tcPr>
          <w:p w14:paraId="5D8B0701">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59538304.24</w:t>
            </w:r>
          </w:p>
        </w:tc>
      </w:tr>
    </w:tbl>
    <w:p w14:paraId="23FA5057">
      <w:pPr>
        <w:pStyle w:val="2"/>
        <w:rPr>
          <w:rFonts w:ascii="Times New Roman" w:hAnsi="Times New Roman" w:cs="Times New Roman"/>
        </w:rPr>
      </w:pPr>
    </w:p>
    <w:p w14:paraId="6A2016E8">
      <w:pPr>
        <w:pStyle w:val="2"/>
        <w:rPr>
          <w:rFonts w:ascii="Times New Roman" w:hAnsi="Times New Roman" w:cs="Times New Roman"/>
        </w:rPr>
      </w:pPr>
      <w:r>
        <w:rPr>
          <w:rFonts w:ascii="Times New Roman" w:hAnsi="Times New Roman" w:cs="Times New Roman"/>
        </w:rPr>
        <w:t>Table S</w:t>
      </w:r>
      <w:r>
        <w:rPr>
          <w:rFonts w:hint="eastAsia" w:ascii="Times New Roman" w:hAnsi="Times New Roman" w:cs="Times New Roman"/>
        </w:rPr>
        <w:t>21</w:t>
      </w:r>
      <w:r>
        <w:rPr>
          <w:rFonts w:ascii="Times New Roman" w:hAnsi="Times New Roman" w:cs="Times New Roman"/>
        </w:rPr>
        <w:t>. The electric vehicle transportation carbon footprint optimization results of NaCl under SA1</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1D56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4A539D7B">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6A3ABA4F">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E</w:t>
            </w:r>
            <w:r>
              <w:rPr>
                <w:rFonts w:ascii="Times New Roman" w:hAnsi="Times New Roman" w:cs="Times New Roman"/>
                <w:kern w:val="0"/>
                <w:sz w:val="24"/>
              </w:rPr>
              <w:t>cosystem quality</w:t>
            </w:r>
            <w:r>
              <w:rPr>
                <w:rFonts w:hint="eastAsia" w:ascii="Times New Roman" w:hAnsi="Times New Roman" w:cs="Times New Roman"/>
                <w:kern w:val="0"/>
                <w:sz w:val="24"/>
              </w:rPr>
              <w:t>(MT*spec</w:t>
            </w:r>
            <w:r>
              <w:rPr>
                <w:rFonts w:hint="eastAsia" w:ascii="Times New Roman" w:hAnsi="Times New Roman" w:cs="Times New Roman"/>
                <w:kern w:val="0"/>
                <w:sz w:val="24"/>
                <w:lang w:val="en-US" w:eastAsia="zh-CN"/>
              </w:rPr>
              <w:t>i</w:t>
            </w:r>
            <w:r>
              <w:rPr>
                <w:rFonts w:hint="eastAsia" w:ascii="Times New Roman" w:hAnsi="Times New Roman" w:cs="Times New Roman"/>
                <w:kern w:val="0"/>
                <w:sz w:val="24"/>
              </w:rPr>
              <w:t>e.yr)_</w:t>
            </w:r>
          </w:p>
        </w:tc>
        <w:tc>
          <w:tcPr>
            <w:tcW w:w="2518" w:type="dxa"/>
            <w:tcBorders>
              <w:top w:val="single" w:color="auto" w:sz="12" w:space="0"/>
              <w:left w:val="nil"/>
              <w:bottom w:val="single" w:color="auto" w:sz="4" w:space="0"/>
              <w:right w:val="nil"/>
            </w:tcBorders>
          </w:tcPr>
          <w:p w14:paraId="76FCE21F">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H</w:t>
            </w:r>
            <w:r>
              <w:rPr>
                <w:rFonts w:ascii="Times New Roman" w:hAnsi="Times New Roman" w:cs="Times New Roman"/>
                <w:kern w:val="0"/>
                <w:sz w:val="24"/>
              </w:rPr>
              <w:t>uman health</w:t>
            </w:r>
            <w:r>
              <w:rPr>
                <w:rFonts w:hint="eastAsia" w:ascii="Times New Roman" w:hAnsi="Times New Roman" w:cs="Times New Roman"/>
                <w:kern w:val="0"/>
                <w:sz w:val="24"/>
              </w:rPr>
              <w:t>(MT*DALY)</w:t>
            </w:r>
          </w:p>
        </w:tc>
        <w:tc>
          <w:tcPr>
            <w:tcW w:w="2520" w:type="dxa"/>
            <w:tcBorders>
              <w:top w:val="single" w:color="auto" w:sz="12" w:space="0"/>
              <w:left w:val="nil"/>
              <w:bottom w:val="single" w:color="auto" w:sz="4" w:space="0"/>
              <w:right w:val="nil"/>
            </w:tcBorders>
          </w:tcPr>
          <w:p w14:paraId="3BCBC5BD">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Resource depletion(MT*USD)</w:t>
            </w:r>
          </w:p>
        </w:tc>
      </w:tr>
      <w:tr w14:paraId="10432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3988DC08">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25F1CCC5">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0.050</w:t>
            </w:r>
          </w:p>
        </w:tc>
        <w:tc>
          <w:tcPr>
            <w:tcW w:w="2518" w:type="dxa"/>
            <w:tcBorders>
              <w:top w:val="single" w:color="auto" w:sz="4" w:space="0"/>
              <w:left w:val="nil"/>
              <w:bottom w:val="nil"/>
              <w:right w:val="nil"/>
            </w:tcBorders>
            <w:vAlign w:val="bottom"/>
          </w:tcPr>
          <w:p w14:paraId="0E0B7C83">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30.10</w:t>
            </w:r>
          </w:p>
        </w:tc>
        <w:tc>
          <w:tcPr>
            <w:tcW w:w="2520" w:type="dxa"/>
            <w:tcBorders>
              <w:top w:val="single" w:color="auto" w:sz="4" w:space="0"/>
              <w:left w:val="nil"/>
              <w:bottom w:val="nil"/>
              <w:right w:val="nil"/>
            </w:tcBorders>
            <w:vAlign w:val="bottom"/>
          </w:tcPr>
          <w:p w14:paraId="20746A38">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289587.03</w:t>
            </w:r>
          </w:p>
        </w:tc>
      </w:tr>
      <w:tr w14:paraId="695A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687D0E9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1BF0C5C3">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0.12</w:t>
            </w:r>
          </w:p>
        </w:tc>
        <w:tc>
          <w:tcPr>
            <w:tcW w:w="2518" w:type="dxa"/>
            <w:tcBorders>
              <w:top w:val="nil"/>
              <w:left w:val="nil"/>
              <w:bottom w:val="nil"/>
              <w:right w:val="nil"/>
            </w:tcBorders>
            <w:vAlign w:val="bottom"/>
          </w:tcPr>
          <w:p w14:paraId="3DCD6DD6">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84.08</w:t>
            </w:r>
          </w:p>
        </w:tc>
        <w:tc>
          <w:tcPr>
            <w:tcW w:w="2520" w:type="dxa"/>
            <w:tcBorders>
              <w:top w:val="nil"/>
              <w:left w:val="nil"/>
              <w:bottom w:val="nil"/>
              <w:right w:val="nil"/>
            </w:tcBorders>
            <w:vAlign w:val="bottom"/>
          </w:tcPr>
          <w:p w14:paraId="554C2853">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939758.95</w:t>
            </w:r>
          </w:p>
        </w:tc>
      </w:tr>
      <w:tr w14:paraId="733D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2E5A464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2C16CD09">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0.081</w:t>
            </w:r>
          </w:p>
        </w:tc>
        <w:tc>
          <w:tcPr>
            <w:tcW w:w="2518" w:type="dxa"/>
            <w:tcBorders>
              <w:top w:val="nil"/>
              <w:left w:val="nil"/>
              <w:bottom w:val="nil"/>
              <w:right w:val="nil"/>
            </w:tcBorders>
            <w:vAlign w:val="bottom"/>
          </w:tcPr>
          <w:p w14:paraId="4D2AF5F0">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85.57</w:t>
            </w:r>
          </w:p>
        </w:tc>
        <w:tc>
          <w:tcPr>
            <w:tcW w:w="2520" w:type="dxa"/>
            <w:tcBorders>
              <w:top w:val="nil"/>
              <w:left w:val="nil"/>
              <w:bottom w:val="nil"/>
              <w:right w:val="nil"/>
            </w:tcBorders>
            <w:vAlign w:val="bottom"/>
          </w:tcPr>
          <w:p w14:paraId="7B3FBBFC">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1340413.31</w:t>
            </w:r>
          </w:p>
        </w:tc>
      </w:tr>
      <w:tr w14:paraId="58751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47712B9E">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14C0B6DD">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0.14</w:t>
            </w:r>
          </w:p>
        </w:tc>
        <w:tc>
          <w:tcPr>
            <w:tcW w:w="2518" w:type="dxa"/>
            <w:tcBorders>
              <w:top w:val="nil"/>
              <w:left w:val="nil"/>
              <w:bottom w:val="single" w:color="auto" w:sz="12" w:space="0"/>
              <w:right w:val="nil"/>
            </w:tcBorders>
            <w:vAlign w:val="bottom"/>
          </w:tcPr>
          <w:p w14:paraId="137061B6">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150.23</w:t>
            </w:r>
          </w:p>
        </w:tc>
        <w:tc>
          <w:tcPr>
            <w:tcW w:w="2520" w:type="dxa"/>
            <w:tcBorders>
              <w:top w:val="nil"/>
              <w:left w:val="nil"/>
              <w:bottom w:val="single" w:color="auto" w:sz="12" w:space="0"/>
              <w:right w:val="nil"/>
            </w:tcBorders>
            <w:vAlign w:val="bottom"/>
          </w:tcPr>
          <w:p w14:paraId="4F3189E0">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2395448.03</w:t>
            </w:r>
          </w:p>
        </w:tc>
      </w:tr>
    </w:tbl>
    <w:p w14:paraId="04F63533">
      <w:pPr>
        <w:pStyle w:val="2"/>
        <w:rPr>
          <w:rFonts w:ascii="Times New Roman" w:hAnsi="Times New Roman" w:cs="Times New Roman"/>
        </w:rPr>
      </w:pPr>
    </w:p>
    <w:p w14:paraId="73D9A4FE">
      <w:pPr>
        <w:pStyle w:val="2"/>
        <w:rPr>
          <w:rFonts w:ascii="Times New Roman" w:hAnsi="Times New Roman" w:cs="Times New Roman"/>
        </w:rPr>
      </w:pPr>
      <w:r>
        <w:rPr>
          <w:rFonts w:ascii="Times New Roman" w:hAnsi="Times New Roman" w:cs="Times New Roman"/>
        </w:rPr>
        <w:t>Table S</w:t>
      </w:r>
      <w:r>
        <w:rPr>
          <w:rFonts w:hint="eastAsia" w:ascii="Times New Roman" w:hAnsi="Times New Roman" w:cs="Times New Roman"/>
        </w:rPr>
        <w:t>22</w:t>
      </w:r>
      <w:r>
        <w:rPr>
          <w:rFonts w:ascii="Times New Roman" w:hAnsi="Times New Roman" w:cs="Times New Roman"/>
        </w:rPr>
        <w:t>. The fossil-fueled vehicle transportation carbon footprint optimization results of oil</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346C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44A4968F">
            <w:pPr>
              <w:widowControl/>
              <w:jc w:val="center"/>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16D67922">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E</w:t>
            </w:r>
            <w:r>
              <w:rPr>
                <w:rFonts w:ascii="Times New Roman" w:hAnsi="Times New Roman" w:cs="Times New Roman"/>
                <w:kern w:val="0"/>
                <w:sz w:val="24"/>
              </w:rPr>
              <w:t>cosystem quality</w:t>
            </w:r>
            <w:r>
              <w:rPr>
                <w:rFonts w:hint="eastAsia" w:ascii="Times New Roman" w:hAnsi="Times New Roman" w:cs="Times New Roman"/>
                <w:kern w:val="0"/>
                <w:sz w:val="24"/>
              </w:rPr>
              <w:t>(MT*spec</w:t>
            </w:r>
            <w:r>
              <w:rPr>
                <w:rFonts w:hint="eastAsia" w:ascii="Times New Roman" w:hAnsi="Times New Roman" w:cs="Times New Roman"/>
                <w:kern w:val="0"/>
                <w:sz w:val="24"/>
                <w:lang w:val="en-US" w:eastAsia="zh-CN"/>
              </w:rPr>
              <w:t>i</w:t>
            </w:r>
            <w:r>
              <w:rPr>
                <w:rFonts w:hint="eastAsia" w:ascii="Times New Roman" w:hAnsi="Times New Roman" w:cs="Times New Roman"/>
                <w:kern w:val="0"/>
                <w:sz w:val="24"/>
              </w:rPr>
              <w:t>e.yr)_</w:t>
            </w:r>
          </w:p>
        </w:tc>
        <w:tc>
          <w:tcPr>
            <w:tcW w:w="2518" w:type="dxa"/>
            <w:tcBorders>
              <w:top w:val="single" w:color="auto" w:sz="12" w:space="0"/>
              <w:left w:val="nil"/>
              <w:bottom w:val="single" w:color="auto" w:sz="4" w:space="0"/>
              <w:right w:val="nil"/>
            </w:tcBorders>
          </w:tcPr>
          <w:p w14:paraId="3838EED5">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H</w:t>
            </w:r>
            <w:r>
              <w:rPr>
                <w:rFonts w:ascii="Times New Roman" w:hAnsi="Times New Roman" w:cs="Times New Roman"/>
                <w:kern w:val="0"/>
                <w:sz w:val="24"/>
              </w:rPr>
              <w:t>uman health</w:t>
            </w:r>
            <w:r>
              <w:rPr>
                <w:rFonts w:hint="eastAsia" w:ascii="Times New Roman" w:hAnsi="Times New Roman" w:cs="Times New Roman"/>
                <w:kern w:val="0"/>
                <w:sz w:val="24"/>
              </w:rPr>
              <w:t>(MT*DALY)</w:t>
            </w:r>
          </w:p>
        </w:tc>
        <w:tc>
          <w:tcPr>
            <w:tcW w:w="2520" w:type="dxa"/>
            <w:tcBorders>
              <w:top w:val="single" w:color="auto" w:sz="12" w:space="0"/>
              <w:left w:val="nil"/>
              <w:bottom w:val="single" w:color="auto" w:sz="4" w:space="0"/>
              <w:right w:val="nil"/>
            </w:tcBorders>
          </w:tcPr>
          <w:p w14:paraId="51D59304">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Resource depletion(MT*USD)</w:t>
            </w:r>
          </w:p>
        </w:tc>
      </w:tr>
      <w:tr w14:paraId="1AC28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5F8ACFC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61446006">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0.016</w:t>
            </w:r>
          </w:p>
        </w:tc>
        <w:tc>
          <w:tcPr>
            <w:tcW w:w="2518" w:type="dxa"/>
            <w:tcBorders>
              <w:top w:val="single" w:color="auto" w:sz="4" w:space="0"/>
              <w:left w:val="nil"/>
              <w:bottom w:val="nil"/>
              <w:right w:val="nil"/>
            </w:tcBorders>
            <w:vAlign w:val="bottom"/>
          </w:tcPr>
          <w:p w14:paraId="16BCA874">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6.79</w:t>
            </w:r>
          </w:p>
        </w:tc>
        <w:tc>
          <w:tcPr>
            <w:tcW w:w="2520" w:type="dxa"/>
            <w:tcBorders>
              <w:top w:val="single" w:color="auto" w:sz="4" w:space="0"/>
              <w:left w:val="nil"/>
              <w:bottom w:val="nil"/>
              <w:right w:val="nil"/>
            </w:tcBorders>
            <w:vAlign w:val="bottom"/>
          </w:tcPr>
          <w:p w14:paraId="30AB1FDF">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665517.97</w:t>
            </w:r>
          </w:p>
        </w:tc>
      </w:tr>
      <w:tr w14:paraId="74C8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528A22F1">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0D244578">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0.088</w:t>
            </w:r>
          </w:p>
        </w:tc>
        <w:tc>
          <w:tcPr>
            <w:tcW w:w="2518" w:type="dxa"/>
            <w:tcBorders>
              <w:top w:val="nil"/>
              <w:left w:val="nil"/>
              <w:bottom w:val="nil"/>
              <w:right w:val="nil"/>
            </w:tcBorders>
            <w:vAlign w:val="bottom"/>
          </w:tcPr>
          <w:p w14:paraId="0167AFAF">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52.08</w:t>
            </w:r>
          </w:p>
        </w:tc>
        <w:tc>
          <w:tcPr>
            <w:tcW w:w="2520" w:type="dxa"/>
            <w:tcBorders>
              <w:top w:val="nil"/>
              <w:left w:val="nil"/>
              <w:bottom w:val="nil"/>
              <w:right w:val="nil"/>
            </w:tcBorders>
            <w:vAlign w:val="bottom"/>
          </w:tcPr>
          <w:p w14:paraId="156CD747">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5172202.89</w:t>
            </w:r>
          </w:p>
        </w:tc>
      </w:tr>
      <w:tr w14:paraId="2CB5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79C9EF43">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4E347716">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0.20</w:t>
            </w:r>
          </w:p>
        </w:tc>
        <w:tc>
          <w:tcPr>
            <w:tcW w:w="2518" w:type="dxa"/>
            <w:tcBorders>
              <w:top w:val="nil"/>
              <w:left w:val="nil"/>
              <w:bottom w:val="nil"/>
              <w:right w:val="nil"/>
            </w:tcBorders>
            <w:vAlign w:val="bottom"/>
          </w:tcPr>
          <w:p w14:paraId="67D94D14">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115.14</w:t>
            </w:r>
          </w:p>
        </w:tc>
        <w:tc>
          <w:tcPr>
            <w:tcW w:w="2520" w:type="dxa"/>
            <w:tcBorders>
              <w:top w:val="nil"/>
              <w:left w:val="nil"/>
              <w:bottom w:val="nil"/>
              <w:right w:val="nil"/>
            </w:tcBorders>
            <w:vAlign w:val="bottom"/>
          </w:tcPr>
          <w:p w14:paraId="71D57BCB">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11480050.52</w:t>
            </w:r>
          </w:p>
        </w:tc>
      </w:tr>
      <w:tr w14:paraId="05FC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58E287ED">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6CF7250C">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0.34</w:t>
            </w:r>
          </w:p>
        </w:tc>
        <w:tc>
          <w:tcPr>
            <w:tcW w:w="2518" w:type="dxa"/>
            <w:tcBorders>
              <w:top w:val="nil"/>
              <w:left w:val="nil"/>
              <w:bottom w:val="single" w:color="auto" w:sz="12" w:space="0"/>
              <w:right w:val="nil"/>
            </w:tcBorders>
            <w:vAlign w:val="bottom"/>
          </w:tcPr>
          <w:p w14:paraId="75C78936">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202.66</w:t>
            </w:r>
          </w:p>
        </w:tc>
        <w:tc>
          <w:tcPr>
            <w:tcW w:w="2520" w:type="dxa"/>
            <w:tcBorders>
              <w:top w:val="nil"/>
              <w:left w:val="nil"/>
              <w:bottom w:val="single" w:color="auto" w:sz="12" w:space="0"/>
              <w:right w:val="nil"/>
            </w:tcBorders>
            <w:vAlign w:val="bottom"/>
          </w:tcPr>
          <w:p w14:paraId="503EEC0B">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20206503.68</w:t>
            </w:r>
          </w:p>
        </w:tc>
      </w:tr>
    </w:tbl>
    <w:p w14:paraId="2DC8C582">
      <w:pPr>
        <w:pStyle w:val="4"/>
        <w:widowControl/>
        <w:spacing w:beforeAutospacing="0" w:afterAutospacing="0"/>
        <w:rPr>
          <w:rFonts w:ascii="Times New Roman" w:hAnsi="Times New Roman"/>
          <w:sz w:val="20"/>
          <w:szCs w:val="20"/>
        </w:rPr>
      </w:pPr>
    </w:p>
    <w:p w14:paraId="1E98F1B9">
      <w:pPr>
        <w:pStyle w:val="4"/>
        <w:widowControl/>
        <w:spacing w:beforeAutospacing="0" w:afterAutospacing="0"/>
        <w:rPr>
          <w:rFonts w:ascii="Times New Roman" w:hAnsi="Times New Roman"/>
          <w:sz w:val="20"/>
          <w:szCs w:val="20"/>
        </w:rPr>
      </w:pPr>
      <w:r>
        <w:rPr>
          <w:rFonts w:ascii="Times New Roman" w:hAnsi="Times New Roman"/>
          <w:sz w:val="20"/>
          <w:szCs w:val="20"/>
        </w:rPr>
        <w:t>Table S</w:t>
      </w:r>
      <w:r>
        <w:rPr>
          <w:rFonts w:hint="eastAsia" w:ascii="Times New Roman" w:hAnsi="Times New Roman"/>
          <w:sz w:val="20"/>
          <w:szCs w:val="20"/>
        </w:rPr>
        <w:t>23</w:t>
      </w:r>
      <w:r>
        <w:rPr>
          <w:rFonts w:ascii="Times New Roman" w:hAnsi="Times New Roman"/>
          <w:sz w:val="20"/>
          <w:szCs w:val="20"/>
        </w:rPr>
        <w:t>. The electric vehicle transportation carbon footprint optimization results of oil under SA1</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518"/>
        <w:gridCol w:w="2518"/>
        <w:gridCol w:w="2520"/>
      </w:tblGrid>
      <w:tr w14:paraId="2293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12" w:space="0"/>
              <w:left w:val="nil"/>
              <w:bottom w:val="single" w:color="auto" w:sz="4" w:space="0"/>
              <w:right w:val="nil"/>
            </w:tcBorders>
          </w:tcPr>
          <w:p w14:paraId="08911C3B">
            <w:pPr>
              <w:widowControl/>
              <w:textAlignment w:val="top"/>
              <w:rPr>
                <w:rFonts w:ascii="Times New Roman" w:hAnsi="Times New Roman" w:cs="Times New Roman"/>
                <w:kern w:val="0"/>
                <w:sz w:val="24"/>
              </w:rPr>
            </w:pPr>
            <w:r>
              <w:rPr>
                <w:rFonts w:ascii="Times New Roman" w:hAnsi="Times New Roman" w:eastAsia="宋体" w:cs="Times New Roman"/>
                <w:b/>
                <w:bCs/>
                <w:color w:val="000000"/>
                <w:kern w:val="0"/>
                <w:sz w:val="22"/>
                <w:szCs w:val="22"/>
                <w:lang w:bidi="ar"/>
              </w:rPr>
              <w:t>Year</w:t>
            </w:r>
          </w:p>
        </w:tc>
        <w:tc>
          <w:tcPr>
            <w:tcW w:w="2518" w:type="dxa"/>
            <w:tcBorders>
              <w:top w:val="single" w:color="auto" w:sz="12" w:space="0"/>
              <w:left w:val="nil"/>
              <w:bottom w:val="single" w:color="auto" w:sz="4" w:space="0"/>
              <w:right w:val="nil"/>
            </w:tcBorders>
          </w:tcPr>
          <w:p w14:paraId="1FC99F9A">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E</w:t>
            </w:r>
            <w:r>
              <w:rPr>
                <w:rFonts w:ascii="Times New Roman" w:hAnsi="Times New Roman" w:cs="Times New Roman"/>
                <w:kern w:val="0"/>
                <w:sz w:val="24"/>
              </w:rPr>
              <w:t>cosystem quality</w:t>
            </w:r>
            <w:r>
              <w:rPr>
                <w:rFonts w:hint="eastAsia" w:ascii="Times New Roman" w:hAnsi="Times New Roman" w:cs="Times New Roman"/>
                <w:kern w:val="0"/>
                <w:sz w:val="24"/>
              </w:rPr>
              <w:t>(MT*spec</w:t>
            </w:r>
            <w:r>
              <w:rPr>
                <w:rFonts w:hint="eastAsia" w:ascii="Times New Roman" w:hAnsi="Times New Roman" w:cs="Times New Roman"/>
                <w:kern w:val="0"/>
                <w:sz w:val="24"/>
                <w:lang w:val="en-US" w:eastAsia="zh-CN"/>
              </w:rPr>
              <w:t>i</w:t>
            </w:r>
            <w:r>
              <w:rPr>
                <w:rFonts w:hint="eastAsia" w:ascii="Times New Roman" w:hAnsi="Times New Roman" w:cs="Times New Roman"/>
                <w:kern w:val="0"/>
                <w:sz w:val="24"/>
              </w:rPr>
              <w:t>e.yr)_</w:t>
            </w:r>
          </w:p>
        </w:tc>
        <w:tc>
          <w:tcPr>
            <w:tcW w:w="2518" w:type="dxa"/>
            <w:tcBorders>
              <w:top w:val="single" w:color="auto" w:sz="12" w:space="0"/>
              <w:left w:val="nil"/>
              <w:bottom w:val="single" w:color="auto" w:sz="4" w:space="0"/>
              <w:right w:val="nil"/>
            </w:tcBorders>
          </w:tcPr>
          <w:p w14:paraId="23F08BA9">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H</w:t>
            </w:r>
            <w:r>
              <w:rPr>
                <w:rFonts w:ascii="Times New Roman" w:hAnsi="Times New Roman" w:cs="Times New Roman"/>
                <w:kern w:val="0"/>
                <w:sz w:val="24"/>
              </w:rPr>
              <w:t>uman health</w:t>
            </w:r>
            <w:r>
              <w:rPr>
                <w:rFonts w:hint="eastAsia" w:ascii="Times New Roman" w:hAnsi="Times New Roman" w:cs="Times New Roman"/>
                <w:kern w:val="0"/>
                <w:sz w:val="24"/>
              </w:rPr>
              <w:t>(MT*DALY)</w:t>
            </w:r>
          </w:p>
        </w:tc>
        <w:tc>
          <w:tcPr>
            <w:tcW w:w="2520" w:type="dxa"/>
            <w:tcBorders>
              <w:top w:val="single" w:color="auto" w:sz="12" w:space="0"/>
              <w:left w:val="nil"/>
              <w:bottom w:val="single" w:color="auto" w:sz="4" w:space="0"/>
              <w:right w:val="nil"/>
            </w:tcBorders>
          </w:tcPr>
          <w:p w14:paraId="0BF5E2B2">
            <w:pPr>
              <w:widowControl/>
              <w:jc w:val="center"/>
              <w:textAlignment w:val="top"/>
              <w:rPr>
                <w:rFonts w:ascii="Times New Roman" w:hAnsi="Times New Roman" w:cs="Times New Roman"/>
                <w:kern w:val="0"/>
                <w:sz w:val="24"/>
              </w:rPr>
            </w:pPr>
            <w:r>
              <w:rPr>
                <w:rFonts w:hint="eastAsia" w:ascii="Times New Roman" w:hAnsi="Times New Roman" w:cs="Times New Roman"/>
                <w:kern w:val="0"/>
                <w:sz w:val="24"/>
              </w:rPr>
              <w:t>Resource depletion(MT*USD)</w:t>
            </w:r>
          </w:p>
        </w:tc>
      </w:tr>
      <w:tr w14:paraId="16A1F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single" w:color="auto" w:sz="4" w:space="0"/>
              <w:left w:val="nil"/>
              <w:bottom w:val="nil"/>
              <w:right w:val="nil"/>
            </w:tcBorders>
            <w:vAlign w:val="bottom"/>
          </w:tcPr>
          <w:p w14:paraId="060A9885">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2020</w:t>
            </w:r>
          </w:p>
        </w:tc>
        <w:tc>
          <w:tcPr>
            <w:tcW w:w="2518" w:type="dxa"/>
            <w:tcBorders>
              <w:top w:val="single" w:color="auto" w:sz="4" w:space="0"/>
              <w:left w:val="nil"/>
              <w:bottom w:val="nil"/>
              <w:right w:val="nil"/>
            </w:tcBorders>
            <w:vAlign w:val="bottom"/>
          </w:tcPr>
          <w:p w14:paraId="5A48451C">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0.018</w:t>
            </w:r>
          </w:p>
        </w:tc>
        <w:tc>
          <w:tcPr>
            <w:tcW w:w="2518" w:type="dxa"/>
            <w:tcBorders>
              <w:top w:val="single" w:color="auto" w:sz="4" w:space="0"/>
              <w:left w:val="nil"/>
              <w:bottom w:val="nil"/>
              <w:right w:val="nil"/>
            </w:tcBorders>
            <w:vAlign w:val="bottom"/>
          </w:tcPr>
          <w:p w14:paraId="49B66E55">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11.00</w:t>
            </w:r>
          </w:p>
        </w:tc>
        <w:tc>
          <w:tcPr>
            <w:tcW w:w="2520" w:type="dxa"/>
            <w:tcBorders>
              <w:top w:val="single" w:color="auto" w:sz="4" w:space="0"/>
              <w:left w:val="nil"/>
              <w:bottom w:val="nil"/>
              <w:right w:val="nil"/>
            </w:tcBorders>
            <w:vAlign w:val="bottom"/>
          </w:tcPr>
          <w:p w14:paraId="1AF7DCAE">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105872.81</w:t>
            </w:r>
          </w:p>
        </w:tc>
      </w:tr>
      <w:tr w14:paraId="69A0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399DA1D0">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2030</w:t>
            </w:r>
          </w:p>
        </w:tc>
        <w:tc>
          <w:tcPr>
            <w:tcW w:w="2518" w:type="dxa"/>
            <w:tcBorders>
              <w:top w:val="nil"/>
              <w:left w:val="nil"/>
              <w:bottom w:val="nil"/>
              <w:right w:val="nil"/>
            </w:tcBorders>
            <w:vAlign w:val="bottom"/>
          </w:tcPr>
          <w:p w14:paraId="43CE84AD">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0.044</w:t>
            </w:r>
          </w:p>
        </w:tc>
        <w:tc>
          <w:tcPr>
            <w:tcW w:w="2518" w:type="dxa"/>
            <w:tcBorders>
              <w:top w:val="nil"/>
              <w:left w:val="nil"/>
              <w:bottom w:val="nil"/>
              <w:right w:val="nil"/>
            </w:tcBorders>
            <w:vAlign w:val="bottom"/>
          </w:tcPr>
          <w:p w14:paraId="34DFA23B">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30.74</w:t>
            </w:r>
          </w:p>
        </w:tc>
        <w:tc>
          <w:tcPr>
            <w:tcW w:w="2520" w:type="dxa"/>
            <w:tcBorders>
              <w:top w:val="nil"/>
              <w:left w:val="nil"/>
              <w:bottom w:val="nil"/>
              <w:right w:val="nil"/>
            </w:tcBorders>
            <w:vAlign w:val="bottom"/>
          </w:tcPr>
          <w:p w14:paraId="2B7B11E1">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343575.18</w:t>
            </w:r>
          </w:p>
        </w:tc>
      </w:tr>
      <w:tr w14:paraId="0F5D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nil"/>
              <w:right w:val="nil"/>
            </w:tcBorders>
            <w:vAlign w:val="bottom"/>
          </w:tcPr>
          <w:p w14:paraId="71078CAA">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2040</w:t>
            </w:r>
          </w:p>
        </w:tc>
        <w:tc>
          <w:tcPr>
            <w:tcW w:w="2518" w:type="dxa"/>
            <w:tcBorders>
              <w:top w:val="nil"/>
              <w:left w:val="nil"/>
              <w:bottom w:val="nil"/>
              <w:right w:val="nil"/>
            </w:tcBorders>
            <w:vAlign w:val="bottom"/>
          </w:tcPr>
          <w:p w14:paraId="601AF5FA">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0.031</w:t>
            </w:r>
          </w:p>
        </w:tc>
        <w:tc>
          <w:tcPr>
            <w:tcW w:w="2518" w:type="dxa"/>
            <w:tcBorders>
              <w:top w:val="nil"/>
              <w:left w:val="nil"/>
              <w:bottom w:val="nil"/>
              <w:right w:val="nil"/>
            </w:tcBorders>
            <w:vAlign w:val="bottom"/>
          </w:tcPr>
          <w:p w14:paraId="204C0908">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31.28</w:t>
            </w:r>
          </w:p>
        </w:tc>
        <w:tc>
          <w:tcPr>
            <w:tcW w:w="2520" w:type="dxa"/>
            <w:tcBorders>
              <w:top w:val="nil"/>
              <w:left w:val="nil"/>
              <w:bottom w:val="nil"/>
              <w:right w:val="nil"/>
            </w:tcBorders>
            <w:vAlign w:val="bottom"/>
          </w:tcPr>
          <w:p w14:paraId="448CA0B2">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490054.13</w:t>
            </w:r>
          </w:p>
        </w:tc>
      </w:tr>
      <w:tr w14:paraId="6824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tcBorders>
              <w:top w:val="nil"/>
              <w:left w:val="nil"/>
              <w:bottom w:val="single" w:color="auto" w:sz="12" w:space="0"/>
              <w:right w:val="nil"/>
            </w:tcBorders>
            <w:vAlign w:val="bottom"/>
          </w:tcPr>
          <w:p w14:paraId="4A55AE79">
            <w:pPr>
              <w:widowControl/>
              <w:jc w:val="right"/>
              <w:textAlignment w:val="bottom"/>
              <w:rPr>
                <w:rFonts w:ascii="Times New Roman" w:hAnsi="Times New Roman" w:cs="Times New Roman"/>
                <w:kern w:val="0"/>
                <w:sz w:val="24"/>
              </w:rPr>
            </w:pPr>
            <w:r>
              <w:rPr>
                <w:rFonts w:ascii="Times New Roman" w:hAnsi="Times New Roman" w:eastAsia="宋体" w:cs="Times New Roman"/>
                <w:color w:val="000000"/>
                <w:kern w:val="0"/>
                <w:sz w:val="22"/>
                <w:szCs w:val="22"/>
                <w:lang w:bidi="ar"/>
              </w:rPr>
              <w:t>2050</w:t>
            </w:r>
          </w:p>
        </w:tc>
        <w:tc>
          <w:tcPr>
            <w:tcW w:w="2518" w:type="dxa"/>
            <w:tcBorders>
              <w:top w:val="nil"/>
              <w:left w:val="nil"/>
              <w:bottom w:val="single" w:color="auto" w:sz="12" w:space="0"/>
              <w:right w:val="nil"/>
            </w:tcBorders>
            <w:vAlign w:val="bottom"/>
          </w:tcPr>
          <w:p w14:paraId="1E6F2899">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0.051</w:t>
            </w:r>
          </w:p>
        </w:tc>
        <w:tc>
          <w:tcPr>
            <w:tcW w:w="2518" w:type="dxa"/>
            <w:tcBorders>
              <w:top w:val="nil"/>
              <w:left w:val="nil"/>
              <w:bottom w:val="single" w:color="auto" w:sz="12" w:space="0"/>
              <w:right w:val="nil"/>
            </w:tcBorders>
            <w:vAlign w:val="bottom"/>
          </w:tcPr>
          <w:p w14:paraId="733856AF">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54.92</w:t>
            </w:r>
          </w:p>
        </w:tc>
        <w:tc>
          <w:tcPr>
            <w:tcW w:w="2520" w:type="dxa"/>
            <w:tcBorders>
              <w:top w:val="nil"/>
              <w:left w:val="nil"/>
              <w:bottom w:val="single" w:color="auto" w:sz="12" w:space="0"/>
              <w:right w:val="nil"/>
            </w:tcBorders>
            <w:vAlign w:val="bottom"/>
          </w:tcPr>
          <w:p w14:paraId="486F50A4">
            <w:pPr>
              <w:widowControl/>
              <w:jc w:val="right"/>
              <w:textAlignment w:val="bottom"/>
              <w:rPr>
                <w:rFonts w:ascii="Times New Roman" w:hAnsi="Times New Roman" w:eastAsia="宋体" w:cs="Times New Roman"/>
                <w:color w:val="000000"/>
                <w:kern w:val="0"/>
                <w:sz w:val="22"/>
                <w:szCs w:val="22"/>
                <w:lang w:bidi="ar"/>
              </w:rPr>
            </w:pPr>
            <w:r>
              <w:rPr>
                <w:rFonts w:ascii="Times New Roman" w:hAnsi="Times New Roman" w:eastAsia="宋体" w:cs="Times New Roman"/>
                <w:color w:val="000000"/>
                <w:kern w:val="0"/>
                <w:sz w:val="22"/>
                <w:szCs w:val="22"/>
                <w:lang w:bidi="ar"/>
              </w:rPr>
              <w:t>875774.06</w:t>
            </w:r>
          </w:p>
        </w:tc>
      </w:tr>
    </w:tbl>
    <w:p w14:paraId="62E79482">
      <w:pPr>
        <w:spacing w:line="480" w:lineRule="auto"/>
        <w:ind w:firstLine="240" w:firstLineChars="100"/>
        <w:rPr>
          <w:rFonts w:ascii="Times New Roman" w:hAnsi="Times New Roman" w:cs="Times New Roman"/>
          <w:kern w:val="0"/>
          <w:sz w:val="24"/>
        </w:rPr>
      </w:pPr>
    </w:p>
    <w:p w14:paraId="23F3FD4A">
      <w:pPr>
        <w:spacing w:line="480" w:lineRule="auto"/>
        <w:ind w:firstLine="240" w:firstLineChars="100"/>
        <w:rPr>
          <w:rFonts w:ascii="Times New Roman" w:hAnsi="Times New Roman" w:cs="Times New Roman"/>
          <w:kern w:val="0"/>
          <w:sz w:val="24"/>
        </w:rPr>
      </w:pPr>
      <w:r>
        <w:rPr>
          <w:rFonts w:ascii="Times New Roman" w:hAnsi="Times New Roman" w:cs="Times New Roman"/>
          <w:kern w:val="0"/>
          <w:sz w:val="24"/>
        </w:rPr>
        <w:t>This model allows flexibility in production allocation, enabling the selection of optimal transportation and charging routes according to the differences in electricity emission factors in each location. The model optimizes logistics by adjusting transport routes, charging distribution, and production allocations across centers to achieve minimum carbon emissions.</w:t>
      </w:r>
      <w:r>
        <w:rPr>
          <w:rFonts w:ascii="Times New Roman" w:hAnsi="Times New Roman" w:cs="Times New Roman"/>
          <w:kern w:val="0"/>
          <w:sz w:val="24"/>
        </w:rPr>
        <w:br w:type="page"/>
      </w:r>
    </w:p>
    <w:p w14:paraId="4CCB852F">
      <w:pPr>
        <w:pStyle w:val="11"/>
        <w:bidi w:val="0"/>
        <w:ind w:left="720" w:hanging="720"/>
        <w:rPr>
          <w:rFonts w:hint="default" w:ascii="Times New Roman" w:hAnsi="Times New Roman" w:cs="Times New Roman" w:eastAsiaTheme="minorEastAsia"/>
          <w:kern w:val="2"/>
          <w:szCs w:val="24"/>
          <w:lang w:val="en-US" w:eastAsia="zh-CN" w:bidi="ar-SA"/>
        </w:rPr>
      </w:pPr>
      <w:bookmarkStart w:id="11" w:name="_GoBack"/>
      <w:r>
        <w:rPr>
          <w:rFonts w:hint="default" w:ascii="Times New Roman" w:hAnsi="Times New Roman" w:cs="Times New Roman"/>
          <w:kern w:val="0"/>
          <w:sz w:val="24"/>
        </w:rPr>
        <w:fldChar w:fldCharType="begin"/>
      </w:r>
      <w:r>
        <w:rPr>
          <w:rFonts w:hint="default" w:ascii="Times New Roman" w:hAnsi="Times New Roman" w:cs="Times New Roman"/>
          <w:kern w:val="0"/>
          <w:sz w:val="24"/>
        </w:rPr>
        <w:instrText xml:space="preserve"> ADDIN EN.REFLIST </w:instrText>
      </w:r>
      <w:r>
        <w:rPr>
          <w:rFonts w:hint="default" w:ascii="Times New Roman" w:hAnsi="Times New Roman" w:cs="Times New Roman"/>
          <w:kern w:val="0"/>
          <w:sz w:val="24"/>
        </w:rPr>
        <w:fldChar w:fldCharType="separate"/>
      </w:r>
      <w:r>
        <w:rPr>
          <w:rFonts w:hint="default" w:ascii="Times New Roman" w:hAnsi="Times New Roman" w:cs="Times New Roman" w:eastAsiaTheme="minorEastAsia"/>
          <w:kern w:val="2"/>
          <w:szCs w:val="24"/>
          <w:lang w:val="en-US" w:eastAsia="zh-CN" w:bidi="ar-SA"/>
        </w:rPr>
        <w:t>1.</w:t>
      </w:r>
      <w:r>
        <w:rPr>
          <w:rFonts w:hint="default" w:ascii="Times New Roman" w:hAnsi="Times New Roman" w:cs="Times New Roman" w:eastAsiaTheme="minorEastAsia"/>
          <w:kern w:val="2"/>
          <w:szCs w:val="24"/>
          <w:lang w:val="en-US" w:eastAsia="zh-CN" w:bidi="ar-SA"/>
        </w:rPr>
        <w:tab/>
        <w:t>Cudjoe</w:t>
      </w:r>
      <w:r>
        <w:rPr>
          <w:rFonts w:hint="default" w:ascii="Times New Roman" w:hAnsi="Times New Roman" w:cs="Times New Roman" w:eastAsiaTheme="minorEastAsia"/>
          <w:i/>
          <w:kern w:val="2"/>
          <w:szCs w:val="24"/>
          <w:lang w:val="en-US" w:eastAsia="zh-CN" w:bidi="ar-SA"/>
        </w:rPr>
        <w:t xml:space="preserve"> et al.</w:t>
      </w:r>
      <w:r>
        <w:rPr>
          <w:rFonts w:hint="default" w:ascii="Times New Roman" w:hAnsi="Times New Roman" w:cs="Times New Roman" w:eastAsiaTheme="minorEastAsia"/>
          <w:kern w:val="2"/>
          <w:szCs w:val="24"/>
          <w:lang w:val="en-US" w:eastAsia="zh-CN" w:bidi="ar-SA"/>
        </w:rPr>
        <w:t xml:space="preserve"> (2022) Plasma gasification versus incineration of plastic waste: Energy, economic and environmental analysis. </w:t>
      </w:r>
      <w:r>
        <w:rPr>
          <w:rFonts w:hint="default" w:ascii="Times New Roman" w:hAnsi="Times New Roman" w:cs="Times New Roman" w:eastAsiaTheme="minorEastAsia"/>
          <w:i/>
          <w:kern w:val="2"/>
          <w:szCs w:val="24"/>
          <w:lang w:val="en-US" w:eastAsia="zh-CN" w:bidi="ar-SA"/>
        </w:rPr>
        <w:t>Fuel Processing Technology</w:t>
      </w:r>
      <w:r>
        <w:rPr>
          <w:rFonts w:hint="default" w:ascii="Times New Roman" w:hAnsi="Times New Roman" w:cs="Times New Roman" w:eastAsiaTheme="minorEastAsia"/>
          <w:kern w:val="2"/>
          <w:szCs w:val="24"/>
          <w:lang w:val="en-US" w:eastAsia="zh-CN" w:bidi="ar-SA"/>
        </w:rPr>
        <w:t xml:space="preserve"> 237 107470.</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"https://doi.org/https://doi.org/10.1016/j.fuproc.2022.107470"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https://doi.org/https://doi.org/10.1016/j.fuproc.2022.107470</w:t>
      </w:r>
      <w:r>
        <w:rPr>
          <w:rFonts w:hint="default" w:ascii="Times New Roman" w:hAnsi="Times New Roman" w:cs="Times New Roman" w:eastAsiaTheme="minorEastAsia"/>
          <w:kern w:val="2"/>
          <w:szCs w:val="24"/>
          <w:lang w:val="en-US" w:eastAsia="zh-CN" w:bidi="ar-SA"/>
        </w:rPr>
        <w:fldChar w:fldCharType="end"/>
      </w:r>
    </w:p>
    <w:p w14:paraId="6B2FD9F7">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2.</w:t>
      </w:r>
      <w:r>
        <w:rPr>
          <w:rFonts w:hint="default" w:ascii="Times New Roman" w:hAnsi="Times New Roman" w:cs="Times New Roman" w:eastAsiaTheme="minorEastAsia"/>
          <w:kern w:val="2"/>
          <w:szCs w:val="24"/>
          <w:lang w:val="en-US" w:eastAsia="zh-CN" w:bidi="ar-SA"/>
        </w:rPr>
        <w:tab/>
        <w:t>Sun</w:t>
      </w:r>
      <w:r>
        <w:rPr>
          <w:rFonts w:hint="default" w:ascii="Times New Roman" w:hAnsi="Times New Roman" w:cs="Times New Roman" w:eastAsiaTheme="minorEastAsia"/>
          <w:i/>
          <w:kern w:val="2"/>
          <w:szCs w:val="24"/>
          <w:lang w:val="en-US" w:eastAsia="zh-CN" w:bidi="ar-SA"/>
        </w:rPr>
        <w:t xml:space="preserve"> et al.</w:t>
      </w:r>
      <w:r>
        <w:rPr>
          <w:rFonts w:hint="default" w:ascii="Times New Roman" w:hAnsi="Times New Roman" w:cs="Times New Roman" w:eastAsiaTheme="minorEastAsia"/>
          <w:kern w:val="2"/>
          <w:szCs w:val="24"/>
          <w:lang w:val="en-US" w:eastAsia="zh-CN" w:bidi="ar-SA"/>
        </w:rPr>
        <w:t xml:space="preserve"> (2003) Suppressing effect of CaCO3 on the dioxins emission from poly(vinyl chloride) (PVC) incineration. </w:t>
      </w:r>
      <w:r>
        <w:rPr>
          <w:rFonts w:hint="default" w:ascii="Times New Roman" w:hAnsi="Times New Roman" w:cs="Times New Roman" w:eastAsiaTheme="minorEastAsia"/>
          <w:i/>
          <w:kern w:val="2"/>
          <w:szCs w:val="24"/>
          <w:lang w:val="en-US" w:eastAsia="zh-CN" w:bidi="ar-SA"/>
        </w:rPr>
        <w:t>Polymer Degradation and Stability</w:t>
      </w:r>
      <w:r>
        <w:rPr>
          <w:rFonts w:hint="default" w:ascii="Times New Roman" w:hAnsi="Times New Roman" w:cs="Times New Roman" w:eastAsiaTheme="minorEastAsia"/>
          <w:kern w:val="2"/>
          <w:szCs w:val="24"/>
          <w:lang w:val="en-US" w:eastAsia="zh-CN" w:bidi="ar-SA"/>
        </w:rPr>
        <w:t xml:space="preserve"> 79 253-256.</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"https://doi.org/https://doi.org/10.1016/S0141-3910(02)00288-4"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https://doi.org/https://doi.org/10.1016/S0141-3910(02)00288-4</w:t>
      </w:r>
      <w:r>
        <w:rPr>
          <w:rFonts w:hint="default" w:ascii="Times New Roman" w:hAnsi="Times New Roman" w:cs="Times New Roman" w:eastAsiaTheme="minorEastAsia"/>
          <w:kern w:val="2"/>
          <w:szCs w:val="24"/>
          <w:lang w:val="en-US" w:eastAsia="zh-CN" w:bidi="ar-SA"/>
        </w:rPr>
        <w:fldChar w:fldCharType="end"/>
      </w:r>
    </w:p>
    <w:p w14:paraId="5DB61A31">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3.</w:t>
      </w:r>
      <w:r>
        <w:rPr>
          <w:rFonts w:hint="default" w:ascii="Times New Roman" w:hAnsi="Times New Roman" w:cs="Times New Roman" w:eastAsiaTheme="minorEastAsia"/>
          <w:kern w:val="2"/>
          <w:szCs w:val="24"/>
          <w:lang w:val="en-US" w:eastAsia="zh-CN" w:bidi="ar-SA"/>
        </w:rPr>
        <w:tab/>
        <w:t xml:space="preserve">Wang (2024) Doctor Zhejiang University. </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"https://doi.org/10.27461/d.cnki.gzjdx.2024.000024"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https://doi.org/10.27461/d.cnki.gzjdx.2024.000024</w:t>
      </w:r>
      <w:r>
        <w:rPr>
          <w:rFonts w:hint="default" w:ascii="Times New Roman" w:hAnsi="Times New Roman" w:cs="Times New Roman" w:eastAsiaTheme="minorEastAsia"/>
          <w:kern w:val="2"/>
          <w:szCs w:val="24"/>
          <w:lang w:val="en-US" w:eastAsia="zh-CN" w:bidi="ar-SA"/>
        </w:rPr>
        <w:fldChar w:fldCharType="end"/>
      </w:r>
      <w:r>
        <w:rPr>
          <w:rFonts w:hint="default" w:ascii="Times New Roman" w:hAnsi="Times New Roman" w:cs="Times New Roman" w:eastAsiaTheme="minorEastAsia"/>
          <w:kern w:val="2"/>
          <w:szCs w:val="24"/>
          <w:lang w:val="en-US" w:eastAsia="zh-CN" w:bidi="ar-SA"/>
        </w:rPr>
        <w:t>.</w:t>
      </w:r>
    </w:p>
    <w:p w14:paraId="62969151">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4.</w:t>
      </w:r>
      <w:r>
        <w:rPr>
          <w:rFonts w:hint="default" w:ascii="Times New Roman" w:hAnsi="Times New Roman" w:cs="Times New Roman" w:eastAsiaTheme="minorEastAsia"/>
          <w:kern w:val="2"/>
          <w:szCs w:val="24"/>
          <w:lang w:val="en-US" w:eastAsia="zh-CN" w:bidi="ar-SA"/>
        </w:rPr>
        <w:tab/>
        <w:t>China (2019).</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"https://www.codeofchina.com/standard/GB18485-2014XG1-2019.html"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https://www.codeofchina.com/standard/GB18485-2014XG1-2019.html</w:t>
      </w:r>
      <w:r>
        <w:rPr>
          <w:rFonts w:hint="default" w:ascii="Times New Roman" w:hAnsi="Times New Roman" w:cs="Times New Roman" w:eastAsiaTheme="minorEastAsia"/>
          <w:kern w:val="2"/>
          <w:szCs w:val="24"/>
          <w:lang w:val="en-US" w:eastAsia="zh-CN" w:bidi="ar-SA"/>
        </w:rPr>
        <w:fldChar w:fldCharType="end"/>
      </w:r>
      <w:r>
        <w:rPr>
          <w:rFonts w:hint="default" w:ascii="Times New Roman" w:hAnsi="Times New Roman" w:cs="Times New Roman" w:eastAsiaTheme="minorEastAsia"/>
          <w:kern w:val="2"/>
          <w:szCs w:val="24"/>
          <w:lang w:val="en-US" w:eastAsia="zh-CN" w:bidi="ar-SA"/>
        </w:rPr>
        <w:t>.</w:t>
      </w:r>
    </w:p>
    <w:p w14:paraId="51E2CCE4">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5.</w:t>
      </w:r>
      <w:r>
        <w:rPr>
          <w:rFonts w:hint="default" w:ascii="Times New Roman" w:hAnsi="Times New Roman" w:cs="Times New Roman" w:eastAsiaTheme="minorEastAsia"/>
          <w:kern w:val="2"/>
          <w:szCs w:val="24"/>
          <w:lang w:val="en-US" w:eastAsia="zh-CN" w:bidi="ar-SA"/>
        </w:rPr>
        <w:tab/>
        <w:t>Han</w:t>
      </w:r>
      <w:r>
        <w:rPr>
          <w:rFonts w:hint="default" w:ascii="Times New Roman" w:hAnsi="Times New Roman" w:cs="Times New Roman" w:eastAsiaTheme="minorEastAsia"/>
          <w:i/>
          <w:kern w:val="2"/>
          <w:szCs w:val="24"/>
          <w:lang w:val="en-US" w:eastAsia="zh-CN" w:bidi="ar-SA"/>
        </w:rPr>
        <w:t xml:space="preserve"> et al.</w:t>
      </w:r>
      <w:r>
        <w:rPr>
          <w:rFonts w:hint="default" w:ascii="Times New Roman" w:hAnsi="Times New Roman" w:cs="Times New Roman" w:eastAsiaTheme="minorEastAsia"/>
          <w:kern w:val="2"/>
          <w:szCs w:val="24"/>
          <w:lang w:val="en-US" w:eastAsia="zh-CN" w:bidi="ar-SA"/>
        </w:rPr>
        <w:t xml:space="preserve"> (2024) Carbon feasibility of terminating plastic waste leakage by landfill mining: A case study based on practical projects in China. </w:t>
      </w:r>
      <w:r>
        <w:rPr>
          <w:rFonts w:hint="default" w:ascii="Times New Roman" w:hAnsi="Times New Roman" w:cs="Times New Roman" w:eastAsiaTheme="minorEastAsia"/>
          <w:i/>
          <w:kern w:val="2"/>
          <w:szCs w:val="24"/>
          <w:lang w:val="en-US" w:eastAsia="zh-CN" w:bidi="ar-SA"/>
        </w:rPr>
        <w:t>Science of The Total Environment</w:t>
      </w:r>
      <w:r>
        <w:rPr>
          <w:rFonts w:hint="default" w:ascii="Times New Roman" w:hAnsi="Times New Roman" w:cs="Times New Roman" w:eastAsiaTheme="minorEastAsia"/>
          <w:kern w:val="2"/>
          <w:szCs w:val="24"/>
          <w:lang w:val="en-US" w:eastAsia="zh-CN" w:bidi="ar-SA"/>
        </w:rPr>
        <w:t xml:space="preserve"> 906 167461.</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"https://doi.org/https://doi.org/10.1016/j.scitotenv.2023.167461"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https://doi.org/https://doi.org/10.1016/j.scitotenv.2023.167461</w:t>
      </w:r>
      <w:r>
        <w:rPr>
          <w:rFonts w:hint="default" w:ascii="Times New Roman" w:hAnsi="Times New Roman" w:cs="Times New Roman" w:eastAsiaTheme="minorEastAsia"/>
          <w:kern w:val="2"/>
          <w:szCs w:val="24"/>
          <w:lang w:val="en-US" w:eastAsia="zh-CN" w:bidi="ar-SA"/>
        </w:rPr>
        <w:fldChar w:fldCharType="end"/>
      </w:r>
    </w:p>
    <w:p w14:paraId="28A7B603">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6.</w:t>
      </w:r>
      <w:r>
        <w:rPr>
          <w:rFonts w:hint="default" w:ascii="Times New Roman" w:hAnsi="Times New Roman" w:cs="Times New Roman" w:eastAsiaTheme="minorEastAsia"/>
          <w:kern w:val="2"/>
          <w:szCs w:val="24"/>
          <w:lang w:val="en-US" w:eastAsia="zh-CN" w:bidi="ar-SA"/>
        </w:rPr>
        <w:tab/>
        <w:t>Lu</w:t>
      </w:r>
      <w:r>
        <w:rPr>
          <w:rFonts w:hint="default" w:ascii="Times New Roman" w:hAnsi="Times New Roman" w:cs="Times New Roman" w:eastAsiaTheme="minorEastAsia"/>
          <w:i/>
          <w:kern w:val="2"/>
          <w:szCs w:val="24"/>
          <w:lang w:val="en-US" w:eastAsia="zh-CN" w:bidi="ar-SA"/>
        </w:rPr>
        <w:t xml:space="preserve"> et al.</w:t>
      </w:r>
      <w:r>
        <w:rPr>
          <w:rFonts w:hint="default" w:ascii="Times New Roman" w:hAnsi="Times New Roman" w:cs="Times New Roman" w:eastAsiaTheme="minorEastAsia"/>
          <w:kern w:val="2"/>
          <w:szCs w:val="24"/>
          <w:lang w:val="en-US" w:eastAsia="zh-CN" w:bidi="ar-SA"/>
        </w:rPr>
        <w:t xml:space="preserve"> (2020) Combined experiment, simulation, and Ex-ante LCA approach for sustainable Cl recovery from NaCl/ethylene glycol by electrodialysis. </w:t>
      </w:r>
      <w:r>
        <w:rPr>
          <w:rFonts w:hint="default" w:ascii="Times New Roman" w:hAnsi="Times New Roman" w:cs="Times New Roman" w:eastAsiaTheme="minorEastAsia"/>
          <w:i/>
          <w:kern w:val="2"/>
          <w:szCs w:val="24"/>
          <w:lang w:val="en-US" w:eastAsia="zh-CN" w:bidi="ar-SA"/>
        </w:rPr>
        <w:t>Industrial &amp; Engineering Chemistry Research</w:t>
      </w:r>
      <w:r>
        <w:rPr>
          <w:rFonts w:hint="default" w:ascii="Times New Roman" w:hAnsi="Times New Roman" w:cs="Times New Roman" w:eastAsiaTheme="minorEastAsia"/>
          <w:kern w:val="2"/>
          <w:szCs w:val="24"/>
          <w:lang w:val="en-US" w:eastAsia="zh-CN" w:bidi="ar-SA"/>
        </w:rPr>
        <w:t xml:space="preserve"> 59 20112-20122.</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"https://doi.org/10.1021/acs.iecr.0c03565"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https://doi.org/10.1021/acs.iecr.0c03565</w:t>
      </w:r>
      <w:r>
        <w:rPr>
          <w:rFonts w:hint="default" w:ascii="Times New Roman" w:hAnsi="Times New Roman" w:cs="Times New Roman" w:eastAsiaTheme="minorEastAsia"/>
          <w:kern w:val="2"/>
          <w:szCs w:val="24"/>
          <w:lang w:val="en-US" w:eastAsia="zh-CN" w:bidi="ar-SA"/>
        </w:rPr>
        <w:fldChar w:fldCharType="end"/>
      </w:r>
    </w:p>
    <w:p w14:paraId="251A7461">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7.</w:t>
      </w:r>
      <w:r>
        <w:rPr>
          <w:rFonts w:hint="default" w:ascii="Times New Roman" w:hAnsi="Times New Roman" w:cs="Times New Roman" w:eastAsiaTheme="minorEastAsia"/>
          <w:kern w:val="2"/>
          <w:szCs w:val="24"/>
          <w:lang w:val="en-US" w:eastAsia="zh-CN" w:bidi="ar-SA"/>
        </w:rPr>
        <w:tab/>
        <w:t>Tang</w:t>
      </w:r>
      <w:r>
        <w:rPr>
          <w:rFonts w:hint="default" w:ascii="Times New Roman" w:hAnsi="Times New Roman" w:cs="Times New Roman" w:eastAsiaTheme="minorEastAsia"/>
          <w:i/>
          <w:kern w:val="2"/>
          <w:szCs w:val="24"/>
          <w:lang w:val="en-US" w:eastAsia="zh-CN" w:bidi="ar-SA"/>
        </w:rPr>
        <w:t xml:space="preserve"> et al.</w:t>
      </w:r>
      <w:r>
        <w:rPr>
          <w:rFonts w:hint="default" w:ascii="Times New Roman" w:hAnsi="Times New Roman" w:cs="Times New Roman" w:eastAsiaTheme="minorEastAsia"/>
          <w:kern w:val="2"/>
          <w:szCs w:val="24"/>
          <w:lang w:val="en-US" w:eastAsia="zh-CN" w:bidi="ar-SA"/>
        </w:rPr>
        <w:t xml:space="preserve"> China’s Sustainable Energy Transition Path to Low-Carbon Renewable Infrastructure Manufacturing under Green Trade Barriers. </w:t>
      </w:r>
      <w:r>
        <w:rPr>
          <w:rFonts w:hint="default" w:ascii="Times New Roman" w:hAnsi="Times New Roman" w:cs="Times New Roman" w:eastAsiaTheme="minorEastAsia"/>
          <w:i/>
          <w:kern w:val="2"/>
          <w:szCs w:val="24"/>
          <w:lang w:val="en-US" w:eastAsia="zh-CN" w:bidi="ar-SA"/>
        </w:rPr>
        <w:t>Sustainability</w:t>
      </w:r>
      <w:r>
        <w:rPr>
          <w:rFonts w:hint="default" w:ascii="Times New Roman" w:hAnsi="Times New Roman" w:cs="Times New Roman" w:eastAsiaTheme="minorEastAsia"/>
          <w:kern w:val="2"/>
          <w:szCs w:val="24"/>
          <w:lang w:val="en-US" w:eastAsia="zh-CN" w:bidi="ar-SA"/>
        </w:rPr>
        <w:t>. 2024 (10.3390/su16083387).</w:t>
      </w:r>
    </w:p>
    <w:p w14:paraId="0AB2C62A">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8.</w:t>
      </w:r>
      <w:r>
        <w:rPr>
          <w:rFonts w:hint="default" w:ascii="Times New Roman" w:hAnsi="Times New Roman" w:cs="Times New Roman" w:eastAsiaTheme="minorEastAsia"/>
          <w:kern w:val="2"/>
          <w:szCs w:val="24"/>
          <w:lang w:val="en-US" w:eastAsia="zh-CN" w:bidi="ar-SA"/>
        </w:rPr>
        <w:tab/>
        <w:t xml:space="preserve">Bi (2023) Master Shandong University. </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"https://doi.org/10.27272/d.cnki.gshdu.2022.004196"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https://doi.org/10.27272/d.cnki.gshdu.2022.004196</w:t>
      </w:r>
      <w:r>
        <w:rPr>
          <w:rFonts w:hint="default" w:ascii="Times New Roman" w:hAnsi="Times New Roman" w:cs="Times New Roman" w:eastAsiaTheme="minorEastAsia"/>
          <w:kern w:val="2"/>
          <w:szCs w:val="24"/>
          <w:lang w:val="en-US" w:eastAsia="zh-CN" w:bidi="ar-SA"/>
        </w:rPr>
        <w:fldChar w:fldCharType="end"/>
      </w:r>
      <w:r>
        <w:rPr>
          <w:rFonts w:hint="default" w:ascii="Times New Roman" w:hAnsi="Times New Roman" w:cs="Times New Roman" w:eastAsiaTheme="minorEastAsia"/>
          <w:kern w:val="2"/>
          <w:szCs w:val="24"/>
          <w:lang w:val="en-US" w:eastAsia="zh-CN" w:bidi="ar-SA"/>
        </w:rPr>
        <w:t>.</w:t>
      </w:r>
    </w:p>
    <w:p w14:paraId="03311E42">
      <w:pPr>
        <w:pStyle w:val="11"/>
        <w:bidi w:val="0"/>
        <w:ind w:left="720" w:hanging="720"/>
        <w:rPr>
          <w:rFonts w:hint="default" w:ascii="Times New Roman" w:hAnsi="Times New Roman" w:cs="Times New Roman" w:eastAsiaTheme="minorEastAsia"/>
          <w:kern w:val="2"/>
          <w:szCs w:val="24"/>
          <w:lang w:val="en-US" w:eastAsia="zh-CN" w:bidi="ar-SA"/>
        </w:rPr>
      </w:pPr>
      <w:r>
        <w:rPr>
          <w:rFonts w:hint="default" w:ascii="Times New Roman" w:hAnsi="Times New Roman" w:cs="Times New Roman" w:eastAsiaTheme="minorEastAsia"/>
          <w:kern w:val="2"/>
          <w:szCs w:val="24"/>
          <w:lang w:val="en-US" w:eastAsia="zh-CN" w:bidi="ar-SA"/>
        </w:rPr>
        <w:t>9.</w:t>
      </w:r>
      <w:r>
        <w:rPr>
          <w:rFonts w:hint="default" w:ascii="Times New Roman" w:hAnsi="Times New Roman" w:cs="Times New Roman" w:eastAsiaTheme="minorEastAsia"/>
          <w:kern w:val="2"/>
          <w:szCs w:val="24"/>
          <w:lang w:val="en-US" w:eastAsia="zh-CN" w:bidi="ar-SA"/>
        </w:rPr>
        <w:tab/>
        <w:t>Lu</w:t>
      </w:r>
      <w:r>
        <w:rPr>
          <w:rFonts w:hint="default" w:ascii="Times New Roman" w:hAnsi="Times New Roman" w:cs="Times New Roman" w:eastAsiaTheme="minorEastAsia"/>
          <w:i/>
          <w:kern w:val="2"/>
          <w:szCs w:val="24"/>
          <w:lang w:val="en-US" w:eastAsia="zh-CN" w:bidi="ar-SA"/>
        </w:rPr>
        <w:t xml:space="preserve"> et al.</w:t>
      </w:r>
      <w:r>
        <w:rPr>
          <w:rFonts w:hint="default" w:ascii="Times New Roman" w:hAnsi="Times New Roman" w:cs="Times New Roman" w:eastAsiaTheme="minorEastAsia"/>
          <w:kern w:val="2"/>
          <w:szCs w:val="24"/>
          <w:lang w:val="en-US" w:eastAsia="zh-CN" w:bidi="ar-SA"/>
        </w:rPr>
        <w:t xml:space="preserve"> (2023) Emission reductions from heavy-duty freight electrification aided by smart fleet management. </w:t>
      </w:r>
      <w:r>
        <w:rPr>
          <w:rFonts w:hint="default" w:ascii="Times New Roman" w:hAnsi="Times New Roman" w:cs="Times New Roman" w:eastAsiaTheme="minorEastAsia"/>
          <w:i/>
          <w:kern w:val="2"/>
          <w:szCs w:val="24"/>
          <w:lang w:val="en-US" w:eastAsia="zh-CN" w:bidi="ar-SA"/>
        </w:rPr>
        <w:t>Transportation Research Part D: Transport and Environment</w:t>
      </w:r>
      <w:r>
        <w:rPr>
          <w:rFonts w:hint="default" w:ascii="Times New Roman" w:hAnsi="Times New Roman" w:cs="Times New Roman" w:eastAsiaTheme="minorEastAsia"/>
          <w:kern w:val="2"/>
          <w:szCs w:val="24"/>
          <w:lang w:val="en-US" w:eastAsia="zh-CN" w:bidi="ar-SA"/>
        </w:rPr>
        <w:t xml:space="preserve"> 121.</w:t>
      </w:r>
      <w:r>
        <w:rPr>
          <w:rFonts w:hint="default" w:ascii="Times New Roman" w:hAnsi="Times New Roman" w:cs="Times New Roman" w:eastAsiaTheme="minorEastAsia"/>
          <w:kern w:val="2"/>
          <w:szCs w:val="24"/>
          <w:lang w:val="en-US" w:eastAsia="zh-CN" w:bidi="ar-SA"/>
        </w:rPr>
        <w:fldChar w:fldCharType="begin"/>
      </w:r>
      <w:r>
        <w:rPr>
          <w:rFonts w:hint="default" w:ascii="Times New Roman" w:hAnsi="Times New Roman" w:cs="Times New Roman" w:eastAsiaTheme="minorEastAsia"/>
          <w:kern w:val="2"/>
          <w:szCs w:val="24"/>
          <w:lang w:val="en-US" w:eastAsia="zh-CN" w:bidi="ar-SA"/>
        </w:rPr>
        <w:instrText xml:space="preserve"> HYPERLINK "https://doi.org/10.1016/j.trd.2023.103846" </w:instrText>
      </w:r>
      <w:r>
        <w:rPr>
          <w:rFonts w:hint="default" w:ascii="Times New Roman" w:hAnsi="Times New Roman" w:cs="Times New Roman" w:eastAsiaTheme="minorEastAsia"/>
          <w:kern w:val="2"/>
          <w:szCs w:val="24"/>
          <w:lang w:val="en-US" w:eastAsia="zh-CN" w:bidi="ar-SA"/>
        </w:rPr>
        <w:fldChar w:fldCharType="separate"/>
      </w:r>
      <w:r>
        <w:rPr>
          <w:rStyle w:val="9"/>
          <w:rFonts w:hint="default" w:ascii="Times New Roman" w:hAnsi="Times New Roman" w:cs="Times New Roman" w:eastAsiaTheme="minorEastAsia"/>
          <w:kern w:val="2"/>
          <w:szCs w:val="24"/>
          <w:lang w:val="en-US" w:eastAsia="zh-CN" w:bidi="ar-SA"/>
        </w:rPr>
        <w:t>https://doi.org/10.1016/j.trd.2023.103846</w:t>
      </w:r>
      <w:r>
        <w:rPr>
          <w:rFonts w:hint="default" w:ascii="Times New Roman" w:hAnsi="Times New Roman" w:cs="Times New Roman" w:eastAsiaTheme="minorEastAsia"/>
          <w:kern w:val="2"/>
          <w:szCs w:val="24"/>
          <w:lang w:val="en-US" w:eastAsia="zh-CN" w:bidi="ar-SA"/>
        </w:rPr>
        <w:fldChar w:fldCharType="end"/>
      </w:r>
    </w:p>
    <w:p w14:paraId="5D266390">
      <w:pPr>
        <w:rPr>
          <w:rFonts w:hint="default" w:ascii="Times New Roman" w:hAnsi="Times New Roman" w:cs="Times New Roman"/>
          <w:kern w:val="0"/>
          <w:sz w:val="24"/>
        </w:rPr>
      </w:pPr>
      <w:r>
        <w:rPr>
          <w:rFonts w:hint="default" w:ascii="Times New Roman" w:hAnsi="Times New Roman" w:cs="Times New Roman"/>
          <w:kern w:val="0"/>
          <w:sz w:val="24"/>
        </w:rPr>
        <w:fldChar w:fldCharType="end"/>
      </w:r>
    </w:p>
    <w:bookmarkEnd w:id="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roman"/>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870406"/>
    <w:multiLevelType w:val="singleLevel"/>
    <w:tmpl w:val="95870406"/>
    <w:lvl w:ilvl="0" w:tentative="0">
      <w:start w:val="2"/>
      <w:numFmt w:val="decimal"/>
      <w:suff w:val="space"/>
      <w:lvlText w:val="%1."/>
      <w:lvlJc w:val="left"/>
    </w:lvl>
  </w:abstractNum>
  <w:abstractNum w:abstractNumId="1">
    <w:nsid w:val="0DF71167"/>
    <w:multiLevelType w:val="singleLevel"/>
    <w:tmpl w:val="0DF71167"/>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 w:name="EN.InstantFormat" w:val="&lt;ENInstantFormat&gt;&lt;Enabled&gt;1&lt;/Enabled&gt;&lt;ScanUnformatted&gt;1&lt;/ScanUnformatted&gt;&lt;ScanChanges&gt;1&lt;/ScanChanges&gt;&lt;Suspended&gt;0&lt;/Suspended&gt;&lt;/ENInstantFormat&gt;"/>
    <w:docVar w:name="EN.Layout" w:val="&lt;ENLayout&gt;&lt;Style&gt;CN&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0vx9dvem9p0duex9flv0fpn0a2tsfpe5dxp&quot;&gt;我的EndNote库-Converted&lt;record-ids&gt;&lt;item&gt;224&lt;/item&gt;&lt;item&gt;292&lt;/item&gt;&lt;item&gt;759&lt;/item&gt;&lt;item&gt;765&lt;/item&gt;&lt;item&gt;876&lt;/item&gt;&lt;item&gt;888&lt;/item&gt;&lt;item&gt;945&lt;/item&gt;&lt;item&gt;1018&lt;/item&gt;&lt;/record-ids&gt;&lt;/item&gt;&lt;/Libraries&gt;"/>
  </w:docVars>
  <w:rsids>
    <w:rsidRoot w:val="00F147CC"/>
    <w:rsid w:val="0039155C"/>
    <w:rsid w:val="00F147CC"/>
    <w:rsid w:val="01060E57"/>
    <w:rsid w:val="019F4E1A"/>
    <w:rsid w:val="06C31A24"/>
    <w:rsid w:val="06FC4D58"/>
    <w:rsid w:val="0840178F"/>
    <w:rsid w:val="094C60F5"/>
    <w:rsid w:val="10093105"/>
    <w:rsid w:val="10850AB9"/>
    <w:rsid w:val="13827826"/>
    <w:rsid w:val="14952D24"/>
    <w:rsid w:val="182936C4"/>
    <w:rsid w:val="1B822A70"/>
    <w:rsid w:val="1DD925F6"/>
    <w:rsid w:val="28E2729A"/>
    <w:rsid w:val="2A3F679E"/>
    <w:rsid w:val="2AC84191"/>
    <w:rsid w:val="2CFC6F1B"/>
    <w:rsid w:val="2ED85858"/>
    <w:rsid w:val="2FB10B9B"/>
    <w:rsid w:val="2FE57735"/>
    <w:rsid w:val="354006A6"/>
    <w:rsid w:val="39AF44F2"/>
    <w:rsid w:val="3C9B1B39"/>
    <w:rsid w:val="41A57F6B"/>
    <w:rsid w:val="48683D49"/>
    <w:rsid w:val="50F7174B"/>
    <w:rsid w:val="515234C3"/>
    <w:rsid w:val="5B1025CC"/>
    <w:rsid w:val="5B39349B"/>
    <w:rsid w:val="613B269A"/>
    <w:rsid w:val="64DA528E"/>
    <w:rsid w:val="6B6D5657"/>
    <w:rsid w:val="6BCE0EE1"/>
    <w:rsid w:val="6E402FA8"/>
    <w:rsid w:val="79E808D1"/>
    <w:rsid w:val="7A050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caption"/>
    <w:next w:val="1"/>
    <w:semiHidden/>
    <w:unhideWhenUsed/>
    <w:qFormat/>
    <w:uiPriority w:val="0"/>
    <w:pPr>
      <w:widowControl w:val="0"/>
      <w:jc w:val="both"/>
    </w:pPr>
    <w:rPr>
      <w:rFonts w:ascii="Arial" w:hAnsi="Arial" w:eastAsia="黑体" w:cstheme="minorBidi"/>
      <w:kern w:val="2"/>
      <w:szCs w:val="24"/>
      <w:lang w:val="en-US" w:eastAsia="zh-CN" w:bidi="ar-SA"/>
    </w:rPr>
  </w:style>
  <w:style w:type="paragraph" w:styleId="3">
    <w:name w:val="Balloon Text"/>
    <w:basedOn w:val="1"/>
    <w:link w:val="12"/>
    <w:qFormat/>
    <w:uiPriority w:val="0"/>
    <w:rPr>
      <w:rFonts w:ascii="Tahoma" w:hAnsi="Tahoma" w:cs="Tahoma"/>
      <w:sz w:val="16"/>
      <w:szCs w:val="16"/>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8">
    <w:name w:val="line number"/>
    <w:basedOn w:val="7"/>
    <w:qFormat/>
    <w:uiPriority w:val="0"/>
  </w:style>
  <w:style w:type="character" w:styleId="9">
    <w:name w:val="Hyperlink"/>
    <w:basedOn w:val="7"/>
    <w:qFormat/>
    <w:uiPriority w:val="0"/>
    <w:rPr>
      <w:color w:val="0000FF"/>
      <w:u w:val="single"/>
    </w:rPr>
  </w:style>
  <w:style w:type="paragraph" w:customStyle="1" w:styleId="10">
    <w:name w:val="EndNote Bibliography Title"/>
    <w:qFormat/>
    <w:uiPriority w:val="0"/>
    <w:pPr>
      <w:jc w:val="center"/>
    </w:pPr>
    <w:rPr>
      <w:rFonts w:ascii="Calibri" w:hAnsi="Calibri" w:cs="Calibri" w:eastAsiaTheme="minorEastAsia"/>
      <w:kern w:val="2"/>
      <w:szCs w:val="24"/>
      <w:lang w:val="en-US" w:eastAsia="zh-CN" w:bidi="ar-SA"/>
    </w:rPr>
  </w:style>
  <w:style w:type="paragraph" w:customStyle="1" w:styleId="11">
    <w:name w:val="EndNote Bibliography"/>
    <w:qFormat/>
    <w:uiPriority w:val="0"/>
    <w:pPr>
      <w:jc w:val="both"/>
    </w:pPr>
    <w:rPr>
      <w:rFonts w:ascii="Calibri" w:hAnsi="Calibri" w:cs="Calibri" w:eastAsiaTheme="minorEastAsia"/>
      <w:kern w:val="2"/>
      <w:szCs w:val="24"/>
      <w:lang w:val="en-US" w:eastAsia="zh-CN" w:bidi="ar-SA"/>
    </w:rPr>
  </w:style>
  <w:style w:type="character" w:customStyle="1" w:styleId="12">
    <w:name w:val="Balloon Text Char"/>
    <w:basedOn w:val="7"/>
    <w:link w:val="3"/>
    <w:uiPriority w:val="0"/>
    <w:rPr>
      <w:rFonts w:ascii="Tahoma" w:hAnsi="Tahoma" w:cs="Tahoma" w:eastAsiaTheme="minorEastAsia"/>
      <w:kern w:val="2"/>
      <w:sz w:val="16"/>
      <w:szCs w:val="16"/>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pn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35</Pages>
  <Words>1586</Words>
  <Characters>9047</Characters>
  <Lines>399</Lines>
  <Paragraphs>107</Paragraphs>
  <TotalTime>30</TotalTime>
  <ScaleCrop>false</ScaleCrop>
  <LinksUpToDate>false</LinksUpToDate>
  <CharactersWithSpaces>10363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2024-11-12T01:49:00Z</dcterms:created>
  <dc:creator>33589</dc:creator>
  <cp:lastModifiedBy>韩梦绮</cp:lastModifiedBy>
  <dcterms:modified xsi:type="dcterms:W3CDTF">2026-01-15T12:52:00Z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42C024DBDB63400892B2D501A28F7C96_12</vt:lpwstr>
  </property>
  <property fmtid="{D5CDD505-2E9C-101B-9397-08002B2CF9AE}" pid="4" name="KSOTemplateDocerSaveRecord">
    <vt:lpwstr>eyJoZGlkIjoiOTc3M2Y5NzIzMDFlZjAyY2Q4Njk5ODkyYjFjNzBiNTQiLCJ1c2VySWQiOiIzMjA0MTMzMzQifQ==</vt:lpwstr>
  </property>
</Properties>
</file>