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399F0" w14:textId="67F8BA81" w:rsidR="00A2310C" w:rsidRDefault="00A2310C" w:rsidP="00A2310C">
      <w:pPr>
        <w:jc w:val="both"/>
        <w:rPr>
          <w:rFonts w:asciiTheme="majorBidi" w:hAnsiTheme="majorBidi" w:cstheme="majorBidi"/>
          <w:sz w:val="24"/>
          <w:szCs w:val="24"/>
        </w:rPr>
      </w:pPr>
      <w:r>
        <w:rPr>
          <w:rFonts w:asciiTheme="majorBidi" w:hAnsiTheme="majorBidi" w:cstheme="majorBidi"/>
          <w:sz w:val="24"/>
          <w:szCs w:val="24"/>
        </w:rPr>
        <w:t xml:space="preserve">Table </w:t>
      </w:r>
      <w:r w:rsidR="00E25DDE">
        <w:rPr>
          <w:rFonts w:asciiTheme="majorBidi" w:hAnsiTheme="majorBidi" w:cstheme="majorBidi"/>
          <w:sz w:val="24"/>
          <w:szCs w:val="24"/>
        </w:rPr>
        <w:t>I</w:t>
      </w:r>
      <w:r>
        <w:rPr>
          <w:rFonts w:asciiTheme="majorBidi" w:hAnsiTheme="majorBidi" w:cstheme="majorBidi"/>
          <w:sz w:val="24"/>
          <w:szCs w:val="24"/>
        </w:rPr>
        <w:t>: Causes of Design Changes in Construction Projects</w:t>
      </w:r>
    </w:p>
    <w:tbl>
      <w:tblPr>
        <w:tblStyle w:val="TableGrid"/>
        <w:tblW w:w="0" w:type="auto"/>
        <w:tblLook w:val="04A0" w:firstRow="1" w:lastRow="0" w:firstColumn="1" w:lastColumn="0" w:noHBand="0" w:noVBand="1"/>
      </w:tblPr>
      <w:tblGrid>
        <w:gridCol w:w="1555"/>
        <w:gridCol w:w="3344"/>
        <w:gridCol w:w="4117"/>
      </w:tblGrid>
      <w:tr w:rsidR="00A2310C" w14:paraId="05F9BC28" w14:textId="77777777" w:rsidTr="00A2310C">
        <w:tc>
          <w:tcPr>
            <w:tcW w:w="1555" w:type="dxa"/>
            <w:shd w:val="clear" w:color="auto" w:fill="BFBFBF" w:themeFill="background1" w:themeFillShade="BF"/>
          </w:tcPr>
          <w:p w14:paraId="3355407D" w14:textId="143FC3C8" w:rsidR="00A2310C" w:rsidRPr="007632C5" w:rsidRDefault="000C4FDC" w:rsidP="0000642C">
            <w:pPr>
              <w:jc w:val="both"/>
              <w:rPr>
                <w:rFonts w:asciiTheme="majorBidi" w:hAnsiTheme="majorBidi" w:cstheme="majorBidi"/>
                <w:b/>
                <w:bCs/>
                <w:sz w:val="24"/>
                <w:szCs w:val="24"/>
              </w:rPr>
            </w:pPr>
            <w:r>
              <w:rPr>
                <w:rFonts w:asciiTheme="majorBidi" w:hAnsiTheme="majorBidi" w:cstheme="majorBidi"/>
                <w:b/>
                <w:bCs/>
                <w:sz w:val="24"/>
                <w:szCs w:val="24"/>
              </w:rPr>
              <w:t>Category</w:t>
            </w:r>
          </w:p>
        </w:tc>
        <w:tc>
          <w:tcPr>
            <w:tcW w:w="3344" w:type="dxa"/>
            <w:shd w:val="clear" w:color="auto" w:fill="BFBFBF" w:themeFill="background1" w:themeFillShade="BF"/>
          </w:tcPr>
          <w:p w14:paraId="6897CD01" w14:textId="77777777" w:rsidR="00A2310C" w:rsidRPr="007632C5" w:rsidRDefault="00A2310C" w:rsidP="0000642C">
            <w:pPr>
              <w:jc w:val="both"/>
              <w:rPr>
                <w:rFonts w:asciiTheme="majorBidi" w:hAnsiTheme="majorBidi" w:cstheme="majorBidi"/>
                <w:b/>
                <w:bCs/>
                <w:sz w:val="24"/>
                <w:szCs w:val="24"/>
              </w:rPr>
            </w:pPr>
            <w:r w:rsidRPr="007632C5">
              <w:rPr>
                <w:rFonts w:asciiTheme="majorBidi" w:hAnsiTheme="majorBidi" w:cstheme="majorBidi"/>
                <w:b/>
                <w:bCs/>
                <w:sz w:val="24"/>
                <w:szCs w:val="24"/>
              </w:rPr>
              <w:t>Cause of Design Change</w:t>
            </w:r>
          </w:p>
        </w:tc>
        <w:tc>
          <w:tcPr>
            <w:tcW w:w="0" w:type="auto"/>
            <w:shd w:val="clear" w:color="auto" w:fill="BFBFBF" w:themeFill="background1" w:themeFillShade="BF"/>
          </w:tcPr>
          <w:p w14:paraId="22A09826" w14:textId="77777777" w:rsidR="00A2310C" w:rsidRPr="007632C5" w:rsidRDefault="00A2310C" w:rsidP="0000642C">
            <w:pPr>
              <w:rPr>
                <w:rFonts w:asciiTheme="majorBidi" w:hAnsiTheme="majorBidi" w:cstheme="majorBidi"/>
                <w:b/>
                <w:bCs/>
                <w:sz w:val="24"/>
                <w:szCs w:val="24"/>
              </w:rPr>
            </w:pPr>
            <w:r w:rsidRPr="007632C5">
              <w:rPr>
                <w:rFonts w:asciiTheme="majorBidi" w:hAnsiTheme="majorBidi" w:cstheme="majorBidi"/>
                <w:b/>
                <w:bCs/>
                <w:sz w:val="24"/>
                <w:szCs w:val="24"/>
              </w:rPr>
              <w:t>Studies</w:t>
            </w:r>
          </w:p>
        </w:tc>
      </w:tr>
      <w:tr w:rsidR="00A2310C" w14:paraId="27404A82" w14:textId="77777777" w:rsidTr="0000642C">
        <w:tc>
          <w:tcPr>
            <w:tcW w:w="1555" w:type="dxa"/>
            <w:vMerge w:val="restart"/>
          </w:tcPr>
          <w:p w14:paraId="58B3EF8B" w14:textId="77777777" w:rsidR="00A2310C" w:rsidRPr="007632C5" w:rsidRDefault="00A2310C" w:rsidP="0000642C">
            <w:pPr>
              <w:jc w:val="both"/>
              <w:rPr>
                <w:rFonts w:asciiTheme="majorBidi" w:hAnsiTheme="majorBidi" w:cstheme="majorBidi"/>
                <w:b/>
                <w:bCs/>
                <w:sz w:val="24"/>
                <w:szCs w:val="24"/>
              </w:rPr>
            </w:pPr>
            <w:r w:rsidRPr="007632C5">
              <w:rPr>
                <w:rFonts w:asciiTheme="majorBidi" w:hAnsiTheme="majorBidi" w:cstheme="majorBidi"/>
                <w:b/>
                <w:bCs/>
                <w:sz w:val="24"/>
                <w:szCs w:val="24"/>
              </w:rPr>
              <w:t>Client</w:t>
            </w:r>
          </w:p>
        </w:tc>
        <w:tc>
          <w:tcPr>
            <w:tcW w:w="3344" w:type="dxa"/>
          </w:tcPr>
          <w:p w14:paraId="09F99D5D"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Requirement and Specification changes</w:t>
            </w:r>
          </w:p>
        </w:tc>
        <w:tc>
          <w:tcPr>
            <w:tcW w:w="0" w:type="auto"/>
          </w:tcPr>
          <w:p w14:paraId="4816A18C"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Do et al. (2023); Selcuk et al. (2022); Elhusseiny et al. (2021);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 </w:t>
            </w:r>
          </w:p>
        </w:tc>
      </w:tr>
      <w:tr w:rsidR="00A2310C" w14:paraId="68454369" w14:textId="77777777" w:rsidTr="0000642C">
        <w:tc>
          <w:tcPr>
            <w:tcW w:w="1555" w:type="dxa"/>
            <w:vMerge/>
          </w:tcPr>
          <w:p w14:paraId="68771E1D" w14:textId="77777777" w:rsidR="00A2310C" w:rsidRPr="007632C5" w:rsidRDefault="00A2310C" w:rsidP="0000642C">
            <w:pPr>
              <w:jc w:val="both"/>
              <w:rPr>
                <w:rFonts w:asciiTheme="majorBidi" w:hAnsiTheme="majorBidi" w:cstheme="majorBidi"/>
                <w:b/>
                <w:bCs/>
                <w:sz w:val="24"/>
                <w:szCs w:val="24"/>
              </w:rPr>
            </w:pPr>
          </w:p>
        </w:tc>
        <w:tc>
          <w:tcPr>
            <w:tcW w:w="3344" w:type="dxa"/>
          </w:tcPr>
          <w:p w14:paraId="3CCB23EA"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Value Engineering (e.g., cost savings)</w:t>
            </w:r>
          </w:p>
        </w:tc>
        <w:tc>
          <w:tcPr>
            <w:tcW w:w="0" w:type="auto"/>
          </w:tcPr>
          <w:p w14:paraId="582D98A1"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Gashaw and Jilcha (2023); Selcuk et al. (2022); Shen and Ying (2022); Soman et al. (2020)</w:t>
            </w:r>
          </w:p>
        </w:tc>
      </w:tr>
      <w:tr w:rsidR="00A2310C" w14:paraId="53D20168" w14:textId="77777777" w:rsidTr="0000642C">
        <w:tc>
          <w:tcPr>
            <w:tcW w:w="1555" w:type="dxa"/>
            <w:vMerge/>
          </w:tcPr>
          <w:p w14:paraId="4437F4B4" w14:textId="77777777" w:rsidR="00A2310C" w:rsidRPr="007632C5" w:rsidRDefault="00A2310C" w:rsidP="0000642C">
            <w:pPr>
              <w:jc w:val="both"/>
              <w:rPr>
                <w:rFonts w:asciiTheme="majorBidi" w:hAnsiTheme="majorBidi" w:cstheme="majorBidi"/>
                <w:b/>
                <w:bCs/>
                <w:sz w:val="24"/>
                <w:szCs w:val="24"/>
              </w:rPr>
            </w:pPr>
          </w:p>
        </w:tc>
        <w:tc>
          <w:tcPr>
            <w:tcW w:w="3344" w:type="dxa"/>
          </w:tcPr>
          <w:p w14:paraId="31B363E6"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Vagueness of the client brief</w:t>
            </w:r>
          </w:p>
        </w:tc>
        <w:tc>
          <w:tcPr>
            <w:tcW w:w="0" w:type="auto"/>
          </w:tcPr>
          <w:p w14:paraId="4A0C4579" w14:textId="77777777" w:rsidR="00A2310C" w:rsidRDefault="00A2310C" w:rsidP="0000642C">
            <w:pPr>
              <w:rPr>
                <w:rFonts w:asciiTheme="majorBidi" w:hAnsiTheme="majorBidi" w:cstheme="majorBidi"/>
                <w:sz w:val="24"/>
                <w:szCs w:val="24"/>
              </w:rPr>
            </w:pPr>
            <w:r w:rsidRPr="00864495">
              <w:rPr>
                <w:rFonts w:asciiTheme="majorBidi" w:hAnsiTheme="majorBidi" w:cstheme="majorBidi"/>
                <w:sz w:val="24"/>
                <w:szCs w:val="24"/>
                <w:lang w:val="pt-BR"/>
              </w:rPr>
              <w:t xml:space="preserve">Do et al. (2023); Sanni-Anibire et al. </w:t>
            </w:r>
            <w:r>
              <w:rPr>
                <w:rFonts w:asciiTheme="majorBidi" w:hAnsiTheme="majorBidi" w:cstheme="majorBidi"/>
                <w:sz w:val="24"/>
                <w:szCs w:val="24"/>
              </w:rPr>
              <w:t>(2020); Chen et al. (2020);</w:t>
            </w:r>
          </w:p>
        </w:tc>
      </w:tr>
      <w:tr w:rsidR="00A2310C" w14:paraId="41F6F528" w14:textId="77777777" w:rsidTr="0000642C">
        <w:tc>
          <w:tcPr>
            <w:tcW w:w="1555" w:type="dxa"/>
            <w:vMerge/>
          </w:tcPr>
          <w:p w14:paraId="3A8CD370" w14:textId="77777777" w:rsidR="00A2310C" w:rsidRPr="007632C5" w:rsidRDefault="00A2310C" w:rsidP="0000642C">
            <w:pPr>
              <w:jc w:val="both"/>
              <w:rPr>
                <w:rFonts w:asciiTheme="majorBidi" w:hAnsiTheme="majorBidi" w:cstheme="majorBidi"/>
                <w:b/>
                <w:bCs/>
                <w:sz w:val="24"/>
                <w:szCs w:val="24"/>
              </w:rPr>
            </w:pPr>
          </w:p>
        </w:tc>
        <w:tc>
          <w:tcPr>
            <w:tcW w:w="3344" w:type="dxa"/>
          </w:tcPr>
          <w:p w14:paraId="479855AA"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Scope adjustment, addition, or omission</w:t>
            </w:r>
          </w:p>
        </w:tc>
        <w:tc>
          <w:tcPr>
            <w:tcW w:w="0" w:type="auto"/>
          </w:tcPr>
          <w:p w14:paraId="3A1B3CC4"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Tariq and Gardezi (2022); Elhusseiny et al. (2021); Chen et al. (2020);</w:t>
            </w:r>
          </w:p>
        </w:tc>
      </w:tr>
      <w:tr w:rsidR="00A2310C" w14:paraId="0FB47F74" w14:textId="77777777" w:rsidTr="0000642C">
        <w:tc>
          <w:tcPr>
            <w:tcW w:w="1555" w:type="dxa"/>
            <w:vMerge/>
          </w:tcPr>
          <w:p w14:paraId="3A27E416" w14:textId="77777777" w:rsidR="00A2310C" w:rsidRPr="007632C5" w:rsidRDefault="00A2310C" w:rsidP="0000642C">
            <w:pPr>
              <w:jc w:val="both"/>
              <w:rPr>
                <w:rFonts w:asciiTheme="majorBidi" w:hAnsiTheme="majorBidi" w:cstheme="majorBidi"/>
                <w:b/>
                <w:bCs/>
                <w:sz w:val="24"/>
                <w:szCs w:val="24"/>
              </w:rPr>
            </w:pPr>
          </w:p>
        </w:tc>
        <w:tc>
          <w:tcPr>
            <w:tcW w:w="3344" w:type="dxa"/>
          </w:tcPr>
          <w:p w14:paraId="2765F0B1"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Extra requirements</w:t>
            </w:r>
          </w:p>
        </w:tc>
        <w:tc>
          <w:tcPr>
            <w:tcW w:w="0" w:type="auto"/>
          </w:tcPr>
          <w:p w14:paraId="0CCF81D5"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Padala and Maheswari (2023); Sanni-Anibire et al. (2020);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A2310C" w14:paraId="3F8AEB34" w14:textId="77777777" w:rsidTr="0000642C">
        <w:tc>
          <w:tcPr>
            <w:tcW w:w="1555" w:type="dxa"/>
            <w:vMerge/>
          </w:tcPr>
          <w:p w14:paraId="1A8A4C07" w14:textId="77777777" w:rsidR="00A2310C" w:rsidRPr="007632C5" w:rsidRDefault="00A2310C" w:rsidP="0000642C">
            <w:pPr>
              <w:jc w:val="both"/>
              <w:rPr>
                <w:rFonts w:asciiTheme="majorBidi" w:hAnsiTheme="majorBidi" w:cstheme="majorBidi"/>
                <w:b/>
                <w:bCs/>
                <w:sz w:val="24"/>
                <w:szCs w:val="24"/>
              </w:rPr>
            </w:pPr>
          </w:p>
        </w:tc>
        <w:tc>
          <w:tcPr>
            <w:tcW w:w="3344" w:type="dxa"/>
          </w:tcPr>
          <w:p w14:paraId="46935593"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Change of project financing</w:t>
            </w:r>
          </w:p>
        </w:tc>
        <w:tc>
          <w:tcPr>
            <w:tcW w:w="0" w:type="auto"/>
          </w:tcPr>
          <w:p w14:paraId="1D46C89D"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Gashaw and Jilcha (2023); Egwin et al. (2021); Soman et al. (2020)</w:t>
            </w:r>
          </w:p>
        </w:tc>
      </w:tr>
      <w:tr w:rsidR="00A2310C" w14:paraId="3C9B8773" w14:textId="77777777" w:rsidTr="0000642C">
        <w:tc>
          <w:tcPr>
            <w:tcW w:w="1555" w:type="dxa"/>
            <w:vMerge/>
          </w:tcPr>
          <w:p w14:paraId="4F6DFE42" w14:textId="77777777" w:rsidR="00A2310C" w:rsidRPr="007632C5" w:rsidRDefault="00A2310C" w:rsidP="0000642C">
            <w:pPr>
              <w:jc w:val="both"/>
              <w:rPr>
                <w:rFonts w:asciiTheme="majorBidi" w:hAnsiTheme="majorBidi" w:cstheme="majorBidi"/>
                <w:b/>
                <w:bCs/>
                <w:sz w:val="24"/>
                <w:szCs w:val="24"/>
              </w:rPr>
            </w:pPr>
          </w:p>
        </w:tc>
        <w:tc>
          <w:tcPr>
            <w:tcW w:w="3344" w:type="dxa"/>
          </w:tcPr>
          <w:p w14:paraId="49C0180C"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Ineffective decision-making</w:t>
            </w:r>
          </w:p>
        </w:tc>
        <w:tc>
          <w:tcPr>
            <w:tcW w:w="0" w:type="auto"/>
          </w:tcPr>
          <w:p w14:paraId="696757AD"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Barqawi et al. (2022); Elhusseiny et al. (2021); Soman et al. (2020);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A2310C" w14:paraId="3A24E15C" w14:textId="77777777" w:rsidTr="0000642C">
        <w:tc>
          <w:tcPr>
            <w:tcW w:w="1555" w:type="dxa"/>
            <w:vMerge/>
          </w:tcPr>
          <w:p w14:paraId="35A82D6E" w14:textId="77777777" w:rsidR="00A2310C" w:rsidRPr="007632C5" w:rsidRDefault="00A2310C" w:rsidP="0000642C">
            <w:pPr>
              <w:jc w:val="both"/>
              <w:rPr>
                <w:rFonts w:asciiTheme="majorBidi" w:hAnsiTheme="majorBidi" w:cstheme="majorBidi"/>
                <w:b/>
                <w:bCs/>
                <w:sz w:val="24"/>
                <w:szCs w:val="24"/>
              </w:rPr>
            </w:pPr>
          </w:p>
        </w:tc>
        <w:tc>
          <w:tcPr>
            <w:tcW w:w="3344" w:type="dxa"/>
          </w:tcPr>
          <w:p w14:paraId="0FE3A8F5"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Change the usage of the project</w:t>
            </w:r>
          </w:p>
        </w:tc>
        <w:tc>
          <w:tcPr>
            <w:tcW w:w="0" w:type="auto"/>
          </w:tcPr>
          <w:p w14:paraId="2BD58A3C"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Do et al. (2023); Barqawi et al. (2022); Sanni-Anibire et al. (2020); Chen et al. (2020)</w:t>
            </w:r>
          </w:p>
        </w:tc>
      </w:tr>
      <w:tr w:rsidR="00A2310C" w14:paraId="63441E37" w14:textId="77777777" w:rsidTr="0000642C">
        <w:tc>
          <w:tcPr>
            <w:tcW w:w="1555" w:type="dxa"/>
            <w:vMerge w:val="restart"/>
          </w:tcPr>
          <w:p w14:paraId="33E65DCA" w14:textId="77777777" w:rsidR="00A2310C" w:rsidRPr="007632C5" w:rsidRDefault="00A2310C" w:rsidP="0000642C">
            <w:pPr>
              <w:jc w:val="both"/>
              <w:rPr>
                <w:rFonts w:asciiTheme="majorBidi" w:hAnsiTheme="majorBidi" w:cstheme="majorBidi"/>
                <w:b/>
                <w:bCs/>
                <w:sz w:val="24"/>
                <w:szCs w:val="24"/>
              </w:rPr>
            </w:pPr>
            <w:r w:rsidRPr="007632C5">
              <w:rPr>
                <w:rFonts w:asciiTheme="majorBidi" w:hAnsiTheme="majorBidi" w:cstheme="majorBidi"/>
                <w:b/>
                <w:bCs/>
                <w:sz w:val="24"/>
                <w:szCs w:val="24"/>
              </w:rPr>
              <w:t>Consultant</w:t>
            </w:r>
          </w:p>
        </w:tc>
        <w:tc>
          <w:tcPr>
            <w:tcW w:w="3344" w:type="dxa"/>
          </w:tcPr>
          <w:p w14:paraId="27A8E048"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Lack of coordination between different disciplines</w:t>
            </w:r>
          </w:p>
        </w:tc>
        <w:tc>
          <w:tcPr>
            <w:tcW w:w="0" w:type="auto"/>
          </w:tcPr>
          <w:p w14:paraId="14B0F217" w14:textId="77777777" w:rsidR="00A2310C" w:rsidRDefault="00A2310C"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Gurgun et al. (2022); Selcuk et al. </w:t>
            </w:r>
            <w:r>
              <w:rPr>
                <w:rFonts w:asciiTheme="majorBidi" w:hAnsiTheme="majorBidi" w:cstheme="majorBidi"/>
                <w:sz w:val="24"/>
                <w:szCs w:val="24"/>
              </w:rPr>
              <w:t>(2022); Gunduz and Al-Naimi (2021); Soman et al. (2020).</w:t>
            </w:r>
          </w:p>
        </w:tc>
      </w:tr>
      <w:tr w:rsidR="00A2310C" w14:paraId="63057570" w14:textId="77777777" w:rsidTr="0000642C">
        <w:tc>
          <w:tcPr>
            <w:tcW w:w="1555" w:type="dxa"/>
            <w:vMerge/>
          </w:tcPr>
          <w:p w14:paraId="47481738" w14:textId="77777777" w:rsidR="00A2310C" w:rsidRPr="007632C5" w:rsidRDefault="00A2310C" w:rsidP="0000642C">
            <w:pPr>
              <w:jc w:val="both"/>
              <w:rPr>
                <w:rFonts w:asciiTheme="majorBidi" w:hAnsiTheme="majorBidi" w:cstheme="majorBidi"/>
                <w:b/>
                <w:bCs/>
                <w:sz w:val="24"/>
                <w:szCs w:val="24"/>
              </w:rPr>
            </w:pPr>
          </w:p>
        </w:tc>
        <w:tc>
          <w:tcPr>
            <w:tcW w:w="3344" w:type="dxa"/>
          </w:tcPr>
          <w:p w14:paraId="33AFA71F"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Lack of understanding of the owner’s requirements</w:t>
            </w:r>
          </w:p>
        </w:tc>
        <w:tc>
          <w:tcPr>
            <w:tcW w:w="0" w:type="auto"/>
          </w:tcPr>
          <w:p w14:paraId="74AB19B0"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Padala and Maheswari (2023); Selcuk et al. (2022); Soman et al. (2020);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A2310C" w14:paraId="5E3A1AD7" w14:textId="77777777" w:rsidTr="0000642C">
        <w:tc>
          <w:tcPr>
            <w:tcW w:w="1555" w:type="dxa"/>
            <w:vMerge/>
          </w:tcPr>
          <w:p w14:paraId="6377374E" w14:textId="77777777" w:rsidR="00A2310C" w:rsidRPr="007632C5" w:rsidRDefault="00A2310C" w:rsidP="0000642C">
            <w:pPr>
              <w:jc w:val="both"/>
              <w:rPr>
                <w:rFonts w:asciiTheme="majorBidi" w:hAnsiTheme="majorBidi" w:cstheme="majorBidi"/>
                <w:b/>
                <w:bCs/>
                <w:sz w:val="24"/>
                <w:szCs w:val="24"/>
              </w:rPr>
            </w:pPr>
          </w:p>
        </w:tc>
        <w:tc>
          <w:tcPr>
            <w:tcW w:w="3344" w:type="dxa"/>
          </w:tcPr>
          <w:p w14:paraId="6F91A192"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Design documents errors or inconsistencies</w:t>
            </w:r>
          </w:p>
        </w:tc>
        <w:tc>
          <w:tcPr>
            <w:tcW w:w="0" w:type="auto"/>
          </w:tcPr>
          <w:p w14:paraId="40F05001" w14:textId="77777777" w:rsidR="00A2310C" w:rsidRDefault="00A2310C"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Selcuk et al. (2022); Gharaibeh et al. (2020); Chen et al. (2020); Viles et al. </w:t>
            </w:r>
            <w:r>
              <w:rPr>
                <w:rFonts w:asciiTheme="majorBidi" w:hAnsiTheme="majorBidi" w:cstheme="majorBidi"/>
                <w:sz w:val="24"/>
                <w:szCs w:val="24"/>
              </w:rPr>
              <w:t>(2020)</w:t>
            </w:r>
          </w:p>
        </w:tc>
      </w:tr>
      <w:tr w:rsidR="00A2310C" w14:paraId="17FACB7F" w14:textId="77777777" w:rsidTr="0000642C">
        <w:tc>
          <w:tcPr>
            <w:tcW w:w="1555" w:type="dxa"/>
            <w:vMerge/>
          </w:tcPr>
          <w:p w14:paraId="76249A32" w14:textId="77777777" w:rsidR="00A2310C" w:rsidRPr="007632C5" w:rsidRDefault="00A2310C" w:rsidP="0000642C">
            <w:pPr>
              <w:jc w:val="both"/>
              <w:rPr>
                <w:rFonts w:asciiTheme="majorBidi" w:hAnsiTheme="majorBidi" w:cstheme="majorBidi"/>
                <w:b/>
                <w:bCs/>
                <w:sz w:val="24"/>
                <w:szCs w:val="24"/>
              </w:rPr>
            </w:pPr>
          </w:p>
        </w:tc>
        <w:tc>
          <w:tcPr>
            <w:tcW w:w="3344" w:type="dxa"/>
          </w:tcPr>
          <w:p w14:paraId="753C662C"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Constructability issues</w:t>
            </w:r>
          </w:p>
        </w:tc>
        <w:tc>
          <w:tcPr>
            <w:tcW w:w="0" w:type="auto"/>
          </w:tcPr>
          <w:p w14:paraId="2928A97C"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Shen and Ying (2022); Tariq and Gardezi (2022);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A2310C" w14:paraId="6EDD66B1" w14:textId="77777777" w:rsidTr="0000642C">
        <w:tc>
          <w:tcPr>
            <w:tcW w:w="1555" w:type="dxa"/>
            <w:vMerge/>
          </w:tcPr>
          <w:p w14:paraId="0B5D8BA0" w14:textId="77777777" w:rsidR="00A2310C" w:rsidRPr="007632C5" w:rsidRDefault="00A2310C" w:rsidP="0000642C">
            <w:pPr>
              <w:jc w:val="both"/>
              <w:rPr>
                <w:rFonts w:asciiTheme="majorBidi" w:hAnsiTheme="majorBidi" w:cstheme="majorBidi"/>
                <w:b/>
                <w:bCs/>
                <w:sz w:val="24"/>
                <w:szCs w:val="24"/>
              </w:rPr>
            </w:pPr>
          </w:p>
        </w:tc>
        <w:tc>
          <w:tcPr>
            <w:tcW w:w="3344" w:type="dxa"/>
          </w:tcPr>
          <w:p w14:paraId="1EC22D5A"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Quality specifications compliance</w:t>
            </w:r>
          </w:p>
        </w:tc>
        <w:tc>
          <w:tcPr>
            <w:tcW w:w="0" w:type="auto"/>
          </w:tcPr>
          <w:p w14:paraId="1A52A054"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Stewart and Shirvan (2023); Chen et al. (2020); Bortolini et al. (2019)</w:t>
            </w:r>
          </w:p>
        </w:tc>
      </w:tr>
      <w:tr w:rsidR="00A2310C" w14:paraId="0064D8C4" w14:textId="77777777" w:rsidTr="0000642C">
        <w:tc>
          <w:tcPr>
            <w:tcW w:w="1555" w:type="dxa"/>
            <w:vMerge w:val="restart"/>
          </w:tcPr>
          <w:p w14:paraId="3EB98CA3" w14:textId="77777777" w:rsidR="00A2310C" w:rsidRPr="007632C5" w:rsidRDefault="00A2310C" w:rsidP="0000642C">
            <w:pPr>
              <w:jc w:val="both"/>
              <w:rPr>
                <w:rFonts w:asciiTheme="majorBidi" w:hAnsiTheme="majorBidi" w:cstheme="majorBidi"/>
                <w:b/>
                <w:bCs/>
                <w:sz w:val="24"/>
                <w:szCs w:val="24"/>
              </w:rPr>
            </w:pPr>
            <w:r w:rsidRPr="007632C5">
              <w:rPr>
                <w:rFonts w:asciiTheme="majorBidi" w:hAnsiTheme="majorBidi" w:cstheme="majorBidi"/>
                <w:b/>
                <w:bCs/>
                <w:sz w:val="24"/>
                <w:szCs w:val="24"/>
              </w:rPr>
              <w:t>Contractor</w:t>
            </w:r>
          </w:p>
        </w:tc>
        <w:tc>
          <w:tcPr>
            <w:tcW w:w="3344" w:type="dxa"/>
          </w:tcPr>
          <w:p w14:paraId="6F551843"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Change of methods of construction</w:t>
            </w:r>
          </w:p>
        </w:tc>
        <w:tc>
          <w:tcPr>
            <w:tcW w:w="0" w:type="auto"/>
          </w:tcPr>
          <w:p w14:paraId="2E90B462" w14:textId="77777777" w:rsidR="00A2310C" w:rsidRDefault="00A2310C"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Egwin et al. (2021); Gharaibeh et al. </w:t>
            </w:r>
            <w:r>
              <w:rPr>
                <w:rFonts w:asciiTheme="majorBidi" w:hAnsiTheme="majorBidi" w:cstheme="majorBidi"/>
                <w:sz w:val="24"/>
                <w:szCs w:val="24"/>
              </w:rPr>
              <w:t>(2020); Alsuliman (2019)</w:t>
            </w:r>
          </w:p>
        </w:tc>
      </w:tr>
      <w:tr w:rsidR="00A2310C" w14:paraId="69A25447" w14:textId="77777777" w:rsidTr="0000642C">
        <w:tc>
          <w:tcPr>
            <w:tcW w:w="1555" w:type="dxa"/>
            <w:vMerge/>
          </w:tcPr>
          <w:p w14:paraId="37DC7D6B" w14:textId="77777777" w:rsidR="00A2310C" w:rsidRPr="007632C5" w:rsidRDefault="00A2310C" w:rsidP="0000642C">
            <w:pPr>
              <w:jc w:val="both"/>
              <w:rPr>
                <w:rFonts w:asciiTheme="majorBidi" w:hAnsiTheme="majorBidi" w:cstheme="majorBidi"/>
                <w:b/>
                <w:bCs/>
                <w:sz w:val="24"/>
                <w:szCs w:val="24"/>
              </w:rPr>
            </w:pPr>
          </w:p>
        </w:tc>
        <w:tc>
          <w:tcPr>
            <w:tcW w:w="3344" w:type="dxa"/>
          </w:tcPr>
          <w:p w14:paraId="20C43DC7"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Enhancing buildability</w:t>
            </w:r>
          </w:p>
        </w:tc>
        <w:tc>
          <w:tcPr>
            <w:tcW w:w="0" w:type="auto"/>
          </w:tcPr>
          <w:p w14:paraId="2382BD3B"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Zeng et al. (2022); Barqawi et al. (2022); Chen et al. (2020); Bortolini et al. (2019)</w:t>
            </w:r>
          </w:p>
        </w:tc>
      </w:tr>
      <w:tr w:rsidR="00A2310C" w14:paraId="19AEDE54" w14:textId="77777777" w:rsidTr="0000642C">
        <w:tc>
          <w:tcPr>
            <w:tcW w:w="1555" w:type="dxa"/>
            <w:vMerge/>
          </w:tcPr>
          <w:p w14:paraId="13880B73" w14:textId="77777777" w:rsidR="00A2310C" w:rsidRPr="007632C5" w:rsidRDefault="00A2310C" w:rsidP="0000642C">
            <w:pPr>
              <w:jc w:val="both"/>
              <w:rPr>
                <w:rFonts w:asciiTheme="majorBidi" w:hAnsiTheme="majorBidi" w:cstheme="majorBidi"/>
                <w:b/>
                <w:bCs/>
                <w:sz w:val="24"/>
                <w:szCs w:val="24"/>
              </w:rPr>
            </w:pPr>
          </w:p>
        </w:tc>
        <w:tc>
          <w:tcPr>
            <w:tcW w:w="3344" w:type="dxa"/>
          </w:tcPr>
          <w:p w14:paraId="652C0494"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Material shortage</w:t>
            </w:r>
          </w:p>
        </w:tc>
        <w:tc>
          <w:tcPr>
            <w:tcW w:w="0" w:type="auto"/>
          </w:tcPr>
          <w:p w14:paraId="64B89EBE"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Gunduz and Al-Naimi (2021); Gharaibeh et al. (2020); Alsuliman (2019)</w:t>
            </w:r>
          </w:p>
        </w:tc>
      </w:tr>
      <w:tr w:rsidR="00A2310C" w14:paraId="189ECAA0" w14:textId="77777777" w:rsidTr="0000642C">
        <w:tc>
          <w:tcPr>
            <w:tcW w:w="1555" w:type="dxa"/>
            <w:vMerge/>
          </w:tcPr>
          <w:p w14:paraId="6494074B" w14:textId="77777777" w:rsidR="00A2310C" w:rsidRPr="007632C5" w:rsidRDefault="00A2310C" w:rsidP="0000642C">
            <w:pPr>
              <w:jc w:val="both"/>
              <w:rPr>
                <w:rFonts w:asciiTheme="majorBidi" w:hAnsiTheme="majorBidi" w:cstheme="majorBidi"/>
                <w:b/>
                <w:bCs/>
                <w:sz w:val="24"/>
                <w:szCs w:val="24"/>
              </w:rPr>
            </w:pPr>
          </w:p>
        </w:tc>
        <w:tc>
          <w:tcPr>
            <w:tcW w:w="3344" w:type="dxa"/>
          </w:tcPr>
          <w:p w14:paraId="1DE8ACBA"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Fixing construction errors</w:t>
            </w:r>
          </w:p>
        </w:tc>
        <w:tc>
          <w:tcPr>
            <w:tcW w:w="0" w:type="auto"/>
          </w:tcPr>
          <w:p w14:paraId="0237254E"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Do et al. (2023); Barqawi et al. (2022); Soman et al. (2020);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A2310C" w14:paraId="5C9E4EC2" w14:textId="77777777" w:rsidTr="0000642C">
        <w:tc>
          <w:tcPr>
            <w:tcW w:w="1555" w:type="dxa"/>
            <w:vMerge/>
          </w:tcPr>
          <w:p w14:paraId="1ED012D4" w14:textId="77777777" w:rsidR="00A2310C" w:rsidRPr="007632C5" w:rsidRDefault="00A2310C" w:rsidP="0000642C">
            <w:pPr>
              <w:jc w:val="both"/>
              <w:rPr>
                <w:rFonts w:asciiTheme="majorBidi" w:hAnsiTheme="majorBidi" w:cstheme="majorBidi"/>
                <w:b/>
                <w:bCs/>
                <w:sz w:val="24"/>
                <w:szCs w:val="24"/>
              </w:rPr>
            </w:pPr>
          </w:p>
        </w:tc>
        <w:tc>
          <w:tcPr>
            <w:tcW w:w="3344" w:type="dxa"/>
          </w:tcPr>
          <w:p w14:paraId="2F6F0A0F"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Improvement of work quality</w:t>
            </w:r>
          </w:p>
        </w:tc>
        <w:tc>
          <w:tcPr>
            <w:tcW w:w="0" w:type="auto"/>
          </w:tcPr>
          <w:p w14:paraId="51E1C062"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Shen and Ying (2022); Barqawi et al. (2022); Viles et al. (2020);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A2310C" w14:paraId="42567627" w14:textId="77777777" w:rsidTr="0000642C">
        <w:tc>
          <w:tcPr>
            <w:tcW w:w="1555" w:type="dxa"/>
            <w:vMerge/>
          </w:tcPr>
          <w:p w14:paraId="40405C8A" w14:textId="77777777" w:rsidR="00A2310C" w:rsidRPr="007632C5" w:rsidRDefault="00A2310C" w:rsidP="0000642C">
            <w:pPr>
              <w:jc w:val="both"/>
              <w:rPr>
                <w:rFonts w:asciiTheme="majorBidi" w:hAnsiTheme="majorBidi" w:cstheme="majorBidi"/>
                <w:b/>
                <w:bCs/>
                <w:sz w:val="24"/>
                <w:szCs w:val="24"/>
              </w:rPr>
            </w:pPr>
          </w:p>
        </w:tc>
        <w:tc>
          <w:tcPr>
            <w:tcW w:w="3344" w:type="dxa"/>
          </w:tcPr>
          <w:p w14:paraId="002B01D6"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Improving health and safety aspects</w:t>
            </w:r>
          </w:p>
        </w:tc>
        <w:tc>
          <w:tcPr>
            <w:tcW w:w="0" w:type="auto"/>
          </w:tcPr>
          <w:p w14:paraId="0CF23135"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Stewart and Shirvan (2023);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 Bortolini et al. (2019)</w:t>
            </w:r>
          </w:p>
        </w:tc>
      </w:tr>
      <w:tr w:rsidR="00A2310C" w14:paraId="34133D56" w14:textId="77777777" w:rsidTr="0000642C">
        <w:tc>
          <w:tcPr>
            <w:tcW w:w="1555" w:type="dxa"/>
            <w:vMerge/>
          </w:tcPr>
          <w:p w14:paraId="09FF8B5B" w14:textId="77777777" w:rsidR="00A2310C" w:rsidRPr="007632C5" w:rsidRDefault="00A2310C" w:rsidP="0000642C">
            <w:pPr>
              <w:jc w:val="both"/>
              <w:rPr>
                <w:rFonts w:asciiTheme="majorBidi" w:hAnsiTheme="majorBidi" w:cstheme="majorBidi"/>
                <w:b/>
                <w:bCs/>
                <w:sz w:val="24"/>
                <w:szCs w:val="24"/>
              </w:rPr>
            </w:pPr>
          </w:p>
        </w:tc>
        <w:tc>
          <w:tcPr>
            <w:tcW w:w="3344" w:type="dxa"/>
          </w:tcPr>
          <w:p w14:paraId="2B91DA68"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Coordination of drawings and design due to discrepancies</w:t>
            </w:r>
          </w:p>
        </w:tc>
        <w:tc>
          <w:tcPr>
            <w:tcW w:w="0" w:type="auto"/>
          </w:tcPr>
          <w:p w14:paraId="1574920A"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Padala and Maheswari (2023); Do et al. (2023); Gunduz and Al-Naimi (2021)</w:t>
            </w:r>
          </w:p>
        </w:tc>
      </w:tr>
      <w:tr w:rsidR="00A2310C" w14:paraId="4701FCAA" w14:textId="77777777" w:rsidTr="0000642C">
        <w:tc>
          <w:tcPr>
            <w:tcW w:w="1555" w:type="dxa"/>
            <w:vMerge/>
          </w:tcPr>
          <w:p w14:paraId="6124CC74" w14:textId="77777777" w:rsidR="00A2310C" w:rsidRPr="007632C5" w:rsidRDefault="00A2310C" w:rsidP="0000642C">
            <w:pPr>
              <w:jc w:val="both"/>
              <w:rPr>
                <w:rFonts w:asciiTheme="majorBidi" w:hAnsiTheme="majorBidi" w:cstheme="majorBidi"/>
                <w:b/>
                <w:bCs/>
                <w:sz w:val="24"/>
                <w:szCs w:val="24"/>
              </w:rPr>
            </w:pPr>
          </w:p>
        </w:tc>
        <w:tc>
          <w:tcPr>
            <w:tcW w:w="3344" w:type="dxa"/>
          </w:tcPr>
          <w:p w14:paraId="5BC47187"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Technical issues from suppliers</w:t>
            </w:r>
          </w:p>
        </w:tc>
        <w:tc>
          <w:tcPr>
            <w:tcW w:w="0" w:type="auto"/>
          </w:tcPr>
          <w:p w14:paraId="1A443DC2"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Do et al. (2023); Barqawi et al. (2022); Chen et al. (2020); Viles et al. (2020)</w:t>
            </w:r>
          </w:p>
        </w:tc>
      </w:tr>
      <w:tr w:rsidR="00A2310C" w14:paraId="5586846D" w14:textId="77777777" w:rsidTr="0000642C">
        <w:tc>
          <w:tcPr>
            <w:tcW w:w="1555" w:type="dxa"/>
            <w:vMerge/>
          </w:tcPr>
          <w:p w14:paraId="3246E0A6" w14:textId="77777777" w:rsidR="00A2310C" w:rsidRPr="007632C5" w:rsidRDefault="00A2310C" w:rsidP="0000642C">
            <w:pPr>
              <w:jc w:val="both"/>
              <w:rPr>
                <w:rFonts w:asciiTheme="majorBidi" w:hAnsiTheme="majorBidi" w:cstheme="majorBidi"/>
                <w:b/>
                <w:bCs/>
                <w:sz w:val="24"/>
                <w:szCs w:val="24"/>
              </w:rPr>
            </w:pPr>
          </w:p>
        </w:tc>
        <w:tc>
          <w:tcPr>
            <w:tcW w:w="3344" w:type="dxa"/>
          </w:tcPr>
          <w:p w14:paraId="64250071"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Lack of workers’ skills</w:t>
            </w:r>
          </w:p>
        </w:tc>
        <w:tc>
          <w:tcPr>
            <w:tcW w:w="0" w:type="auto"/>
          </w:tcPr>
          <w:p w14:paraId="7A8EDB78"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Gurgun et al. (2022);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 Soman et al. (2020)</w:t>
            </w:r>
          </w:p>
        </w:tc>
      </w:tr>
      <w:tr w:rsidR="00A2310C" w14:paraId="47B4D149" w14:textId="77777777" w:rsidTr="0000642C">
        <w:tc>
          <w:tcPr>
            <w:tcW w:w="1555" w:type="dxa"/>
            <w:vMerge w:val="restart"/>
          </w:tcPr>
          <w:p w14:paraId="3BE44672" w14:textId="77777777" w:rsidR="00A2310C" w:rsidRDefault="00A2310C" w:rsidP="0000642C">
            <w:pPr>
              <w:jc w:val="both"/>
              <w:rPr>
                <w:rFonts w:asciiTheme="majorBidi" w:hAnsiTheme="majorBidi" w:cstheme="majorBidi"/>
                <w:b/>
                <w:bCs/>
                <w:sz w:val="24"/>
                <w:szCs w:val="24"/>
              </w:rPr>
            </w:pPr>
            <w:r w:rsidRPr="007632C5">
              <w:rPr>
                <w:rFonts w:asciiTheme="majorBidi" w:hAnsiTheme="majorBidi" w:cstheme="majorBidi"/>
                <w:b/>
                <w:bCs/>
                <w:sz w:val="24"/>
                <w:szCs w:val="24"/>
              </w:rPr>
              <w:t>Site related</w:t>
            </w:r>
          </w:p>
          <w:p w14:paraId="249330ED" w14:textId="61899553" w:rsidR="000C4FDC" w:rsidRPr="007632C5" w:rsidRDefault="000C4FDC" w:rsidP="0000642C">
            <w:pPr>
              <w:jc w:val="both"/>
              <w:rPr>
                <w:rFonts w:asciiTheme="majorBidi" w:hAnsiTheme="majorBidi" w:cstheme="majorBidi"/>
                <w:b/>
                <w:bCs/>
                <w:sz w:val="24"/>
                <w:szCs w:val="24"/>
              </w:rPr>
            </w:pPr>
            <w:r>
              <w:rPr>
                <w:rFonts w:asciiTheme="majorBidi" w:hAnsiTheme="majorBidi" w:cstheme="majorBidi"/>
                <w:b/>
                <w:bCs/>
                <w:sz w:val="24"/>
                <w:szCs w:val="24"/>
              </w:rPr>
              <w:t>(contextual factor)</w:t>
            </w:r>
          </w:p>
        </w:tc>
        <w:tc>
          <w:tcPr>
            <w:tcW w:w="3344" w:type="dxa"/>
          </w:tcPr>
          <w:p w14:paraId="3DC8BA15"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Geotechnical Problems</w:t>
            </w:r>
          </w:p>
        </w:tc>
        <w:tc>
          <w:tcPr>
            <w:tcW w:w="0" w:type="auto"/>
          </w:tcPr>
          <w:p w14:paraId="58978421"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 xml:space="preserve">Stewart and Shirvan (2023); Tariq and Gardezi (2022); </w:t>
            </w:r>
          </w:p>
        </w:tc>
      </w:tr>
      <w:tr w:rsidR="00A2310C" w14:paraId="30FCFB7F" w14:textId="77777777" w:rsidTr="0000642C">
        <w:tc>
          <w:tcPr>
            <w:tcW w:w="1555" w:type="dxa"/>
            <w:vMerge/>
          </w:tcPr>
          <w:p w14:paraId="7ECDBB8D" w14:textId="77777777" w:rsidR="00A2310C" w:rsidRPr="007632C5" w:rsidRDefault="00A2310C" w:rsidP="0000642C">
            <w:pPr>
              <w:jc w:val="both"/>
              <w:rPr>
                <w:rFonts w:asciiTheme="majorBidi" w:hAnsiTheme="majorBidi" w:cstheme="majorBidi"/>
                <w:b/>
                <w:bCs/>
                <w:sz w:val="24"/>
                <w:szCs w:val="24"/>
              </w:rPr>
            </w:pPr>
          </w:p>
        </w:tc>
        <w:tc>
          <w:tcPr>
            <w:tcW w:w="3344" w:type="dxa"/>
          </w:tcPr>
          <w:p w14:paraId="35A10EDA"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Clash with neighboring structures / buildings</w:t>
            </w:r>
          </w:p>
        </w:tc>
        <w:tc>
          <w:tcPr>
            <w:tcW w:w="0" w:type="auto"/>
          </w:tcPr>
          <w:p w14:paraId="7EC39A22" w14:textId="77777777" w:rsidR="00A2310C" w:rsidRDefault="00A2310C"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Gurgun et al. (2022); Elhusseiny et al. </w:t>
            </w:r>
            <w:r>
              <w:rPr>
                <w:rFonts w:asciiTheme="majorBidi" w:hAnsiTheme="majorBidi" w:cstheme="majorBidi"/>
                <w:sz w:val="24"/>
                <w:szCs w:val="24"/>
              </w:rPr>
              <w:t>(2021); Chen et al. (2020)</w:t>
            </w:r>
          </w:p>
        </w:tc>
      </w:tr>
      <w:tr w:rsidR="00A2310C" w14:paraId="293E559C" w14:textId="77777777" w:rsidTr="0000642C">
        <w:tc>
          <w:tcPr>
            <w:tcW w:w="1555" w:type="dxa"/>
            <w:vMerge/>
          </w:tcPr>
          <w:p w14:paraId="7448F566" w14:textId="77777777" w:rsidR="00A2310C" w:rsidRPr="007632C5" w:rsidRDefault="00A2310C" w:rsidP="0000642C">
            <w:pPr>
              <w:jc w:val="both"/>
              <w:rPr>
                <w:rFonts w:asciiTheme="majorBidi" w:hAnsiTheme="majorBidi" w:cstheme="majorBidi"/>
                <w:b/>
                <w:bCs/>
                <w:sz w:val="24"/>
                <w:szCs w:val="24"/>
              </w:rPr>
            </w:pPr>
          </w:p>
        </w:tc>
        <w:tc>
          <w:tcPr>
            <w:tcW w:w="3344" w:type="dxa"/>
          </w:tcPr>
          <w:p w14:paraId="2DFB4816" w14:textId="77777777" w:rsidR="00A2310C" w:rsidRDefault="00A2310C" w:rsidP="0000642C">
            <w:pPr>
              <w:rPr>
                <w:rFonts w:asciiTheme="majorBidi" w:hAnsiTheme="majorBidi" w:cstheme="majorBidi"/>
                <w:sz w:val="24"/>
                <w:szCs w:val="24"/>
              </w:rPr>
            </w:pPr>
            <w:r>
              <w:rPr>
                <w:rFonts w:asciiTheme="majorBidi" w:hAnsiTheme="majorBidi" w:cstheme="majorBidi"/>
                <w:sz w:val="24"/>
                <w:szCs w:val="24"/>
              </w:rPr>
              <w:t>Undiscovered utilities or services on site</w:t>
            </w:r>
          </w:p>
        </w:tc>
        <w:tc>
          <w:tcPr>
            <w:tcW w:w="0" w:type="auto"/>
          </w:tcPr>
          <w:p w14:paraId="1C093B8D" w14:textId="77777777" w:rsidR="00A2310C" w:rsidRDefault="00A2310C"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Egwin et al. (2021); Chen et al. </w:t>
            </w:r>
            <w:r>
              <w:rPr>
                <w:rFonts w:asciiTheme="majorBidi" w:hAnsiTheme="majorBidi" w:cstheme="majorBidi"/>
                <w:sz w:val="24"/>
                <w:szCs w:val="24"/>
              </w:rPr>
              <w:t>(2020); Alsuliman (2019)</w:t>
            </w:r>
          </w:p>
        </w:tc>
      </w:tr>
    </w:tbl>
    <w:p w14:paraId="0E2A3912" w14:textId="77777777" w:rsidR="00EB0594" w:rsidRDefault="00EB0594"/>
    <w:p w14:paraId="1507E22B" w14:textId="7D416E45" w:rsidR="00A2310C" w:rsidRDefault="00A2310C" w:rsidP="00A2310C">
      <w:pPr>
        <w:jc w:val="both"/>
        <w:rPr>
          <w:rFonts w:asciiTheme="majorBidi" w:hAnsiTheme="majorBidi" w:cstheme="majorBidi"/>
          <w:sz w:val="24"/>
          <w:szCs w:val="24"/>
        </w:rPr>
      </w:pPr>
      <w:r>
        <w:rPr>
          <w:rFonts w:asciiTheme="majorBidi" w:hAnsiTheme="majorBidi" w:cstheme="majorBidi"/>
          <w:sz w:val="24"/>
          <w:szCs w:val="24"/>
        </w:rPr>
        <w:t xml:space="preserve">Table </w:t>
      </w:r>
      <w:r w:rsidR="00E25DDE">
        <w:rPr>
          <w:rFonts w:asciiTheme="majorBidi" w:hAnsiTheme="majorBidi" w:cstheme="majorBidi"/>
          <w:sz w:val="24"/>
          <w:szCs w:val="24"/>
        </w:rPr>
        <w:t>II</w:t>
      </w:r>
      <w:r>
        <w:rPr>
          <w:rFonts w:asciiTheme="majorBidi" w:hAnsiTheme="majorBidi" w:cstheme="majorBidi"/>
          <w:sz w:val="24"/>
          <w:szCs w:val="24"/>
        </w:rPr>
        <w:t xml:space="preserve">: Effects of Design Changes in </w:t>
      </w:r>
      <w:r w:rsidR="00B44876">
        <w:rPr>
          <w:rFonts w:asciiTheme="majorBidi" w:hAnsiTheme="majorBidi" w:cstheme="majorBidi"/>
          <w:sz w:val="24"/>
          <w:szCs w:val="24"/>
        </w:rPr>
        <w:t>C</w:t>
      </w:r>
      <w:r>
        <w:rPr>
          <w:rFonts w:asciiTheme="majorBidi" w:hAnsiTheme="majorBidi" w:cstheme="majorBidi"/>
          <w:sz w:val="24"/>
          <w:szCs w:val="24"/>
        </w:rPr>
        <w:t>onstruction</w:t>
      </w:r>
      <w:r w:rsidR="00B44876">
        <w:rPr>
          <w:rFonts w:asciiTheme="majorBidi" w:hAnsiTheme="majorBidi" w:cstheme="majorBidi"/>
          <w:sz w:val="24"/>
          <w:szCs w:val="24"/>
        </w:rPr>
        <w:t xml:space="preserve"> Projects</w:t>
      </w:r>
    </w:p>
    <w:tbl>
      <w:tblPr>
        <w:tblStyle w:val="TableGrid"/>
        <w:tblW w:w="0" w:type="auto"/>
        <w:tblLook w:val="04A0" w:firstRow="1" w:lastRow="0" w:firstColumn="1" w:lastColumn="0" w:noHBand="0" w:noVBand="1"/>
      </w:tblPr>
      <w:tblGrid>
        <w:gridCol w:w="3005"/>
        <w:gridCol w:w="5921"/>
      </w:tblGrid>
      <w:tr w:rsidR="00B76A4A" w14:paraId="5AF9B221" w14:textId="77777777" w:rsidTr="00B76A4A">
        <w:tc>
          <w:tcPr>
            <w:tcW w:w="3005" w:type="dxa"/>
            <w:shd w:val="clear" w:color="auto" w:fill="BFBFBF" w:themeFill="background1" w:themeFillShade="BF"/>
          </w:tcPr>
          <w:p w14:paraId="3BB891D1" w14:textId="77777777" w:rsidR="00B76A4A" w:rsidRPr="002C21DE" w:rsidRDefault="00B76A4A" w:rsidP="0000642C">
            <w:pPr>
              <w:rPr>
                <w:rFonts w:asciiTheme="majorBidi" w:hAnsiTheme="majorBidi" w:cstheme="majorBidi"/>
                <w:b/>
                <w:bCs/>
                <w:sz w:val="24"/>
                <w:szCs w:val="24"/>
              </w:rPr>
            </w:pPr>
            <w:r w:rsidRPr="002C21DE">
              <w:rPr>
                <w:rFonts w:asciiTheme="majorBidi" w:hAnsiTheme="majorBidi" w:cstheme="majorBidi"/>
                <w:b/>
                <w:bCs/>
                <w:sz w:val="24"/>
                <w:szCs w:val="24"/>
              </w:rPr>
              <w:t>Impact of design changes</w:t>
            </w:r>
          </w:p>
        </w:tc>
        <w:tc>
          <w:tcPr>
            <w:tcW w:w="5921" w:type="dxa"/>
            <w:shd w:val="clear" w:color="auto" w:fill="BFBFBF" w:themeFill="background1" w:themeFillShade="BF"/>
          </w:tcPr>
          <w:p w14:paraId="32BEC0DD" w14:textId="77777777" w:rsidR="00B76A4A" w:rsidRPr="002C21DE" w:rsidRDefault="00B76A4A" w:rsidP="0000642C">
            <w:pPr>
              <w:rPr>
                <w:rFonts w:asciiTheme="majorBidi" w:hAnsiTheme="majorBidi" w:cstheme="majorBidi"/>
                <w:b/>
                <w:bCs/>
                <w:sz w:val="24"/>
                <w:szCs w:val="24"/>
              </w:rPr>
            </w:pPr>
            <w:r w:rsidRPr="002C21DE">
              <w:rPr>
                <w:rFonts w:asciiTheme="majorBidi" w:hAnsiTheme="majorBidi" w:cstheme="majorBidi"/>
                <w:b/>
                <w:bCs/>
                <w:sz w:val="24"/>
                <w:szCs w:val="24"/>
              </w:rPr>
              <w:t>Studies</w:t>
            </w:r>
          </w:p>
        </w:tc>
      </w:tr>
      <w:tr w:rsidR="00B76A4A" w14:paraId="6105334D" w14:textId="77777777" w:rsidTr="00B76A4A">
        <w:tc>
          <w:tcPr>
            <w:tcW w:w="3005" w:type="dxa"/>
          </w:tcPr>
          <w:p w14:paraId="2AB4A6BF"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Rework or revision of work</w:t>
            </w:r>
          </w:p>
        </w:tc>
        <w:tc>
          <w:tcPr>
            <w:tcW w:w="5921" w:type="dxa"/>
          </w:tcPr>
          <w:p w14:paraId="6F6DC400"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Zeng et al. (2022); Barqawi et al., (2022); Chen et al. (2020); Bortolini et al. (2019)</w:t>
            </w:r>
          </w:p>
        </w:tc>
      </w:tr>
      <w:tr w:rsidR="00B76A4A" w14:paraId="21D710EE" w14:textId="77777777" w:rsidTr="00B76A4A">
        <w:tc>
          <w:tcPr>
            <w:tcW w:w="3005" w:type="dxa"/>
          </w:tcPr>
          <w:p w14:paraId="25F6D6E3"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Schedule Delay</w:t>
            </w:r>
          </w:p>
        </w:tc>
        <w:tc>
          <w:tcPr>
            <w:tcW w:w="5921" w:type="dxa"/>
          </w:tcPr>
          <w:p w14:paraId="099E8814" w14:textId="77777777" w:rsidR="00B76A4A" w:rsidRDefault="00B76A4A"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Barqawi et al., (2022); Chen et al. </w:t>
            </w:r>
            <w:r>
              <w:rPr>
                <w:rFonts w:asciiTheme="majorBidi" w:hAnsiTheme="majorBidi" w:cstheme="majorBidi"/>
                <w:sz w:val="24"/>
                <w:szCs w:val="24"/>
              </w:rPr>
              <w:t xml:space="preserve">(2020); Soman et al. (2020);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B76A4A" w14:paraId="6F25608D" w14:textId="77777777" w:rsidTr="00B76A4A">
        <w:tc>
          <w:tcPr>
            <w:tcW w:w="3005" w:type="dxa"/>
          </w:tcPr>
          <w:p w14:paraId="7230A260"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Cost overruns</w:t>
            </w:r>
          </w:p>
        </w:tc>
        <w:tc>
          <w:tcPr>
            <w:tcW w:w="5921" w:type="dxa"/>
          </w:tcPr>
          <w:p w14:paraId="4ED226C0"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Do et al. (2023); Barqawi et al. (2022); Gharaibeh et al. (2020)</w:t>
            </w:r>
            <w:r w:rsidRPr="004D7B2A">
              <w:rPr>
                <w:rFonts w:asciiTheme="majorBidi" w:hAnsiTheme="majorBidi" w:cstheme="majorBidi"/>
                <w:sz w:val="24"/>
                <w:szCs w:val="24"/>
              </w:rPr>
              <w:t>.</w:t>
            </w:r>
          </w:p>
        </w:tc>
      </w:tr>
      <w:tr w:rsidR="00B76A4A" w14:paraId="120825EC" w14:textId="77777777" w:rsidTr="00B76A4A">
        <w:tc>
          <w:tcPr>
            <w:tcW w:w="3005" w:type="dxa"/>
          </w:tcPr>
          <w:p w14:paraId="7EED1A74"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Excessive claims/disputes</w:t>
            </w:r>
          </w:p>
        </w:tc>
        <w:tc>
          <w:tcPr>
            <w:tcW w:w="5921" w:type="dxa"/>
          </w:tcPr>
          <w:p w14:paraId="691CD444" w14:textId="77777777" w:rsidR="00B76A4A" w:rsidRDefault="00B76A4A"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Chen et al. (2020); Bortolini et al. </w:t>
            </w:r>
            <w:r>
              <w:rPr>
                <w:rFonts w:asciiTheme="majorBidi" w:hAnsiTheme="majorBidi" w:cstheme="majorBidi"/>
                <w:sz w:val="24"/>
                <w:szCs w:val="24"/>
              </w:rPr>
              <w:t>(2019); Gurgun et al. (2022)</w:t>
            </w:r>
          </w:p>
        </w:tc>
      </w:tr>
      <w:tr w:rsidR="00B76A4A" w14:paraId="49A8964E" w14:textId="77777777" w:rsidTr="00B76A4A">
        <w:tc>
          <w:tcPr>
            <w:tcW w:w="3005" w:type="dxa"/>
          </w:tcPr>
          <w:p w14:paraId="676AA4E5"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Loss of productivity / work rhythm</w:t>
            </w:r>
          </w:p>
        </w:tc>
        <w:tc>
          <w:tcPr>
            <w:tcW w:w="5921" w:type="dxa"/>
          </w:tcPr>
          <w:p w14:paraId="0144DB95" w14:textId="77777777" w:rsidR="00B76A4A" w:rsidRDefault="00B76A4A"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Egwin et al. (2021); Gharaibeh et al. </w:t>
            </w:r>
            <w:r>
              <w:rPr>
                <w:rFonts w:asciiTheme="majorBidi" w:hAnsiTheme="majorBidi" w:cstheme="majorBidi"/>
                <w:sz w:val="24"/>
                <w:szCs w:val="24"/>
              </w:rPr>
              <w:t>(2020); Alsuliman (2019)</w:t>
            </w:r>
          </w:p>
        </w:tc>
      </w:tr>
      <w:tr w:rsidR="00B76A4A" w14:paraId="0E018C0A" w14:textId="77777777" w:rsidTr="00B76A4A">
        <w:tc>
          <w:tcPr>
            <w:tcW w:w="3005" w:type="dxa"/>
          </w:tcPr>
          <w:p w14:paraId="4DEE9F79"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Coordination issues and errors</w:t>
            </w:r>
          </w:p>
        </w:tc>
        <w:tc>
          <w:tcPr>
            <w:tcW w:w="5921" w:type="dxa"/>
          </w:tcPr>
          <w:p w14:paraId="5668D007"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 xml:space="preserve">Stewart and Shirvan (2023);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 Bortolini et al. (2019)</w:t>
            </w:r>
          </w:p>
        </w:tc>
      </w:tr>
      <w:tr w:rsidR="00B76A4A" w14:paraId="4F004416" w14:textId="77777777" w:rsidTr="00B76A4A">
        <w:tc>
          <w:tcPr>
            <w:tcW w:w="3005" w:type="dxa"/>
          </w:tcPr>
          <w:p w14:paraId="23FC6439"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Lower moral of work force</w:t>
            </w:r>
          </w:p>
        </w:tc>
        <w:tc>
          <w:tcPr>
            <w:tcW w:w="5921" w:type="dxa"/>
          </w:tcPr>
          <w:p w14:paraId="249DA644" w14:textId="77777777" w:rsidR="00B76A4A" w:rsidRDefault="00B76A4A" w:rsidP="0000642C">
            <w:pPr>
              <w:rPr>
                <w:rFonts w:asciiTheme="majorBidi" w:hAnsiTheme="majorBidi" w:cstheme="majorBidi"/>
                <w:sz w:val="24"/>
                <w:szCs w:val="24"/>
              </w:rPr>
            </w:pPr>
            <w:r w:rsidRPr="00864495">
              <w:rPr>
                <w:rFonts w:asciiTheme="majorBidi" w:hAnsiTheme="majorBidi" w:cstheme="majorBidi"/>
                <w:sz w:val="24"/>
                <w:szCs w:val="24"/>
                <w:lang w:val="de-CH"/>
              </w:rPr>
              <w:t xml:space="preserve">Gurgun et al. (2022); Soman et al. </w:t>
            </w:r>
            <w:r>
              <w:rPr>
                <w:rFonts w:asciiTheme="majorBidi" w:hAnsiTheme="majorBidi" w:cstheme="majorBidi"/>
                <w:sz w:val="24"/>
                <w:szCs w:val="24"/>
              </w:rPr>
              <w:t xml:space="preserve">(2020);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r w:rsidR="00B76A4A" w14:paraId="1096D972" w14:textId="77777777" w:rsidTr="00B76A4A">
        <w:tc>
          <w:tcPr>
            <w:tcW w:w="3005" w:type="dxa"/>
          </w:tcPr>
          <w:p w14:paraId="4C16C4DC"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Poor construction quality</w:t>
            </w:r>
          </w:p>
        </w:tc>
        <w:tc>
          <w:tcPr>
            <w:tcW w:w="5921" w:type="dxa"/>
          </w:tcPr>
          <w:p w14:paraId="208B06F6" w14:textId="77777777" w:rsidR="00B76A4A" w:rsidRDefault="00B76A4A" w:rsidP="0000642C">
            <w:pPr>
              <w:rPr>
                <w:rFonts w:asciiTheme="majorBidi" w:hAnsiTheme="majorBidi" w:cstheme="majorBidi"/>
                <w:sz w:val="24"/>
                <w:szCs w:val="24"/>
              </w:rPr>
            </w:pPr>
            <w:r>
              <w:rPr>
                <w:rFonts w:asciiTheme="majorBidi" w:hAnsiTheme="majorBidi" w:cstheme="majorBidi"/>
                <w:sz w:val="24"/>
                <w:szCs w:val="24"/>
              </w:rPr>
              <w:t xml:space="preserve">Shen and Ying (2022); Tariq and Gardezi (2022); </w:t>
            </w:r>
            <w:r w:rsidRPr="00316278">
              <w:rPr>
                <w:rFonts w:asciiTheme="majorBidi" w:hAnsiTheme="majorBidi" w:cstheme="majorBidi"/>
                <w:sz w:val="24"/>
                <w:szCs w:val="24"/>
              </w:rPr>
              <w:t>Aladağ and Işık</w:t>
            </w:r>
            <w:r>
              <w:rPr>
                <w:rFonts w:asciiTheme="majorBidi" w:hAnsiTheme="majorBidi" w:cstheme="majorBidi"/>
                <w:sz w:val="24"/>
                <w:szCs w:val="24"/>
              </w:rPr>
              <w:t xml:space="preserve"> (2019)</w:t>
            </w:r>
          </w:p>
        </w:tc>
      </w:tr>
    </w:tbl>
    <w:p w14:paraId="1EAB75BA" w14:textId="77777777" w:rsidR="00A2310C" w:rsidRDefault="00A2310C"/>
    <w:p w14:paraId="52A6E3BA" w14:textId="2A08DA59" w:rsidR="00A2310C" w:rsidRDefault="00A2310C" w:rsidP="00A2310C">
      <w:pPr>
        <w:jc w:val="both"/>
        <w:rPr>
          <w:rFonts w:asciiTheme="majorBidi" w:hAnsiTheme="majorBidi" w:cstheme="majorBidi"/>
          <w:sz w:val="24"/>
          <w:szCs w:val="24"/>
        </w:rPr>
      </w:pPr>
      <w:r>
        <w:rPr>
          <w:rFonts w:asciiTheme="majorBidi" w:hAnsiTheme="majorBidi" w:cstheme="majorBidi"/>
          <w:sz w:val="24"/>
          <w:szCs w:val="24"/>
        </w:rPr>
        <w:t xml:space="preserve">Table </w:t>
      </w:r>
      <w:r w:rsidR="00E25DDE">
        <w:rPr>
          <w:rFonts w:asciiTheme="majorBidi" w:hAnsiTheme="majorBidi" w:cstheme="majorBidi"/>
          <w:sz w:val="24"/>
          <w:szCs w:val="24"/>
        </w:rPr>
        <w:t>III</w:t>
      </w:r>
      <w:r>
        <w:rPr>
          <w:rFonts w:asciiTheme="majorBidi" w:hAnsiTheme="majorBidi" w:cstheme="majorBidi"/>
          <w:sz w:val="24"/>
          <w:szCs w:val="24"/>
        </w:rPr>
        <w:t>: List of Participants in the study</w:t>
      </w:r>
    </w:p>
    <w:tbl>
      <w:tblPr>
        <w:tblStyle w:val="TableGrid"/>
        <w:tblW w:w="8926" w:type="dxa"/>
        <w:tblLook w:val="04A0" w:firstRow="1" w:lastRow="0" w:firstColumn="1" w:lastColumn="0" w:noHBand="0" w:noVBand="1"/>
      </w:tblPr>
      <w:tblGrid>
        <w:gridCol w:w="1418"/>
        <w:gridCol w:w="2126"/>
        <w:gridCol w:w="5382"/>
      </w:tblGrid>
      <w:tr w:rsidR="00A2310C" w:rsidRPr="003A6783" w14:paraId="2478886B" w14:textId="77777777" w:rsidTr="0000642C">
        <w:trPr>
          <w:trHeight w:val="335"/>
        </w:trPr>
        <w:tc>
          <w:tcPr>
            <w:tcW w:w="1418" w:type="dxa"/>
            <w:shd w:val="clear" w:color="auto" w:fill="BFBFBF" w:themeFill="background1" w:themeFillShade="BF"/>
          </w:tcPr>
          <w:p w14:paraId="677B4324" w14:textId="77777777" w:rsidR="00A2310C" w:rsidRPr="003A6783" w:rsidRDefault="00A2310C" w:rsidP="0000642C">
            <w:pPr>
              <w:spacing w:line="360" w:lineRule="auto"/>
              <w:rPr>
                <w:rFonts w:asciiTheme="majorBidi" w:hAnsiTheme="majorBidi" w:cstheme="majorBidi"/>
                <w:b/>
                <w:bCs/>
                <w:sz w:val="24"/>
                <w:szCs w:val="24"/>
                <w:lang w:val="en-GB"/>
              </w:rPr>
            </w:pPr>
            <w:r w:rsidRPr="003A6783">
              <w:rPr>
                <w:rFonts w:asciiTheme="majorBidi" w:hAnsiTheme="majorBidi" w:cstheme="majorBidi"/>
                <w:b/>
                <w:bCs/>
                <w:sz w:val="24"/>
                <w:szCs w:val="24"/>
                <w:lang w:val="en-GB"/>
              </w:rPr>
              <w:t xml:space="preserve">Interviewee </w:t>
            </w:r>
          </w:p>
        </w:tc>
        <w:tc>
          <w:tcPr>
            <w:tcW w:w="2126" w:type="dxa"/>
            <w:shd w:val="clear" w:color="auto" w:fill="BFBFBF" w:themeFill="background1" w:themeFillShade="BF"/>
          </w:tcPr>
          <w:p w14:paraId="7ECB9D7B" w14:textId="77777777" w:rsidR="00A2310C" w:rsidRPr="003A6783" w:rsidRDefault="00A2310C" w:rsidP="0000642C">
            <w:pPr>
              <w:spacing w:line="360" w:lineRule="auto"/>
              <w:rPr>
                <w:rFonts w:asciiTheme="majorBidi" w:hAnsiTheme="majorBidi" w:cstheme="majorBidi"/>
                <w:b/>
                <w:bCs/>
                <w:sz w:val="24"/>
                <w:szCs w:val="24"/>
                <w:lang w:val="en-GB"/>
              </w:rPr>
            </w:pPr>
            <w:r w:rsidRPr="003A6783">
              <w:rPr>
                <w:rFonts w:asciiTheme="majorBidi" w:hAnsiTheme="majorBidi" w:cstheme="majorBidi"/>
                <w:b/>
                <w:bCs/>
                <w:sz w:val="24"/>
                <w:szCs w:val="24"/>
                <w:lang w:val="en-GB"/>
              </w:rPr>
              <w:t>Stakeholder</w:t>
            </w:r>
          </w:p>
        </w:tc>
        <w:tc>
          <w:tcPr>
            <w:tcW w:w="5382" w:type="dxa"/>
            <w:shd w:val="clear" w:color="auto" w:fill="BFBFBF" w:themeFill="background1" w:themeFillShade="BF"/>
          </w:tcPr>
          <w:p w14:paraId="64657CFB" w14:textId="77777777" w:rsidR="00A2310C" w:rsidRPr="003A6783" w:rsidRDefault="00A2310C" w:rsidP="0000642C">
            <w:pPr>
              <w:spacing w:line="360" w:lineRule="auto"/>
              <w:rPr>
                <w:rFonts w:asciiTheme="majorBidi" w:hAnsiTheme="majorBidi" w:cstheme="majorBidi"/>
                <w:b/>
                <w:bCs/>
                <w:sz w:val="24"/>
                <w:szCs w:val="24"/>
                <w:lang w:val="en-GB"/>
              </w:rPr>
            </w:pPr>
            <w:r w:rsidRPr="003A6783">
              <w:rPr>
                <w:rFonts w:asciiTheme="majorBidi" w:hAnsiTheme="majorBidi" w:cstheme="majorBidi"/>
                <w:b/>
                <w:bCs/>
                <w:sz w:val="24"/>
                <w:szCs w:val="24"/>
                <w:lang w:val="en-GB"/>
              </w:rPr>
              <w:t xml:space="preserve">Designation </w:t>
            </w:r>
          </w:p>
        </w:tc>
      </w:tr>
      <w:tr w:rsidR="00A2310C" w:rsidRPr="003A6783" w14:paraId="346B432A" w14:textId="77777777" w:rsidTr="0000642C">
        <w:trPr>
          <w:trHeight w:val="365"/>
        </w:trPr>
        <w:tc>
          <w:tcPr>
            <w:tcW w:w="1418" w:type="dxa"/>
          </w:tcPr>
          <w:p w14:paraId="3F16458A"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#1</w:t>
            </w:r>
          </w:p>
        </w:tc>
        <w:tc>
          <w:tcPr>
            <w:tcW w:w="2126" w:type="dxa"/>
          </w:tcPr>
          <w:p w14:paraId="5476A2B6"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 xml:space="preserve">Contractor </w:t>
            </w:r>
          </w:p>
        </w:tc>
        <w:tc>
          <w:tcPr>
            <w:tcW w:w="5382" w:type="dxa"/>
          </w:tcPr>
          <w:p w14:paraId="664D0951"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Construction Manager</w:t>
            </w:r>
          </w:p>
        </w:tc>
      </w:tr>
      <w:tr w:rsidR="00A2310C" w:rsidRPr="003A6783" w14:paraId="2D98DCA5" w14:textId="77777777" w:rsidTr="0000642C">
        <w:trPr>
          <w:trHeight w:val="300"/>
        </w:trPr>
        <w:tc>
          <w:tcPr>
            <w:tcW w:w="1418" w:type="dxa"/>
          </w:tcPr>
          <w:p w14:paraId="11FC7AD4"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#2</w:t>
            </w:r>
          </w:p>
        </w:tc>
        <w:tc>
          <w:tcPr>
            <w:tcW w:w="2126" w:type="dxa"/>
          </w:tcPr>
          <w:p w14:paraId="1E00BEF4"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 xml:space="preserve">Contractor </w:t>
            </w:r>
          </w:p>
        </w:tc>
        <w:tc>
          <w:tcPr>
            <w:tcW w:w="5382" w:type="dxa"/>
          </w:tcPr>
          <w:p w14:paraId="1DAA695D"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Senior Architectural Engineer</w:t>
            </w:r>
          </w:p>
        </w:tc>
      </w:tr>
      <w:tr w:rsidR="00A2310C" w:rsidRPr="003A6783" w14:paraId="4F6796C3" w14:textId="77777777" w:rsidTr="0000642C">
        <w:trPr>
          <w:trHeight w:val="237"/>
        </w:trPr>
        <w:tc>
          <w:tcPr>
            <w:tcW w:w="1418" w:type="dxa"/>
          </w:tcPr>
          <w:p w14:paraId="5C5560D5"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#3</w:t>
            </w:r>
          </w:p>
        </w:tc>
        <w:tc>
          <w:tcPr>
            <w:tcW w:w="2126" w:type="dxa"/>
          </w:tcPr>
          <w:p w14:paraId="5270C2BD"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 xml:space="preserve">Sub-contractor </w:t>
            </w:r>
          </w:p>
        </w:tc>
        <w:tc>
          <w:tcPr>
            <w:tcW w:w="5382" w:type="dxa"/>
          </w:tcPr>
          <w:p w14:paraId="4AEBB410"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Senior Project Manager</w:t>
            </w:r>
          </w:p>
        </w:tc>
      </w:tr>
      <w:tr w:rsidR="00A2310C" w:rsidRPr="003A6783" w14:paraId="23186793" w14:textId="77777777" w:rsidTr="0000642C">
        <w:trPr>
          <w:trHeight w:val="372"/>
        </w:trPr>
        <w:tc>
          <w:tcPr>
            <w:tcW w:w="1418" w:type="dxa"/>
          </w:tcPr>
          <w:p w14:paraId="540FA595"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#4</w:t>
            </w:r>
          </w:p>
        </w:tc>
        <w:tc>
          <w:tcPr>
            <w:tcW w:w="2126" w:type="dxa"/>
          </w:tcPr>
          <w:p w14:paraId="775030CC"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Consultant</w:t>
            </w:r>
          </w:p>
        </w:tc>
        <w:tc>
          <w:tcPr>
            <w:tcW w:w="5382" w:type="dxa"/>
          </w:tcPr>
          <w:p w14:paraId="5A6D02FC"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Senior Project Manager</w:t>
            </w:r>
          </w:p>
        </w:tc>
      </w:tr>
      <w:tr w:rsidR="00A2310C" w:rsidRPr="003A6783" w14:paraId="0FF51319" w14:textId="77777777" w:rsidTr="0000642C">
        <w:trPr>
          <w:trHeight w:val="335"/>
        </w:trPr>
        <w:tc>
          <w:tcPr>
            <w:tcW w:w="1418" w:type="dxa"/>
          </w:tcPr>
          <w:p w14:paraId="7A4A26B3"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#5</w:t>
            </w:r>
          </w:p>
        </w:tc>
        <w:tc>
          <w:tcPr>
            <w:tcW w:w="2126" w:type="dxa"/>
          </w:tcPr>
          <w:p w14:paraId="09BB98FE"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Consultant</w:t>
            </w:r>
          </w:p>
        </w:tc>
        <w:tc>
          <w:tcPr>
            <w:tcW w:w="5382" w:type="dxa"/>
          </w:tcPr>
          <w:p w14:paraId="7CE8F467" w14:textId="77777777" w:rsidR="00A2310C" w:rsidRPr="003A6783" w:rsidRDefault="00A2310C" w:rsidP="0000642C">
            <w:pPr>
              <w:spacing w:line="360" w:lineRule="auto"/>
              <w:rPr>
                <w:rFonts w:asciiTheme="majorBidi" w:hAnsiTheme="majorBidi" w:cstheme="majorBidi"/>
                <w:sz w:val="24"/>
                <w:szCs w:val="24"/>
                <w:lang w:val="en-GB"/>
              </w:rPr>
            </w:pPr>
            <w:r w:rsidRPr="003A6783">
              <w:rPr>
                <w:rFonts w:asciiTheme="majorBidi" w:hAnsiTheme="majorBidi" w:cstheme="majorBidi"/>
                <w:sz w:val="24"/>
                <w:szCs w:val="24"/>
                <w:lang w:val="en-GB"/>
              </w:rPr>
              <w:t xml:space="preserve">Project Engineer </w:t>
            </w:r>
          </w:p>
        </w:tc>
      </w:tr>
      <w:tr w:rsidR="00A2310C" w:rsidRPr="003A6783" w14:paraId="3F4868EC" w14:textId="77777777" w:rsidTr="0000642C">
        <w:trPr>
          <w:trHeight w:val="335"/>
        </w:trPr>
        <w:tc>
          <w:tcPr>
            <w:tcW w:w="1418" w:type="dxa"/>
          </w:tcPr>
          <w:p w14:paraId="47EA6D57" w14:textId="77777777" w:rsidR="00A2310C" w:rsidRPr="003A6783" w:rsidRDefault="00A2310C" w:rsidP="0000642C">
            <w:pPr>
              <w:spacing w:line="360" w:lineRule="auto"/>
              <w:rPr>
                <w:rFonts w:asciiTheme="majorBidi" w:hAnsiTheme="majorBidi" w:cstheme="majorBidi"/>
                <w:sz w:val="24"/>
                <w:szCs w:val="24"/>
              </w:rPr>
            </w:pPr>
            <w:r w:rsidRPr="003A6783">
              <w:rPr>
                <w:rFonts w:asciiTheme="majorBidi" w:hAnsiTheme="majorBidi" w:cstheme="majorBidi"/>
                <w:sz w:val="24"/>
                <w:szCs w:val="24"/>
                <w:lang w:val="en-GB"/>
              </w:rPr>
              <w:lastRenderedPageBreak/>
              <w:t>#6</w:t>
            </w:r>
          </w:p>
        </w:tc>
        <w:tc>
          <w:tcPr>
            <w:tcW w:w="2126" w:type="dxa"/>
          </w:tcPr>
          <w:p w14:paraId="0771727C" w14:textId="77777777" w:rsidR="00A2310C" w:rsidRPr="003A6783" w:rsidRDefault="00A2310C" w:rsidP="0000642C">
            <w:pPr>
              <w:spacing w:line="360" w:lineRule="auto"/>
              <w:rPr>
                <w:rFonts w:asciiTheme="majorBidi" w:hAnsiTheme="majorBidi" w:cstheme="majorBidi"/>
                <w:sz w:val="24"/>
                <w:szCs w:val="24"/>
              </w:rPr>
            </w:pPr>
            <w:r w:rsidRPr="003A6783">
              <w:rPr>
                <w:rFonts w:asciiTheme="majorBidi" w:hAnsiTheme="majorBidi" w:cstheme="majorBidi"/>
                <w:sz w:val="24"/>
                <w:szCs w:val="24"/>
                <w:lang w:val="en-GB"/>
              </w:rPr>
              <w:t>Sub-contractor</w:t>
            </w:r>
          </w:p>
        </w:tc>
        <w:tc>
          <w:tcPr>
            <w:tcW w:w="5382" w:type="dxa"/>
          </w:tcPr>
          <w:p w14:paraId="2641A44A" w14:textId="77777777" w:rsidR="00A2310C" w:rsidRPr="003A6783" w:rsidRDefault="00A2310C" w:rsidP="0000642C">
            <w:pPr>
              <w:spacing w:line="360" w:lineRule="auto"/>
              <w:rPr>
                <w:rFonts w:asciiTheme="majorBidi" w:hAnsiTheme="majorBidi" w:cstheme="majorBidi"/>
                <w:sz w:val="24"/>
                <w:szCs w:val="24"/>
              </w:rPr>
            </w:pPr>
            <w:r w:rsidRPr="003A6783">
              <w:rPr>
                <w:rFonts w:asciiTheme="majorBidi" w:hAnsiTheme="majorBidi" w:cstheme="majorBidi"/>
                <w:sz w:val="24"/>
                <w:szCs w:val="24"/>
                <w:lang w:val="en-GB"/>
              </w:rPr>
              <w:t>MEP Coordinator</w:t>
            </w:r>
          </w:p>
        </w:tc>
      </w:tr>
    </w:tbl>
    <w:p w14:paraId="34E990E0" w14:textId="77777777" w:rsidR="00BE16B0" w:rsidRDefault="00BE16B0">
      <w:pPr>
        <w:rPr>
          <w:rFonts w:asciiTheme="majorBidi" w:hAnsiTheme="majorBidi" w:cstheme="majorBidi"/>
          <w:sz w:val="24"/>
          <w:szCs w:val="24"/>
        </w:rPr>
      </w:pPr>
    </w:p>
    <w:p w14:paraId="3DC34AB9" w14:textId="06D19352" w:rsidR="0025594F" w:rsidRDefault="0025594F">
      <w:pPr>
        <w:rPr>
          <w:rFonts w:asciiTheme="majorBidi" w:hAnsiTheme="majorBidi" w:cstheme="majorBidi"/>
          <w:sz w:val="24"/>
          <w:szCs w:val="24"/>
        </w:rPr>
      </w:pPr>
      <w:r>
        <w:rPr>
          <w:rFonts w:asciiTheme="majorBidi" w:hAnsiTheme="majorBidi" w:cstheme="majorBidi"/>
          <w:sz w:val="24"/>
          <w:szCs w:val="24"/>
        </w:rPr>
        <w:t xml:space="preserve">Table </w:t>
      </w:r>
      <w:r w:rsidR="008232FB">
        <w:rPr>
          <w:rFonts w:asciiTheme="majorBidi" w:hAnsiTheme="majorBidi" w:cstheme="majorBidi"/>
          <w:sz w:val="24"/>
          <w:szCs w:val="24"/>
        </w:rPr>
        <w:t>I</w:t>
      </w:r>
      <w:r>
        <w:rPr>
          <w:rFonts w:asciiTheme="majorBidi" w:hAnsiTheme="majorBidi" w:cstheme="majorBidi"/>
          <w:sz w:val="24"/>
          <w:szCs w:val="24"/>
        </w:rPr>
        <w:t xml:space="preserve">V: </w:t>
      </w:r>
      <w:r w:rsidR="00BE16B0">
        <w:rPr>
          <w:rFonts w:asciiTheme="majorBidi" w:hAnsiTheme="majorBidi" w:cstheme="majorBidi"/>
          <w:sz w:val="24"/>
          <w:szCs w:val="24"/>
        </w:rPr>
        <w:t>Responses from the validation session conducted with the three construction firms in the U.A.E</w:t>
      </w:r>
    </w:p>
    <w:tbl>
      <w:tblPr>
        <w:tblStyle w:val="TableGrid"/>
        <w:tblW w:w="0" w:type="auto"/>
        <w:tblLook w:val="04A0" w:firstRow="1" w:lastRow="0" w:firstColumn="1" w:lastColumn="0" w:noHBand="0" w:noVBand="1"/>
      </w:tblPr>
      <w:tblGrid>
        <w:gridCol w:w="1838"/>
        <w:gridCol w:w="2410"/>
        <w:gridCol w:w="4768"/>
      </w:tblGrid>
      <w:tr w:rsidR="00BE16B0" w14:paraId="03DD5B62" w14:textId="77777777" w:rsidTr="003F69A4">
        <w:tc>
          <w:tcPr>
            <w:tcW w:w="1838" w:type="dxa"/>
            <w:shd w:val="clear" w:color="auto" w:fill="BFBFBF" w:themeFill="background1" w:themeFillShade="BF"/>
          </w:tcPr>
          <w:p w14:paraId="6D4AD6E7" w14:textId="46B2FAB2" w:rsidR="00BE16B0" w:rsidRPr="003F69A4" w:rsidRDefault="00163069">
            <w:pPr>
              <w:rPr>
                <w:rFonts w:asciiTheme="majorBidi" w:hAnsiTheme="majorBidi" w:cstheme="majorBidi"/>
                <w:b/>
                <w:bCs/>
                <w:sz w:val="24"/>
                <w:szCs w:val="24"/>
              </w:rPr>
            </w:pPr>
            <w:r w:rsidRPr="003F69A4">
              <w:rPr>
                <w:rFonts w:asciiTheme="majorBidi" w:hAnsiTheme="majorBidi" w:cstheme="majorBidi"/>
                <w:b/>
                <w:bCs/>
                <w:sz w:val="24"/>
                <w:szCs w:val="24"/>
              </w:rPr>
              <w:t>Thematic Area</w:t>
            </w:r>
          </w:p>
        </w:tc>
        <w:tc>
          <w:tcPr>
            <w:tcW w:w="2410" w:type="dxa"/>
            <w:shd w:val="clear" w:color="auto" w:fill="BFBFBF" w:themeFill="background1" w:themeFillShade="BF"/>
          </w:tcPr>
          <w:p w14:paraId="6B234544" w14:textId="2866DEBD" w:rsidR="00BE16B0" w:rsidRPr="003F69A4" w:rsidRDefault="00163069">
            <w:pPr>
              <w:rPr>
                <w:rFonts w:asciiTheme="majorBidi" w:hAnsiTheme="majorBidi" w:cstheme="majorBidi"/>
                <w:b/>
                <w:bCs/>
                <w:sz w:val="24"/>
                <w:szCs w:val="24"/>
              </w:rPr>
            </w:pPr>
            <w:r w:rsidRPr="003F69A4">
              <w:rPr>
                <w:rFonts w:asciiTheme="majorBidi" w:hAnsiTheme="majorBidi" w:cstheme="majorBidi"/>
                <w:b/>
                <w:bCs/>
                <w:sz w:val="24"/>
                <w:szCs w:val="24"/>
              </w:rPr>
              <w:t>Validation Focus</w:t>
            </w:r>
          </w:p>
        </w:tc>
        <w:tc>
          <w:tcPr>
            <w:tcW w:w="4768" w:type="dxa"/>
            <w:shd w:val="clear" w:color="auto" w:fill="BFBFBF" w:themeFill="background1" w:themeFillShade="BF"/>
          </w:tcPr>
          <w:p w14:paraId="43252A87" w14:textId="67B7E68F" w:rsidR="00BE16B0" w:rsidRPr="003F69A4" w:rsidRDefault="00163069">
            <w:pPr>
              <w:rPr>
                <w:rFonts w:asciiTheme="majorBidi" w:hAnsiTheme="majorBidi" w:cstheme="majorBidi"/>
                <w:b/>
                <w:bCs/>
                <w:sz w:val="24"/>
                <w:szCs w:val="24"/>
              </w:rPr>
            </w:pPr>
            <w:r w:rsidRPr="003F69A4">
              <w:rPr>
                <w:rFonts w:asciiTheme="majorBidi" w:hAnsiTheme="majorBidi" w:cstheme="majorBidi"/>
                <w:b/>
                <w:bCs/>
                <w:sz w:val="24"/>
                <w:szCs w:val="24"/>
              </w:rPr>
              <w:t>Summary of Responses</w:t>
            </w:r>
          </w:p>
        </w:tc>
      </w:tr>
      <w:tr w:rsidR="00BE16B0" w14:paraId="60EFA558" w14:textId="77777777" w:rsidTr="003F69A4">
        <w:tc>
          <w:tcPr>
            <w:tcW w:w="1838" w:type="dxa"/>
          </w:tcPr>
          <w:p w14:paraId="5E076603" w14:textId="19B3E319" w:rsidR="00BE16B0" w:rsidRDefault="003F69A4">
            <w:pPr>
              <w:rPr>
                <w:rFonts w:asciiTheme="majorBidi" w:hAnsiTheme="majorBidi" w:cstheme="majorBidi"/>
                <w:sz w:val="24"/>
                <w:szCs w:val="24"/>
              </w:rPr>
            </w:pPr>
            <w:r w:rsidRPr="003F69A4">
              <w:rPr>
                <w:rFonts w:asciiTheme="majorBidi" w:hAnsiTheme="majorBidi" w:cstheme="majorBidi"/>
                <w:sz w:val="24"/>
                <w:szCs w:val="24"/>
              </w:rPr>
              <w:t>Construct Coverage</w:t>
            </w:r>
          </w:p>
        </w:tc>
        <w:tc>
          <w:tcPr>
            <w:tcW w:w="2410" w:type="dxa"/>
          </w:tcPr>
          <w:p w14:paraId="5CE16FC2" w14:textId="1D1BEA5C" w:rsidR="00BE16B0" w:rsidRDefault="003F69A4">
            <w:pPr>
              <w:rPr>
                <w:rFonts w:asciiTheme="majorBidi" w:hAnsiTheme="majorBidi" w:cstheme="majorBidi"/>
                <w:sz w:val="24"/>
                <w:szCs w:val="24"/>
              </w:rPr>
            </w:pPr>
            <w:r w:rsidRPr="003F69A4">
              <w:rPr>
                <w:rFonts w:asciiTheme="majorBidi" w:hAnsiTheme="majorBidi" w:cstheme="majorBidi"/>
                <w:sz w:val="24"/>
                <w:szCs w:val="24"/>
              </w:rPr>
              <w:t>Captures key triggers of design changes and stakeholder roles</w:t>
            </w:r>
          </w:p>
        </w:tc>
        <w:tc>
          <w:tcPr>
            <w:tcW w:w="4768" w:type="dxa"/>
          </w:tcPr>
          <w:p w14:paraId="4F894A2E" w14:textId="433EBE43" w:rsidR="00BE16B0" w:rsidRDefault="003F69A4">
            <w:pPr>
              <w:rPr>
                <w:rFonts w:asciiTheme="majorBidi" w:hAnsiTheme="majorBidi" w:cstheme="majorBidi"/>
                <w:sz w:val="24"/>
                <w:szCs w:val="24"/>
              </w:rPr>
            </w:pPr>
            <w:r w:rsidRPr="003F69A4">
              <w:rPr>
                <w:rFonts w:asciiTheme="majorBidi" w:hAnsiTheme="majorBidi" w:cstheme="majorBidi"/>
                <w:sz w:val="24"/>
                <w:szCs w:val="24"/>
              </w:rPr>
              <w:t>Participants consistently agreed that the model accounted for the main drivers of design changes in UAE projects, such as client-initiated variations, regulatory and authority approvals, incomplete or late design information, and design coordination clashes. All six project managers confirmed that the major stakeholders were well represented (client, consultants, contractors, subcontractors, and authorities). One participant noted that the model could more explicitly acknowledge the role of project management consultants (PMCs), who often mediate design changes on large projects. Overall, no critical omissions were identified, and the breadth of coverage was regarded as comprehensive.</w:t>
            </w:r>
          </w:p>
        </w:tc>
      </w:tr>
      <w:tr w:rsidR="00BE16B0" w14:paraId="65E4F46D" w14:textId="77777777" w:rsidTr="003F69A4">
        <w:tc>
          <w:tcPr>
            <w:tcW w:w="1838" w:type="dxa"/>
          </w:tcPr>
          <w:p w14:paraId="64A70A9E" w14:textId="3A83D316" w:rsidR="00BE16B0" w:rsidRDefault="006D4285">
            <w:pPr>
              <w:rPr>
                <w:rFonts w:asciiTheme="majorBidi" w:hAnsiTheme="majorBidi" w:cstheme="majorBidi"/>
                <w:sz w:val="24"/>
                <w:szCs w:val="24"/>
              </w:rPr>
            </w:pPr>
            <w:r>
              <w:rPr>
                <w:rFonts w:asciiTheme="majorBidi" w:hAnsiTheme="majorBidi" w:cstheme="majorBidi"/>
                <w:sz w:val="24"/>
                <w:szCs w:val="24"/>
              </w:rPr>
              <w:t>Accuray of capturing issues</w:t>
            </w:r>
          </w:p>
        </w:tc>
        <w:tc>
          <w:tcPr>
            <w:tcW w:w="2410" w:type="dxa"/>
          </w:tcPr>
          <w:p w14:paraId="774F2D95" w14:textId="268A298A" w:rsidR="00BE16B0" w:rsidRDefault="006D4285">
            <w:pPr>
              <w:rPr>
                <w:rFonts w:asciiTheme="majorBidi" w:hAnsiTheme="majorBidi" w:cstheme="majorBidi"/>
                <w:sz w:val="24"/>
                <w:szCs w:val="24"/>
              </w:rPr>
            </w:pPr>
            <w:r w:rsidRPr="006D4285">
              <w:rPr>
                <w:rFonts w:asciiTheme="majorBidi" w:hAnsiTheme="majorBidi" w:cstheme="majorBidi"/>
                <w:sz w:val="24"/>
                <w:szCs w:val="24"/>
              </w:rPr>
              <w:t>Accuracy of relationships, feedback loops, and escalation paths</w:t>
            </w:r>
          </w:p>
        </w:tc>
        <w:tc>
          <w:tcPr>
            <w:tcW w:w="4768" w:type="dxa"/>
          </w:tcPr>
          <w:p w14:paraId="33949355" w14:textId="4E28349B" w:rsidR="00BE16B0" w:rsidRDefault="00CD3FA1">
            <w:pPr>
              <w:rPr>
                <w:rFonts w:asciiTheme="majorBidi" w:hAnsiTheme="majorBidi" w:cstheme="majorBidi"/>
                <w:sz w:val="24"/>
                <w:szCs w:val="24"/>
              </w:rPr>
            </w:pPr>
            <w:r w:rsidRPr="00CD3FA1">
              <w:rPr>
                <w:rFonts w:asciiTheme="majorBidi" w:hAnsiTheme="majorBidi" w:cstheme="majorBidi"/>
                <w:sz w:val="24"/>
                <w:szCs w:val="24"/>
              </w:rPr>
              <w:t>The feedback loops linking design changes, rework, and downstream scheduling delays were described as “realistic” and “directly reflective of on-site experience.” Several participants highlighted the usefulness of representing escalation pathways, such as how unresolved design clashes can trigger ripple effects across multiple disciplines. One participant from Firm B suggested greater emphasis on supply chain constraints as amplifiers of design change delays, particularly for imported materials. Others recommended clarifying the strength of influence between regulatory approvals and subsequent redesign cycles, as this was seen as a particularly strong cause of delay in the UAE context.</w:t>
            </w:r>
          </w:p>
        </w:tc>
      </w:tr>
      <w:tr w:rsidR="00BE16B0" w14:paraId="0F74282A" w14:textId="77777777" w:rsidTr="003F69A4">
        <w:tc>
          <w:tcPr>
            <w:tcW w:w="1838" w:type="dxa"/>
          </w:tcPr>
          <w:p w14:paraId="1B81DD8E" w14:textId="2FA3A385" w:rsidR="00BE16B0" w:rsidRDefault="00CD3FA1">
            <w:pPr>
              <w:rPr>
                <w:rFonts w:asciiTheme="majorBidi" w:hAnsiTheme="majorBidi" w:cstheme="majorBidi"/>
                <w:sz w:val="24"/>
                <w:szCs w:val="24"/>
              </w:rPr>
            </w:pPr>
            <w:r>
              <w:rPr>
                <w:rFonts w:asciiTheme="majorBidi" w:hAnsiTheme="majorBidi" w:cstheme="majorBidi"/>
                <w:sz w:val="24"/>
                <w:szCs w:val="24"/>
              </w:rPr>
              <w:t>Operational Feasibility</w:t>
            </w:r>
          </w:p>
        </w:tc>
        <w:tc>
          <w:tcPr>
            <w:tcW w:w="2410" w:type="dxa"/>
          </w:tcPr>
          <w:p w14:paraId="601D4FE6" w14:textId="331F5913" w:rsidR="00BE16B0" w:rsidRDefault="00CD3FA1">
            <w:pPr>
              <w:rPr>
                <w:rFonts w:asciiTheme="majorBidi" w:hAnsiTheme="majorBidi" w:cstheme="majorBidi"/>
                <w:sz w:val="24"/>
                <w:szCs w:val="24"/>
              </w:rPr>
            </w:pPr>
            <w:r w:rsidRPr="00CD3FA1">
              <w:rPr>
                <w:rFonts w:asciiTheme="majorBidi" w:hAnsiTheme="majorBidi" w:cstheme="majorBidi"/>
                <w:sz w:val="24"/>
                <w:szCs w:val="24"/>
              </w:rPr>
              <w:t>Alignment with available project records and data sources</w:t>
            </w:r>
          </w:p>
        </w:tc>
        <w:tc>
          <w:tcPr>
            <w:tcW w:w="4768" w:type="dxa"/>
          </w:tcPr>
          <w:p w14:paraId="5F8F170D" w14:textId="596858B4" w:rsidR="00BE16B0" w:rsidRDefault="00CD3FA1">
            <w:pPr>
              <w:rPr>
                <w:rFonts w:asciiTheme="majorBidi" w:hAnsiTheme="majorBidi" w:cstheme="majorBidi"/>
                <w:sz w:val="24"/>
                <w:szCs w:val="24"/>
              </w:rPr>
            </w:pPr>
            <w:r w:rsidRPr="00CD3FA1">
              <w:rPr>
                <w:rFonts w:asciiTheme="majorBidi" w:hAnsiTheme="majorBidi" w:cstheme="majorBidi"/>
                <w:sz w:val="24"/>
                <w:szCs w:val="24"/>
              </w:rPr>
              <w:t xml:space="preserve">All participants confirmed that the constructs mapped well onto existing project documentation, such as RFI logs, change orders, shop drawing submissions, and authority approval records. This was viewed as a strength because it means the model can be operationalised using data that project teams already collect. However, two managers raised concerns about the variability in the quality of </w:t>
            </w:r>
            <w:r w:rsidRPr="00CD3FA1">
              <w:rPr>
                <w:rFonts w:asciiTheme="majorBidi" w:hAnsiTheme="majorBidi" w:cstheme="majorBidi"/>
                <w:sz w:val="24"/>
                <w:szCs w:val="24"/>
              </w:rPr>
              <w:lastRenderedPageBreak/>
              <w:t>subcontractor documentation, which can limit data accuracy. Another participant noted that while the model was data-friendly, smaller firms may face challenges in systematically capturing the required information without digital tools.</w:t>
            </w:r>
          </w:p>
        </w:tc>
      </w:tr>
      <w:tr w:rsidR="00BE16B0" w14:paraId="691D2628" w14:textId="77777777" w:rsidTr="003F69A4">
        <w:tc>
          <w:tcPr>
            <w:tcW w:w="1838" w:type="dxa"/>
          </w:tcPr>
          <w:p w14:paraId="76358FF2" w14:textId="071D9196" w:rsidR="00BE16B0" w:rsidRDefault="002529FE">
            <w:pPr>
              <w:rPr>
                <w:rFonts w:asciiTheme="majorBidi" w:hAnsiTheme="majorBidi" w:cstheme="majorBidi"/>
                <w:sz w:val="24"/>
                <w:szCs w:val="24"/>
              </w:rPr>
            </w:pPr>
            <w:r>
              <w:rPr>
                <w:rFonts w:asciiTheme="majorBidi" w:hAnsiTheme="majorBidi" w:cstheme="majorBidi"/>
                <w:sz w:val="24"/>
                <w:szCs w:val="24"/>
              </w:rPr>
              <w:lastRenderedPageBreak/>
              <w:t>Applicability</w:t>
            </w:r>
          </w:p>
        </w:tc>
        <w:tc>
          <w:tcPr>
            <w:tcW w:w="2410" w:type="dxa"/>
          </w:tcPr>
          <w:p w14:paraId="7FE03C0F" w14:textId="1684A979" w:rsidR="00BE16B0" w:rsidRDefault="007A30CE">
            <w:pPr>
              <w:rPr>
                <w:rFonts w:asciiTheme="majorBidi" w:hAnsiTheme="majorBidi" w:cstheme="majorBidi"/>
                <w:sz w:val="24"/>
                <w:szCs w:val="24"/>
              </w:rPr>
            </w:pPr>
            <w:r w:rsidRPr="007A30CE">
              <w:rPr>
                <w:rFonts w:asciiTheme="majorBidi" w:hAnsiTheme="majorBidi" w:cstheme="majorBidi"/>
                <w:sz w:val="24"/>
                <w:szCs w:val="24"/>
              </w:rPr>
              <w:t>Transferability across project types and procurement contexts</w:t>
            </w:r>
          </w:p>
        </w:tc>
        <w:tc>
          <w:tcPr>
            <w:tcW w:w="4768" w:type="dxa"/>
          </w:tcPr>
          <w:p w14:paraId="586D031C" w14:textId="4E381EB1" w:rsidR="00BE16B0" w:rsidRDefault="007A30CE">
            <w:pPr>
              <w:rPr>
                <w:rFonts w:asciiTheme="majorBidi" w:hAnsiTheme="majorBidi" w:cstheme="majorBidi"/>
                <w:sz w:val="24"/>
                <w:szCs w:val="24"/>
              </w:rPr>
            </w:pPr>
            <w:r w:rsidRPr="007A30CE">
              <w:rPr>
                <w:rFonts w:asciiTheme="majorBidi" w:hAnsiTheme="majorBidi" w:cstheme="majorBidi"/>
                <w:sz w:val="24"/>
                <w:szCs w:val="24"/>
              </w:rPr>
              <w:t>The model was generally regarded as applicable to both building and infrastructure projects under common UAE procurement arrangements. Project managers noted that the logic of design change impacts holds across a variety of project sizes, from mid-rise commercial developments to large-scale infrastructure. Nonetheless, one participant cautioned that projects with highly specialised technical requirements, such as oil and gas facilities, may require additional constructs (e.g., interface with international safety standards). Another suggested that adaptation may also be needed for design-and-build contracts, where contractor-led design introduces different dynamics of change.</w:t>
            </w:r>
          </w:p>
        </w:tc>
      </w:tr>
      <w:tr w:rsidR="007A30CE" w14:paraId="50461AD2" w14:textId="77777777" w:rsidTr="003F69A4">
        <w:tc>
          <w:tcPr>
            <w:tcW w:w="1838" w:type="dxa"/>
          </w:tcPr>
          <w:p w14:paraId="2A20D15F" w14:textId="185B2FF7" w:rsidR="007A30CE" w:rsidRDefault="00956565">
            <w:pPr>
              <w:rPr>
                <w:rFonts w:asciiTheme="majorBidi" w:hAnsiTheme="majorBidi" w:cstheme="majorBidi"/>
                <w:sz w:val="24"/>
                <w:szCs w:val="24"/>
              </w:rPr>
            </w:pPr>
            <w:r w:rsidRPr="00956565">
              <w:rPr>
                <w:rFonts w:asciiTheme="majorBidi" w:hAnsiTheme="majorBidi" w:cstheme="majorBidi"/>
                <w:sz w:val="24"/>
                <w:szCs w:val="24"/>
              </w:rPr>
              <w:t>Predictive and Solution-Oriented Value</w:t>
            </w:r>
          </w:p>
        </w:tc>
        <w:tc>
          <w:tcPr>
            <w:tcW w:w="2410" w:type="dxa"/>
          </w:tcPr>
          <w:p w14:paraId="480CE501" w14:textId="3AE517E0" w:rsidR="007A30CE" w:rsidRPr="007A30CE" w:rsidRDefault="00AE6753">
            <w:pPr>
              <w:rPr>
                <w:rFonts w:asciiTheme="majorBidi" w:hAnsiTheme="majorBidi" w:cstheme="majorBidi"/>
                <w:sz w:val="24"/>
                <w:szCs w:val="24"/>
              </w:rPr>
            </w:pPr>
            <w:r w:rsidRPr="00AE6753">
              <w:rPr>
                <w:rFonts w:asciiTheme="majorBidi" w:hAnsiTheme="majorBidi" w:cstheme="majorBidi"/>
                <w:sz w:val="24"/>
                <w:szCs w:val="24"/>
              </w:rPr>
              <w:t>Ability to anticipate CoD-related delays and support proactive decisions</w:t>
            </w:r>
          </w:p>
        </w:tc>
        <w:tc>
          <w:tcPr>
            <w:tcW w:w="4768" w:type="dxa"/>
          </w:tcPr>
          <w:p w14:paraId="31BA39BF" w14:textId="5582A184" w:rsidR="007A30CE" w:rsidRPr="007A30CE" w:rsidRDefault="005214D6">
            <w:pPr>
              <w:rPr>
                <w:rFonts w:asciiTheme="majorBidi" w:hAnsiTheme="majorBidi" w:cstheme="majorBidi"/>
                <w:sz w:val="24"/>
                <w:szCs w:val="24"/>
              </w:rPr>
            </w:pPr>
            <w:r w:rsidRPr="005214D6">
              <w:rPr>
                <w:rFonts w:asciiTheme="majorBidi" w:hAnsiTheme="majorBidi" w:cstheme="majorBidi"/>
                <w:sz w:val="24"/>
                <w:szCs w:val="24"/>
              </w:rPr>
              <w:t xml:space="preserve">Participants unanimously highlighted the potential of the model as a forward-looking tool. They reported that it could help anticipate design-related risks by making causal pathways more transparent. Several noted that the model could support practical mitigation measures such as establishing clear design freeze points, resequencing activities to absorb late design inputs, or strengthening change management protocols. One project manager commented that the model “would </w:t>
            </w:r>
            <w:r w:rsidR="003D5EE5">
              <w:rPr>
                <w:rFonts w:asciiTheme="majorBidi" w:hAnsiTheme="majorBidi" w:cstheme="majorBidi"/>
                <w:sz w:val="24"/>
                <w:szCs w:val="24"/>
              </w:rPr>
              <w:t>help to</w:t>
            </w:r>
            <w:r w:rsidRPr="005214D6">
              <w:rPr>
                <w:rFonts w:asciiTheme="majorBidi" w:hAnsiTheme="majorBidi" w:cstheme="majorBidi"/>
                <w:sz w:val="24"/>
                <w:szCs w:val="24"/>
              </w:rPr>
              <w:t xml:space="preserve"> avoid a major dispute on a previous project” by clarifying the chain of causation for a design-related delay claim. This reinforced the view that the model has tangible value in both risk management and dispute avoidance.</w:t>
            </w:r>
          </w:p>
        </w:tc>
      </w:tr>
    </w:tbl>
    <w:p w14:paraId="49F6199C" w14:textId="77777777" w:rsidR="00BE16B0" w:rsidRDefault="00BE16B0">
      <w:pPr>
        <w:rPr>
          <w:rFonts w:asciiTheme="majorBidi" w:hAnsiTheme="majorBidi" w:cstheme="majorBidi"/>
          <w:sz w:val="24"/>
          <w:szCs w:val="24"/>
        </w:rPr>
      </w:pPr>
    </w:p>
    <w:p w14:paraId="5D339633" w14:textId="1B722BE1" w:rsidR="008232FB" w:rsidRDefault="008232FB" w:rsidP="008232FB">
      <w:pPr>
        <w:jc w:val="both"/>
        <w:rPr>
          <w:rFonts w:asciiTheme="majorBidi" w:hAnsiTheme="majorBidi" w:cstheme="majorBidi"/>
          <w:sz w:val="24"/>
          <w:szCs w:val="24"/>
        </w:rPr>
      </w:pPr>
      <w:r>
        <w:rPr>
          <w:rFonts w:asciiTheme="majorBidi" w:hAnsiTheme="majorBidi" w:cstheme="majorBidi"/>
          <w:sz w:val="24"/>
          <w:szCs w:val="24"/>
        </w:rPr>
        <w:t>Table V: Examples on how to use the model developed to manage CoD Events</w:t>
      </w:r>
    </w:p>
    <w:tbl>
      <w:tblPr>
        <w:tblStyle w:val="TableGrid"/>
        <w:tblW w:w="0" w:type="auto"/>
        <w:tblLook w:val="04A0" w:firstRow="1" w:lastRow="0" w:firstColumn="1" w:lastColumn="0" w:noHBand="0" w:noVBand="1"/>
      </w:tblPr>
      <w:tblGrid>
        <w:gridCol w:w="2028"/>
        <w:gridCol w:w="2229"/>
        <w:gridCol w:w="2523"/>
        <w:gridCol w:w="2236"/>
      </w:tblGrid>
      <w:tr w:rsidR="008232FB" w14:paraId="79C611C0" w14:textId="77777777" w:rsidTr="00B334D8">
        <w:tc>
          <w:tcPr>
            <w:tcW w:w="2254" w:type="dxa"/>
            <w:shd w:val="clear" w:color="auto" w:fill="BFBFBF" w:themeFill="background1" w:themeFillShade="BF"/>
          </w:tcPr>
          <w:p w14:paraId="1F1609A2" w14:textId="77777777" w:rsidR="008232FB" w:rsidRPr="00A2310C" w:rsidRDefault="008232FB" w:rsidP="00B334D8">
            <w:pPr>
              <w:jc w:val="both"/>
              <w:rPr>
                <w:rFonts w:asciiTheme="majorBidi" w:hAnsiTheme="majorBidi" w:cstheme="majorBidi"/>
                <w:b/>
                <w:bCs/>
                <w:sz w:val="24"/>
                <w:szCs w:val="24"/>
              </w:rPr>
            </w:pPr>
            <w:r w:rsidRPr="00A2310C">
              <w:rPr>
                <w:rFonts w:asciiTheme="majorBidi" w:hAnsiTheme="majorBidi" w:cstheme="majorBidi"/>
                <w:b/>
                <w:bCs/>
                <w:sz w:val="24"/>
                <w:szCs w:val="24"/>
              </w:rPr>
              <w:t>CoD event</w:t>
            </w:r>
          </w:p>
        </w:tc>
        <w:tc>
          <w:tcPr>
            <w:tcW w:w="2254" w:type="dxa"/>
            <w:shd w:val="clear" w:color="auto" w:fill="BFBFBF" w:themeFill="background1" w:themeFillShade="BF"/>
          </w:tcPr>
          <w:p w14:paraId="2B7C3CEE" w14:textId="77777777" w:rsidR="008232FB" w:rsidRPr="00A2310C" w:rsidRDefault="008232FB" w:rsidP="00B334D8">
            <w:pPr>
              <w:jc w:val="both"/>
              <w:rPr>
                <w:rFonts w:asciiTheme="majorBidi" w:hAnsiTheme="majorBidi" w:cstheme="majorBidi"/>
                <w:b/>
                <w:bCs/>
                <w:sz w:val="24"/>
                <w:szCs w:val="24"/>
              </w:rPr>
            </w:pPr>
            <w:r w:rsidRPr="00A2310C">
              <w:rPr>
                <w:rFonts w:asciiTheme="majorBidi" w:hAnsiTheme="majorBidi" w:cstheme="majorBidi"/>
                <w:b/>
                <w:bCs/>
                <w:sz w:val="24"/>
                <w:szCs w:val="24"/>
              </w:rPr>
              <w:t>Stakeholders Impacted</w:t>
            </w:r>
          </w:p>
        </w:tc>
        <w:tc>
          <w:tcPr>
            <w:tcW w:w="2254" w:type="dxa"/>
            <w:shd w:val="clear" w:color="auto" w:fill="BFBFBF" w:themeFill="background1" w:themeFillShade="BF"/>
          </w:tcPr>
          <w:p w14:paraId="583A4F53" w14:textId="77777777" w:rsidR="008232FB" w:rsidRPr="00A2310C" w:rsidRDefault="008232FB" w:rsidP="00B334D8">
            <w:pPr>
              <w:jc w:val="both"/>
              <w:rPr>
                <w:rFonts w:asciiTheme="majorBidi" w:hAnsiTheme="majorBidi" w:cstheme="majorBidi"/>
                <w:b/>
                <w:bCs/>
                <w:sz w:val="24"/>
                <w:szCs w:val="24"/>
              </w:rPr>
            </w:pPr>
            <w:r w:rsidRPr="00A2310C">
              <w:rPr>
                <w:rFonts w:asciiTheme="majorBidi" w:hAnsiTheme="majorBidi" w:cstheme="majorBidi"/>
                <w:b/>
                <w:bCs/>
                <w:sz w:val="24"/>
                <w:szCs w:val="24"/>
              </w:rPr>
              <w:t>Implications on Project Phases</w:t>
            </w:r>
          </w:p>
        </w:tc>
        <w:tc>
          <w:tcPr>
            <w:tcW w:w="2254" w:type="dxa"/>
            <w:shd w:val="clear" w:color="auto" w:fill="BFBFBF" w:themeFill="background1" w:themeFillShade="BF"/>
          </w:tcPr>
          <w:p w14:paraId="50020D53" w14:textId="77777777" w:rsidR="008232FB" w:rsidRPr="00A2310C" w:rsidRDefault="008232FB" w:rsidP="00B334D8">
            <w:pPr>
              <w:jc w:val="both"/>
              <w:rPr>
                <w:rFonts w:asciiTheme="majorBidi" w:hAnsiTheme="majorBidi" w:cstheme="majorBidi"/>
                <w:b/>
                <w:bCs/>
                <w:sz w:val="24"/>
                <w:szCs w:val="24"/>
              </w:rPr>
            </w:pPr>
            <w:r w:rsidRPr="00A2310C">
              <w:rPr>
                <w:rFonts w:asciiTheme="majorBidi" w:hAnsiTheme="majorBidi" w:cstheme="majorBidi"/>
                <w:b/>
                <w:bCs/>
                <w:sz w:val="24"/>
                <w:szCs w:val="24"/>
              </w:rPr>
              <w:t>Project factors</w:t>
            </w:r>
          </w:p>
        </w:tc>
      </w:tr>
      <w:tr w:rsidR="008232FB" w14:paraId="7F189DA9" w14:textId="77777777" w:rsidTr="00B334D8">
        <w:tc>
          <w:tcPr>
            <w:tcW w:w="2254" w:type="dxa"/>
          </w:tcPr>
          <w:p w14:paraId="3EA3E278" w14:textId="77777777" w:rsidR="008232FB" w:rsidRDefault="008232FB" w:rsidP="00B334D8">
            <w:pPr>
              <w:rPr>
                <w:rFonts w:asciiTheme="majorBidi" w:hAnsiTheme="majorBidi" w:cstheme="majorBidi"/>
                <w:sz w:val="24"/>
                <w:szCs w:val="24"/>
              </w:rPr>
            </w:pPr>
            <w:r w:rsidRPr="004C484D">
              <w:rPr>
                <w:rFonts w:asciiTheme="majorBidi" w:hAnsiTheme="majorBidi" w:cstheme="majorBidi"/>
                <w:sz w:val="24"/>
                <w:szCs w:val="24"/>
              </w:rPr>
              <w:t>Change of Curtain Wall System specification</w:t>
            </w:r>
          </w:p>
        </w:tc>
        <w:tc>
          <w:tcPr>
            <w:tcW w:w="2254" w:type="dxa"/>
          </w:tcPr>
          <w:p w14:paraId="3033E8D7"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t>Design Team:</w:t>
            </w:r>
          </w:p>
          <w:p w14:paraId="52785260" w14:textId="77777777" w:rsidR="008232FB" w:rsidRPr="004C484D" w:rsidRDefault="008232FB" w:rsidP="00B334D8">
            <w:pPr>
              <w:numPr>
                <w:ilvl w:val="0"/>
                <w:numId w:val="1"/>
              </w:numPr>
              <w:rPr>
                <w:rFonts w:asciiTheme="majorBidi" w:hAnsiTheme="majorBidi" w:cstheme="majorBidi"/>
                <w:sz w:val="24"/>
                <w:szCs w:val="24"/>
              </w:rPr>
            </w:pPr>
            <w:r w:rsidRPr="004C484D">
              <w:rPr>
                <w:rFonts w:asciiTheme="majorBidi" w:hAnsiTheme="majorBidi" w:cstheme="majorBidi"/>
                <w:sz w:val="24"/>
                <w:szCs w:val="24"/>
              </w:rPr>
              <w:t>Design Adjustment</w:t>
            </w:r>
          </w:p>
          <w:p w14:paraId="6CFD17A5" w14:textId="77777777" w:rsidR="008232FB" w:rsidRPr="002F3DFB" w:rsidRDefault="008232FB" w:rsidP="00B334D8">
            <w:pPr>
              <w:numPr>
                <w:ilvl w:val="0"/>
                <w:numId w:val="1"/>
              </w:numPr>
              <w:rPr>
                <w:rFonts w:asciiTheme="majorBidi" w:hAnsiTheme="majorBidi" w:cstheme="majorBidi"/>
                <w:sz w:val="24"/>
                <w:szCs w:val="24"/>
              </w:rPr>
            </w:pPr>
            <w:r w:rsidRPr="004C484D">
              <w:rPr>
                <w:rFonts w:asciiTheme="majorBidi" w:hAnsiTheme="majorBidi" w:cstheme="majorBidi"/>
                <w:sz w:val="24"/>
                <w:szCs w:val="24"/>
              </w:rPr>
              <w:t>Structural calculations</w:t>
            </w:r>
          </w:p>
          <w:p w14:paraId="44810EED"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t>Contractor Team:</w:t>
            </w:r>
          </w:p>
          <w:p w14:paraId="262668D9" w14:textId="77777777" w:rsidR="008232FB" w:rsidRPr="004C484D" w:rsidRDefault="008232FB" w:rsidP="00B334D8">
            <w:pPr>
              <w:numPr>
                <w:ilvl w:val="0"/>
                <w:numId w:val="2"/>
              </w:numPr>
              <w:rPr>
                <w:rFonts w:asciiTheme="majorBidi" w:hAnsiTheme="majorBidi" w:cstheme="majorBidi"/>
                <w:sz w:val="24"/>
                <w:szCs w:val="24"/>
              </w:rPr>
            </w:pPr>
            <w:r w:rsidRPr="004C484D">
              <w:rPr>
                <w:rFonts w:asciiTheme="majorBidi" w:hAnsiTheme="majorBidi" w:cstheme="majorBidi"/>
                <w:sz w:val="24"/>
                <w:szCs w:val="24"/>
              </w:rPr>
              <w:t>Procurement</w:t>
            </w:r>
          </w:p>
          <w:p w14:paraId="2A912300"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lastRenderedPageBreak/>
              <w:t>Client:</w:t>
            </w:r>
          </w:p>
          <w:p w14:paraId="1CF88C7F" w14:textId="77777777" w:rsidR="008232FB" w:rsidRPr="00A2310C" w:rsidRDefault="008232FB" w:rsidP="008232FB">
            <w:pPr>
              <w:pStyle w:val="ListParagraph"/>
              <w:numPr>
                <w:ilvl w:val="0"/>
                <w:numId w:val="9"/>
              </w:numPr>
              <w:jc w:val="both"/>
              <w:rPr>
                <w:rFonts w:asciiTheme="majorBidi" w:hAnsiTheme="majorBidi" w:cstheme="majorBidi"/>
                <w:sz w:val="24"/>
                <w:szCs w:val="24"/>
              </w:rPr>
            </w:pPr>
            <w:r w:rsidRPr="00A2310C">
              <w:rPr>
                <w:rFonts w:asciiTheme="majorBidi" w:hAnsiTheme="majorBidi" w:cstheme="majorBidi"/>
                <w:sz w:val="24"/>
                <w:szCs w:val="24"/>
              </w:rPr>
              <w:t>Budget Implications</w:t>
            </w:r>
          </w:p>
        </w:tc>
        <w:tc>
          <w:tcPr>
            <w:tcW w:w="2254" w:type="dxa"/>
          </w:tcPr>
          <w:p w14:paraId="0632A148"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lastRenderedPageBreak/>
              <w:t>Design:</w:t>
            </w:r>
          </w:p>
          <w:p w14:paraId="5F620306" w14:textId="77777777" w:rsidR="008232FB" w:rsidRPr="00FB2EE3" w:rsidRDefault="008232FB" w:rsidP="008232FB">
            <w:pPr>
              <w:numPr>
                <w:ilvl w:val="0"/>
                <w:numId w:val="4"/>
              </w:numPr>
              <w:rPr>
                <w:rFonts w:asciiTheme="majorBidi" w:hAnsiTheme="majorBidi" w:cstheme="majorBidi"/>
                <w:sz w:val="24"/>
                <w:szCs w:val="24"/>
              </w:rPr>
            </w:pPr>
            <w:r w:rsidRPr="004C484D">
              <w:rPr>
                <w:rFonts w:asciiTheme="majorBidi" w:hAnsiTheme="majorBidi" w:cstheme="majorBidi"/>
                <w:sz w:val="24"/>
                <w:szCs w:val="24"/>
              </w:rPr>
              <w:t>Miscoordination between project team members</w:t>
            </w:r>
          </w:p>
          <w:p w14:paraId="4E1ADC0A"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t>Construction:</w:t>
            </w:r>
          </w:p>
          <w:p w14:paraId="777843D2" w14:textId="77777777" w:rsidR="008232FB" w:rsidRPr="00FB2EE3" w:rsidRDefault="008232FB" w:rsidP="008232FB">
            <w:pPr>
              <w:numPr>
                <w:ilvl w:val="0"/>
                <w:numId w:val="5"/>
              </w:numPr>
              <w:rPr>
                <w:rFonts w:asciiTheme="majorBidi" w:hAnsiTheme="majorBidi" w:cstheme="majorBidi"/>
                <w:sz w:val="24"/>
                <w:szCs w:val="24"/>
              </w:rPr>
            </w:pPr>
            <w:r w:rsidRPr="004C484D">
              <w:rPr>
                <w:rFonts w:asciiTheme="majorBidi" w:hAnsiTheme="majorBidi" w:cstheme="majorBidi"/>
                <w:sz w:val="24"/>
                <w:szCs w:val="24"/>
              </w:rPr>
              <w:t>Procurement and scheduling</w:t>
            </w:r>
          </w:p>
          <w:p w14:paraId="5BCEC779"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lastRenderedPageBreak/>
              <w:t>Post-construction:</w:t>
            </w:r>
          </w:p>
          <w:p w14:paraId="26C75449" w14:textId="77777777" w:rsidR="008232FB" w:rsidRPr="00A2310C" w:rsidRDefault="008232FB" w:rsidP="008232FB">
            <w:pPr>
              <w:pStyle w:val="ListParagraph"/>
              <w:numPr>
                <w:ilvl w:val="0"/>
                <w:numId w:val="8"/>
              </w:numPr>
              <w:jc w:val="both"/>
              <w:rPr>
                <w:rFonts w:asciiTheme="majorBidi" w:hAnsiTheme="majorBidi" w:cstheme="majorBidi"/>
                <w:sz w:val="24"/>
                <w:szCs w:val="24"/>
              </w:rPr>
            </w:pPr>
            <w:r w:rsidRPr="00A2310C">
              <w:rPr>
                <w:rFonts w:asciiTheme="majorBidi" w:hAnsiTheme="majorBidi" w:cstheme="majorBidi"/>
                <w:sz w:val="24"/>
                <w:szCs w:val="24"/>
              </w:rPr>
              <w:t>Maintenance Management</w:t>
            </w:r>
          </w:p>
        </w:tc>
        <w:tc>
          <w:tcPr>
            <w:tcW w:w="2254" w:type="dxa"/>
          </w:tcPr>
          <w:p w14:paraId="47F93A81" w14:textId="77777777" w:rsidR="008232FB" w:rsidRPr="004C484D" w:rsidRDefault="008232FB" w:rsidP="00B334D8">
            <w:pPr>
              <w:rPr>
                <w:rFonts w:asciiTheme="majorBidi" w:hAnsiTheme="majorBidi" w:cstheme="majorBidi"/>
                <w:sz w:val="24"/>
                <w:szCs w:val="24"/>
              </w:rPr>
            </w:pPr>
            <w:r w:rsidRPr="004C484D">
              <w:rPr>
                <w:rFonts w:asciiTheme="majorBidi" w:hAnsiTheme="majorBidi" w:cstheme="majorBidi"/>
                <w:sz w:val="24"/>
                <w:szCs w:val="24"/>
              </w:rPr>
              <w:lastRenderedPageBreak/>
              <w:t>Site Conditions:</w:t>
            </w:r>
          </w:p>
          <w:p w14:paraId="3F46335E" w14:textId="77777777" w:rsidR="008232FB" w:rsidRPr="00864495" w:rsidRDefault="008232FB" w:rsidP="008232FB">
            <w:pPr>
              <w:pStyle w:val="ListParagraph"/>
              <w:numPr>
                <w:ilvl w:val="0"/>
                <w:numId w:val="7"/>
              </w:numPr>
              <w:rPr>
                <w:rFonts w:asciiTheme="majorBidi" w:hAnsiTheme="majorBidi" w:cstheme="majorBidi"/>
                <w:sz w:val="24"/>
                <w:szCs w:val="24"/>
              </w:rPr>
            </w:pPr>
            <w:r w:rsidRPr="00864495">
              <w:rPr>
                <w:rFonts w:asciiTheme="majorBidi" w:hAnsiTheme="majorBidi" w:cstheme="majorBidi"/>
                <w:sz w:val="24"/>
                <w:szCs w:val="24"/>
              </w:rPr>
              <w:t>Site machinery requirements</w:t>
            </w:r>
          </w:p>
          <w:p w14:paraId="032D6216" w14:textId="77777777" w:rsidR="008232FB" w:rsidRPr="00A2310C" w:rsidRDefault="008232FB" w:rsidP="008232FB">
            <w:pPr>
              <w:pStyle w:val="ListParagraph"/>
              <w:numPr>
                <w:ilvl w:val="0"/>
                <w:numId w:val="7"/>
              </w:numPr>
              <w:rPr>
                <w:rFonts w:asciiTheme="majorBidi" w:hAnsiTheme="majorBidi" w:cstheme="majorBidi"/>
                <w:sz w:val="24"/>
                <w:szCs w:val="24"/>
              </w:rPr>
            </w:pPr>
            <w:r w:rsidRPr="00864495">
              <w:rPr>
                <w:rFonts w:asciiTheme="majorBidi" w:hAnsiTheme="majorBidi" w:cstheme="majorBidi"/>
                <w:sz w:val="24"/>
                <w:szCs w:val="24"/>
              </w:rPr>
              <w:t>Logistics</w:t>
            </w:r>
            <w:r>
              <w:rPr>
                <w:rFonts w:asciiTheme="majorBidi" w:hAnsiTheme="majorBidi" w:cstheme="majorBidi"/>
                <w:sz w:val="24"/>
                <w:szCs w:val="24"/>
              </w:rPr>
              <w:t xml:space="preserve"> </w:t>
            </w:r>
            <w:r w:rsidRPr="00A2310C">
              <w:rPr>
                <w:rFonts w:asciiTheme="majorBidi" w:hAnsiTheme="majorBidi" w:cstheme="majorBidi"/>
                <w:sz w:val="24"/>
                <w:szCs w:val="24"/>
              </w:rPr>
              <w:t>Waste</w:t>
            </w:r>
          </w:p>
        </w:tc>
      </w:tr>
    </w:tbl>
    <w:p w14:paraId="299955B2" w14:textId="77777777" w:rsidR="00BE16B0" w:rsidRPr="0025594F" w:rsidRDefault="00BE16B0">
      <w:pPr>
        <w:rPr>
          <w:rFonts w:asciiTheme="majorBidi" w:hAnsiTheme="majorBidi" w:cstheme="majorBidi"/>
          <w:sz w:val="24"/>
          <w:szCs w:val="24"/>
        </w:rPr>
      </w:pPr>
    </w:p>
    <w:sectPr w:rsidR="00BE16B0" w:rsidRPr="00255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50F"/>
    <w:multiLevelType w:val="hybridMultilevel"/>
    <w:tmpl w:val="00121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363FA"/>
    <w:multiLevelType w:val="multilevel"/>
    <w:tmpl w:val="5F40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85A36"/>
    <w:multiLevelType w:val="multilevel"/>
    <w:tmpl w:val="34EEE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333E5"/>
    <w:multiLevelType w:val="hybridMultilevel"/>
    <w:tmpl w:val="2B20D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59197F"/>
    <w:multiLevelType w:val="multilevel"/>
    <w:tmpl w:val="B906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F01EED"/>
    <w:multiLevelType w:val="multilevel"/>
    <w:tmpl w:val="3EF8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790F5B"/>
    <w:multiLevelType w:val="hybridMultilevel"/>
    <w:tmpl w:val="B608E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997106"/>
    <w:multiLevelType w:val="multilevel"/>
    <w:tmpl w:val="8AC2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C2683F"/>
    <w:multiLevelType w:val="multilevel"/>
    <w:tmpl w:val="0BCCF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750276">
    <w:abstractNumId w:val="7"/>
  </w:num>
  <w:num w:numId="2" w16cid:durableId="1162116739">
    <w:abstractNumId w:val="2"/>
  </w:num>
  <w:num w:numId="3" w16cid:durableId="251161365">
    <w:abstractNumId w:val="4"/>
  </w:num>
  <w:num w:numId="4" w16cid:durableId="792283420">
    <w:abstractNumId w:val="5"/>
  </w:num>
  <w:num w:numId="5" w16cid:durableId="373778261">
    <w:abstractNumId w:val="8"/>
  </w:num>
  <w:num w:numId="6" w16cid:durableId="893471021">
    <w:abstractNumId w:val="1"/>
  </w:num>
  <w:num w:numId="7" w16cid:durableId="2066181291">
    <w:abstractNumId w:val="3"/>
  </w:num>
  <w:num w:numId="8" w16cid:durableId="579557318">
    <w:abstractNumId w:val="0"/>
  </w:num>
  <w:num w:numId="9" w16cid:durableId="5182794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10C"/>
    <w:rsid w:val="00091905"/>
    <w:rsid w:val="000C4FDC"/>
    <w:rsid w:val="00163069"/>
    <w:rsid w:val="002529FE"/>
    <w:rsid w:val="0025594F"/>
    <w:rsid w:val="00322929"/>
    <w:rsid w:val="003D5EE5"/>
    <w:rsid w:val="003F69A4"/>
    <w:rsid w:val="005214D6"/>
    <w:rsid w:val="00636AB0"/>
    <w:rsid w:val="006C2A80"/>
    <w:rsid w:val="006D4285"/>
    <w:rsid w:val="007874E0"/>
    <w:rsid w:val="007A30CE"/>
    <w:rsid w:val="008232FB"/>
    <w:rsid w:val="00956565"/>
    <w:rsid w:val="00A2310C"/>
    <w:rsid w:val="00A272DA"/>
    <w:rsid w:val="00A70B37"/>
    <w:rsid w:val="00AE6753"/>
    <w:rsid w:val="00B44876"/>
    <w:rsid w:val="00B76A4A"/>
    <w:rsid w:val="00BB0BDD"/>
    <w:rsid w:val="00BE16B0"/>
    <w:rsid w:val="00CC4B6D"/>
    <w:rsid w:val="00CD3FA1"/>
    <w:rsid w:val="00E25DDE"/>
    <w:rsid w:val="00EB0594"/>
    <w:rsid w:val="00FF63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51C1"/>
  <w15:chartTrackingRefBased/>
  <w15:docId w15:val="{68811742-16F5-48B9-B201-6C36D90A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10C"/>
    <w:rPr>
      <w:kern w:val="0"/>
      <w14:ligatures w14:val="none"/>
    </w:rPr>
  </w:style>
  <w:style w:type="paragraph" w:styleId="Heading1">
    <w:name w:val="heading 1"/>
    <w:basedOn w:val="Normal"/>
    <w:next w:val="Normal"/>
    <w:link w:val="Heading1Char"/>
    <w:uiPriority w:val="9"/>
    <w:qFormat/>
    <w:rsid w:val="00A231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1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3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3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1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10C"/>
    <w:rPr>
      <w:rFonts w:eastAsiaTheme="majorEastAsia" w:cstheme="majorBidi"/>
      <w:color w:val="272727" w:themeColor="text1" w:themeTint="D8"/>
    </w:rPr>
  </w:style>
  <w:style w:type="paragraph" w:styleId="Title">
    <w:name w:val="Title"/>
    <w:basedOn w:val="Normal"/>
    <w:next w:val="Normal"/>
    <w:link w:val="TitleChar"/>
    <w:uiPriority w:val="10"/>
    <w:qFormat/>
    <w:rsid w:val="00A231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1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10C"/>
    <w:pPr>
      <w:spacing w:before="160"/>
      <w:jc w:val="center"/>
    </w:pPr>
    <w:rPr>
      <w:i/>
      <w:iCs/>
      <w:color w:val="404040" w:themeColor="text1" w:themeTint="BF"/>
    </w:rPr>
  </w:style>
  <w:style w:type="character" w:customStyle="1" w:styleId="QuoteChar">
    <w:name w:val="Quote Char"/>
    <w:basedOn w:val="DefaultParagraphFont"/>
    <w:link w:val="Quote"/>
    <w:uiPriority w:val="29"/>
    <w:rsid w:val="00A2310C"/>
    <w:rPr>
      <w:i/>
      <w:iCs/>
      <w:color w:val="404040" w:themeColor="text1" w:themeTint="BF"/>
    </w:rPr>
  </w:style>
  <w:style w:type="paragraph" w:styleId="ListParagraph">
    <w:name w:val="List Paragraph"/>
    <w:basedOn w:val="Normal"/>
    <w:uiPriority w:val="34"/>
    <w:qFormat/>
    <w:rsid w:val="00A2310C"/>
    <w:pPr>
      <w:ind w:left="720"/>
      <w:contextualSpacing/>
    </w:pPr>
  </w:style>
  <w:style w:type="character" w:styleId="IntenseEmphasis">
    <w:name w:val="Intense Emphasis"/>
    <w:basedOn w:val="DefaultParagraphFont"/>
    <w:uiPriority w:val="21"/>
    <w:qFormat/>
    <w:rsid w:val="00A2310C"/>
    <w:rPr>
      <w:i/>
      <w:iCs/>
      <w:color w:val="0F4761" w:themeColor="accent1" w:themeShade="BF"/>
    </w:rPr>
  </w:style>
  <w:style w:type="paragraph" w:styleId="IntenseQuote">
    <w:name w:val="Intense Quote"/>
    <w:basedOn w:val="Normal"/>
    <w:next w:val="Normal"/>
    <w:link w:val="IntenseQuoteChar"/>
    <w:uiPriority w:val="30"/>
    <w:qFormat/>
    <w:rsid w:val="00A23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10C"/>
    <w:rPr>
      <w:i/>
      <w:iCs/>
      <w:color w:val="0F4761" w:themeColor="accent1" w:themeShade="BF"/>
    </w:rPr>
  </w:style>
  <w:style w:type="character" w:styleId="IntenseReference">
    <w:name w:val="Intense Reference"/>
    <w:basedOn w:val="DefaultParagraphFont"/>
    <w:uiPriority w:val="32"/>
    <w:qFormat/>
    <w:rsid w:val="00A2310C"/>
    <w:rPr>
      <w:b/>
      <w:bCs/>
      <w:smallCaps/>
      <w:color w:val="0F4761" w:themeColor="accent1" w:themeShade="BF"/>
      <w:spacing w:val="5"/>
    </w:rPr>
  </w:style>
  <w:style w:type="table" w:styleId="TableGrid">
    <w:name w:val="Table Grid"/>
    <w:basedOn w:val="TableNormal"/>
    <w:uiPriority w:val="39"/>
    <w:rsid w:val="00A2310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F69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Mayouf</dc:creator>
  <cp:keywords/>
  <dc:description/>
  <cp:lastModifiedBy>Mohammad Mayouf</cp:lastModifiedBy>
  <cp:revision>20</cp:revision>
  <dcterms:created xsi:type="dcterms:W3CDTF">2024-11-13T13:22:00Z</dcterms:created>
  <dcterms:modified xsi:type="dcterms:W3CDTF">2025-11-27T16:25:00Z</dcterms:modified>
</cp:coreProperties>
</file>