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C3AC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3638550"/>
            <wp:effectExtent l="0" t="0" r="10160" b="6350"/>
            <wp:docPr id="1" name="图片 1" descr="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0BC8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Fig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. S1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The absorbance profiles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at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260nm of ribosome gradients after N starvation.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Ribo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some profiling was respectively captured from plants in normal growth conditions as controls (CK)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after CHR treatments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after 2h N starvation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 or after 12h N starvation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). The ratio of polysomes/monosomes is indicated with SE from two replicates.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Arrow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s indicates individually 40S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sub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units, 60S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sub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units and 80S ribosomes as shown, and areas below straight lines represent polysomes.</w:t>
      </w:r>
    </w:p>
    <w:p w14:paraId="529CC122">
      <w:pPr>
        <w:jc w:val="both"/>
        <w:rPr>
          <w:rFonts w:hint="eastAsia"/>
        </w:rPr>
      </w:pPr>
    </w:p>
    <w:p w14:paraId="60472C9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5266690"/>
            <wp:effectExtent l="0" t="0" r="3810" b="3810"/>
            <wp:docPr id="2" name="图片 2" descr="Fig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9BE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Fig. S2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The absorbance profiles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at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260nm of ribosome gradients after K or P starvation.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Ribo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some profiling was respectively captured from plants in normal growth conditions as controls (CK)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after 2h K starvation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after 12h K starvation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after 2h P starvation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 or after 12h K starvation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). The ratio of polysomes/monosomes is indicated with SE from two replicates.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Arrow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s indicates individually 40S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sub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units, 60S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sub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units and 80S ribosomes as shown, and areas below straight lines represent polysomes.</w:t>
      </w:r>
    </w:p>
    <w:p w14:paraId="6291D42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Y2Q2ODQ2Nzc1MDg5NGNhNjA5YTZiMDJmYTNhMDkifQ=="/>
  </w:docVars>
  <w:rsids>
    <w:rsidRoot w:val="00000000"/>
    <w:rsid w:val="6679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2024-11-06T03:47:54Z</dcterms:created>
  <dc:creator>xinyi</dc:creator>
  <cp:lastModifiedBy>崔晓娜</cp:lastModifiedBy>
  <dcterms:modified xsi:type="dcterms:W3CDTF">2024-11-06T03:48:56Z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452A2E9E92BC49A9BC12B0B589A2E2C2_12</vt:lpwstr>
  </property>
</Properties>
</file>