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1305"/>
        <w:gridCol w:w="1631"/>
        <w:gridCol w:w="1216"/>
        <w:gridCol w:w="1756"/>
      </w:tblGrid>
      <w:tr w:rsidR="002F7199" w:rsidRPr="002F7199" w14:paraId="0B65B9A3" w14:textId="77777777" w:rsidTr="00A61774">
        <w:trPr>
          <w:trHeight w:val="1039"/>
        </w:trPr>
        <w:tc>
          <w:tcPr>
            <w:tcW w:w="9899" w:type="dxa"/>
            <w:gridSpan w:val="5"/>
            <w:shd w:val="clear" w:color="auto" w:fill="auto"/>
          </w:tcPr>
          <w:p w14:paraId="096F3C37" w14:textId="645DFD94" w:rsidR="00676A6C" w:rsidRPr="002F7199" w:rsidRDefault="002B0BB9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 xml:space="preserve">Supplementary </w:t>
            </w:r>
            <w:r w:rsidR="00676A6C" w:rsidRPr="002F7199">
              <w:rPr>
                <w:rFonts w:eastAsia="Calibri"/>
                <w:bCs/>
              </w:rPr>
              <w:t xml:space="preserve">Table 1: Social quotient interpretation using "Total Correct Score-Match (TCSM)" (Doll/ </w:t>
            </w:r>
            <w:proofErr w:type="spellStart"/>
            <w:r w:rsidR="00676A6C" w:rsidRPr="002F7199">
              <w:rPr>
                <w:rFonts w:eastAsia="Calibri"/>
                <w:bCs/>
              </w:rPr>
              <w:t>Bharath</w:t>
            </w:r>
            <w:proofErr w:type="spellEnd"/>
            <w:r w:rsidR="00676A6C" w:rsidRPr="002F7199">
              <w:rPr>
                <w:rFonts w:eastAsia="Calibri"/>
                <w:bCs/>
              </w:rPr>
              <w:t xml:space="preserve"> </w:t>
            </w:r>
            <w:proofErr w:type="spellStart"/>
            <w:r w:rsidR="00676A6C" w:rsidRPr="002F7199">
              <w:rPr>
                <w:rFonts w:eastAsia="Calibri"/>
                <w:bCs/>
              </w:rPr>
              <w:t>Raj's</w:t>
            </w:r>
            <w:proofErr w:type="spellEnd"/>
            <w:r w:rsidR="00676A6C" w:rsidRPr="002F7199">
              <w:rPr>
                <w:rFonts w:eastAsia="Calibri"/>
                <w:bCs/>
              </w:rPr>
              <w:t xml:space="preserve"> Scoring method) and "Adding Months to Years (AYTM)" (</w:t>
            </w:r>
            <w:proofErr w:type="spellStart"/>
            <w:r w:rsidR="00676A6C" w:rsidRPr="002F7199">
              <w:rPr>
                <w:rFonts w:eastAsia="Calibri"/>
                <w:bCs/>
              </w:rPr>
              <w:t>Malin's</w:t>
            </w:r>
            <w:proofErr w:type="spellEnd"/>
            <w:r w:rsidR="00676A6C" w:rsidRPr="002F7199">
              <w:rPr>
                <w:rFonts w:eastAsia="Calibri"/>
                <w:bCs/>
              </w:rPr>
              <w:t xml:space="preserve"> Scoring System) </w:t>
            </w:r>
          </w:p>
        </w:tc>
      </w:tr>
      <w:tr w:rsidR="002F7199" w:rsidRPr="002F7199" w14:paraId="06685C8C" w14:textId="77777777" w:rsidTr="00A61774">
        <w:trPr>
          <w:trHeight w:val="386"/>
        </w:trPr>
        <w:tc>
          <w:tcPr>
            <w:tcW w:w="3991" w:type="dxa"/>
            <w:vMerge w:val="restart"/>
            <w:shd w:val="clear" w:color="auto" w:fill="auto"/>
          </w:tcPr>
          <w:p w14:paraId="588F69C5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DOMAIN AFFECTED</w:t>
            </w:r>
          </w:p>
        </w:tc>
        <w:tc>
          <w:tcPr>
            <w:tcW w:w="5908" w:type="dxa"/>
            <w:gridSpan w:val="4"/>
            <w:shd w:val="clear" w:color="auto" w:fill="auto"/>
          </w:tcPr>
          <w:p w14:paraId="10D99651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SOCIAL QUOTIENT CUT-OFF</w:t>
            </w:r>
          </w:p>
        </w:tc>
      </w:tr>
      <w:tr w:rsidR="002F7199" w:rsidRPr="002F7199" w14:paraId="32233FCC" w14:textId="77777777" w:rsidTr="00A61774">
        <w:trPr>
          <w:trHeight w:val="374"/>
        </w:trPr>
        <w:tc>
          <w:tcPr>
            <w:tcW w:w="3991" w:type="dxa"/>
            <w:vMerge/>
            <w:shd w:val="clear" w:color="auto" w:fill="auto"/>
          </w:tcPr>
          <w:p w14:paraId="6CB32665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2936" w:type="dxa"/>
            <w:gridSpan w:val="2"/>
            <w:shd w:val="clear" w:color="auto" w:fill="auto"/>
          </w:tcPr>
          <w:p w14:paraId="2FD4F218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Total Correct Score-Match (TCSM)</w:t>
            </w:r>
          </w:p>
        </w:tc>
        <w:tc>
          <w:tcPr>
            <w:tcW w:w="2972" w:type="dxa"/>
            <w:gridSpan w:val="2"/>
            <w:shd w:val="clear" w:color="auto" w:fill="auto"/>
          </w:tcPr>
          <w:p w14:paraId="175850DF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"Adding Months to Years (AYTM)"</w:t>
            </w:r>
          </w:p>
        </w:tc>
      </w:tr>
      <w:tr w:rsidR="002F7199" w:rsidRPr="002F7199" w14:paraId="79B845F2" w14:textId="77777777" w:rsidTr="00A61774">
        <w:trPr>
          <w:trHeight w:val="338"/>
        </w:trPr>
        <w:tc>
          <w:tcPr>
            <w:tcW w:w="3991" w:type="dxa"/>
            <w:vMerge/>
            <w:shd w:val="clear" w:color="auto" w:fill="auto"/>
          </w:tcPr>
          <w:p w14:paraId="0D534536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4E92E2C3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Score</w:t>
            </w:r>
          </w:p>
        </w:tc>
        <w:tc>
          <w:tcPr>
            <w:tcW w:w="1631" w:type="dxa"/>
            <w:shd w:val="clear" w:color="auto" w:fill="auto"/>
          </w:tcPr>
          <w:p w14:paraId="74122AE1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Interpretation</w:t>
            </w:r>
          </w:p>
        </w:tc>
        <w:tc>
          <w:tcPr>
            <w:tcW w:w="1216" w:type="dxa"/>
            <w:shd w:val="clear" w:color="auto" w:fill="auto"/>
          </w:tcPr>
          <w:p w14:paraId="7803E3FC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 xml:space="preserve">Score </w:t>
            </w:r>
          </w:p>
        </w:tc>
        <w:tc>
          <w:tcPr>
            <w:tcW w:w="1756" w:type="dxa"/>
            <w:shd w:val="clear" w:color="auto" w:fill="auto"/>
          </w:tcPr>
          <w:p w14:paraId="484E2A44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Interpretation</w:t>
            </w:r>
          </w:p>
        </w:tc>
      </w:tr>
      <w:tr w:rsidR="002F7199" w:rsidRPr="002F7199" w14:paraId="135A12F8" w14:textId="77777777" w:rsidTr="00A61774">
        <w:trPr>
          <w:trHeight w:val="1039"/>
        </w:trPr>
        <w:tc>
          <w:tcPr>
            <w:tcW w:w="3991" w:type="dxa"/>
            <w:shd w:val="clear" w:color="auto" w:fill="auto"/>
          </w:tcPr>
          <w:p w14:paraId="2D604D8D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Absence of self-direction (for example, making purchases, choice of shops, handling money</w:t>
            </w:r>
          </w:p>
        </w:tc>
        <w:tc>
          <w:tcPr>
            <w:tcW w:w="1305" w:type="dxa"/>
            <w:shd w:val="clear" w:color="auto" w:fill="auto"/>
          </w:tcPr>
          <w:p w14:paraId="628BDEC8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≤80</w:t>
            </w:r>
          </w:p>
        </w:tc>
        <w:tc>
          <w:tcPr>
            <w:tcW w:w="1631" w:type="dxa"/>
            <w:shd w:val="clear" w:color="auto" w:fill="auto"/>
          </w:tcPr>
          <w:p w14:paraId="2AEE8037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Lower dull</w:t>
            </w:r>
            <w:bookmarkStart w:id="0" w:name="_GoBack"/>
            <w:bookmarkEnd w:id="0"/>
          </w:p>
        </w:tc>
        <w:tc>
          <w:tcPr>
            <w:tcW w:w="1216" w:type="dxa"/>
            <w:shd w:val="clear" w:color="auto" w:fill="auto"/>
          </w:tcPr>
          <w:p w14:paraId="1AB9847E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≤89</w:t>
            </w:r>
          </w:p>
        </w:tc>
        <w:tc>
          <w:tcPr>
            <w:tcW w:w="1756" w:type="dxa"/>
            <w:shd w:val="clear" w:color="auto" w:fill="auto"/>
          </w:tcPr>
          <w:p w14:paraId="5A1C8653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Higher dull</w:t>
            </w:r>
          </w:p>
        </w:tc>
      </w:tr>
      <w:tr w:rsidR="002F7199" w:rsidRPr="002F7199" w14:paraId="21D86333" w14:textId="77777777" w:rsidTr="00A61774">
        <w:trPr>
          <w:trHeight w:val="760"/>
        </w:trPr>
        <w:tc>
          <w:tcPr>
            <w:tcW w:w="3991" w:type="dxa"/>
            <w:shd w:val="clear" w:color="auto" w:fill="auto"/>
          </w:tcPr>
          <w:p w14:paraId="01966E64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Absent communication</w:t>
            </w:r>
          </w:p>
          <w:p w14:paraId="0315B1F2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(Speech issues)</w:t>
            </w:r>
          </w:p>
        </w:tc>
        <w:tc>
          <w:tcPr>
            <w:tcW w:w="1305" w:type="dxa"/>
            <w:shd w:val="clear" w:color="auto" w:fill="auto"/>
          </w:tcPr>
          <w:p w14:paraId="72584C8E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≤66</w:t>
            </w:r>
          </w:p>
        </w:tc>
        <w:tc>
          <w:tcPr>
            <w:tcW w:w="1631" w:type="dxa"/>
            <w:shd w:val="clear" w:color="auto" w:fill="auto"/>
          </w:tcPr>
          <w:p w14:paraId="407DDF67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Mild retardation</w:t>
            </w:r>
          </w:p>
        </w:tc>
        <w:tc>
          <w:tcPr>
            <w:tcW w:w="1216" w:type="dxa"/>
            <w:shd w:val="clear" w:color="auto" w:fill="auto"/>
          </w:tcPr>
          <w:p w14:paraId="37F04EA8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≤87</w:t>
            </w:r>
          </w:p>
        </w:tc>
        <w:tc>
          <w:tcPr>
            <w:tcW w:w="1756" w:type="dxa"/>
            <w:shd w:val="clear" w:color="auto" w:fill="auto"/>
          </w:tcPr>
          <w:p w14:paraId="19064D83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Dull normal/ below average</w:t>
            </w:r>
          </w:p>
        </w:tc>
      </w:tr>
      <w:tr w:rsidR="002F7199" w:rsidRPr="002F7199" w14:paraId="69112376" w14:textId="77777777" w:rsidTr="00A61774">
        <w:trPr>
          <w:trHeight w:val="712"/>
        </w:trPr>
        <w:tc>
          <w:tcPr>
            <w:tcW w:w="3991" w:type="dxa"/>
            <w:shd w:val="clear" w:color="auto" w:fill="auto"/>
          </w:tcPr>
          <w:p w14:paraId="05624F62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Absent socialisation (for example, autism spectrum disorder)</w:t>
            </w:r>
          </w:p>
        </w:tc>
        <w:tc>
          <w:tcPr>
            <w:tcW w:w="1305" w:type="dxa"/>
            <w:shd w:val="clear" w:color="auto" w:fill="auto"/>
          </w:tcPr>
          <w:p w14:paraId="278C0A64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≤68</w:t>
            </w:r>
          </w:p>
        </w:tc>
        <w:tc>
          <w:tcPr>
            <w:tcW w:w="1631" w:type="dxa"/>
            <w:shd w:val="clear" w:color="auto" w:fill="auto"/>
          </w:tcPr>
          <w:p w14:paraId="4277631D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Mild retardation</w:t>
            </w:r>
          </w:p>
        </w:tc>
        <w:tc>
          <w:tcPr>
            <w:tcW w:w="1216" w:type="dxa"/>
            <w:shd w:val="clear" w:color="auto" w:fill="auto"/>
          </w:tcPr>
          <w:p w14:paraId="79221FA1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≤84</w:t>
            </w:r>
          </w:p>
        </w:tc>
        <w:tc>
          <w:tcPr>
            <w:tcW w:w="1756" w:type="dxa"/>
            <w:shd w:val="clear" w:color="auto" w:fill="auto"/>
          </w:tcPr>
          <w:p w14:paraId="2D246A5C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Dull normal/ below average</w:t>
            </w:r>
          </w:p>
        </w:tc>
      </w:tr>
      <w:tr w:rsidR="00676A6C" w:rsidRPr="002F7199" w14:paraId="12A31816" w14:textId="77777777" w:rsidTr="00A61774">
        <w:trPr>
          <w:trHeight w:val="712"/>
        </w:trPr>
        <w:tc>
          <w:tcPr>
            <w:tcW w:w="3991" w:type="dxa"/>
            <w:shd w:val="clear" w:color="auto" w:fill="auto"/>
          </w:tcPr>
          <w:p w14:paraId="518A501D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Absent locomotion (for example, cerebral Palsy)</w:t>
            </w:r>
          </w:p>
        </w:tc>
        <w:tc>
          <w:tcPr>
            <w:tcW w:w="1305" w:type="dxa"/>
            <w:shd w:val="clear" w:color="auto" w:fill="auto"/>
          </w:tcPr>
          <w:p w14:paraId="4230581B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≤73</w:t>
            </w:r>
          </w:p>
        </w:tc>
        <w:tc>
          <w:tcPr>
            <w:tcW w:w="1631" w:type="dxa"/>
            <w:shd w:val="clear" w:color="auto" w:fill="auto"/>
          </w:tcPr>
          <w:p w14:paraId="53B0C90B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Borderline</w:t>
            </w:r>
          </w:p>
        </w:tc>
        <w:tc>
          <w:tcPr>
            <w:tcW w:w="1216" w:type="dxa"/>
            <w:shd w:val="clear" w:color="auto" w:fill="auto"/>
          </w:tcPr>
          <w:p w14:paraId="401D7E8B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≤93</w:t>
            </w:r>
          </w:p>
        </w:tc>
        <w:tc>
          <w:tcPr>
            <w:tcW w:w="1756" w:type="dxa"/>
            <w:shd w:val="clear" w:color="auto" w:fill="auto"/>
          </w:tcPr>
          <w:p w14:paraId="468C6247" w14:textId="77777777" w:rsidR="00676A6C" w:rsidRPr="002F7199" w:rsidRDefault="00676A6C" w:rsidP="00A61774">
            <w:pPr>
              <w:spacing w:before="60" w:line="360" w:lineRule="auto"/>
              <w:jc w:val="both"/>
              <w:rPr>
                <w:rFonts w:eastAsia="Calibri"/>
                <w:bCs/>
              </w:rPr>
            </w:pPr>
            <w:r w:rsidRPr="002F7199">
              <w:rPr>
                <w:rFonts w:eastAsia="Calibri"/>
                <w:bCs/>
              </w:rPr>
              <w:t>Normal/ average</w:t>
            </w:r>
          </w:p>
        </w:tc>
      </w:tr>
    </w:tbl>
    <w:p w14:paraId="15AF25B8" w14:textId="77777777" w:rsidR="00E02C64" w:rsidRPr="002F7199" w:rsidRDefault="00E02C64"/>
    <w:sectPr w:rsidR="00E02C64" w:rsidRPr="002F7199" w:rsidSect="002F7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G2sDCzMDIytLCwNDBS0lEKTi0uzszPAykwqgUA8MujICwAAAA="/>
  </w:docVars>
  <w:rsids>
    <w:rsidRoot w:val="00676A6C"/>
    <w:rsid w:val="002B0BB9"/>
    <w:rsid w:val="002F7199"/>
    <w:rsid w:val="00676A6C"/>
    <w:rsid w:val="007928C1"/>
    <w:rsid w:val="00811FFC"/>
    <w:rsid w:val="00905691"/>
    <w:rsid w:val="009C082A"/>
    <w:rsid w:val="00CB5DD1"/>
    <w:rsid w:val="00D14455"/>
    <w:rsid w:val="00E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918FB"/>
  <w15:chartTrackingRefBased/>
  <w15:docId w15:val="{418FA49F-C392-423B-9CF3-41131C82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A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A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A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A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A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A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A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A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A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A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A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6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A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6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A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6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A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6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660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Ankeeta Menona J</dc:creator>
  <cp:keywords/>
  <dc:description/>
  <cp:lastModifiedBy>Mohana Priya Krishnamoorthi</cp:lastModifiedBy>
  <cp:revision>3</cp:revision>
  <dcterms:created xsi:type="dcterms:W3CDTF">2025-01-09T06:29:00Z</dcterms:created>
  <dcterms:modified xsi:type="dcterms:W3CDTF">2025-04-03T04:59:00Z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a16f8148-b7b7-40b8-b538-d47b9ea1e154</vt:lpwstr>
  </property>
</Properties>
</file>