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A8552" w14:textId="77777777" w:rsidR="003C539E" w:rsidRPr="00CF0B84" w:rsidRDefault="003C539E" w:rsidP="003C539E">
      <w:pPr>
        <w:spacing w:line="360" w:lineRule="auto"/>
        <w:jc w:val="both"/>
        <w:rPr>
          <w:rFonts w:ascii="Times New Roman" w:hAnsi="Times New Roman"/>
          <w:b/>
          <w:bCs/>
        </w:rPr>
      </w:pPr>
      <w:r w:rsidRPr="00CF0B84">
        <w:rPr>
          <w:rFonts w:ascii="Times New Roman" w:hAnsi="Times New Roman"/>
          <w:b/>
          <w:bCs/>
        </w:rPr>
        <w:t xml:space="preserve">APPENDIX </w:t>
      </w:r>
      <w:r>
        <w:rPr>
          <w:rFonts w:ascii="Times New Roman" w:hAnsi="Times New Roman"/>
          <w:b/>
          <w:bCs/>
        </w:rPr>
        <w:t>3</w:t>
      </w:r>
      <w:r w:rsidRPr="00CF0B84">
        <w:rPr>
          <w:rFonts w:ascii="Times New Roman" w:hAnsi="Times New Roman"/>
          <w:b/>
          <w:bCs/>
        </w:rPr>
        <w:t>:  SUMMARY OF  INCLUDED STUDIES</w:t>
      </w:r>
    </w:p>
    <w:tbl>
      <w:tblPr>
        <w:tblW w:w="14693"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011"/>
        <w:gridCol w:w="1405"/>
        <w:gridCol w:w="1520"/>
        <w:gridCol w:w="1500"/>
        <w:gridCol w:w="2581"/>
        <w:gridCol w:w="2610"/>
        <w:gridCol w:w="2903"/>
      </w:tblGrid>
      <w:tr w:rsidR="003C539E" w:rsidRPr="00380300" w14:paraId="6AFFD568" w14:textId="77777777" w:rsidTr="00C26302">
        <w:tc>
          <w:tcPr>
            <w:tcW w:w="1163" w:type="dxa"/>
            <w:shd w:val="clear" w:color="auto" w:fill="auto"/>
          </w:tcPr>
          <w:p w14:paraId="46A9A52E" w14:textId="77777777" w:rsidR="003C539E" w:rsidRDefault="003C539E" w:rsidP="00C26302">
            <w:pPr>
              <w:spacing w:line="360" w:lineRule="auto"/>
              <w:jc w:val="both"/>
              <w:rPr>
                <w:rFonts w:ascii="Times New Roman" w:hAnsi="Times New Roman"/>
                <w:b/>
                <w:bCs/>
                <w:sz w:val="20"/>
                <w:szCs w:val="20"/>
              </w:rPr>
            </w:pPr>
            <w:r>
              <w:rPr>
                <w:rFonts w:ascii="Times New Roman" w:hAnsi="Times New Roman"/>
                <w:b/>
                <w:bCs/>
                <w:sz w:val="20"/>
                <w:szCs w:val="20"/>
              </w:rPr>
              <w:t>Authors (Years)</w:t>
            </w:r>
          </w:p>
        </w:tc>
        <w:tc>
          <w:tcPr>
            <w:tcW w:w="1011" w:type="dxa"/>
            <w:shd w:val="clear" w:color="auto" w:fill="auto"/>
          </w:tcPr>
          <w:p w14:paraId="7532C26E" w14:textId="77777777" w:rsidR="003C539E" w:rsidRDefault="003C539E" w:rsidP="00C26302">
            <w:pPr>
              <w:spacing w:line="360" w:lineRule="auto"/>
              <w:jc w:val="both"/>
              <w:rPr>
                <w:rFonts w:ascii="Times New Roman" w:hAnsi="Times New Roman"/>
                <w:b/>
                <w:bCs/>
                <w:sz w:val="20"/>
                <w:szCs w:val="20"/>
              </w:rPr>
            </w:pPr>
            <w:r>
              <w:rPr>
                <w:rFonts w:ascii="Times New Roman" w:hAnsi="Times New Roman"/>
                <w:b/>
                <w:bCs/>
                <w:sz w:val="20"/>
                <w:szCs w:val="20"/>
              </w:rPr>
              <w:t>Location</w:t>
            </w:r>
          </w:p>
        </w:tc>
        <w:tc>
          <w:tcPr>
            <w:tcW w:w="1405" w:type="dxa"/>
            <w:shd w:val="clear" w:color="auto" w:fill="auto"/>
          </w:tcPr>
          <w:p w14:paraId="3759E54E" w14:textId="77777777" w:rsidR="003C539E" w:rsidRDefault="003C539E" w:rsidP="00C26302">
            <w:pPr>
              <w:spacing w:line="360" w:lineRule="auto"/>
              <w:jc w:val="both"/>
              <w:rPr>
                <w:rFonts w:ascii="Times New Roman" w:hAnsi="Times New Roman"/>
                <w:b/>
                <w:bCs/>
                <w:sz w:val="20"/>
                <w:szCs w:val="20"/>
              </w:rPr>
            </w:pPr>
            <w:r>
              <w:rPr>
                <w:rFonts w:ascii="Times New Roman" w:hAnsi="Times New Roman"/>
                <w:b/>
                <w:bCs/>
                <w:sz w:val="20"/>
                <w:szCs w:val="20"/>
              </w:rPr>
              <w:t xml:space="preserve">Study design </w:t>
            </w:r>
          </w:p>
        </w:tc>
        <w:tc>
          <w:tcPr>
            <w:tcW w:w="1520" w:type="dxa"/>
            <w:shd w:val="clear" w:color="auto" w:fill="auto"/>
          </w:tcPr>
          <w:p w14:paraId="0EBEB82E" w14:textId="77777777" w:rsidR="003C539E" w:rsidRDefault="003C539E" w:rsidP="00C26302">
            <w:pPr>
              <w:spacing w:line="360" w:lineRule="auto"/>
              <w:jc w:val="both"/>
              <w:rPr>
                <w:rFonts w:ascii="Times New Roman" w:hAnsi="Times New Roman"/>
                <w:b/>
                <w:bCs/>
                <w:sz w:val="20"/>
                <w:szCs w:val="20"/>
              </w:rPr>
            </w:pPr>
            <w:r>
              <w:rPr>
                <w:rFonts w:ascii="Times New Roman" w:hAnsi="Times New Roman"/>
                <w:b/>
                <w:bCs/>
                <w:sz w:val="20"/>
                <w:szCs w:val="20"/>
              </w:rPr>
              <w:t>Population</w:t>
            </w:r>
          </w:p>
        </w:tc>
        <w:tc>
          <w:tcPr>
            <w:tcW w:w="1500" w:type="dxa"/>
            <w:shd w:val="clear" w:color="auto" w:fill="auto"/>
          </w:tcPr>
          <w:p w14:paraId="45AC8431" w14:textId="77777777" w:rsidR="003C539E" w:rsidRDefault="003C539E" w:rsidP="00C26302">
            <w:pPr>
              <w:spacing w:line="360" w:lineRule="auto"/>
              <w:jc w:val="both"/>
              <w:rPr>
                <w:rFonts w:ascii="Times New Roman" w:hAnsi="Times New Roman"/>
                <w:b/>
                <w:bCs/>
                <w:sz w:val="20"/>
                <w:szCs w:val="20"/>
              </w:rPr>
            </w:pPr>
            <w:r>
              <w:rPr>
                <w:rFonts w:ascii="Times New Roman" w:hAnsi="Times New Roman"/>
                <w:b/>
                <w:bCs/>
                <w:sz w:val="20"/>
                <w:szCs w:val="20"/>
              </w:rPr>
              <w:t>Sample size</w:t>
            </w:r>
          </w:p>
        </w:tc>
        <w:tc>
          <w:tcPr>
            <w:tcW w:w="2581" w:type="dxa"/>
            <w:shd w:val="clear" w:color="auto" w:fill="auto"/>
          </w:tcPr>
          <w:p w14:paraId="06583095" w14:textId="77777777" w:rsidR="003C539E" w:rsidRDefault="003C539E" w:rsidP="00C26302">
            <w:pPr>
              <w:spacing w:line="360" w:lineRule="auto"/>
              <w:rPr>
                <w:rFonts w:ascii="Times New Roman" w:hAnsi="Times New Roman"/>
                <w:b/>
                <w:bCs/>
                <w:sz w:val="20"/>
                <w:szCs w:val="20"/>
              </w:rPr>
            </w:pPr>
            <w:r>
              <w:rPr>
                <w:rFonts w:ascii="Times New Roman" w:hAnsi="Times New Roman"/>
                <w:b/>
                <w:bCs/>
                <w:sz w:val="20"/>
                <w:szCs w:val="20"/>
              </w:rPr>
              <w:t>Faith leadership on FP</w:t>
            </w:r>
          </w:p>
        </w:tc>
        <w:tc>
          <w:tcPr>
            <w:tcW w:w="2610" w:type="dxa"/>
            <w:shd w:val="clear" w:color="auto" w:fill="auto"/>
          </w:tcPr>
          <w:p w14:paraId="004C835F" w14:textId="77777777" w:rsidR="003C539E" w:rsidRDefault="003C539E" w:rsidP="00C26302">
            <w:pPr>
              <w:spacing w:line="360" w:lineRule="auto"/>
              <w:rPr>
                <w:rFonts w:ascii="Times New Roman" w:hAnsi="Times New Roman"/>
                <w:b/>
                <w:bCs/>
                <w:sz w:val="20"/>
                <w:szCs w:val="20"/>
              </w:rPr>
            </w:pPr>
            <w:r>
              <w:rPr>
                <w:rFonts w:ascii="Times New Roman" w:hAnsi="Times New Roman"/>
                <w:b/>
                <w:bCs/>
                <w:sz w:val="20"/>
                <w:szCs w:val="20"/>
              </w:rPr>
              <w:t>Messaging and communication strategies</w:t>
            </w:r>
          </w:p>
        </w:tc>
        <w:tc>
          <w:tcPr>
            <w:tcW w:w="2903" w:type="dxa"/>
            <w:shd w:val="clear" w:color="auto" w:fill="auto"/>
          </w:tcPr>
          <w:p w14:paraId="125892AE" w14:textId="77777777" w:rsidR="003C539E" w:rsidRDefault="003C539E" w:rsidP="00C26302">
            <w:pPr>
              <w:spacing w:line="360" w:lineRule="auto"/>
              <w:rPr>
                <w:rFonts w:ascii="Times New Roman" w:hAnsi="Times New Roman"/>
                <w:b/>
                <w:bCs/>
                <w:sz w:val="20"/>
                <w:szCs w:val="20"/>
              </w:rPr>
            </w:pPr>
            <w:r>
              <w:rPr>
                <w:rFonts w:ascii="Times New Roman" w:hAnsi="Times New Roman"/>
                <w:b/>
                <w:bCs/>
                <w:sz w:val="20"/>
                <w:szCs w:val="20"/>
              </w:rPr>
              <w:t>Barriers to Strengthening FP demand</w:t>
            </w:r>
          </w:p>
        </w:tc>
      </w:tr>
      <w:tr w:rsidR="003C539E" w:rsidRPr="00380300" w14:paraId="0F58422A" w14:textId="77777777" w:rsidTr="00C26302">
        <w:tc>
          <w:tcPr>
            <w:tcW w:w="1163" w:type="dxa"/>
            <w:shd w:val="clear" w:color="auto" w:fill="auto"/>
          </w:tcPr>
          <w:p w14:paraId="73AAE7D4" w14:textId="77777777" w:rsidR="003C539E" w:rsidRDefault="003C539E" w:rsidP="00C26302">
            <w:pPr>
              <w:spacing w:line="360" w:lineRule="auto"/>
              <w:jc w:val="both"/>
              <w:rPr>
                <w:rFonts w:ascii="Times New Roman" w:hAnsi="Times New Roman"/>
                <w:sz w:val="20"/>
                <w:szCs w:val="20"/>
              </w:rPr>
            </w:pPr>
            <w:proofErr w:type="spellStart"/>
            <w:r>
              <w:rPr>
                <w:rFonts w:ascii="Times New Roman" w:hAnsi="Times New Roman"/>
                <w:sz w:val="20"/>
                <w:szCs w:val="20"/>
              </w:rPr>
              <w:t>Nkwo</w:t>
            </w:r>
            <w:proofErr w:type="spellEnd"/>
            <w:r>
              <w:rPr>
                <w:rFonts w:ascii="Times New Roman" w:hAnsi="Times New Roman"/>
                <w:sz w:val="20"/>
                <w:szCs w:val="20"/>
              </w:rPr>
              <w:t>, P.O. (2009)</w:t>
            </w:r>
          </w:p>
        </w:tc>
        <w:tc>
          <w:tcPr>
            <w:tcW w:w="1011" w:type="dxa"/>
            <w:shd w:val="clear" w:color="auto" w:fill="auto"/>
          </w:tcPr>
          <w:p w14:paraId="7E8C9564"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Enugu, South-East Nigeria</w:t>
            </w:r>
          </w:p>
        </w:tc>
        <w:tc>
          <w:tcPr>
            <w:tcW w:w="1405" w:type="dxa"/>
            <w:shd w:val="clear" w:color="auto" w:fill="auto"/>
          </w:tcPr>
          <w:p w14:paraId="724C1463"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Quantitative (Cross-sectional descriptive)</w:t>
            </w:r>
          </w:p>
        </w:tc>
        <w:tc>
          <w:tcPr>
            <w:tcW w:w="1520" w:type="dxa"/>
            <w:shd w:val="clear" w:color="auto" w:fill="auto"/>
          </w:tcPr>
          <w:p w14:paraId="6BB70BEE"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Leaders in registered church denominations in Enugu urban city, Nigeria</w:t>
            </w:r>
          </w:p>
        </w:tc>
        <w:tc>
          <w:tcPr>
            <w:tcW w:w="1500" w:type="dxa"/>
            <w:shd w:val="clear" w:color="auto" w:fill="auto"/>
          </w:tcPr>
          <w:p w14:paraId="68518DF0"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318 participants (53 churches and 6 leaders)</w:t>
            </w:r>
          </w:p>
        </w:tc>
        <w:tc>
          <w:tcPr>
            <w:tcW w:w="2581" w:type="dxa"/>
            <w:shd w:val="clear" w:color="auto" w:fill="auto"/>
          </w:tcPr>
          <w:p w14:paraId="1BBF205C"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t>Faith leaders in this study showed general support for family planning (FP), with 86.5% encouraging its practice among their congregations or groups. None discouraged FP, indicating a positive disposition toward addressing reproductive health needs. However, the support tended to align with natural or less invasive methods such as the calendar method, withdrawal, and condom use, reflecting a nuanced acceptance likely shaped by religious and cultural considerations.</w:t>
            </w:r>
          </w:p>
        </w:tc>
        <w:tc>
          <w:tcPr>
            <w:tcW w:w="2610" w:type="dxa"/>
            <w:shd w:val="clear" w:color="auto" w:fill="auto"/>
          </w:tcPr>
          <w:p w14:paraId="0E4919AE"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t>The study reveals that faith leaders predominantly rely on healthcare workers and mass media for FP information, which shapes their messaging strategies. Their awareness and promotion of FP methods include natural methods like the calendar and Billings methods, as well as modern methods like condoms and IUCDs. Messaging likely emphasizes family health and responsible parenthood, aligning with culturally sensitive and faith-based perspectives to resonate with their communities.</w:t>
            </w:r>
          </w:p>
        </w:tc>
        <w:tc>
          <w:tcPr>
            <w:tcW w:w="2903" w:type="dxa"/>
            <w:shd w:val="clear" w:color="auto" w:fill="auto"/>
          </w:tcPr>
          <w:p w14:paraId="256ADACA"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t>Barriers include limited comprehensive knowledge of FP methods among faith leaders, as evidenced by their reliance on external sources for information. This reliance may constrain their ability to develop independent, context-specific messaging. Additionally, cultural preferences and gender norms could influence the promotion of specific FP methods, as women demonstrated greater knowledge of FP methods compared to men, despite no significant statistical difference. Denominational divides may also limit a unified approach to FP advocacy across religious groups.</w:t>
            </w:r>
          </w:p>
        </w:tc>
      </w:tr>
      <w:tr w:rsidR="003C539E" w:rsidRPr="00380300" w14:paraId="2E7CD3FB" w14:textId="77777777" w:rsidTr="00C26302">
        <w:tc>
          <w:tcPr>
            <w:tcW w:w="1163" w:type="dxa"/>
            <w:shd w:val="clear" w:color="auto" w:fill="auto"/>
          </w:tcPr>
          <w:p w14:paraId="47EF0360"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lastRenderedPageBreak/>
              <w:t xml:space="preserve">Isioma, O., </w:t>
            </w:r>
            <w:proofErr w:type="gramStart"/>
            <w:r>
              <w:rPr>
                <w:rFonts w:ascii="Times New Roman" w:hAnsi="Times New Roman"/>
                <w:sz w:val="20"/>
                <w:szCs w:val="20"/>
              </w:rPr>
              <w:t>Oladimeji</w:t>
            </w:r>
            <w:proofErr w:type="gramEnd"/>
            <w:r>
              <w:rPr>
                <w:rFonts w:ascii="Times New Roman" w:hAnsi="Times New Roman"/>
                <w:sz w:val="20"/>
                <w:szCs w:val="20"/>
              </w:rPr>
              <w:t xml:space="preserve">, O., Opeyemi, O. &amp; </w:t>
            </w:r>
            <w:proofErr w:type="spellStart"/>
            <w:r>
              <w:rPr>
                <w:rFonts w:ascii="Times New Roman" w:hAnsi="Times New Roman"/>
                <w:sz w:val="20"/>
                <w:szCs w:val="20"/>
              </w:rPr>
              <w:t>Nosah</w:t>
            </w:r>
            <w:proofErr w:type="spellEnd"/>
            <w:r>
              <w:rPr>
                <w:rFonts w:ascii="Times New Roman" w:hAnsi="Times New Roman"/>
                <w:sz w:val="20"/>
                <w:szCs w:val="20"/>
              </w:rPr>
              <w:t>, B. (2022)</w:t>
            </w:r>
          </w:p>
        </w:tc>
        <w:tc>
          <w:tcPr>
            <w:tcW w:w="1011" w:type="dxa"/>
            <w:shd w:val="clear" w:color="auto" w:fill="auto"/>
          </w:tcPr>
          <w:p w14:paraId="3761439B"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Ibadan, South-West Nigeria</w:t>
            </w:r>
          </w:p>
        </w:tc>
        <w:tc>
          <w:tcPr>
            <w:tcW w:w="1405" w:type="dxa"/>
            <w:shd w:val="clear" w:color="auto" w:fill="auto"/>
          </w:tcPr>
          <w:p w14:paraId="296B60F6"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Mixed method (cross-sectional)</w:t>
            </w:r>
          </w:p>
        </w:tc>
        <w:tc>
          <w:tcPr>
            <w:tcW w:w="1520" w:type="dxa"/>
            <w:shd w:val="clear" w:color="auto" w:fill="auto"/>
          </w:tcPr>
          <w:p w14:paraId="17737411"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Catholics and Catholic church leaders attending Catholic churches in Ibadan.</w:t>
            </w:r>
          </w:p>
        </w:tc>
        <w:tc>
          <w:tcPr>
            <w:tcW w:w="1500" w:type="dxa"/>
            <w:shd w:val="clear" w:color="auto" w:fill="auto"/>
          </w:tcPr>
          <w:p w14:paraId="43387A94"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300 – quantitative</w:t>
            </w:r>
          </w:p>
          <w:p w14:paraId="68C367C4"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58 - qualitative</w:t>
            </w:r>
          </w:p>
        </w:tc>
        <w:tc>
          <w:tcPr>
            <w:tcW w:w="2581" w:type="dxa"/>
            <w:shd w:val="clear" w:color="auto" w:fill="auto"/>
          </w:tcPr>
          <w:p w14:paraId="2B70A88A"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t>Faith leaders in Nigeria often align their family planning positions with religious doctrine, particularly emphasizing natural family planning methods over modern contraceptives. A significant proportion of respondents (71%) are aware of the Catholic Church’s policy, which promotes child spacing through natural methods. Despite some disagreement (12%) and calls for modification (23.7%), the majority (75.1%) favor maintaining these policies. This highlights the critical role faith leaders play in shaping FP discourse while adhering to doctrinal tenets.</w:t>
            </w:r>
          </w:p>
        </w:tc>
        <w:tc>
          <w:tcPr>
            <w:tcW w:w="2610" w:type="dxa"/>
            <w:shd w:val="clear" w:color="auto" w:fill="auto"/>
          </w:tcPr>
          <w:p w14:paraId="1BFE83E9"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t>Faith leaders’ messaging on family planning is centered on religiously approved practices, promoting natural methods consistent with church teachings. While 34.7% of respondents use natural family planning, 51.1% do not adhere strictly to recommended methods, suggesting gaps in effective communication or acceptance. Messaging strategies rely heavily on aligning with faith-based moral frameworks but may not adequately address broader community needs or promote modern contraceptive options.</w:t>
            </w:r>
          </w:p>
        </w:tc>
        <w:tc>
          <w:tcPr>
            <w:tcW w:w="2903" w:type="dxa"/>
            <w:shd w:val="clear" w:color="auto" w:fill="auto"/>
          </w:tcPr>
          <w:p w14:paraId="0E1749F4"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t>Key barriers include religious restrictions against modern contraceptives, limited alignment between community needs and doctrinal guidance, and economic factors such as income, which significantly influence FP utilization (p=0.034). High childbearing desires (96.9% for those without children) and varying levels of adherence to church-approved methods further complicate demand creation. Structural challenges, including low literacy among some populations and the tension between faith-based messaging and public health priorities, also limit strengthened demand</w:t>
            </w:r>
          </w:p>
        </w:tc>
      </w:tr>
      <w:tr w:rsidR="003C539E" w:rsidRPr="00380300" w14:paraId="70BF2942" w14:textId="77777777" w:rsidTr="00C26302">
        <w:tc>
          <w:tcPr>
            <w:tcW w:w="1163" w:type="dxa"/>
            <w:shd w:val="clear" w:color="auto" w:fill="auto"/>
          </w:tcPr>
          <w:p w14:paraId="05DD22D2" w14:textId="77777777" w:rsidR="003C539E" w:rsidRDefault="003C539E" w:rsidP="00C26302">
            <w:pPr>
              <w:spacing w:line="360" w:lineRule="auto"/>
              <w:jc w:val="both"/>
              <w:rPr>
                <w:rFonts w:ascii="Times New Roman" w:hAnsi="Times New Roman"/>
                <w:sz w:val="20"/>
                <w:szCs w:val="20"/>
                <w:lang w:val="de-DE"/>
              </w:rPr>
            </w:pPr>
            <w:r>
              <w:rPr>
                <w:rFonts w:ascii="Times New Roman" w:hAnsi="Times New Roman"/>
                <w:sz w:val="20"/>
                <w:szCs w:val="20"/>
                <w:lang w:val="de-DE"/>
              </w:rPr>
              <w:t>Njideka, N. &amp; Uche, N. I. (2024)</w:t>
            </w:r>
          </w:p>
        </w:tc>
        <w:tc>
          <w:tcPr>
            <w:tcW w:w="1011" w:type="dxa"/>
            <w:shd w:val="clear" w:color="auto" w:fill="auto"/>
          </w:tcPr>
          <w:p w14:paraId="0F8D9594" w14:textId="77777777" w:rsidR="003C539E" w:rsidRDefault="003C539E" w:rsidP="00C26302">
            <w:pPr>
              <w:spacing w:line="360" w:lineRule="auto"/>
              <w:jc w:val="both"/>
              <w:rPr>
                <w:rFonts w:ascii="Times New Roman" w:hAnsi="Times New Roman"/>
                <w:sz w:val="20"/>
                <w:szCs w:val="20"/>
                <w:lang w:val="de-DE"/>
              </w:rPr>
            </w:pPr>
            <w:r>
              <w:rPr>
                <w:rFonts w:ascii="Times New Roman" w:hAnsi="Times New Roman"/>
                <w:sz w:val="20"/>
                <w:szCs w:val="20"/>
                <w:lang w:val="de-DE"/>
              </w:rPr>
              <w:t>Anambra, South-</w:t>
            </w:r>
            <w:r>
              <w:rPr>
                <w:rFonts w:ascii="Times New Roman" w:hAnsi="Times New Roman"/>
                <w:sz w:val="20"/>
                <w:szCs w:val="20"/>
                <w:lang w:val="de-DE"/>
              </w:rPr>
              <w:lastRenderedPageBreak/>
              <w:t>East Nigeria</w:t>
            </w:r>
          </w:p>
        </w:tc>
        <w:tc>
          <w:tcPr>
            <w:tcW w:w="1405" w:type="dxa"/>
            <w:shd w:val="clear" w:color="auto" w:fill="auto"/>
          </w:tcPr>
          <w:p w14:paraId="45B00696" w14:textId="77777777" w:rsidR="003C539E" w:rsidRDefault="003C539E" w:rsidP="00C26302">
            <w:pPr>
              <w:spacing w:line="360" w:lineRule="auto"/>
              <w:jc w:val="both"/>
              <w:rPr>
                <w:rFonts w:ascii="Times New Roman" w:hAnsi="Times New Roman"/>
                <w:sz w:val="20"/>
                <w:szCs w:val="20"/>
                <w:lang w:val="de-DE"/>
              </w:rPr>
            </w:pPr>
            <w:r>
              <w:rPr>
                <w:rFonts w:ascii="Times New Roman" w:hAnsi="Times New Roman"/>
                <w:sz w:val="20"/>
                <w:szCs w:val="20"/>
              </w:rPr>
              <w:lastRenderedPageBreak/>
              <w:t>Mixed method (Cross-sectional</w:t>
            </w:r>
          </w:p>
        </w:tc>
        <w:tc>
          <w:tcPr>
            <w:tcW w:w="1520" w:type="dxa"/>
            <w:shd w:val="clear" w:color="auto" w:fill="auto"/>
          </w:tcPr>
          <w:p w14:paraId="0CF98EB3"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 xml:space="preserve">Married couples in </w:t>
            </w:r>
            <w:proofErr w:type="spellStart"/>
            <w:r>
              <w:rPr>
                <w:rFonts w:ascii="Times New Roman" w:hAnsi="Times New Roman"/>
                <w:sz w:val="20"/>
                <w:szCs w:val="20"/>
              </w:rPr>
              <w:t>Awka</w:t>
            </w:r>
            <w:proofErr w:type="spellEnd"/>
            <w:r>
              <w:rPr>
                <w:rFonts w:ascii="Times New Roman" w:hAnsi="Times New Roman"/>
                <w:sz w:val="20"/>
                <w:szCs w:val="20"/>
              </w:rPr>
              <w:t xml:space="preserve"> South L.G.A.</w:t>
            </w:r>
          </w:p>
        </w:tc>
        <w:tc>
          <w:tcPr>
            <w:tcW w:w="1500" w:type="dxa"/>
            <w:shd w:val="clear" w:color="auto" w:fill="auto"/>
          </w:tcPr>
          <w:p w14:paraId="5CE41336" w14:textId="77777777" w:rsidR="003C539E" w:rsidRDefault="003C539E" w:rsidP="00C26302">
            <w:pPr>
              <w:spacing w:line="360" w:lineRule="auto"/>
              <w:jc w:val="both"/>
              <w:rPr>
                <w:rFonts w:ascii="Times New Roman" w:hAnsi="Times New Roman"/>
                <w:sz w:val="20"/>
                <w:szCs w:val="20"/>
                <w:lang w:val="de-DE"/>
              </w:rPr>
            </w:pPr>
            <w:r>
              <w:rPr>
                <w:rFonts w:ascii="Times New Roman" w:hAnsi="Times New Roman"/>
                <w:sz w:val="20"/>
                <w:szCs w:val="20"/>
                <w:lang w:val="de-DE"/>
              </w:rPr>
              <w:t>386</w:t>
            </w:r>
          </w:p>
        </w:tc>
        <w:tc>
          <w:tcPr>
            <w:tcW w:w="2581" w:type="dxa"/>
            <w:shd w:val="clear" w:color="auto" w:fill="auto"/>
          </w:tcPr>
          <w:p w14:paraId="34C1E293"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t xml:space="preserve">Faith leaders significantly influence family planning choices, with the majority recommending natural </w:t>
            </w:r>
            <w:r>
              <w:rPr>
                <w:rFonts w:ascii="Times New Roman" w:hAnsi="Times New Roman"/>
                <w:sz w:val="20"/>
                <w:szCs w:val="20"/>
              </w:rPr>
              <w:lastRenderedPageBreak/>
              <w:t>methods such as the rhythm method or withdrawal, which align with religious doctrines. While 47.2% of respondents believe their religious doctrine supports specific family planning methods, most faith leaders discourage modern contraceptives, considering them inconsistent with divine will. Marriage counseling sessions often serve as platforms for promoting church-approved methods, though opinions vary across religious affiliations.</w:t>
            </w:r>
          </w:p>
        </w:tc>
        <w:tc>
          <w:tcPr>
            <w:tcW w:w="2610" w:type="dxa"/>
            <w:shd w:val="clear" w:color="auto" w:fill="auto"/>
          </w:tcPr>
          <w:p w14:paraId="0D1DE0B8"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lastRenderedPageBreak/>
              <w:t xml:space="preserve">Faith leaders employ doctrinally approved messaging to guide family planning choices, often </w:t>
            </w:r>
            <w:r>
              <w:rPr>
                <w:rFonts w:ascii="Times New Roman" w:hAnsi="Times New Roman"/>
                <w:sz w:val="20"/>
                <w:szCs w:val="20"/>
              </w:rPr>
              <w:lastRenderedPageBreak/>
              <w:t>emphasizing moral and spiritual considerations. The rhythm method is most frequently advocated, while modern methods like IUDs or contraceptives are less commonly supported. Discussions occur within structured settings like marriage classes or informal conversations, highlighting faith-aligned wisdom in decision-making. However, divergent religious perspectives reveal a spectrum of messaging strategies, ranging from strict adherence to flexibility based on individual interpretations.</w:t>
            </w:r>
          </w:p>
        </w:tc>
        <w:tc>
          <w:tcPr>
            <w:tcW w:w="2903" w:type="dxa"/>
            <w:shd w:val="clear" w:color="auto" w:fill="auto"/>
          </w:tcPr>
          <w:p w14:paraId="4E42B8FA"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lastRenderedPageBreak/>
              <w:t xml:space="preserve">Barriers include the perception that family planning contradicts divine will, with half (50.8%) of respondents identifying religious </w:t>
            </w:r>
            <w:r>
              <w:rPr>
                <w:rFonts w:ascii="Times New Roman" w:hAnsi="Times New Roman"/>
                <w:sz w:val="20"/>
                <w:szCs w:val="20"/>
              </w:rPr>
              <w:lastRenderedPageBreak/>
              <w:t>beliefs as critical in shaping their decisions. Resistance to modern contraceptives, limited doctrinal support for diverse methods, and uneven engagement with religious leaders (24% do not discuss FP) hinder demand. Additionally, conflicting doctrines across religious affiliations create variability in acceptance and practice, complicating broader efforts to address FP needs within conservative communities.</w:t>
            </w:r>
          </w:p>
        </w:tc>
      </w:tr>
      <w:tr w:rsidR="003C539E" w:rsidRPr="00380300" w14:paraId="57F0B3BC" w14:textId="77777777" w:rsidTr="00C26302">
        <w:tc>
          <w:tcPr>
            <w:tcW w:w="1163" w:type="dxa"/>
            <w:shd w:val="clear" w:color="auto" w:fill="auto"/>
          </w:tcPr>
          <w:p w14:paraId="709EAC07" w14:textId="77777777" w:rsidR="003C539E" w:rsidRDefault="003C539E" w:rsidP="00C26302">
            <w:pPr>
              <w:spacing w:line="360" w:lineRule="auto"/>
              <w:jc w:val="both"/>
              <w:rPr>
                <w:rFonts w:ascii="Times New Roman" w:hAnsi="Times New Roman"/>
                <w:sz w:val="20"/>
                <w:szCs w:val="20"/>
                <w:lang w:val="de-DE"/>
              </w:rPr>
            </w:pPr>
            <w:proofErr w:type="spellStart"/>
            <w:r>
              <w:rPr>
                <w:rFonts w:ascii="Times New Roman" w:hAnsi="Times New Roman"/>
                <w:sz w:val="20"/>
                <w:szCs w:val="20"/>
              </w:rPr>
              <w:lastRenderedPageBreak/>
              <w:t>Avong</w:t>
            </w:r>
            <w:proofErr w:type="spellEnd"/>
            <w:r>
              <w:rPr>
                <w:rFonts w:ascii="Times New Roman" w:hAnsi="Times New Roman"/>
                <w:sz w:val="20"/>
                <w:szCs w:val="20"/>
              </w:rPr>
              <w:t>, H.N. (2012)</w:t>
            </w:r>
          </w:p>
        </w:tc>
        <w:tc>
          <w:tcPr>
            <w:tcW w:w="1011" w:type="dxa"/>
            <w:shd w:val="clear" w:color="auto" w:fill="auto"/>
          </w:tcPr>
          <w:p w14:paraId="123A8DD8" w14:textId="77777777" w:rsidR="003C539E" w:rsidRDefault="003C539E" w:rsidP="00C26302">
            <w:pPr>
              <w:spacing w:line="360" w:lineRule="auto"/>
              <w:jc w:val="both"/>
              <w:rPr>
                <w:rFonts w:ascii="Times New Roman" w:hAnsi="Times New Roman"/>
                <w:sz w:val="20"/>
                <w:szCs w:val="20"/>
                <w:lang w:val="de-DE"/>
              </w:rPr>
            </w:pPr>
            <w:r>
              <w:rPr>
                <w:rFonts w:ascii="Times New Roman" w:hAnsi="Times New Roman"/>
                <w:sz w:val="20"/>
                <w:szCs w:val="20"/>
                <w:lang w:val="de-DE"/>
              </w:rPr>
              <w:t>Kaduna, North-west Nigeria</w:t>
            </w:r>
          </w:p>
        </w:tc>
        <w:tc>
          <w:tcPr>
            <w:tcW w:w="1405" w:type="dxa"/>
            <w:shd w:val="clear" w:color="auto" w:fill="auto"/>
          </w:tcPr>
          <w:p w14:paraId="6B605056"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Quantitative (Time-boundaries descriptive studies)</w:t>
            </w:r>
          </w:p>
        </w:tc>
        <w:tc>
          <w:tcPr>
            <w:tcW w:w="1520" w:type="dxa"/>
            <w:shd w:val="clear" w:color="auto" w:fill="auto"/>
          </w:tcPr>
          <w:p w14:paraId="68F6EE46"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 xml:space="preserve">Women aged 15-49 in </w:t>
            </w:r>
            <w:proofErr w:type="spellStart"/>
            <w:r>
              <w:rPr>
                <w:rFonts w:ascii="Times New Roman" w:hAnsi="Times New Roman"/>
                <w:sz w:val="20"/>
                <w:szCs w:val="20"/>
              </w:rPr>
              <w:t>Zonzon</w:t>
            </w:r>
            <w:proofErr w:type="spellEnd"/>
            <w:r>
              <w:rPr>
                <w:rFonts w:ascii="Times New Roman" w:hAnsi="Times New Roman"/>
                <w:sz w:val="20"/>
                <w:szCs w:val="20"/>
              </w:rPr>
              <w:t xml:space="preserve"> </w:t>
            </w:r>
            <w:proofErr w:type="spellStart"/>
            <w:r>
              <w:rPr>
                <w:rFonts w:ascii="Times New Roman" w:hAnsi="Times New Roman"/>
                <w:sz w:val="20"/>
                <w:szCs w:val="20"/>
              </w:rPr>
              <w:t>Atyap</w:t>
            </w:r>
            <w:proofErr w:type="spellEnd"/>
          </w:p>
        </w:tc>
        <w:tc>
          <w:tcPr>
            <w:tcW w:w="1500" w:type="dxa"/>
            <w:shd w:val="clear" w:color="auto" w:fill="auto"/>
          </w:tcPr>
          <w:p w14:paraId="641FD728"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600</w:t>
            </w:r>
          </w:p>
        </w:tc>
        <w:tc>
          <w:tcPr>
            <w:tcW w:w="2581" w:type="dxa"/>
            <w:shd w:val="clear" w:color="auto" w:fill="auto"/>
          </w:tcPr>
          <w:p w14:paraId="348E10AB"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t xml:space="preserve">Faith leadership within different denominations significantly influences family planning adoption, with Catholic women being the least likely to use modern contraceptive methods </w:t>
            </w:r>
            <w:r>
              <w:rPr>
                <w:rFonts w:ascii="Times New Roman" w:hAnsi="Times New Roman"/>
                <w:sz w:val="20"/>
                <w:szCs w:val="20"/>
              </w:rPr>
              <w:lastRenderedPageBreak/>
              <w:t>compared to Protestant groups (27% vs. 33% for Protestants and 36% for ECWA women). Despite statistically insignificant associations between religious denomination and contraception use in adjusted models, the lower rates among Catholics reflect the doctrinal stance prioritizing natural family planning methods over modern contraceptives.</w:t>
            </w:r>
          </w:p>
        </w:tc>
        <w:tc>
          <w:tcPr>
            <w:tcW w:w="2610" w:type="dxa"/>
            <w:shd w:val="clear" w:color="auto" w:fill="auto"/>
          </w:tcPr>
          <w:p w14:paraId="4922429E"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lastRenderedPageBreak/>
              <w:t xml:space="preserve">Faith leaders’ messaging strategies vary by denomination. Catholic messaging traditionally discourages modern contraceptive methods, emphasizing natural family </w:t>
            </w:r>
            <w:r>
              <w:rPr>
                <w:rFonts w:ascii="Times New Roman" w:hAnsi="Times New Roman"/>
                <w:sz w:val="20"/>
                <w:szCs w:val="20"/>
              </w:rPr>
              <w:lastRenderedPageBreak/>
              <w:t>planning, whereas Protestant groups, including ECWA, appear more open to discussing modern methods. The increasing likelihood of contraceptive use among active church participants suggests that church activities serve as platforms for disseminating FP information, though the message content may depend on specific denominational doctrines and community needs.</w:t>
            </w:r>
          </w:p>
        </w:tc>
        <w:tc>
          <w:tcPr>
            <w:tcW w:w="2903" w:type="dxa"/>
            <w:shd w:val="clear" w:color="auto" w:fill="auto"/>
          </w:tcPr>
          <w:p w14:paraId="426280B7"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lastRenderedPageBreak/>
              <w:t xml:space="preserve">Barriers include religious doctrines that discourage modern contraceptive use, particularly among Catholic women, and socio-economic factors such as lower education levels and material living standards. </w:t>
            </w:r>
            <w:r>
              <w:rPr>
                <w:rFonts w:ascii="Times New Roman" w:hAnsi="Times New Roman"/>
                <w:sz w:val="20"/>
                <w:szCs w:val="20"/>
              </w:rPr>
              <w:lastRenderedPageBreak/>
              <w:t>Additionally, while increased church participation correlates with higher FP use, contrasting findings suggest that rigid doctrinal adherence among some active participants limits broader acceptance of modern methods. The insignificant association between religious denomination and FP use in adjusted analyses highlights complex interactions between faith, socio-economic factors, and FP behaviors</w:t>
            </w:r>
          </w:p>
        </w:tc>
      </w:tr>
      <w:tr w:rsidR="003C539E" w:rsidRPr="00380300" w14:paraId="7168C694" w14:textId="77777777" w:rsidTr="00C26302">
        <w:tc>
          <w:tcPr>
            <w:tcW w:w="1163" w:type="dxa"/>
            <w:shd w:val="clear" w:color="auto" w:fill="auto"/>
          </w:tcPr>
          <w:p w14:paraId="482C2989" w14:textId="77777777" w:rsidR="003C539E" w:rsidRDefault="003C539E" w:rsidP="00C26302">
            <w:pPr>
              <w:spacing w:line="360" w:lineRule="auto"/>
              <w:jc w:val="both"/>
              <w:rPr>
                <w:rFonts w:ascii="Times New Roman" w:hAnsi="Times New Roman"/>
                <w:sz w:val="20"/>
                <w:szCs w:val="20"/>
              </w:rPr>
            </w:pPr>
            <w:proofErr w:type="spellStart"/>
            <w:r>
              <w:rPr>
                <w:rFonts w:ascii="Times New Roman" w:hAnsi="Times New Roman"/>
                <w:sz w:val="20"/>
                <w:szCs w:val="20"/>
              </w:rPr>
              <w:lastRenderedPageBreak/>
              <w:t>Ahonsi</w:t>
            </w:r>
            <w:proofErr w:type="spellEnd"/>
            <w:r>
              <w:rPr>
                <w:rFonts w:ascii="Times New Roman" w:hAnsi="Times New Roman"/>
                <w:sz w:val="20"/>
                <w:szCs w:val="20"/>
              </w:rPr>
              <w:t xml:space="preserve">, B. O., Ishaku, S. M., Idowu, A., &amp; </w:t>
            </w:r>
            <w:proofErr w:type="spellStart"/>
            <w:r>
              <w:rPr>
                <w:rFonts w:ascii="Times New Roman" w:hAnsi="Times New Roman"/>
                <w:sz w:val="20"/>
                <w:szCs w:val="20"/>
              </w:rPr>
              <w:t>Oginni</w:t>
            </w:r>
            <w:proofErr w:type="spellEnd"/>
            <w:r>
              <w:rPr>
                <w:rFonts w:ascii="Times New Roman" w:hAnsi="Times New Roman"/>
                <w:sz w:val="20"/>
                <w:szCs w:val="20"/>
              </w:rPr>
              <w:t>, A. (2012)</w:t>
            </w:r>
          </w:p>
        </w:tc>
        <w:tc>
          <w:tcPr>
            <w:tcW w:w="1011" w:type="dxa"/>
            <w:shd w:val="clear" w:color="auto" w:fill="auto"/>
          </w:tcPr>
          <w:p w14:paraId="6142385F"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Kaduna, North-west Nigeria and Federal Capital Territory (FCT), North-</w:t>
            </w:r>
            <w:r>
              <w:rPr>
                <w:rFonts w:ascii="Times New Roman" w:hAnsi="Times New Roman"/>
                <w:sz w:val="20"/>
                <w:szCs w:val="20"/>
              </w:rPr>
              <w:lastRenderedPageBreak/>
              <w:t>central Nigeria</w:t>
            </w:r>
          </w:p>
        </w:tc>
        <w:tc>
          <w:tcPr>
            <w:tcW w:w="1405" w:type="dxa"/>
            <w:shd w:val="clear" w:color="auto" w:fill="auto"/>
          </w:tcPr>
          <w:p w14:paraId="447978EA"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lastRenderedPageBreak/>
              <w:t>Mixed method (Cross sectional)</w:t>
            </w:r>
          </w:p>
          <w:p w14:paraId="03209223" w14:textId="77777777" w:rsidR="003C539E" w:rsidRDefault="003C539E" w:rsidP="00C26302">
            <w:pPr>
              <w:spacing w:line="360" w:lineRule="auto"/>
              <w:jc w:val="both"/>
              <w:rPr>
                <w:rFonts w:ascii="Times New Roman" w:hAnsi="Times New Roman"/>
                <w:sz w:val="20"/>
                <w:szCs w:val="20"/>
              </w:rPr>
            </w:pPr>
          </w:p>
        </w:tc>
        <w:tc>
          <w:tcPr>
            <w:tcW w:w="1520" w:type="dxa"/>
            <w:shd w:val="clear" w:color="auto" w:fill="auto"/>
          </w:tcPr>
          <w:p w14:paraId="1392F620"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FP service providers and key opinion leaders (KOL)</w:t>
            </w:r>
          </w:p>
        </w:tc>
        <w:tc>
          <w:tcPr>
            <w:tcW w:w="1500" w:type="dxa"/>
            <w:shd w:val="clear" w:color="auto" w:fill="auto"/>
          </w:tcPr>
          <w:p w14:paraId="07F8DFF4"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407 -quantitative</w:t>
            </w:r>
          </w:p>
          <w:p w14:paraId="71B45234"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 xml:space="preserve">13 - qualitative </w:t>
            </w:r>
          </w:p>
        </w:tc>
        <w:tc>
          <w:tcPr>
            <w:tcW w:w="2581" w:type="dxa"/>
            <w:shd w:val="clear" w:color="auto" w:fill="auto"/>
          </w:tcPr>
          <w:p w14:paraId="2DC2886E"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t xml:space="preserve">Faith leaders play an indirect role in shaping perceptions of emergency contraceptive pills (ECPs) through moral and doctrinal stances. While key opinion leaders (KOLs) recognize the importance of ECPs, </w:t>
            </w:r>
            <w:proofErr w:type="gramStart"/>
            <w:r>
              <w:rPr>
                <w:rFonts w:ascii="Times New Roman" w:hAnsi="Times New Roman"/>
                <w:sz w:val="20"/>
                <w:szCs w:val="20"/>
              </w:rPr>
              <w:t>concerns about</w:t>
            </w:r>
            <w:proofErr w:type="gramEnd"/>
            <w:r>
              <w:rPr>
                <w:rFonts w:ascii="Times New Roman" w:hAnsi="Times New Roman"/>
                <w:sz w:val="20"/>
                <w:szCs w:val="20"/>
              </w:rPr>
              <w:t xml:space="preserve"> promoting promiscuity or reducing barrier method use echo faith-based </w:t>
            </w:r>
            <w:r>
              <w:rPr>
                <w:rFonts w:ascii="Times New Roman" w:hAnsi="Times New Roman"/>
                <w:sz w:val="20"/>
                <w:szCs w:val="20"/>
              </w:rPr>
              <w:lastRenderedPageBreak/>
              <w:t>apprehensions. Such positions can influence community attitudes and service providers’ reluctance to offer ECPs to unmarried or young women, a demographic often requiring urgent FP interventions.</w:t>
            </w:r>
          </w:p>
        </w:tc>
        <w:tc>
          <w:tcPr>
            <w:tcW w:w="2610" w:type="dxa"/>
            <w:shd w:val="clear" w:color="auto" w:fill="auto"/>
          </w:tcPr>
          <w:p w14:paraId="1AF8C166"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lastRenderedPageBreak/>
              <w:t xml:space="preserve">Messaging around ECPs by faith leaders is likely muted or framed within cautionary narratives emphasizing moral considerations. With 10% of providers still misidentifying ECPs as abortifacients, misconceptions may stem partly from faith-based rhetoric. Faith leaders’ messaging could amplify </w:t>
            </w:r>
            <w:r>
              <w:rPr>
                <w:rFonts w:ascii="Times New Roman" w:hAnsi="Times New Roman"/>
                <w:sz w:val="20"/>
                <w:szCs w:val="20"/>
              </w:rPr>
              <w:lastRenderedPageBreak/>
              <w:t>concerns about misuse or the impact on societal values, underscoring the need for balanced education and advocacy to bridge knowledge gaps.</w:t>
            </w:r>
          </w:p>
        </w:tc>
        <w:tc>
          <w:tcPr>
            <w:tcW w:w="2903" w:type="dxa"/>
            <w:shd w:val="clear" w:color="auto" w:fill="auto"/>
          </w:tcPr>
          <w:p w14:paraId="54202CF0"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lastRenderedPageBreak/>
              <w:t xml:space="preserve">Barriers include limited provider knowledge about ECPs (e.g., their five-day efficacy), restrictive attitudes toward young unmarried women, and misconceptions about ECP being an abortifacient. Providers’ aversion to repeat use further </w:t>
            </w:r>
            <w:proofErr w:type="gramStart"/>
            <w:r>
              <w:rPr>
                <w:rFonts w:ascii="Times New Roman" w:hAnsi="Times New Roman"/>
                <w:sz w:val="20"/>
                <w:szCs w:val="20"/>
              </w:rPr>
              <w:t>curtails</w:t>
            </w:r>
            <w:proofErr w:type="gramEnd"/>
            <w:r>
              <w:rPr>
                <w:rFonts w:ascii="Times New Roman" w:hAnsi="Times New Roman"/>
                <w:sz w:val="20"/>
                <w:szCs w:val="20"/>
              </w:rPr>
              <w:t xml:space="preserve"> demand, compounded by reliance on NGOs and private sector actors for ECP </w:t>
            </w:r>
            <w:r>
              <w:rPr>
                <w:rFonts w:ascii="Times New Roman" w:hAnsi="Times New Roman"/>
                <w:sz w:val="20"/>
                <w:szCs w:val="20"/>
              </w:rPr>
              <w:lastRenderedPageBreak/>
              <w:t>procurement and distribution. Government inaction in policy formulation and service monitoring exacerbates gaps, as does insufficient counseling infrastructure. Concerns about reduced barrier method use and STI escalation add a layer of resistance in expanding ECP accessibility</w:t>
            </w:r>
          </w:p>
        </w:tc>
      </w:tr>
      <w:tr w:rsidR="003C539E" w:rsidRPr="00380300" w14:paraId="5FBCE835" w14:textId="77777777" w:rsidTr="00C26302">
        <w:tc>
          <w:tcPr>
            <w:tcW w:w="1163" w:type="dxa"/>
            <w:shd w:val="clear" w:color="auto" w:fill="auto"/>
          </w:tcPr>
          <w:p w14:paraId="5B972256" w14:textId="77777777" w:rsidR="003C539E" w:rsidRDefault="003C539E" w:rsidP="00C26302">
            <w:pPr>
              <w:spacing w:line="360" w:lineRule="auto"/>
              <w:jc w:val="both"/>
              <w:rPr>
                <w:rFonts w:ascii="Times New Roman" w:hAnsi="Times New Roman"/>
                <w:sz w:val="20"/>
                <w:szCs w:val="20"/>
              </w:rPr>
            </w:pPr>
            <w:proofErr w:type="spellStart"/>
            <w:r>
              <w:rPr>
                <w:rFonts w:ascii="Times New Roman" w:hAnsi="Times New Roman"/>
                <w:sz w:val="20"/>
                <w:szCs w:val="20"/>
              </w:rPr>
              <w:lastRenderedPageBreak/>
              <w:t>Adedini</w:t>
            </w:r>
            <w:proofErr w:type="spellEnd"/>
            <w:r>
              <w:rPr>
                <w:rFonts w:ascii="Times New Roman" w:hAnsi="Times New Roman"/>
                <w:sz w:val="20"/>
                <w:szCs w:val="20"/>
              </w:rPr>
              <w:t xml:space="preserve">, S. A., Babalola, S., </w:t>
            </w:r>
            <w:proofErr w:type="spellStart"/>
            <w:r>
              <w:rPr>
                <w:rFonts w:ascii="Times New Roman" w:hAnsi="Times New Roman"/>
                <w:sz w:val="20"/>
                <w:szCs w:val="20"/>
              </w:rPr>
              <w:t>Ibeawuchi</w:t>
            </w:r>
            <w:proofErr w:type="spellEnd"/>
            <w:r>
              <w:rPr>
                <w:rFonts w:ascii="Times New Roman" w:hAnsi="Times New Roman"/>
                <w:sz w:val="20"/>
                <w:szCs w:val="20"/>
              </w:rPr>
              <w:t xml:space="preserve">, C., Omotoso, O., </w:t>
            </w:r>
            <w:proofErr w:type="spellStart"/>
            <w:r>
              <w:rPr>
                <w:rFonts w:ascii="Times New Roman" w:hAnsi="Times New Roman"/>
                <w:sz w:val="20"/>
                <w:szCs w:val="20"/>
              </w:rPr>
              <w:t>Akiode</w:t>
            </w:r>
            <w:proofErr w:type="spellEnd"/>
            <w:r>
              <w:rPr>
                <w:rFonts w:ascii="Times New Roman" w:hAnsi="Times New Roman"/>
                <w:sz w:val="20"/>
                <w:szCs w:val="20"/>
              </w:rPr>
              <w:t>, A., &amp; Odeku, M. (2018)</w:t>
            </w:r>
          </w:p>
        </w:tc>
        <w:tc>
          <w:tcPr>
            <w:tcW w:w="1011" w:type="dxa"/>
            <w:shd w:val="clear" w:color="auto" w:fill="auto"/>
          </w:tcPr>
          <w:p w14:paraId="500D1FC6"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Kwara and Oyo in South-west Nigeria, Kaduna in North-west Nigeria, and Federal Capital Territory (FCT), North-</w:t>
            </w:r>
            <w:r>
              <w:rPr>
                <w:rFonts w:ascii="Times New Roman" w:hAnsi="Times New Roman"/>
                <w:sz w:val="20"/>
                <w:szCs w:val="20"/>
              </w:rPr>
              <w:lastRenderedPageBreak/>
              <w:t>central Nigeria</w:t>
            </w:r>
          </w:p>
        </w:tc>
        <w:tc>
          <w:tcPr>
            <w:tcW w:w="1405" w:type="dxa"/>
            <w:shd w:val="clear" w:color="auto" w:fill="auto"/>
          </w:tcPr>
          <w:p w14:paraId="2288C34D"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lastRenderedPageBreak/>
              <w:t>Quantitative (Cross sectional study)</w:t>
            </w:r>
          </w:p>
        </w:tc>
        <w:tc>
          <w:tcPr>
            <w:tcW w:w="1520" w:type="dxa"/>
            <w:shd w:val="clear" w:color="auto" w:fill="auto"/>
          </w:tcPr>
          <w:p w14:paraId="73B928AD"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Women of reproductive age (15-49 years)</w:t>
            </w:r>
          </w:p>
        </w:tc>
        <w:tc>
          <w:tcPr>
            <w:tcW w:w="1500" w:type="dxa"/>
            <w:shd w:val="clear" w:color="auto" w:fill="auto"/>
          </w:tcPr>
          <w:p w14:paraId="215A6E89"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9,725</w:t>
            </w:r>
          </w:p>
        </w:tc>
        <w:tc>
          <w:tcPr>
            <w:tcW w:w="2581" w:type="dxa"/>
            <w:shd w:val="clear" w:color="auto" w:fill="auto"/>
          </w:tcPr>
          <w:p w14:paraId="254F30A6"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t>Faith leadership in Nigeria, as exemplified by NURHI advocacy outcomes, has increasingly embraced family planning discussions. Influential leaders like the Emir of Kano openly support family planning for maternal and child health, small family formation, and gender equity. This progressive stance has shifted the narrative, with many religious leaders now recognizing child spacing and contraception as life-</w:t>
            </w:r>
            <w:r>
              <w:rPr>
                <w:rFonts w:ascii="Times New Roman" w:hAnsi="Times New Roman"/>
                <w:sz w:val="20"/>
                <w:szCs w:val="20"/>
              </w:rPr>
              <w:lastRenderedPageBreak/>
              <w:t>saving measures rather than population control, promoting openness in public discourse.</w:t>
            </w:r>
          </w:p>
        </w:tc>
        <w:tc>
          <w:tcPr>
            <w:tcW w:w="2610" w:type="dxa"/>
            <w:shd w:val="clear" w:color="auto" w:fill="auto"/>
          </w:tcPr>
          <w:p w14:paraId="6A0A1097"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lastRenderedPageBreak/>
              <w:t xml:space="preserve">Faith leaders’ messaging has shifted towards promoting family planning as a tool for health and well-being rather than a sin. Advocacy efforts have facilitated the dissemination of FP messages through religious platforms, with about 40% of women reporting exposure to FP messages from faith leaders in the past year. Messages are framed to align with religious values, emphasizing the life-saving benefits of contraception, </w:t>
            </w:r>
            <w:r>
              <w:rPr>
                <w:rFonts w:ascii="Times New Roman" w:hAnsi="Times New Roman"/>
                <w:sz w:val="20"/>
                <w:szCs w:val="20"/>
              </w:rPr>
              <w:lastRenderedPageBreak/>
              <w:t>while addressing misconceptions, which has been instrumental in increasing modern contraceptive use.</w:t>
            </w:r>
          </w:p>
        </w:tc>
        <w:tc>
          <w:tcPr>
            <w:tcW w:w="2903" w:type="dxa"/>
            <w:shd w:val="clear" w:color="auto" w:fill="auto"/>
          </w:tcPr>
          <w:p w14:paraId="1F2B6B37"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lastRenderedPageBreak/>
              <w:t xml:space="preserve">Barriers include entrenched myths and misconceptions about family planning, with higher contraceptive use observed among women with lower acceptance of such myths. Cultural and religious norms requiring spousal or external permission (86.4%) and the influence of religiosity on FP decisions (66.4%) further constrain demand. While NURHI advocacy has increased exposure to FP messages, systemic barriers such as socioeconomic disparities, </w:t>
            </w:r>
            <w:r>
              <w:rPr>
                <w:rFonts w:ascii="Times New Roman" w:hAnsi="Times New Roman"/>
                <w:sz w:val="20"/>
                <w:szCs w:val="20"/>
              </w:rPr>
              <w:lastRenderedPageBreak/>
              <w:t>limited self-efficacy, and hesitancy among some religious leaders to fully endorse modern contraceptives persist</w:t>
            </w:r>
          </w:p>
        </w:tc>
      </w:tr>
      <w:tr w:rsidR="003C539E" w:rsidRPr="00380300" w14:paraId="403248F8" w14:textId="77777777" w:rsidTr="00C26302">
        <w:tc>
          <w:tcPr>
            <w:tcW w:w="1163" w:type="dxa"/>
            <w:shd w:val="clear" w:color="auto" w:fill="auto"/>
          </w:tcPr>
          <w:p w14:paraId="6D25212D"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lastRenderedPageBreak/>
              <w:t>Adeyemi, R. O. (2024)</w:t>
            </w:r>
          </w:p>
        </w:tc>
        <w:tc>
          <w:tcPr>
            <w:tcW w:w="1011" w:type="dxa"/>
            <w:shd w:val="clear" w:color="auto" w:fill="auto"/>
          </w:tcPr>
          <w:p w14:paraId="4476B914"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Lagos and Ogun, South-west Nigeria</w:t>
            </w:r>
          </w:p>
        </w:tc>
        <w:tc>
          <w:tcPr>
            <w:tcW w:w="1405" w:type="dxa"/>
            <w:shd w:val="clear" w:color="auto" w:fill="auto"/>
          </w:tcPr>
          <w:p w14:paraId="19A70651"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Quantitative (cross-sectional study)</w:t>
            </w:r>
          </w:p>
        </w:tc>
        <w:tc>
          <w:tcPr>
            <w:tcW w:w="1520" w:type="dxa"/>
            <w:shd w:val="clear" w:color="auto" w:fill="auto"/>
          </w:tcPr>
          <w:p w14:paraId="37AA00EE"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Married women in women groups within the Christian faith</w:t>
            </w:r>
          </w:p>
        </w:tc>
        <w:tc>
          <w:tcPr>
            <w:tcW w:w="1500" w:type="dxa"/>
            <w:shd w:val="clear" w:color="auto" w:fill="auto"/>
          </w:tcPr>
          <w:p w14:paraId="0FF28A73" w14:textId="77777777" w:rsidR="003C539E" w:rsidRDefault="003C539E" w:rsidP="00C26302">
            <w:pPr>
              <w:spacing w:line="360" w:lineRule="auto"/>
              <w:jc w:val="both"/>
              <w:rPr>
                <w:rFonts w:ascii="Times New Roman" w:hAnsi="Times New Roman"/>
                <w:sz w:val="20"/>
                <w:szCs w:val="20"/>
              </w:rPr>
            </w:pPr>
            <w:r>
              <w:rPr>
                <w:rFonts w:ascii="Times New Roman" w:hAnsi="Times New Roman"/>
                <w:sz w:val="20"/>
                <w:szCs w:val="20"/>
              </w:rPr>
              <w:t>215</w:t>
            </w:r>
          </w:p>
        </w:tc>
        <w:tc>
          <w:tcPr>
            <w:tcW w:w="2581" w:type="dxa"/>
            <w:shd w:val="clear" w:color="auto" w:fill="auto"/>
          </w:tcPr>
          <w:p w14:paraId="66B6050A"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t>Within Christian congregations, contraceptives are increasingly viewed positively, with a majority considering their use as aligned with religious, social, and cultural values. While some individuals still oppose contraception, citing divine plans for procreation, these views represent a minority. The general acceptance suggests a growing shift in Christian faith-based leadership and communities towards supporting family planning initiatives as beneficial.</w:t>
            </w:r>
          </w:p>
        </w:tc>
        <w:tc>
          <w:tcPr>
            <w:tcW w:w="2610" w:type="dxa"/>
            <w:shd w:val="clear" w:color="auto" w:fill="auto"/>
          </w:tcPr>
          <w:p w14:paraId="6FEC315D"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t>Messaging by faith leaders in Christian communities appears to emphasize the health benefits of contraceptive use, fostering its social and religious acceptance. Advocacy efforts seem to have successfully reframed contraception from being seen as a "borrowed culture" to an integrated practice supported by religious and cultural reasoning. This aligns with respondents’ preferences for modern methods like implants and IUDs, which are increasingly normalized within these communities.</w:t>
            </w:r>
          </w:p>
        </w:tc>
        <w:tc>
          <w:tcPr>
            <w:tcW w:w="2903" w:type="dxa"/>
            <w:shd w:val="clear" w:color="auto" w:fill="auto"/>
          </w:tcPr>
          <w:p w14:paraId="532EA9BB" w14:textId="77777777" w:rsidR="003C539E" w:rsidRDefault="003C539E" w:rsidP="00C26302">
            <w:pPr>
              <w:spacing w:line="360" w:lineRule="auto"/>
              <w:rPr>
                <w:rFonts w:ascii="Times New Roman" w:hAnsi="Times New Roman"/>
                <w:sz w:val="20"/>
                <w:szCs w:val="20"/>
              </w:rPr>
            </w:pPr>
            <w:r>
              <w:rPr>
                <w:rFonts w:ascii="Times New Roman" w:hAnsi="Times New Roman"/>
                <w:sz w:val="20"/>
                <w:szCs w:val="20"/>
              </w:rPr>
              <w:t>Barriers include lingering perceptions among some individuals that contraception interferes with divine will and is a cultural import. Decision-making dynamics also play a role, with 26.9% of contraceptive choices being joint decisions between spouses, and only 6.5% attributed to personal decisions. The influence of husbands and families, though minimal, indicates the need for broader involvement in FP messaging to address decision-making constraints and further enhance contraceptive uptake</w:t>
            </w:r>
          </w:p>
        </w:tc>
      </w:tr>
    </w:tbl>
    <w:p w14:paraId="5FC7260E" w14:textId="77777777" w:rsidR="003C539E" w:rsidRDefault="003C539E"/>
    <w:sectPr w:rsidR="003C539E" w:rsidSect="003C539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39E"/>
    <w:rsid w:val="003C539E"/>
    <w:rsid w:val="00850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AA2EC"/>
  <w15:chartTrackingRefBased/>
  <w15:docId w15:val="{84B33C31-7422-4E26-9D4C-48AB75B05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39E"/>
    <w:pPr>
      <w:spacing w:after="200" w:line="276" w:lineRule="auto"/>
    </w:pPr>
    <w:rPr>
      <w:rFonts w:ascii="Calibri" w:eastAsia="SimSun" w:hAnsi="Calibri" w:cs="Times New Roman"/>
      <w:kern w:val="0"/>
      <w:sz w:val="22"/>
      <w:szCs w:val="22"/>
      <w:lang w:eastAsia="zh-CN"/>
      <w14:ligatures w14:val="none"/>
    </w:rPr>
  </w:style>
  <w:style w:type="paragraph" w:styleId="Heading1">
    <w:name w:val="heading 1"/>
    <w:basedOn w:val="Normal"/>
    <w:next w:val="Normal"/>
    <w:link w:val="Heading1Char"/>
    <w:uiPriority w:val="9"/>
    <w:qFormat/>
    <w:rsid w:val="003C539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C539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C539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C539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3C539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3C539E"/>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3C539E"/>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3C539E"/>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3C539E"/>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3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53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53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53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53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53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3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3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39E"/>
    <w:rPr>
      <w:rFonts w:eastAsiaTheme="majorEastAsia" w:cstheme="majorBidi"/>
      <w:color w:val="272727" w:themeColor="text1" w:themeTint="D8"/>
    </w:rPr>
  </w:style>
  <w:style w:type="paragraph" w:styleId="Title">
    <w:name w:val="Title"/>
    <w:basedOn w:val="Normal"/>
    <w:next w:val="Normal"/>
    <w:link w:val="TitleChar"/>
    <w:uiPriority w:val="10"/>
    <w:qFormat/>
    <w:rsid w:val="003C539E"/>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C53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539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C53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539E"/>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3C539E"/>
    <w:rPr>
      <w:i/>
      <w:iCs/>
      <w:color w:val="404040" w:themeColor="text1" w:themeTint="BF"/>
    </w:rPr>
  </w:style>
  <w:style w:type="paragraph" w:styleId="ListParagraph">
    <w:name w:val="List Paragraph"/>
    <w:basedOn w:val="Normal"/>
    <w:uiPriority w:val="34"/>
    <w:qFormat/>
    <w:rsid w:val="003C539E"/>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3C539E"/>
    <w:rPr>
      <w:i/>
      <w:iCs/>
      <w:color w:val="0F4761" w:themeColor="accent1" w:themeShade="BF"/>
    </w:rPr>
  </w:style>
  <w:style w:type="paragraph" w:styleId="IntenseQuote">
    <w:name w:val="Intense Quote"/>
    <w:basedOn w:val="Normal"/>
    <w:next w:val="Normal"/>
    <w:link w:val="IntenseQuoteChar"/>
    <w:uiPriority w:val="30"/>
    <w:qFormat/>
    <w:rsid w:val="003C539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3C539E"/>
    <w:rPr>
      <w:i/>
      <w:iCs/>
      <w:color w:val="0F4761" w:themeColor="accent1" w:themeShade="BF"/>
    </w:rPr>
  </w:style>
  <w:style w:type="character" w:styleId="IntenseReference">
    <w:name w:val="Intense Reference"/>
    <w:basedOn w:val="DefaultParagraphFont"/>
    <w:uiPriority w:val="32"/>
    <w:qFormat/>
    <w:rsid w:val="003C53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1880</Words>
  <Characters>10718</Characters>
  <Application>Microsoft Office Word</Application>
  <DocSecurity>0</DocSecurity>
  <Lines>89</Lines>
  <Paragraphs>25</Paragraphs>
  <ScaleCrop>false</ScaleCrop>
  <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Temidayo Akinreni</dc:creator>
  <cp:keywords/>
  <dc:description/>
  <cp:lastModifiedBy>Temidayo Akinreni</cp:lastModifiedBy>
  <cp:revision>1</cp:revision>
  <dcterms:created xsi:type="dcterms:W3CDTF">2025-04-18T18:26:00Z</dcterms:created>
  <dcterms:modified xsi:type="dcterms:W3CDTF">2025-04-18T18:28:00Z</dcterms:modified>
</cp:coreProperties>
</file>