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C0C6F" w14:textId="25C5BCCF" w:rsidR="00A52F00" w:rsidRPr="00FD7305" w:rsidRDefault="00CC0D6C" w:rsidP="00CC0D6C">
      <w:pPr>
        <w:jc w:val="center"/>
        <w:rPr>
          <w:sz w:val="24"/>
          <w:szCs w:val="24"/>
        </w:rPr>
      </w:pPr>
      <w:r w:rsidRPr="00FD7305">
        <w:rPr>
          <w:b/>
          <w:bCs/>
          <w:sz w:val="24"/>
          <w:szCs w:val="24"/>
        </w:rPr>
        <w:t>Appendix A</w:t>
      </w:r>
    </w:p>
    <w:tbl>
      <w:tblPr>
        <w:tblStyle w:val="TableGrid"/>
        <w:tblW w:w="13320" w:type="dxa"/>
        <w:tblInd w:w="-95" w:type="dxa"/>
        <w:tblLayout w:type="fixed"/>
        <w:tblLook w:val="04A0" w:firstRow="1" w:lastRow="0" w:firstColumn="1" w:lastColumn="0" w:noHBand="0" w:noVBand="1"/>
      </w:tblPr>
      <w:tblGrid>
        <w:gridCol w:w="1440"/>
        <w:gridCol w:w="810"/>
        <w:gridCol w:w="1350"/>
        <w:gridCol w:w="1890"/>
        <w:gridCol w:w="1710"/>
        <w:gridCol w:w="3600"/>
        <w:gridCol w:w="2520"/>
      </w:tblGrid>
      <w:tr w:rsidR="00CC0D6C" w:rsidRPr="002612FD" w14:paraId="39904CDE" w14:textId="77777777" w:rsidTr="0024775A">
        <w:tc>
          <w:tcPr>
            <w:tcW w:w="1440" w:type="dxa"/>
            <w:shd w:val="clear" w:color="auto" w:fill="D9D9D9" w:themeFill="background1" w:themeFillShade="D9"/>
          </w:tcPr>
          <w:p w14:paraId="157FD04C" w14:textId="77777777" w:rsidR="00CC0D6C" w:rsidRPr="002612FD" w:rsidRDefault="00CC0D6C" w:rsidP="00360CA3">
            <w:pPr>
              <w:rPr>
                <w:rFonts w:ascii="Arial" w:hAnsi="Arial" w:cs="Arial"/>
              </w:rPr>
            </w:pPr>
            <w:r w:rsidRPr="002612FD">
              <w:rPr>
                <w:rFonts w:ascii="Arial" w:hAnsi="Arial" w:cs="Arial"/>
              </w:rPr>
              <w:t>Author</w:t>
            </w:r>
          </w:p>
        </w:tc>
        <w:tc>
          <w:tcPr>
            <w:tcW w:w="810" w:type="dxa"/>
            <w:shd w:val="clear" w:color="auto" w:fill="D9D9D9" w:themeFill="background1" w:themeFillShade="D9"/>
          </w:tcPr>
          <w:p w14:paraId="6366AA9B" w14:textId="77777777" w:rsidR="00CC0D6C" w:rsidRPr="002612FD" w:rsidRDefault="00CC0D6C" w:rsidP="00360CA3">
            <w:pPr>
              <w:rPr>
                <w:rFonts w:ascii="Arial" w:hAnsi="Arial" w:cs="Arial"/>
              </w:rPr>
            </w:pPr>
            <w:r w:rsidRPr="002612FD">
              <w:rPr>
                <w:rFonts w:ascii="Arial" w:hAnsi="Arial" w:cs="Arial"/>
              </w:rPr>
              <w:t>Year</w:t>
            </w:r>
          </w:p>
        </w:tc>
        <w:tc>
          <w:tcPr>
            <w:tcW w:w="1350" w:type="dxa"/>
            <w:shd w:val="clear" w:color="auto" w:fill="D9D9D9" w:themeFill="background1" w:themeFillShade="D9"/>
          </w:tcPr>
          <w:p w14:paraId="74ABE295" w14:textId="77777777" w:rsidR="00CC0D6C" w:rsidRPr="002612FD" w:rsidRDefault="00CC0D6C" w:rsidP="00360CA3">
            <w:pPr>
              <w:rPr>
                <w:rFonts w:ascii="Arial" w:hAnsi="Arial" w:cs="Arial"/>
              </w:rPr>
            </w:pPr>
            <w:r w:rsidRPr="002612FD">
              <w:rPr>
                <w:rFonts w:ascii="Arial" w:hAnsi="Arial" w:cs="Arial"/>
              </w:rPr>
              <w:t>Design</w:t>
            </w:r>
          </w:p>
        </w:tc>
        <w:tc>
          <w:tcPr>
            <w:tcW w:w="1890" w:type="dxa"/>
            <w:shd w:val="clear" w:color="auto" w:fill="D9D9D9" w:themeFill="background1" w:themeFillShade="D9"/>
          </w:tcPr>
          <w:p w14:paraId="1A99EE94" w14:textId="77777777" w:rsidR="00EE4740" w:rsidRDefault="00CC0D6C" w:rsidP="00360CA3">
            <w:pPr>
              <w:rPr>
                <w:rFonts w:ascii="Arial" w:hAnsi="Arial" w:cs="Arial"/>
              </w:rPr>
            </w:pPr>
            <w:r w:rsidRPr="002612FD">
              <w:rPr>
                <w:rFonts w:ascii="Arial" w:hAnsi="Arial" w:cs="Arial"/>
              </w:rPr>
              <w:t>Setting/</w:t>
            </w:r>
          </w:p>
          <w:p w14:paraId="01206C03" w14:textId="59E0A800" w:rsidR="00CC0D6C" w:rsidRPr="002612FD" w:rsidRDefault="00CC0D6C" w:rsidP="00360CA3">
            <w:pPr>
              <w:rPr>
                <w:rFonts w:ascii="Arial" w:hAnsi="Arial" w:cs="Arial"/>
              </w:rPr>
            </w:pPr>
            <w:r w:rsidRPr="002612FD">
              <w:rPr>
                <w:rFonts w:ascii="Arial" w:hAnsi="Arial" w:cs="Arial"/>
              </w:rPr>
              <w:t>Sample</w:t>
            </w:r>
          </w:p>
        </w:tc>
        <w:tc>
          <w:tcPr>
            <w:tcW w:w="1710" w:type="dxa"/>
            <w:shd w:val="clear" w:color="auto" w:fill="D9D9D9" w:themeFill="background1" w:themeFillShade="D9"/>
          </w:tcPr>
          <w:p w14:paraId="53DC688F" w14:textId="496C46B0" w:rsidR="00CC0D6C" w:rsidRPr="002612FD" w:rsidRDefault="00CC0D6C" w:rsidP="00360CA3">
            <w:pPr>
              <w:rPr>
                <w:rFonts w:ascii="Arial" w:hAnsi="Arial" w:cs="Arial"/>
              </w:rPr>
            </w:pPr>
            <w:r w:rsidRPr="002612FD">
              <w:rPr>
                <w:rFonts w:ascii="Arial" w:hAnsi="Arial" w:cs="Arial"/>
              </w:rPr>
              <w:t>JBI Checklist</w:t>
            </w:r>
            <w:r w:rsidR="00EE4740">
              <w:rPr>
                <w:rFonts w:ascii="Arial" w:hAnsi="Arial" w:cs="Arial"/>
              </w:rPr>
              <w:t xml:space="preserve"> Used</w:t>
            </w:r>
          </w:p>
        </w:tc>
        <w:tc>
          <w:tcPr>
            <w:tcW w:w="3600" w:type="dxa"/>
            <w:shd w:val="clear" w:color="auto" w:fill="D9D9D9" w:themeFill="background1" w:themeFillShade="D9"/>
          </w:tcPr>
          <w:p w14:paraId="418DEB18" w14:textId="77777777" w:rsidR="00EE4740" w:rsidRDefault="00CC0D6C" w:rsidP="00360CA3">
            <w:pPr>
              <w:rPr>
                <w:rFonts w:ascii="Arial" w:hAnsi="Arial" w:cs="Arial"/>
              </w:rPr>
            </w:pPr>
            <w:r w:rsidRPr="002612FD">
              <w:rPr>
                <w:rFonts w:ascii="Arial" w:hAnsi="Arial" w:cs="Arial"/>
              </w:rPr>
              <w:t>Results/</w:t>
            </w:r>
          </w:p>
          <w:p w14:paraId="49A41C01" w14:textId="1E6270CB" w:rsidR="00CC0D6C" w:rsidRPr="002612FD" w:rsidRDefault="00CC0D6C" w:rsidP="00360CA3">
            <w:pPr>
              <w:rPr>
                <w:rFonts w:ascii="Arial" w:hAnsi="Arial" w:cs="Arial"/>
              </w:rPr>
            </w:pPr>
            <w:r w:rsidRPr="002612FD">
              <w:rPr>
                <w:rFonts w:ascii="Arial" w:hAnsi="Arial" w:cs="Arial"/>
              </w:rPr>
              <w:t>Findings</w:t>
            </w:r>
          </w:p>
        </w:tc>
        <w:tc>
          <w:tcPr>
            <w:tcW w:w="2520" w:type="dxa"/>
            <w:shd w:val="clear" w:color="auto" w:fill="D9D9D9" w:themeFill="background1" w:themeFillShade="D9"/>
          </w:tcPr>
          <w:p w14:paraId="770234F4" w14:textId="77777777" w:rsidR="00EE4740" w:rsidRDefault="00CC0D6C" w:rsidP="00360CA3">
            <w:pPr>
              <w:rPr>
                <w:rFonts w:ascii="Arial" w:hAnsi="Arial" w:cs="Arial"/>
              </w:rPr>
            </w:pPr>
            <w:r w:rsidRPr="002612FD">
              <w:rPr>
                <w:rFonts w:ascii="Arial" w:hAnsi="Arial" w:cs="Arial"/>
              </w:rPr>
              <w:t>Strengths/</w:t>
            </w:r>
          </w:p>
          <w:p w14:paraId="37D32070" w14:textId="7C80DF44" w:rsidR="00CC0D6C" w:rsidRPr="002612FD" w:rsidRDefault="00CC0D6C" w:rsidP="00360CA3">
            <w:pPr>
              <w:rPr>
                <w:rFonts w:ascii="Arial" w:hAnsi="Arial" w:cs="Arial"/>
              </w:rPr>
            </w:pPr>
            <w:r w:rsidRPr="002612FD">
              <w:rPr>
                <w:rFonts w:ascii="Arial" w:hAnsi="Arial" w:cs="Arial"/>
              </w:rPr>
              <w:t>Limitations</w:t>
            </w:r>
          </w:p>
        </w:tc>
      </w:tr>
      <w:tr w:rsidR="00CC0D6C" w:rsidRPr="002612FD" w14:paraId="2F753218" w14:textId="77777777" w:rsidTr="0024775A">
        <w:tc>
          <w:tcPr>
            <w:tcW w:w="1440" w:type="dxa"/>
          </w:tcPr>
          <w:p w14:paraId="13F94E2D" w14:textId="77777777" w:rsidR="00CC0D6C" w:rsidRPr="002612FD" w:rsidRDefault="00CC0D6C" w:rsidP="00360CA3">
            <w:pPr>
              <w:rPr>
                <w:rFonts w:ascii="Arial" w:hAnsi="Arial" w:cs="Arial"/>
              </w:rPr>
            </w:pPr>
            <w:r w:rsidRPr="002612FD">
              <w:rPr>
                <w:rFonts w:ascii="Arial" w:hAnsi="Arial" w:cs="Arial"/>
              </w:rPr>
              <w:t xml:space="preserve">Baah et al. </w:t>
            </w:r>
          </w:p>
          <w:p w14:paraId="5E38C44D" w14:textId="77777777" w:rsidR="00CC0D6C" w:rsidRPr="002612FD" w:rsidRDefault="00CC0D6C" w:rsidP="00360CA3">
            <w:pPr>
              <w:rPr>
                <w:rFonts w:ascii="Arial" w:hAnsi="Arial" w:cs="Arial"/>
              </w:rPr>
            </w:pPr>
          </w:p>
        </w:tc>
        <w:tc>
          <w:tcPr>
            <w:tcW w:w="810" w:type="dxa"/>
          </w:tcPr>
          <w:p w14:paraId="42CFA167" w14:textId="77777777" w:rsidR="00CC0D6C" w:rsidRPr="002612FD" w:rsidRDefault="00CC0D6C" w:rsidP="00360CA3">
            <w:pPr>
              <w:rPr>
                <w:rFonts w:ascii="Arial" w:hAnsi="Arial" w:cs="Arial"/>
              </w:rPr>
            </w:pPr>
            <w:r w:rsidRPr="002612FD">
              <w:rPr>
                <w:rFonts w:ascii="Arial" w:hAnsi="Arial" w:cs="Arial"/>
              </w:rPr>
              <w:t>2021</w:t>
            </w:r>
          </w:p>
        </w:tc>
        <w:tc>
          <w:tcPr>
            <w:tcW w:w="1350" w:type="dxa"/>
          </w:tcPr>
          <w:p w14:paraId="326FC7AF" w14:textId="01218A0A" w:rsidR="00CC0D6C" w:rsidRPr="002612FD" w:rsidRDefault="00CC0D6C" w:rsidP="00360CA3">
            <w:pPr>
              <w:rPr>
                <w:rFonts w:ascii="Arial" w:hAnsi="Arial" w:cs="Arial"/>
              </w:rPr>
            </w:pPr>
            <w:r w:rsidRPr="002612FD">
              <w:rPr>
                <w:rFonts w:ascii="Arial" w:hAnsi="Arial" w:cs="Arial"/>
              </w:rPr>
              <w:t xml:space="preserve">Cross-Sectional </w:t>
            </w:r>
          </w:p>
        </w:tc>
        <w:tc>
          <w:tcPr>
            <w:tcW w:w="1890" w:type="dxa"/>
          </w:tcPr>
          <w:p w14:paraId="054C4132" w14:textId="77777777" w:rsidR="00CC0D6C" w:rsidRPr="002612FD" w:rsidRDefault="00CC0D6C" w:rsidP="00360CA3">
            <w:pPr>
              <w:rPr>
                <w:rFonts w:ascii="Arial" w:hAnsi="Arial" w:cs="Arial"/>
              </w:rPr>
            </w:pPr>
            <w:r w:rsidRPr="002612FD">
              <w:rPr>
                <w:rFonts w:ascii="Arial" w:hAnsi="Arial" w:cs="Arial"/>
              </w:rPr>
              <w:t>Data collected from inpatient and outpatient cardiology clinics in the U.S.; final analyzed sample included 543 adult patients with HF.</w:t>
            </w:r>
          </w:p>
        </w:tc>
        <w:tc>
          <w:tcPr>
            <w:tcW w:w="1710" w:type="dxa"/>
          </w:tcPr>
          <w:p w14:paraId="596DCC9E" w14:textId="77777777" w:rsidR="00CC0D6C" w:rsidRPr="002612FD" w:rsidRDefault="00CC0D6C" w:rsidP="00360CA3">
            <w:pPr>
              <w:rPr>
                <w:rFonts w:ascii="Arial" w:hAnsi="Arial" w:cs="Arial"/>
              </w:rPr>
            </w:pPr>
            <w:r w:rsidRPr="002612FD">
              <w:rPr>
                <w:rFonts w:ascii="Arial" w:hAnsi="Arial" w:cs="Arial"/>
              </w:rPr>
              <w:t>Analytical Cross-Sectional Studies</w:t>
            </w:r>
          </w:p>
        </w:tc>
        <w:tc>
          <w:tcPr>
            <w:tcW w:w="3600" w:type="dxa"/>
          </w:tcPr>
          <w:p w14:paraId="644F9EBD" w14:textId="77777777" w:rsidR="00CC0D6C" w:rsidRPr="002612FD" w:rsidRDefault="00CC0D6C" w:rsidP="00360CA3">
            <w:pPr>
              <w:rPr>
                <w:rFonts w:ascii="Arial" w:hAnsi="Arial" w:cs="Arial"/>
              </w:rPr>
            </w:pPr>
            <w:r w:rsidRPr="002612FD">
              <w:rPr>
                <w:rFonts w:ascii="Arial" w:hAnsi="Arial" w:cs="Arial"/>
              </w:rPr>
              <w:t>Explored the relationship between sociodemographic indicators of social position: marital status (</w:t>
            </w:r>
            <w:r w:rsidRPr="002612FD">
              <w:rPr>
                <w:rFonts w:ascii="Arial" w:hAnsi="Arial" w:cs="Arial"/>
                <w:i/>
                <w:iCs/>
              </w:rPr>
              <w:t>p</w:t>
            </w:r>
            <w:r w:rsidRPr="002612FD">
              <w:rPr>
                <w:rFonts w:ascii="Arial" w:hAnsi="Arial" w:cs="Arial"/>
              </w:rPr>
              <w:t xml:space="preserve"> =.024), race (</w:t>
            </w:r>
            <w:r w:rsidRPr="002612FD">
              <w:rPr>
                <w:rFonts w:ascii="Arial" w:hAnsi="Arial" w:cs="Arial"/>
                <w:i/>
                <w:iCs/>
              </w:rPr>
              <w:t>p</w:t>
            </w:r>
            <w:r w:rsidRPr="002612FD">
              <w:rPr>
                <w:rFonts w:ascii="Arial" w:hAnsi="Arial" w:cs="Arial"/>
              </w:rPr>
              <w:t xml:space="preserve"> =.021), and education (</w:t>
            </w:r>
            <w:r w:rsidRPr="002612FD">
              <w:rPr>
                <w:rFonts w:ascii="Arial" w:hAnsi="Arial" w:cs="Arial"/>
                <w:i/>
                <w:iCs/>
              </w:rPr>
              <w:t>p</w:t>
            </w:r>
            <w:r w:rsidRPr="002612FD">
              <w:rPr>
                <w:rFonts w:ascii="Arial" w:hAnsi="Arial" w:cs="Arial"/>
              </w:rPr>
              <w:t xml:space="preserve"> = .061) were the best predictors of self-care maintenance, explaining 3.8% of its variance. Key findings included higher self-care maintenance among married/partnered individuals (mean difference = 5.56, 95% CI [0.73, 10.38], </w:t>
            </w:r>
            <w:r w:rsidRPr="002612FD">
              <w:rPr>
                <w:rFonts w:ascii="Arial" w:hAnsi="Arial" w:cs="Arial"/>
                <w:i/>
                <w:iCs/>
              </w:rPr>
              <w:t>p</w:t>
            </w:r>
            <w:r w:rsidRPr="002612FD">
              <w:rPr>
                <w:rFonts w:ascii="Arial" w:hAnsi="Arial" w:cs="Arial"/>
              </w:rPr>
              <w:t xml:space="preserve"> &lt; .05) and participants with some college education compared to those with high school or less (mean difference = 4.13, 95% CI [0.03, 8.24], </w:t>
            </w:r>
            <w:r w:rsidRPr="002612FD">
              <w:rPr>
                <w:rFonts w:ascii="Arial" w:hAnsi="Arial" w:cs="Arial"/>
                <w:i/>
                <w:iCs/>
                <w:rPrChange w:id="0" w:author="Kendra Duran" w:date="2025-03-11T18:40:00Z" w16du:dateUtc="2025-03-11T22:40:00Z">
                  <w:rPr>
                    <w:rFonts w:ascii="Arial" w:hAnsi="Arial" w:cs="Arial"/>
                    <w:sz w:val="16"/>
                    <w:szCs w:val="16"/>
                  </w:rPr>
                </w:rPrChange>
              </w:rPr>
              <w:t>p</w:t>
            </w:r>
            <w:r w:rsidRPr="002612FD">
              <w:rPr>
                <w:rFonts w:ascii="Arial" w:hAnsi="Arial" w:cs="Arial"/>
              </w:rPr>
              <w:t xml:space="preserve"> &lt;.05).</w:t>
            </w:r>
          </w:p>
        </w:tc>
        <w:tc>
          <w:tcPr>
            <w:tcW w:w="2520" w:type="dxa"/>
          </w:tcPr>
          <w:p w14:paraId="5D89B497" w14:textId="77777777" w:rsidR="00CC0D6C" w:rsidRPr="002612FD" w:rsidRDefault="00CC0D6C" w:rsidP="00360CA3">
            <w:pPr>
              <w:rPr>
                <w:rFonts w:ascii="Arial" w:hAnsi="Arial" w:cs="Arial"/>
              </w:rPr>
            </w:pPr>
            <w:r w:rsidRPr="002612FD">
              <w:rPr>
                <w:rFonts w:ascii="Arial" w:hAnsi="Arial" w:cs="Arial"/>
              </w:rPr>
              <w:t>Strengths:</w:t>
            </w:r>
          </w:p>
          <w:p w14:paraId="06E1EF55" w14:textId="77777777" w:rsidR="00CC0D6C" w:rsidRPr="002612FD" w:rsidRDefault="00CC0D6C" w:rsidP="00360CA3">
            <w:pPr>
              <w:rPr>
                <w:rFonts w:ascii="Arial" w:hAnsi="Arial" w:cs="Arial"/>
              </w:rPr>
            </w:pPr>
            <w:r w:rsidRPr="002612FD">
              <w:rPr>
                <w:rFonts w:ascii="Arial" w:hAnsi="Arial" w:cs="Arial"/>
              </w:rPr>
              <w:t>Large and diverse sample, Use of validated measures (SCHFI v7.2) and thorough statistical analysis.</w:t>
            </w:r>
          </w:p>
          <w:p w14:paraId="24A747A1" w14:textId="77777777" w:rsidR="00CC0D6C" w:rsidRPr="002612FD" w:rsidRDefault="00CC0D6C" w:rsidP="00360CA3">
            <w:pPr>
              <w:rPr>
                <w:rFonts w:ascii="Arial" w:hAnsi="Arial" w:cs="Arial"/>
              </w:rPr>
            </w:pPr>
          </w:p>
          <w:p w14:paraId="4073A45C" w14:textId="77777777" w:rsidR="00CC0D6C" w:rsidRPr="002612FD" w:rsidRDefault="00CC0D6C" w:rsidP="00360CA3">
            <w:pPr>
              <w:rPr>
                <w:rFonts w:ascii="Arial" w:hAnsi="Arial" w:cs="Arial"/>
              </w:rPr>
            </w:pPr>
            <w:r w:rsidRPr="002612FD">
              <w:rPr>
                <w:rFonts w:ascii="Arial" w:hAnsi="Arial" w:cs="Arial"/>
              </w:rPr>
              <w:t>Limitations: Secondary data analysis. Limited exploration of additional SDoH factors. Small explained variance (3.8%) and limited racial diversity reduced generalizability.</w:t>
            </w:r>
          </w:p>
        </w:tc>
      </w:tr>
      <w:tr w:rsidR="00CC0D6C" w:rsidRPr="002612FD" w14:paraId="4DE7FEDC" w14:textId="77777777" w:rsidTr="000C00F6">
        <w:tc>
          <w:tcPr>
            <w:tcW w:w="1440" w:type="dxa"/>
            <w:shd w:val="clear" w:color="auto" w:fill="D9D9D9" w:themeFill="background1" w:themeFillShade="D9"/>
          </w:tcPr>
          <w:p w14:paraId="3E0F7FF0" w14:textId="77777777" w:rsidR="00CC0D6C" w:rsidRPr="002612FD" w:rsidRDefault="00CC0D6C" w:rsidP="00360CA3">
            <w:pPr>
              <w:rPr>
                <w:rFonts w:ascii="Arial" w:hAnsi="Arial" w:cs="Arial"/>
              </w:rPr>
            </w:pPr>
            <w:r w:rsidRPr="002612FD">
              <w:rPr>
                <w:rFonts w:ascii="Arial" w:hAnsi="Arial" w:cs="Arial"/>
              </w:rPr>
              <w:t xml:space="preserve">Baah et al. </w:t>
            </w:r>
          </w:p>
        </w:tc>
        <w:tc>
          <w:tcPr>
            <w:tcW w:w="810" w:type="dxa"/>
            <w:shd w:val="clear" w:color="auto" w:fill="D9D9D9" w:themeFill="background1" w:themeFillShade="D9"/>
          </w:tcPr>
          <w:p w14:paraId="73ABDD05" w14:textId="77777777" w:rsidR="00CC0D6C" w:rsidRPr="002612FD" w:rsidRDefault="00CC0D6C" w:rsidP="00360CA3">
            <w:pPr>
              <w:rPr>
                <w:rFonts w:ascii="Arial" w:hAnsi="Arial" w:cs="Arial"/>
              </w:rPr>
            </w:pPr>
            <w:r w:rsidRPr="002612FD">
              <w:rPr>
                <w:rFonts w:ascii="Arial" w:hAnsi="Arial" w:cs="Arial"/>
              </w:rPr>
              <w:t>2023</w:t>
            </w:r>
          </w:p>
        </w:tc>
        <w:tc>
          <w:tcPr>
            <w:tcW w:w="1350" w:type="dxa"/>
            <w:shd w:val="clear" w:color="auto" w:fill="D9D9D9" w:themeFill="background1" w:themeFillShade="D9"/>
          </w:tcPr>
          <w:p w14:paraId="234B09EC" w14:textId="77777777" w:rsidR="00CC0D6C" w:rsidRPr="002612FD" w:rsidRDefault="00CC0D6C" w:rsidP="00360CA3">
            <w:pPr>
              <w:rPr>
                <w:rFonts w:ascii="Arial" w:hAnsi="Arial" w:cs="Arial"/>
              </w:rPr>
            </w:pPr>
            <w:r w:rsidRPr="002612FD">
              <w:rPr>
                <w:rFonts w:ascii="Arial" w:hAnsi="Arial" w:cs="Arial"/>
              </w:rPr>
              <w:t>Mixed methods</w:t>
            </w:r>
          </w:p>
        </w:tc>
        <w:tc>
          <w:tcPr>
            <w:tcW w:w="1890" w:type="dxa"/>
            <w:shd w:val="clear" w:color="auto" w:fill="D9D9D9" w:themeFill="background1" w:themeFillShade="D9"/>
          </w:tcPr>
          <w:p w14:paraId="10C85504" w14:textId="77777777" w:rsidR="00CC0D6C" w:rsidRPr="002612FD" w:rsidRDefault="00CC0D6C" w:rsidP="00360CA3">
            <w:pPr>
              <w:rPr>
                <w:rFonts w:ascii="Arial" w:hAnsi="Arial" w:cs="Arial"/>
              </w:rPr>
            </w:pPr>
            <w:r w:rsidRPr="002612FD">
              <w:rPr>
                <w:rFonts w:ascii="Arial" w:hAnsi="Arial" w:cs="Arial"/>
              </w:rPr>
              <w:t>Two university hospitals and one PACE center in the Northeastern U.S.; final sample included 104 adults with HF</w:t>
            </w:r>
          </w:p>
        </w:tc>
        <w:tc>
          <w:tcPr>
            <w:tcW w:w="1710" w:type="dxa"/>
            <w:shd w:val="clear" w:color="auto" w:fill="D9D9D9" w:themeFill="background1" w:themeFillShade="D9"/>
          </w:tcPr>
          <w:p w14:paraId="7072295B" w14:textId="77777777" w:rsidR="00CC0D6C" w:rsidRPr="002612FD" w:rsidRDefault="00CC0D6C" w:rsidP="00360CA3">
            <w:pPr>
              <w:rPr>
                <w:rFonts w:ascii="Arial" w:hAnsi="Arial" w:cs="Arial"/>
              </w:rPr>
            </w:pPr>
            <w:r w:rsidRPr="002612FD">
              <w:rPr>
                <w:rFonts w:ascii="Arial" w:hAnsi="Arial" w:cs="Arial"/>
              </w:rPr>
              <w:t>Analytical Cross-Sectional Studies, Qualitative Research</w:t>
            </w:r>
          </w:p>
        </w:tc>
        <w:tc>
          <w:tcPr>
            <w:tcW w:w="3600" w:type="dxa"/>
            <w:shd w:val="clear" w:color="auto" w:fill="D9D9D9" w:themeFill="background1" w:themeFillShade="D9"/>
          </w:tcPr>
          <w:p w14:paraId="66A97D05" w14:textId="77777777" w:rsidR="00CC0D6C" w:rsidRPr="002612FD" w:rsidRDefault="00CC0D6C" w:rsidP="00360CA3">
            <w:pPr>
              <w:rPr>
                <w:rFonts w:ascii="Arial" w:hAnsi="Arial" w:cs="Arial"/>
              </w:rPr>
            </w:pPr>
            <w:r w:rsidRPr="002612FD">
              <w:rPr>
                <w:rFonts w:ascii="Arial" w:hAnsi="Arial" w:cs="Arial"/>
              </w:rPr>
              <w:t>The study reported that the "money and resources" domain, encompassing education, income, insurance, and transportation, significantly predicted self-care maintenance (</w:t>
            </w:r>
            <w:r w:rsidRPr="006E744C">
              <w:rPr>
                <w:rFonts w:ascii="Arial" w:hAnsi="Arial" w:cs="Arial"/>
                <w:i/>
                <w:iCs/>
              </w:rPr>
              <w:t>p</w:t>
            </w:r>
            <w:r w:rsidRPr="002612FD">
              <w:rPr>
                <w:rFonts w:ascii="Arial" w:hAnsi="Arial" w:cs="Arial"/>
              </w:rPr>
              <w:t xml:space="preserve"> = .019) and symptom perception </w:t>
            </w:r>
            <w:r w:rsidRPr="006E744C">
              <w:rPr>
                <w:rFonts w:ascii="Arial" w:hAnsi="Arial" w:cs="Arial"/>
              </w:rPr>
              <w:t>(</w:t>
            </w:r>
            <w:r w:rsidRPr="006E744C">
              <w:rPr>
                <w:rFonts w:ascii="Arial" w:hAnsi="Arial" w:cs="Arial"/>
                <w:i/>
                <w:iCs/>
              </w:rPr>
              <w:t>p</w:t>
            </w:r>
            <w:r w:rsidRPr="002612FD">
              <w:rPr>
                <w:rFonts w:ascii="Arial" w:hAnsi="Arial" w:cs="Arial"/>
              </w:rPr>
              <w:t xml:space="preserve"> = .049), explaining 17.4% and 15.9% of their variances, respectively. 91.4% had consistent health insurance, with 60.6% reporting more than a high school education. Housing stability was high, with 96.2% of participants </w:t>
            </w:r>
            <w:r w:rsidRPr="002612FD">
              <w:rPr>
                <w:rFonts w:ascii="Arial" w:hAnsi="Arial" w:cs="Arial"/>
              </w:rPr>
              <w:lastRenderedPageBreak/>
              <w:t>having housing, although transportation needs were cited as a barrier to self-care. Social connectedness was identified as a qualitative facilitator of self-care but did not statistically predict self-care outcomes in the quantitative analysis.</w:t>
            </w:r>
          </w:p>
        </w:tc>
        <w:tc>
          <w:tcPr>
            <w:tcW w:w="2520" w:type="dxa"/>
            <w:shd w:val="clear" w:color="auto" w:fill="D9D9D9" w:themeFill="background1" w:themeFillShade="D9"/>
          </w:tcPr>
          <w:p w14:paraId="0F2E177D" w14:textId="77777777" w:rsidR="00CC0D6C" w:rsidRPr="002612FD" w:rsidRDefault="00CC0D6C" w:rsidP="00360CA3">
            <w:pPr>
              <w:rPr>
                <w:rFonts w:ascii="Arial" w:hAnsi="Arial" w:cs="Arial"/>
              </w:rPr>
            </w:pPr>
            <w:r w:rsidRPr="002612FD">
              <w:rPr>
                <w:rFonts w:ascii="Arial" w:hAnsi="Arial" w:cs="Arial"/>
              </w:rPr>
              <w:lastRenderedPageBreak/>
              <w:t>Strengths:</w:t>
            </w:r>
          </w:p>
          <w:p w14:paraId="7647D4BF" w14:textId="77777777" w:rsidR="00CC0D6C" w:rsidRPr="002612FD" w:rsidRDefault="00CC0D6C" w:rsidP="00360CA3">
            <w:pPr>
              <w:rPr>
                <w:rFonts w:ascii="Arial" w:hAnsi="Arial" w:cs="Arial"/>
              </w:rPr>
            </w:pPr>
            <w:r w:rsidRPr="002612FD">
              <w:rPr>
                <w:rFonts w:ascii="Arial" w:hAnsi="Arial" w:cs="Arial"/>
              </w:rPr>
              <w:t xml:space="preserve">Mixed-methods design provided both quantitative and qualitative insights, </w:t>
            </w:r>
          </w:p>
          <w:p w14:paraId="3CB9A863" w14:textId="77777777" w:rsidR="00CC0D6C" w:rsidRPr="002612FD" w:rsidRDefault="00CC0D6C" w:rsidP="00360CA3">
            <w:pPr>
              <w:rPr>
                <w:rFonts w:ascii="Arial" w:hAnsi="Arial" w:cs="Arial"/>
              </w:rPr>
            </w:pPr>
            <w:r w:rsidRPr="002612FD">
              <w:rPr>
                <w:rFonts w:ascii="Arial" w:hAnsi="Arial" w:cs="Arial"/>
              </w:rPr>
              <w:t>Use of validated tools (PRAPARE and SCHFI v7.2) ensured data reliability.</w:t>
            </w:r>
          </w:p>
          <w:p w14:paraId="397DA153" w14:textId="77777777" w:rsidR="00CC0D6C" w:rsidRPr="002612FD" w:rsidRDefault="00CC0D6C" w:rsidP="00360CA3">
            <w:pPr>
              <w:rPr>
                <w:rFonts w:ascii="Arial" w:hAnsi="Arial" w:cs="Arial"/>
              </w:rPr>
            </w:pPr>
          </w:p>
          <w:p w14:paraId="23A2D24F" w14:textId="77777777" w:rsidR="00CC0D6C" w:rsidRPr="002612FD" w:rsidRDefault="00CC0D6C" w:rsidP="00360CA3">
            <w:pPr>
              <w:rPr>
                <w:rFonts w:ascii="Arial" w:hAnsi="Arial" w:cs="Arial"/>
              </w:rPr>
            </w:pPr>
            <w:r w:rsidRPr="002612FD">
              <w:rPr>
                <w:rFonts w:ascii="Arial" w:hAnsi="Arial" w:cs="Arial"/>
              </w:rPr>
              <w:t xml:space="preserve">Limitations: </w:t>
            </w:r>
          </w:p>
          <w:p w14:paraId="386ADC6B" w14:textId="77777777" w:rsidR="00CC0D6C" w:rsidRPr="002612FD" w:rsidRDefault="00CC0D6C" w:rsidP="00360CA3">
            <w:pPr>
              <w:rPr>
                <w:rFonts w:ascii="Arial" w:hAnsi="Arial" w:cs="Arial"/>
              </w:rPr>
            </w:pPr>
            <w:r w:rsidRPr="002612FD">
              <w:rPr>
                <w:rFonts w:ascii="Arial" w:hAnsi="Arial" w:cs="Arial"/>
              </w:rPr>
              <w:t xml:space="preserve">Small sample size (104) limits generalizability, </w:t>
            </w:r>
          </w:p>
          <w:p w14:paraId="7696C5CA" w14:textId="77777777" w:rsidR="00CC0D6C" w:rsidRPr="002612FD" w:rsidRDefault="00CC0D6C" w:rsidP="00360CA3">
            <w:pPr>
              <w:rPr>
                <w:rFonts w:ascii="Arial" w:hAnsi="Arial" w:cs="Arial"/>
              </w:rPr>
            </w:pPr>
            <w:r w:rsidRPr="002612FD">
              <w:rPr>
                <w:rFonts w:ascii="Arial" w:hAnsi="Arial" w:cs="Arial"/>
              </w:rPr>
              <w:lastRenderedPageBreak/>
              <w:t xml:space="preserve">PRAPARE had low internal consistency (Cronbach's α = 0.58), </w:t>
            </w:r>
          </w:p>
          <w:p w14:paraId="112EDD2F" w14:textId="77777777" w:rsidR="00CC0D6C" w:rsidRPr="002612FD" w:rsidRDefault="00CC0D6C" w:rsidP="00360CA3">
            <w:pPr>
              <w:rPr>
                <w:rFonts w:ascii="Arial" w:hAnsi="Arial" w:cs="Arial"/>
              </w:rPr>
            </w:pPr>
            <w:r w:rsidRPr="002612FD">
              <w:rPr>
                <w:rFonts w:ascii="Arial" w:hAnsi="Arial" w:cs="Arial"/>
              </w:rPr>
              <w:t xml:space="preserve">Urban-only </w:t>
            </w:r>
            <w:proofErr w:type="gramStart"/>
            <w:r w:rsidRPr="002612FD">
              <w:rPr>
                <w:rFonts w:ascii="Arial" w:hAnsi="Arial" w:cs="Arial"/>
              </w:rPr>
              <w:t>sample</w:t>
            </w:r>
            <w:proofErr w:type="gramEnd"/>
            <w:r w:rsidRPr="002612FD">
              <w:rPr>
                <w:rFonts w:ascii="Arial" w:hAnsi="Arial" w:cs="Arial"/>
              </w:rPr>
              <w:t xml:space="preserve"> excluded rural populations, reducing representativeness.</w:t>
            </w:r>
          </w:p>
        </w:tc>
      </w:tr>
      <w:tr w:rsidR="00CC0D6C" w:rsidRPr="002612FD" w14:paraId="6C23208D" w14:textId="77777777" w:rsidTr="0024775A">
        <w:tc>
          <w:tcPr>
            <w:tcW w:w="1440" w:type="dxa"/>
          </w:tcPr>
          <w:p w14:paraId="58290CE5" w14:textId="77777777" w:rsidR="00CC0D6C" w:rsidRPr="002612FD" w:rsidRDefault="00CC0D6C" w:rsidP="00360CA3">
            <w:pPr>
              <w:rPr>
                <w:rFonts w:ascii="Arial" w:hAnsi="Arial" w:cs="Arial"/>
              </w:rPr>
            </w:pPr>
            <w:r w:rsidRPr="002612FD">
              <w:rPr>
                <w:rFonts w:ascii="Arial" w:hAnsi="Arial" w:cs="Arial"/>
              </w:rPr>
              <w:lastRenderedPageBreak/>
              <w:t xml:space="preserve">Babu et al. </w:t>
            </w:r>
          </w:p>
        </w:tc>
        <w:tc>
          <w:tcPr>
            <w:tcW w:w="810" w:type="dxa"/>
          </w:tcPr>
          <w:p w14:paraId="39E09844" w14:textId="77777777" w:rsidR="00CC0D6C" w:rsidRPr="002612FD" w:rsidRDefault="00CC0D6C" w:rsidP="00360CA3">
            <w:pPr>
              <w:rPr>
                <w:rFonts w:ascii="Arial" w:hAnsi="Arial" w:cs="Arial"/>
              </w:rPr>
            </w:pPr>
            <w:r w:rsidRPr="002612FD">
              <w:rPr>
                <w:rFonts w:ascii="Arial" w:hAnsi="Arial" w:cs="Arial"/>
              </w:rPr>
              <w:t>2024</w:t>
            </w:r>
          </w:p>
        </w:tc>
        <w:tc>
          <w:tcPr>
            <w:tcW w:w="1350" w:type="dxa"/>
          </w:tcPr>
          <w:p w14:paraId="783E31D4"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tcPr>
          <w:p w14:paraId="050A9D03" w14:textId="77777777" w:rsidR="00CC0D6C" w:rsidRPr="002612FD" w:rsidRDefault="00CC0D6C" w:rsidP="00360CA3">
            <w:pPr>
              <w:rPr>
                <w:rFonts w:ascii="Arial" w:hAnsi="Arial" w:cs="Arial"/>
              </w:rPr>
            </w:pPr>
            <w:r w:rsidRPr="002612FD">
              <w:rPr>
                <w:rFonts w:ascii="Arial" w:hAnsi="Arial" w:cs="Arial"/>
              </w:rPr>
              <w:t>Included data from over 84,000 hospital admissions.</w:t>
            </w:r>
          </w:p>
        </w:tc>
        <w:tc>
          <w:tcPr>
            <w:tcW w:w="1710" w:type="dxa"/>
          </w:tcPr>
          <w:p w14:paraId="03362D79" w14:textId="77777777" w:rsidR="00CC0D6C" w:rsidRPr="002612FD" w:rsidRDefault="00CC0D6C" w:rsidP="00360CA3">
            <w:pPr>
              <w:rPr>
                <w:rFonts w:ascii="Arial" w:hAnsi="Arial" w:cs="Arial"/>
              </w:rPr>
            </w:pPr>
            <w:r w:rsidRPr="002612FD">
              <w:rPr>
                <w:rFonts w:ascii="Arial" w:hAnsi="Arial" w:cs="Arial"/>
              </w:rPr>
              <w:t>Analytical Cross-Sectional Studies</w:t>
            </w:r>
          </w:p>
        </w:tc>
        <w:tc>
          <w:tcPr>
            <w:tcW w:w="3600" w:type="dxa"/>
          </w:tcPr>
          <w:p w14:paraId="507B22F8" w14:textId="77777777" w:rsidR="00CC0D6C" w:rsidRPr="002612FD" w:rsidRDefault="00CC0D6C" w:rsidP="00360CA3">
            <w:pPr>
              <w:rPr>
                <w:rFonts w:ascii="Arial" w:hAnsi="Arial" w:cs="Arial"/>
              </w:rPr>
            </w:pPr>
            <w:r w:rsidRPr="002612FD">
              <w:rPr>
                <w:rFonts w:ascii="Arial" w:hAnsi="Arial" w:cs="Arial"/>
              </w:rPr>
              <w:t>Black males had a higher risk of ACHD-related complications and death (RR 1.25, 95% CI 1.08–1.45). Hispanic patients were more likely to live &gt;6 hours away from specialized care centers.</w:t>
            </w:r>
          </w:p>
        </w:tc>
        <w:tc>
          <w:tcPr>
            <w:tcW w:w="2520" w:type="dxa"/>
          </w:tcPr>
          <w:p w14:paraId="1EF95DCA" w14:textId="77777777" w:rsidR="00CC0D6C" w:rsidRPr="002612FD" w:rsidRDefault="00CC0D6C" w:rsidP="00360CA3">
            <w:pPr>
              <w:rPr>
                <w:rFonts w:ascii="Arial" w:hAnsi="Arial" w:cs="Arial"/>
              </w:rPr>
            </w:pPr>
            <w:r w:rsidRPr="002612FD">
              <w:rPr>
                <w:rFonts w:ascii="Arial" w:hAnsi="Arial" w:cs="Arial"/>
              </w:rPr>
              <w:t xml:space="preserve">Strengths: </w:t>
            </w:r>
          </w:p>
          <w:p w14:paraId="5F8FC2C2" w14:textId="77777777" w:rsidR="00CC0D6C" w:rsidRPr="002612FD" w:rsidRDefault="00CC0D6C" w:rsidP="00360CA3">
            <w:pPr>
              <w:rPr>
                <w:rFonts w:ascii="Arial" w:hAnsi="Arial" w:cs="Arial"/>
              </w:rPr>
            </w:pPr>
            <w:r w:rsidRPr="002612FD">
              <w:rPr>
                <w:rFonts w:ascii="Arial" w:hAnsi="Arial" w:cs="Arial"/>
              </w:rPr>
              <w:t xml:space="preserve">Comprehensive review of SDoH impacts across multiple studies, </w:t>
            </w:r>
          </w:p>
          <w:p w14:paraId="292F650B" w14:textId="77777777" w:rsidR="00CC0D6C" w:rsidRPr="002612FD" w:rsidRDefault="00CC0D6C" w:rsidP="00360CA3">
            <w:pPr>
              <w:rPr>
                <w:rFonts w:ascii="Arial" w:hAnsi="Arial" w:cs="Arial"/>
              </w:rPr>
            </w:pPr>
            <w:r w:rsidRPr="002612FD">
              <w:rPr>
                <w:rFonts w:ascii="Arial" w:hAnsi="Arial" w:cs="Arial"/>
              </w:rPr>
              <w:t xml:space="preserve">Highlights disparities in key outcomes such as hospitalizations, mortality, and care access. </w:t>
            </w:r>
          </w:p>
          <w:p w14:paraId="1A44254C" w14:textId="77777777" w:rsidR="00CC0D6C" w:rsidRPr="002612FD" w:rsidRDefault="00CC0D6C" w:rsidP="00360CA3">
            <w:pPr>
              <w:rPr>
                <w:rFonts w:ascii="Arial" w:hAnsi="Arial" w:cs="Arial"/>
              </w:rPr>
            </w:pPr>
          </w:p>
          <w:p w14:paraId="4357A755" w14:textId="77777777" w:rsidR="00CC0D6C" w:rsidRPr="002612FD" w:rsidRDefault="00CC0D6C" w:rsidP="00360CA3">
            <w:pPr>
              <w:rPr>
                <w:rFonts w:ascii="Arial" w:hAnsi="Arial" w:cs="Arial"/>
              </w:rPr>
            </w:pPr>
            <w:r w:rsidRPr="002612FD">
              <w:rPr>
                <w:rFonts w:ascii="Arial" w:hAnsi="Arial" w:cs="Arial"/>
              </w:rPr>
              <w:t>Limitations: Primarily a narrative review; lacks new primary data.</w:t>
            </w:r>
          </w:p>
          <w:p w14:paraId="14BB2FBD" w14:textId="77777777" w:rsidR="00CC0D6C" w:rsidRPr="002612FD" w:rsidRDefault="00CC0D6C" w:rsidP="00360CA3">
            <w:pPr>
              <w:rPr>
                <w:rFonts w:ascii="Arial" w:hAnsi="Arial" w:cs="Arial"/>
              </w:rPr>
            </w:pPr>
            <w:r w:rsidRPr="002612FD">
              <w:rPr>
                <w:rFonts w:ascii="Arial" w:hAnsi="Arial" w:cs="Arial"/>
              </w:rPr>
              <w:t>Limited ability to disentangle the effects of overlapping SDoH factors (e.g., race and income).</w:t>
            </w:r>
          </w:p>
        </w:tc>
      </w:tr>
      <w:tr w:rsidR="00CC0D6C" w:rsidRPr="002612FD" w14:paraId="52559B6C" w14:textId="77777777" w:rsidTr="000C00F6">
        <w:tc>
          <w:tcPr>
            <w:tcW w:w="1440" w:type="dxa"/>
            <w:shd w:val="clear" w:color="auto" w:fill="D9D9D9" w:themeFill="background1" w:themeFillShade="D9"/>
          </w:tcPr>
          <w:p w14:paraId="1AA4B896" w14:textId="77777777" w:rsidR="00CC0D6C" w:rsidRPr="002612FD" w:rsidRDefault="00CC0D6C" w:rsidP="00360CA3">
            <w:pPr>
              <w:rPr>
                <w:rFonts w:ascii="Arial" w:hAnsi="Arial" w:cs="Arial"/>
              </w:rPr>
            </w:pPr>
            <w:r w:rsidRPr="002612FD">
              <w:rPr>
                <w:rFonts w:ascii="Arial" w:hAnsi="Arial" w:cs="Arial"/>
              </w:rPr>
              <w:t xml:space="preserve">Bevan et al. </w:t>
            </w:r>
          </w:p>
          <w:p w14:paraId="3C4A139B" w14:textId="77777777" w:rsidR="00CC0D6C" w:rsidRPr="002612FD" w:rsidRDefault="00CC0D6C" w:rsidP="00360CA3">
            <w:pPr>
              <w:rPr>
                <w:rFonts w:ascii="Arial" w:hAnsi="Arial" w:cs="Arial"/>
              </w:rPr>
            </w:pPr>
          </w:p>
        </w:tc>
        <w:tc>
          <w:tcPr>
            <w:tcW w:w="810" w:type="dxa"/>
            <w:shd w:val="clear" w:color="auto" w:fill="D9D9D9" w:themeFill="background1" w:themeFillShade="D9"/>
          </w:tcPr>
          <w:p w14:paraId="00DEF53C" w14:textId="77777777" w:rsidR="00CC0D6C" w:rsidRPr="002612FD" w:rsidRDefault="00CC0D6C" w:rsidP="00360CA3">
            <w:pPr>
              <w:rPr>
                <w:rFonts w:ascii="Arial" w:hAnsi="Arial" w:cs="Arial"/>
              </w:rPr>
            </w:pPr>
            <w:r w:rsidRPr="002612FD">
              <w:rPr>
                <w:rFonts w:ascii="Arial" w:hAnsi="Arial" w:cs="Arial"/>
              </w:rPr>
              <w:t>2020</w:t>
            </w:r>
          </w:p>
        </w:tc>
        <w:tc>
          <w:tcPr>
            <w:tcW w:w="1350" w:type="dxa"/>
            <w:shd w:val="clear" w:color="auto" w:fill="D9D9D9" w:themeFill="background1" w:themeFillShade="D9"/>
          </w:tcPr>
          <w:p w14:paraId="04729CB2" w14:textId="77777777" w:rsidR="00CC0D6C" w:rsidRPr="002612FD" w:rsidRDefault="00CC0D6C" w:rsidP="00360CA3">
            <w:pPr>
              <w:rPr>
                <w:rFonts w:ascii="Arial" w:hAnsi="Arial" w:cs="Arial"/>
              </w:rPr>
            </w:pPr>
            <w:r w:rsidRPr="002612FD">
              <w:rPr>
                <w:rFonts w:ascii="Arial" w:hAnsi="Arial" w:cs="Arial"/>
              </w:rPr>
              <w:t>Retrospective Ecological Study</w:t>
            </w:r>
          </w:p>
        </w:tc>
        <w:tc>
          <w:tcPr>
            <w:tcW w:w="1890" w:type="dxa"/>
            <w:shd w:val="clear" w:color="auto" w:fill="D9D9D9" w:themeFill="background1" w:themeFillShade="D9"/>
          </w:tcPr>
          <w:p w14:paraId="3BF21E59" w14:textId="77777777" w:rsidR="00CC0D6C" w:rsidRPr="002612FD" w:rsidRDefault="00CC0D6C" w:rsidP="00360CA3">
            <w:pPr>
              <w:rPr>
                <w:rFonts w:ascii="Arial" w:hAnsi="Arial" w:cs="Arial"/>
              </w:rPr>
            </w:pPr>
            <w:r w:rsidRPr="002612FD">
              <w:rPr>
                <w:rFonts w:ascii="Arial" w:hAnsi="Arial" w:cs="Arial"/>
              </w:rPr>
              <w:t xml:space="preserve">Data were extracted from U.S. county-level mortality records (1999–2018), analyzing 1,254,991 HF-related deaths </w:t>
            </w:r>
            <w:r w:rsidRPr="002612FD">
              <w:rPr>
                <w:rFonts w:ascii="Arial" w:hAnsi="Arial" w:cs="Arial"/>
              </w:rPr>
              <w:lastRenderedPageBreak/>
              <w:t xml:space="preserve">across 3,048 counties using The Area Deprivation Index (ADI) and the Social Deprivation Index (SDI). </w:t>
            </w:r>
          </w:p>
        </w:tc>
        <w:tc>
          <w:tcPr>
            <w:tcW w:w="1710" w:type="dxa"/>
            <w:shd w:val="clear" w:color="auto" w:fill="D9D9D9" w:themeFill="background1" w:themeFillShade="D9"/>
          </w:tcPr>
          <w:p w14:paraId="52831ED2" w14:textId="77777777" w:rsidR="00CC0D6C" w:rsidRPr="002612FD" w:rsidRDefault="00CC0D6C" w:rsidP="00360CA3">
            <w:pPr>
              <w:rPr>
                <w:rFonts w:ascii="Arial" w:hAnsi="Arial" w:cs="Arial"/>
              </w:rPr>
            </w:pPr>
            <w:r w:rsidRPr="002612FD">
              <w:rPr>
                <w:rFonts w:ascii="Arial" w:hAnsi="Arial" w:cs="Arial"/>
              </w:rPr>
              <w:lastRenderedPageBreak/>
              <w:t>Analytical Cross-Sectional Studies</w:t>
            </w:r>
          </w:p>
        </w:tc>
        <w:tc>
          <w:tcPr>
            <w:tcW w:w="3600" w:type="dxa"/>
            <w:shd w:val="clear" w:color="auto" w:fill="D9D9D9" w:themeFill="background1" w:themeFillShade="D9"/>
          </w:tcPr>
          <w:p w14:paraId="0B423AC1" w14:textId="77777777" w:rsidR="00CC0D6C" w:rsidRPr="002612FD" w:rsidRDefault="00CC0D6C" w:rsidP="00360CA3">
            <w:pPr>
              <w:rPr>
                <w:rFonts w:ascii="Arial" w:hAnsi="Arial" w:cs="Arial"/>
              </w:rPr>
            </w:pPr>
            <w:r w:rsidRPr="002612FD">
              <w:rPr>
                <w:rFonts w:ascii="Arial" w:hAnsi="Arial" w:cs="Arial"/>
              </w:rPr>
              <w:t xml:space="preserve">HF mortality was higher in rural counties with greater deprivation (ADI quartile 4: 32.9 deaths/100,000; SDI quartile 4: 32.8 deaths/100,000) compared to metropolitan counties (ADI quartile 4: 35.1 deaths/100,000; SDI quartile 4: 32.8 deaths/100,000), </w:t>
            </w:r>
            <w:r w:rsidRPr="002612FD">
              <w:rPr>
                <w:rFonts w:ascii="Arial" w:hAnsi="Arial" w:cs="Arial"/>
              </w:rPr>
              <w:lastRenderedPageBreak/>
              <w:t>African Americans in the highest ADI quartile had the highest HF mortality (43.7 deaths/100,000), followed by Caucasians (33.3 deaths/100,000), Counties with the highest deprivation indices (ADI and SDI) demonstrated consistently higher HF mortality regardless of geographic classification (urban or rural).</w:t>
            </w:r>
          </w:p>
        </w:tc>
        <w:tc>
          <w:tcPr>
            <w:tcW w:w="2520" w:type="dxa"/>
            <w:shd w:val="clear" w:color="auto" w:fill="D9D9D9" w:themeFill="background1" w:themeFillShade="D9"/>
          </w:tcPr>
          <w:p w14:paraId="06D4B723" w14:textId="77777777" w:rsidR="00CC0D6C" w:rsidRPr="002612FD" w:rsidRDefault="00CC0D6C" w:rsidP="00360CA3">
            <w:pPr>
              <w:rPr>
                <w:rFonts w:ascii="Arial" w:hAnsi="Arial" w:cs="Arial"/>
              </w:rPr>
            </w:pPr>
            <w:r w:rsidRPr="002612FD">
              <w:rPr>
                <w:rFonts w:ascii="Arial" w:hAnsi="Arial" w:cs="Arial"/>
              </w:rPr>
              <w:lastRenderedPageBreak/>
              <w:t>Strengths:</w:t>
            </w:r>
          </w:p>
          <w:p w14:paraId="298275F5" w14:textId="77777777" w:rsidR="00CC0D6C" w:rsidRPr="002612FD" w:rsidRDefault="00CC0D6C" w:rsidP="00360CA3">
            <w:pPr>
              <w:rPr>
                <w:rFonts w:ascii="Arial" w:hAnsi="Arial" w:cs="Arial"/>
              </w:rPr>
            </w:pPr>
            <w:r w:rsidRPr="002612FD">
              <w:rPr>
                <w:rFonts w:ascii="Arial" w:hAnsi="Arial" w:cs="Arial"/>
              </w:rPr>
              <w:t xml:space="preserve">Large dataset (1.25 million HF deaths), </w:t>
            </w:r>
          </w:p>
          <w:p w14:paraId="0CF41358" w14:textId="77777777" w:rsidR="00CC0D6C" w:rsidRPr="002612FD" w:rsidRDefault="00CC0D6C" w:rsidP="00360CA3">
            <w:pPr>
              <w:rPr>
                <w:rFonts w:ascii="Arial" w:hAnsi="Arial" w:cs="Arial"/>
              </w:rPr>
            </w:pPr>
            <w:r w:rsidRPr="002612FD">
              <w:rPr>
                <w:rFonts w:ascii="Arial" w:hAnsi="Arial" w:cs="Arial"/>
              </w:rPr>
              <w:t>Use of validated socioeconomic deprivation indices enhances reliability.</w:t>
            </w:r>
          </w:p>
          <w:p w14:paraId="0A96DA8F" w14:textId="77777777" w:rsidR="00CC0D6C" w:rsidRPr="002612FD" w:rsidRDefault="00CC0D6C" w:rsidP="00360CA3">
            <w:pPr>
              <w:rPr>
                <w:rFonts w:ascii="Arial" w:hAnsi="Arial" w:cs="Arial"/>
              </w:rPr>
            </w:pPr>
          </w:p>
          <w:p w14:paraId="584B4D48" w14:textId="77777777" w:rsidR="00CC0D6C" w:rsidRPr="002612FD" w:rsidRDefault="00CC0D6C" w:rsidP="00360CA3">
            <w:pPr>
              <w:rPr>
                <w:rFonts w:ascii="Arial" w:hAnsi="Arial" w:cs="Arial"/>
              </w:rPr>
            </w:pPr>
            <w:r w:rsidRPr="002612FD">
              <w:rPr>
                <w:rFonts w:ascii="Arial" w:hAnsi="Arial" w:cs="Arial"/>
              </w:rPr>
              <w:lastRenderedPageBreak/>
              <w:t>Limitations: Data reliance on death certificates may introduce misclassification bias.</w:t>
            </w:r>
          </w:p>
          <w:p w14:paraId="5BE098DF" w14:textId="77777777" w:rsidR="00CC0D6C" w:rsidRPr="002612FD" w:rsidRDefault="00CC0D6C" w:rsidP="00360CA3">
            <w:pPr>
              <w:rPr>
                <w:rFonts w:ascii="Arial" w:hAnsi="Arial" w:cs="Arial"/>
              </w:rPr>
            </w:pPr>
            <w:r w:rsidRPr="002612FD">
              <w:rPr>
                <w:rFonts w:ascii="Arial" w:hAnsi="Arial" w:cs="Arial"/>
              </w:rPr>
              <w:t>Conversion of ADI from census tract to county level may dilute precision.</w:t>
            </w:r>
          </w:p>
        </w:tc>
      </w:tr>
      <w:tr w:rsidR="00CC0D6C" w:rsidRPr="002612FD" w14:paraId="38C1D78F" w14:textId="77777777" w:rsidTr="0024775A">
        <w:tc>
          <w:tcPr>
            <w:tcW w:w="1440" w:type="dxa"/>
          </w:tcPr>
          <w:p w14:paraId="3938541A" w14:textId="77777777" w:rsidR="00CC0D6C" w:rsidRPr="002612FD" w:rsidRDefault="00CC0D6C" w:rsidP="00360CA3">
            <w:pPr>
              <w:rPr>
                <w:rFonts w:ascii="Arial" w:hAnsi="Arial" w:cs="Arial"/>
              </w:rPr>
            </w:pPr>
            <w:r w:rsidRPr="002612FD">
              <w:rPr>
                <w:rFonts w:ascii="Arial" w:hAnsi="Arial" w:cs="Arial"/>
              </w:rPr>
              <w:lastRenderedPageBreak/>
              <w:t>Borkowski &amp; Borkowska</w:t>
            </w:r>
          </w:p>
          <w:p w14:paraId="40FF496E" w14:textId="77777777" w:rsidR="00CC0D6C" w:rsidRPr="002612FD" w:rsidRDefault="00CC0D6C" w:rsidP="00360CA3">
            <w:pPr>
              <w:rPr>
                <w:rFonts w:ascii="Arial" w:hAnsi="Arial" w:cs="Arial"/>
              </w:rPr>
            </w:pPr>
          </w:p>
          <w:p w14:paraId="1CB0CE97" w14:textId="77777777" w:rsidR="00CC0D6C" w:rsidRPr="002612FD" w:rsidRDefault="00CC0D6C" w:rsidP="00360CA3">
            <w:pPr>
              <w:rPr>
                <w:rFonts w:ascii="Arial" w:hAnsi="Arial" w:cs="Arial"/>
              </w:rPr>
            </w:pPr>
          </w:p>
        </w:tc>
        <w:tc>
          <w:tcPr>
            <w:tcW w:w="810" w:type="dxa"/>
          </w:tcPr>
          <w:p w14:paraId="45F23139" w14:textId="77777777" w:rsidR="00CC0D6C" w:rsidRPr="002612FD" w:rsidRDefault="00CC0D6C" w:rsidP="00360CA3">
            <w:pPr>
              <w:rPr>
                <w:rFonts w:ascii="Arial" w:hAnsi="Arial" w:cs="Arial"/>
              </w:rPr>
            </w:pPr>
            <w:r w:rsidRPr="002612FD">
              <w:rPr>
                <w:rFonts w:ascii="Arial" w:hAnsi="Arial" w:cs="Arial"/>
              </w:rPr>
              <w:t>2024</w:t>
            </w:r>
          </w:p>
        </w:tc>
        <w:tc>
          <w:tcPr>
            <w:tcW w:w="1350" w:type="dxa"/>
          </w:tcPr>
          <w:p w14:paraId="775744A6"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tcPr>
          <w:p w14:paraId="69F1988D" w14:textId="77777777" w:rsidR="00CC0D6C" w:rsidRPr="002612FD" w:rsidRDefault="00CC0D6C" w:rsidP="00360CA3">
            <w:pPr>
              <w:rPr>
                <w:rFonts w:ascii="Arial" w:hAnsi="Arial" w:cs="Arial"/>
              </w:rPr>
            </w:pPr>
            <w:r w:rsidRPr="002612FD">
              <w:rPr>
                <w:rFonts w:ascii="Arial" w:hAnsi="Arial" w:cs="Arial"/>
              </w:rPr>
              <w:t>N/A</w:t>
            </w:r>
          </w:p>
        </w:tc>
        <w:tc>
          <w:tcPr>
            <w:tcW w:w="1710" w:type="dxa"/>
          </w:tcPr>
          <w:p w14:paraId="747649FD" w14:textId="77777777" w:rsidR="00CC0D6C" w:rsidRPr="002612FD" w:rsidRDefault="00CC0D6C" w:rsidP="00360CA3">
            <w:pPr>
              <w:rPr>
                <w:rFonts w:ascii="Arial" w:hAnsi="Arial" w:cs="Arial"/>
              </w:rPr>
            </w:pPr>
            <w:r w:rsidRPr="002612FD">
              <w:rPr>
                <w:rFonts w:ascii="Arial" w:hAnsi="Arial" w:cs="Arial"/>
              </w:rPr>
              <w:t>Textual Evidence Narrative</w:t>
            </w:r>
          </w:p>
        </w:tc>
        <w:tc>
          <w:tcPr>
            <w:tcW w:w="3600" w:type="dxa"/>
          </w:tcPr>
          <w:p w14:paraId="790156E8" w14:textId="77777777" w:rsidR="00CC0D6C" w:rsidRPr="002612FD" w:rsidRDefault="00CC0D6C" w:rsidP="00360CA3">
            <w:pPr>
              <w:rPr>
                <w:rFonts w:ascii="Arial" w:hAnsi="Arial" w:cs="Arial"/>
              </w:rPr>
            </w:pPr>
            <w:r w:rsidRPr="002612FD">
              <w:rPr>
                <w:rFonts w:ascii="Arial" w:hAnsi="Arial" w:cs="Arial"/>
              </w:rPr>
              <w:t>Among HF patients, 39% had low health literacy, leading to higher hospitalization rates and worse medication adherence.  Rural HF patients experienced fewer emergency visits and higher mortality compared to urban patients.</w:t>
            </w:r>
          </w:p>
        </w:tc>
        <w:tc>
          <w:tcPr>
            <w:tcW w:w="2520" w:type="dxa"/>
          </w:tcPr>
          <w:p w14:paraId="437006FB" w14:textId="77777777" w:rsidR="00CC0D6C" w:rsidRPr="002612FD" w:rsidRDefault="00CC0D6C" w:rsidP="00360CA3">
            <w:pPr>
              <w:rPr>
                <w:rFonts w:ascii="Arial" w:hAnsi="Arial" w:cs="Arial"/>
              </w:rPr>
            </w:pPr>
            <w:r w:rsidRPr="002612FD">
              <w:rPr>
                <w:rFonts w:ascii="Arial" w:hAnsi="Arial" w:cs="Arial"/>
              </w:rPr>
              <w:t xml:space="preserve">Strengths: </w:t>
            </w:r>
          </w:p>
          <w:p w14:paraId="3BC89909" w14:textId="77777777" w:rsidR="00CC0D6C" w:rsidRPr="002612FD" w:rsidRDefault="00CC0D6C" w:rsidP="00360CA3">
            <w:pPr>
              <w:rPr>
                <w:rFonts w:ascii="Arial" w:hAnsi="Arial" w:cs="Arial"/>
              </w:rPr>
            </w:pPr>
            <w:r w:rsidRPr="002612FD">
              <w:rPr>
                <w:rFonts w:ascii="Arial" w:hAnsi="Arial" w:cs="Arial"/>
              </w:rPr>
              <w:t xml:space="preserve">Comprehensive review of </w:t>
            </w:r>
            <w:proofErr w:type="spellStart"/>
            <w:r w:rsidRPr="002612FD">
              <w:rPr>
                <w:rFonts w:ascii="Arial" w:hAnsi="Arial" w:cs="Arial"/>
              </w:rPr>
              <w:t>SDoH's</w:t>
            </w:r>
            <w:proofErr w:type="spellEnd"/>
            <w:r w:rsidRPr="002612FD">
              <w:rPr>
                <w:rFonts w:ascii="Arial" w:hAnsi="Arial" w:cs="Arial"/>
              </w:rPr>
              <w:t xml:space="preserve"> multifaceted effects on HF populations, Integration of global data offers broad insights into disparities. </w:t>
            </w:r>
          </w:p>
          <w:p w14:paraId="19A3BD8C" w14:textId="77777777" w:rsidR="00CC0D6C" w:rsidRPr="002612FD" w:rsidRDefault="00CC0D6C" w:rsidP="00360CA3">
            <w:pPr>
              <w:rPr>
                <w:rFonts w:ascii="Arial" w:hAnsi="Arial" w:cs="Arial"/>
              </w:rPr>
            </w:pPr>
          </w:p>
          <w:p w14:paraId="39AB5E14" w14:textId="77777777" w:rsidR="00CC0D6C" w:rsidRPr="002612FD" w:rsidRDefault="00CC0D6C" w:rsidP="00360CA3">
            <w:pPr>
              <w:rPr>
                <w:rFonts w:ascii="Arial" w:hAnsi="Arial" w:cs="Arial"/>
              </w:rPr>
            </w:pPr>
            <w:r w:rsidRPr="002612FD">
              <w:rPr>
                <w:rFonts w:ascii="Arial" w:hAnsi="Arial" w:cs="Arial"/>
              </w:rPr>
              <w:t xml:space="preserve">Limitations: </w:t>
            </w:r>
          </w:p>
          <w:p w14:paraId="7E450445" w14:textId="77777777" w:rsidR="00CC0D6C" w:rsidRPr="002612FD" w:rsidRDefault="00CC0D6C" w:rsidP="00360CA3">
            <w:pPr>
              <w:rPr>
                <w:rFonts w:ascii="Arial" w:hAnsi="Arial" w:cs="Arial"/>
              </w:rPr>
            </w:pPr>
            <w:r w:rsidRPr="002612FD">
              <w:rPr>
                <w:rFonts w:ascii="Arial" w:hAnsi="Arial" w:cs="Arial"/>
              </w:rPr>
              <w:t xml:space="preserve">Narrative design lacks new data or statistical modeling, </w:t>
            </w:r>
            <w:proofErr w:type="gramStart"/>
            <w:r w:rsidRPr="002612FD">
              <w:rPr>
                <w:rFonts w:ascii="Arial" w:hAnsi="Arial" w:cs="Arial"/>
              </w:rPr>
              <w:t>Focused</w:t>
            </w:r>
            <w:proofErr w:type="gramEnd"/>
            <w:r w:rsidRPr="002612FD">
              <w:rPr>
                <w:rFonts w:ascii="Arial" w:hAnsi="Arial" w:cs="Arial"/>
              </w:rPr>
              <w:t xml:space="preserve"> primarily on existing literature, limiting applicability to specific populations.</w:t>
            </w:r>
          </w:p>
        </w:tc>
      </w:tr>
      <w:tr w:rsidR="00CC0D6C" w:rsidRPr="002612FD" w14:paraId="07D75E87" w14:textId="77777777" w:rsidTr="000C00F6">
        <w:tc>
          <w:tcPr>
            <w:tcW w:w="1440" w:type="dxa"/>
            <w:shd w:val="clear" w:color="auto" w:fill="D9D9D9" w:themeFill="background1" w:themeFillShade="D9"/>
          </w:tcPr>
          <w:p w14:paraId="6504C72E" w14:textId="77777777" w:rsidR="00936E21" w:rsidRDefault="00CC0D6C" w:rsidP="00360CA3">
            <w:pPr>
              <w:rPr>
                <w:rFonts w:ascii="Arial" w:hAnsi="Arial" w:cs="Arial"/>
              </w:rPr>
            </w:pPr>
            <w:r w:rsidRPr="002612FD">
              <w:rPr>
                <w:rFonts w:ascii="Arial" w:hAnsi="Arial" w:cs="Arial"/>
              </w:rPr>
              <w:t xml:space="preserve">Bozkurt </w:t>
            </w:r>
          </w:p>
          <w:p w14:paraId="7F77529A" w14:textId="3B05B530" w:rsidR="00CC0D6C" w:rsidRPr="002612FD" w:rsidRDefault="00CC0D6C" w:rsidP="00360CA3">
            <w:pPr>
              <w:rPr>
                <w:rFonts w:ascii="Arial" w:hAnsi="Arial" w:cs="Arial"/>
              </w:rPr>
            </w:pPr>
            <w:r w:rsidRPr="002612FD">
              <w:rPr>
                <w:rFonts w:ascii="Arial" w:hAnsi="Arial" w:cs="Arial"/>
              </w:rPr>
              <w:t xml:space="preserve">et al. </w:t>
            </w:r>
          </w:p>
        </w:tc>
        <w:tc>
          <w:tcPr>
            <w:tcW w:w="810" w:type="dxa"/>
            <w:shd w:val="clear" w:color="auto" w:fill="D9D9D9" w:themeFill="background1" w:themeFillShade="D9"/>
          </w:tcPr>
          <w:p w14:paraId="1FA8CCFE" w14:textId="77777777" w:rsidR="00CC0D6C" w:rsidRPr="002612FD" w:rsidRDefault="00CC0D6C" w:rsidP="00360CA3">
            <w:pPr>
              <w:rPr>
                <w:rFonts w:ascii="Arial" w:hAnsi="Arial" w:cs="Arial"/>
              </w:rPr>
            </w:pPr>
            <w:r w:rsidRPr="002612FD">
              <w:rPr>
                <w:rFonts w:ascii="Arial" w:hAnsi="Arial" w:cs="Arial"/>
              </w:rPr>
              <w:t>2025</w:t>
            </w:r>
          </w:p>
        </w:tc>
        <w:tc>
          <w:tcPr>
            <w:tcW w:w="1350" w:type="dxa"/>
            <w:shd w:val="clear" w:color="auto" w:fill="D9D9D9" w:themeFill="background1" w:themeFillShade="D9"/>
          </w:tcPr>
          <w:p w14:paraId="29CCE73E" w14:textId="77777777" w:rsidR="00CC0D6C" w:rsidRPr="002612FD" w:rsidRDefault="00CC0D6C" w:rsidP="00360CA3">
            <w:pPr>
              <w:rPr>
                <w:rFonts w:ascii="Arial" w:hAnsi="Arial" w:cs="Arial"/>
              </w:rPr>
            </w:pPr>
            <w:r w:rsidRPr="002612FD">
              <w:rPr>
                <w:rFonts w:ascii="Arial" w:hAnsi="Arial" w:cs="Arial"/>
              </w:rPr>
              <w:t>Narrative Review with Statistical Analysis</w:t>
            </w:r>
          </w:p>
        </w:tc>
        <w:tc>
          <w:tcPr>
            <w:tcW w:w="1890" w:type="dxa"/>
            <w:shd w:val="clear" w:color="auto" w:fill="D9D9D9" w:themeFill="background1" w:themeFillShade="D9"/>
          </w:tcPr>
          <w:p w14:paraId="34D00D7E" w14:textId="77777777" w:rsidR="00CC0D6C" w:rsidRPr="002612FD" w:rsidRDefault="00CC0D6C" w:rsidP="00360CA3">
            <w:pPr>
              <w:rPr>
                <w:rFonts w:ascii="Arial" w:hAnsi="Arial" w:cs="Arial"/>
              </w:rPr>
            </w:pPr>
            <w:r w:rsidRPr="002612FD">
              <w:rPr>
                <w:rFonts w:ascii="Arial" w:hAnsi="Arial" w:cs="Arial"/>
              </w:rPr>
              <w:t xml:space="preserve">Data synthesized from multiple large-scale U.S. and global datasets, including NHANES, </w:t>
            </w:r>
            <w:r w:rsidRPr="002612FD">
              <w:rPr>
                <w:rFonts w:ascii="Arial" w:hAnsi="Arial" w:cs="Arial"/>
              </w:rPr>
              <w:lastRenderedPageBreak/>
              <w:t>Medicare, and CDC WONDER databases, analyzing trends in HF incidence, prevalence, mortality, and hospitalizations across diverse populations and geographic regions. Specific analyses included over 425,000 HF-related deaths in the U.S. in 2021 and data from 949,075 unique HF-related</w:t>
            </w:r>
          </w:p>
        </w:tc>
        <w:tc>
          <w:tcPr>
            <w:tcW w:w="1710" w:type="dxa"/>
            <w:shd w:val="clear" w:color="auto" w:fill="D9D9D9" w:themeFill="background1" w:themeFillShade="D9"/>
          </w:tcPr>
          <w:p w14:paraId="2CA257B1" w14:textId="77777777" w:rsidR="00CC0D6C" w:rsidRPr="002612FD" w:rsidRDefault="00CC0D6C" w:rsidP="00360CA3">
            <w:pPr>
              <w:rPr>
                <w:rFonts w:ascii="Arial" w:hAnsi="Arial" w:cs="Arial"/>
              </w:rPr>
            </w:pPr>
            <w:r w:rsidRPr="002612FD">
              <w:rPr>
                <w:rFonts w:ascii="Arial" w:hAnsi="Arial" w:cs="Arial"/>
              </w:rPr>
              <w:lastRenderedPageBreak/>
              <w:t>Textual Evidence Narrative</w:t>
            </w:r>
          </w:p>
        </w:tc>
        <w:tc>
          <w:tcPr>
            <w:tcW w:w="3600" w:type="dxa"/>
            <w:shd w:val="clear" w:color="auto" w:fill="D9D9D9" w:themeFill="background1" w:themeFillShade="D9"/>
          </w:tcPr>
          <w:p w14:paraId="6B0AEEA0" w14:textId="77777777" w:rsidR="00CC0D6C" w:rsidRPr="002612FD" w:rsidRDefault="00CC0D6C" w:rsidP="00360CA3">
            <w:pPr>
              <w:rPr>
                <w:rFonts w:ascii="Arial" w:hAnsi="Arial" w:cs="Arial"/>
              </w:rPr>
            </w:pPr>
            <w:r w:rsidRPr="002612FD">
              <w:rPr>
                <w:rFonts w:ascii="Arial" w:hAnsi="Arial" w:cs="Arial"/>
              </w:rPr>
              <w:t xml:space="preserve">HF mortality rates were significantly higher in rural areas (73.2 per 100,000) compared to urban areas (57.2 per 100,000) in 2018, with rural areas experiencing a greater annual percentage increase (+1.3% vs. </w:t>
            </w:r>
            <w:r w:rsidRPr="002612FD">
              <w:rPr>
                <w:rFonts w:ascii="Arial" w:hAnsi="Arial" w:cs="Arial"/>
              </w:rPr>
              <w:lastRenderedPageBreak/>
              <w:t>+1.2%), Black Americans have the highest hospitalization rates for HF, with 50% of HF-related hospitalizations among young adults (18–45 years) attributed to Black individuals, Medicare beneficiaries aged 65+ had an HF hospitalization rate of 161 per 1,000 in 2018, with higher rates in urban hospitals compared to rural, Geographic disparities showed the highest HF mortality in the Midwest, South, and Southeast, with rates as high as 7.98 deaths per 100,000 in Mississippi compared to 1.09 deaths per 100,000 in Minnesota. Rates of HF hospitalizations have increased since</w:t>
            </w:r>
          </w:p>
          <w:p w14:paraId="1D715B5A" w14:textId="77777777" w:rsidR="00CC0D6C" w:rsidRPr="002612FD" w:rsidRDefault="00CC0D6C" w:rsidP="00360CA3">
            <w:pPr>
              <w:rPr>
                <w:rFonts w:ascii="Arial" w:hAnsi="Arial" w:cs="Arial"/>
              </w:rPr>
            </w:pPr>
            <w:r w:rsidRPr="002612FD">
              <w:rPr>
                <w:rFonts w:ascii="Arial" w:hAnsi="Arial" w:cs="Arial"/>
              </w:rPr>
              <w:t xml:space="preserve">2014. This increase was consistent between </w:t>
            </w:r>
            <w:proofErr w:type="gramStart"/>
            <w:r w:rsidRPr="002612FD">
              <w:rPr>
                <w:rFonts w:ascii="Arial" w:hAnsi="Arial" w:cs="Arial"/>
              </w:rPr>
              <w:t>age</w:t>
            </w:r>
            <w:proofErr w:type="gramEnd"/>
          </w:p>
          <w:p w14:paraId="20CA3C7A" w14:textId="77777777" w:rsidR="00CC0D6C" w:rsidRPr="002612FD" w:rsidRDefault="00CC0D6C" w:rsidP="00360CA3">
            <w:pPr>
              <w:rPr>
                <w:rFonts w:ascii="Arial" w:hAnsi="Arial" w:cs="Arial"/>
              </w:rPr>
            </w:pPr>
            <w:r w:rsidRPr="002612FD">
              <w:rPr>
                <w:rFonts w:ascii="Arial" w:hAnsi="Arial" w:cs="Arial"/>
              </w:rPr>
              <w:t>groups and sexes, with the highest rates being</w:t>
            </w:r>
          </w:p>
          <w:p w14:paraId="6130BE5B" w14:textId="49D37C29" w:rsidR="00CC0D6C" w:rsidRPr="002612FD" w:rsidRDefault="00CC0D6C" w:rsidP="00360CA3">
            <w:pPr>
              <w:rPr>
                <w:rFonts w:ascii="Arial" w:hAnsi="Arial" w:cs="Arial"/>
              </w:rPr>
            </w:pPr>
            <w:r w:rsidRPr="002612FD">
              <w:rPr>
                <w:rFonts w:ascii="Arial" w:hAnsi="Arial" w:cs="Arial"/>
              </w:rPr>
              <w:t>among Black patients. Between 2020-2022, HF hospitalization rates were temporarily reduced during</w:t>
            </w:r>
            <w:r w:rsidR="009031F0">
              <w:rPr>
                <w:rFonts w:ascii="Arial" w:hAnsi="Arial" w:cs="Arial"/>
              </w:rPr>
              <w:t xml:space="preserve"> the </w:t>
            </w:r>
            <w:r w:rsidRPr="002612FD">
              <w:rPr>
                <w:rFonts w:ascii="Arial" w:hAnsi="Arial" w:cs="Arial"/>
              </w:rPr>
              <w:t>COVID-19 pandemic.</w:t>
            </w:r>
          </w:p>
        </w:tc>
        <w:tc>
          <w:tcPr>
            <w:tcW w:w="2520" w:type="dxa"/>
            <w:shd w:val="clear" w:color="auto" w:fill="D9D9D9" w:themeFill="background1" w:themeFillShade="D9"/>
          </w:tcPr>
          <w:p w14:paraId="26039029" w14:textId="77777777" w:rsidR="00CC0D6C" w:rsidRPr="002612FD" w:rsidRDefault="00CC0D6C" w:rsidP="00360CA3">
            <w:pPr>
              <w:rPr>
                <w:rFonts w:ascii="Arial" w:hAnsi="Arial" w:cs="Arial"/>
              </w:rPr>
            </w:pPr>
            <w:r w:rsidRPr="002612FD">
              <w:rPr>
                <w:rFonts w:ascii="Arial" w:hAnsi="Arial" w:cs="Arial"/>
              </w:rPr>
              <w:lastRenderedPageBreak/>
              <w:t>Strengths:</w:t>
            </w:r>
          </w:p>
          <w:p w14:paraId="71BE4C55" w14:textId="77777777" w:rsidR="00CC0D6C" w:rsidRPr="002612FD" w:rsidRDefault="00CC0D6C" w:rsidP="00360CA3">
            <w:pPr>
              <w:rPr>
                <w:rFonts w:ascii="Arial" w:hAnsi="Arial" w:cs="Arial"/>
              </w:rPr>
            </w:pPr>
            <w:r w:rsidRPr="002612FD">
              <w:rPr>
                <w:rFonts w:ascii="Arial" w:hAnsi="Arial" w:cs="Arial"/>
              </w:rPr>
              <w:t xml:space="preserve">Analysis of national and global datasets (NHANES, Medicare, CDC WONDER), capturing diverse populations across </w:t>
            </w:r>
            <w:r w:rsidRPr="002612FD">
              <w:rPr>
                <w:rFonts w:ascii="Arial" w:hAnsi="Arial" w:cs="Arial"/>
              </w:rPr>
              <w:lastRenderedPageBreak/>
              <w:t xml:space="preserve">racial, ethnic, and geographic subgroups, and its focus on longitudinal trends in HF incidence, prevalence, mortality, and hospitalizations. </w:t>
            </w:r>
          </w:p>
          <w:p w14:paraId="2C83581C" w14:textId="77777777" w:rsidR="00CC0D6C" w:rsidRPr="002612FD" w:rsidRDefault="00CC0D6C" w:rsidP="00360CA3">
            <w:pPr>
              <w:rPr>
                <w:rFonts w:ascii="Arial" w:hAnsi="Arial" w:cs="Arial"/>
              </w:rPr>
            </w:pPr>
          </w:p>
          <w:p w14:paraId="45D7EE22" w14:textId="77777777" w:rsidR="00CC0D6C" w:rsidRPr="002612FD" w:rsidRDefault="00CC0D6C" w:rsidP="00360CA3">
            <w:pPr>
              <w:rPr>
                <w:rFonts w:ascii="Arial" w:hAnsi="Arial" w:cs="Arial"/>
              </w:rPr>
            </w:pPr>
            <w:r w:rsidRPr="002612FD">
              <w:rPr>
                <w:rFonts w:ascii="Arial" w:hAnsi="Arial" w:cs="Arial"/>
              </w:rPr>
              <w:t>Limitations: reliance on secondary data sources, such as death certificates, which may underreport HF, limited data disaggregation for certain populations, and potential masking of within-region disparities (e.g., urban vs. rural differences).</w:t>
            </w:r>
          </w:p>
        </w:tc>
      </w:tr>
      <w:tr w:rsidR="00CC0D6C" w:rsidRPr="002612FD" w14:paraId="203FC274" w14:textId="77777777" w:rsidTr="0024775A">
        <w:tc>
          <w:tcPr>
            <w:tcW w:w="1440" w:type="dxa"/>
          </w:tcPr>
          <w:p w14:paraId="34C530DF" w14:textId="77777777" w:rsidR="009C61A6" w:rsidRDefault="00CC0D6C" w:rsidP="00360CA3">
            <w:pPr>
              <w:rPr>
                <w:rFonts w:ascii="Arial" w:hAnsi="Arial" w:cs="Arial"/>
              </w:rPr>
            </w:pPr>
            <w:r w:rsidRPr="002612FD">
              <w:rPr>
                <w:rFonts w:ascii="Arial" w:hAnsi="Arial" w:cs="Arial"/>
              </w:rPr>
              <w:lastRenderedPageBreak/>
              <w:t xml:space="preserve">Breathett </w:t>
            </w:r>
          </w:p>
          <w:p w14:paraId="6C522227" w14:textId="784CC8ED" w:rsidR="00CC0D6C" w:rsidRPr="002612FD" w:rsidRDefault="00CC0D6C" w:rsidP="00360CA3">
            <w:pPr>
              <w:rPr>
                <w:rFonts w:ascii="Arial" w:hAnsi="Arial" w:cs="Arial"/>
              </w:rPr>
            </w:pPr>
            <w:r w:rsidRPr="002612FD">
              <w:rPr>
                <w:rFonts w:ascii="Arial" w:hAnsi="Arial" w:cs="Arial"/>
              </w:rPr>
              <w:t xml:space="preserve">et al. </w:t>
            </w:r>
          </w:p>
          <w:p w14:paraId="25F52C74" w14:textId="77777777" w:rsidR="00CC0D6C" w:rsidRPr="002612FD" w:rsidRDefault="00CC0D6C" w:rsidP="00360CA3">
            <w:pPr>
              <w:rPr>
                <w:rFonts w:ascii="Arial" w:hAnsi="Arial" w:cs="Arial"/>
              </w:rPr>
            </w:pPr>
          </w:p>
          <w:p w14:paraId="49B72266" w14:textId="77777777" w:rsidR="00CC0D6C" w:rsidRPr="002612FD" w:rsidRDefault="00CC0D6C" w:rsidP="00360CA3">
            <w:pPr>
              <w:rPr>
                <w:rFonts w:ascii="Arial" w:hAnsi="Arial" w:cs="Arial"/>
              </w:rPr>
            </w:pPr>
          </w:p>
        </w:tc>
        <w:tc>
          <w:tcPr>
            <w:tcW w:w="810" w:type="dxa"/>
          </w:tcPr>
          <w:p w14:paraId="11AF8F1B" w14:textId="77777777" w:rsidR="00CC0D6C" w:rsidRPr="002612FD" w:rsidRDefault="00CC0D6C" w:rsidP="00360CA3">
            <w:pPr>
              <w:rPr>
                <w:rFonts w:ascii="Arial" w:hAnsi="Arial" w:cs="Arial"/>
              </w:rPr>
            </w:pPr>
            <w:r w:rsidRPr="002612FD">
              <w:rPr>
                <w:rFonts w:ascii="Arial" w:hAnsi="Arial" w:cs="Arial"/>
              </w:rPr>
              <w:t>2018</w:t>
            </w:r>
          </w:p>
        </w:tc>
        <w:tc>
          <w:tcPr>
            <w:tcW w:w="1350" w:type="dxa"/>
          </w:tcPr>
          <w:p w14:paraId="1711AF71" w14:textId="77777777" w:rsidR="00CC0D6C" w:rsidRPr="002612FD" w:rsidRDefault="00CC0D6C" w:rsidP="00360CA3">
            <w:pPr>
              <w:rPr>
                <w:rFonts w:ascii="Arial" w:hAnsi="Arial" w:cs="Arial"/>
              </w:rPr>
            </w:pPr>
            <w:r w:rsidRPr="002612FD">
              <w:rPr>
                <w:rFonts w:ascii="Arial" w:hAnsi="Arial" w:cs="Arial"/>
              </w:rPr>
              <w:t>Retrospective Observational Study</w:t>
            </w:r>
          </w:p>
        </w:tc>
        <w:tc>
          <w:tcPr>
            <w:tcW w:w="1890" w:type="dxa"/>
          </w:tcPr>
          <w:p w14:paraId="1C84311C" w14:textId="77777777" w:rsidR="00CC0D6C" w:rsidRPr="002612FD" w:rsidRDefault="00CC0D6C" w:rsidP="00360CA3">
            <w:pPr>
              <w:rPr>
                <w:rFonts w:ascii="Arial" w:hAnsi="Arial" w:cs="Arial"/>
              </w:rPr>
            </w:pPr>
            <w:r w:rsidRPr="002612FD">
              <w:rPr>
                <w:rFonts w:ascii="Arial" w:hAnsi="Arial" w:cs="Arial"/>
              </w:rPr>
              <w:t>Data were obtained from the Premier database across 497 U.S. hospitals, analyzing 104,835 ICU admissions for HF from 2010 to 2014.</w:t>
            </w:r>
          </w:p>
          <w:p w14:paraId="165CB559" w14:textId="77777777" w:rsidR="00CC0D6C" w:rsidRPr="002612FD" w:rsidRDefault="00CC0D6C" w:rsidP="00360CA3">
            <w:pPr>
              <w:rPr>
                <w:rFonts w:ascii="Arial" w:hAnsi="Arial" w:cs="Arial"/>
              </w:rPr>
            </w:pPr>
          </w:p>
        </w:tc>
        <w:tc>
          <w:tcPr>
            <w:tcW w:w="1710" w:type="dxa"/>
          </w:tcPr>
          <w:p w14:paraId="7DA5D751" w14:textId="77777777" w:rsidR="00CC0D6C" w:rsidRPr="002612FD" w:rsidRDefault="00CC0D6C" w:rsidP="00360CA3">
            <w:pPr>
              <w:rPr>
                <w:rFonts w:ascii="Arial" w:hAnsi="Arial" w:cs="Arial"/>
              </w:rPr>
            </w:pPr>
            <w:r w:rsidRPr="002612FD">
              <w:rPr>
                <w:rFonts w:ascii="Arial" w:hAnsi="Arial" w:cs="Arial"/>
              </w:rPr>
              <w:t>Analytical Cross-Sectional Studies</w:t>
            </w:r>
          </w:p>
        </w:tc>
        <w:tc>
          <w:tcPr>
            <w:tcW w:w="3600" w:type="dxa"/>
          </w:tcPr>
          <w:p w14:paraId="5E424346" w14:textId="77777777" w:rsidR="00CC0D6C" w:rsidRPr="002612FD" w:rsidRDefault="00CC0D6C" w:rsidP="00360CA3">
            <w:pPr>
              <w:rPr>
                <w:rFonts w:ascii="Arial" w:hAnsi="Arial" w:cs="Arial"/>
              </w:rPr>
            </w:pPr>
            <w:r w:rsidRPr="002612FD">
              <w:rPr>
                <w:rFonts w:ascii="Arial" w:hAnsi="Arial" w:cs="Arial"/>
              </w:rPr>
              <w:t>African Americans were more likely to rely on Medicaid (15.5%) compared to Caucasians (5.4%), while Medicare coverage was lower among African Americans (61.4%) than Caucasians (79%), African Americans were significantly less likely than Caucasians to receive primary ICU care from a cardiologist (adjusted OR: 1.42, 95% CI: 1.34–1.51), Hospitals with higher proportions of African American patients were more likely to be located in urban areas (90.7%) compared to those serving predominantly Caucasian populations (84.3%), reflecting disparities in rural healthcare access, The study noted potential contributions of implicit bias and systemic inequities in care delivery, as African Americans faced disparities in access to cardiology care despite similar hospital settings.</w:t>
            </w:r>
          </w:p>
        </w:tc>
        <w:tc>
          <w:tcPr>
            <w:tcW w:w="2520" w:type="dxa"/>
          </w:tcPr>
          <w:p w14:paraId="2F1BB038" w14:textId="77777777" w:rsidR="00CC0D6C" w:rsidRPr="002612FD" w:rsidRDefault="00CC0D6C" w:rsidP="00360CA3">
            <w:pPr>
              <w:rPr>
                <w:rFonts w:ascii="Arial" w:hAnsi="Arial" w:cs="Arial"/>
              </w:rPr>
            </w:pPr>
            <w:r w:rsidRPr="002612FD">
              <w:rPr>
                <w:rFonts w:ascii="Arial" w:hAnsi="Arial" w:cs="Arial"/>
              </w:rPr>
              <w:t>Strengths:</w:t>
            </w:r>
          </w:p>
          <w:p w14:paraId="54441B60" w14:textId="77777777" w:rsidR="00CC0D6C" w:rsidRPr="002612FD" w:rsidRDefault="00CC0D6C" w:rsidP="00360CA3">
            <w:pPr>
              <w:rPr>
                <w:rFonts w:ascii="Arial" w:hAnsi="Arial" w:cs="Arial"/>
              </w:rPr>
            </w:pPr>
            <w:r w:rsidRPr="002612FD">
              <w:rPr>
                <w:rFonts w:ascii="Arial" w:hAnsi="Arial" w:cs="Arial"/>
              </w:rPr>
              <w:t xml:space="preserve">Large, nationally representative sample covering 497 hospitals, </w:t>
            </w:r>
            <w:proofErr w:type="gramStart"/>
            <w:r w:rsidRPr="002612FD">
              <w:rPr>
                <w:rFonts w:ascii="Arial" w:hAnsi="Arial" w:cs="Arial"/>
              </w:rPr>
              <w:t>Adjusted</w:t>
            </w:r>
            <w:proofErr w:type="gramEnd"/>
            <w:r w:rsidRPr="002612FD">
              <w:rPr>
                <w:rFonts w:ascii="Arial" w:hAnsi="Arial" w:cs="Arial"/>
              </w:rPr>
              <w:t xml:space="preserve"> analyses accounted for patient- and hospital-level factors, Highlights persistent racial disparities in critical care settings.</w:t>
            </w:r>
          </w:p>
          <w:p w14:paraId="53DB1335" w14:textId="77777777" w:rsidR="00CC0D6C" w:rsidRPr="002612FD" w:rsidRDefault="00CC0D6C" w:rsidP="00360CA3">
            <w:pPr>
              <w:rPr>
                <w:rFonts w:ascii="Arial" w:hAnsi="Arial" w:cs="Arial"/>
              </w:rPr>
            </w:pPr>
          </w:p>
          <w:p w14:paraId="167CB039" w14:textId="77777777" w:rsidR="00CC0D6C" w:rsidRPr="002612FD" w:rsidRDefault="00CC0D6C" w:rsidP="00360CA3">
            <w:pPr>
              <w:rPr>
                <w:rFonts w:ascii="Arial" w:hAnsi="Arial" w:cs="Arial"/>
              </w:rPr>
            </w:pPr>
            <w:r w:rsidRPr="002612FD">
              <w:rPr>
                <w:rFonts w:ascii="Arial" w:hAnsi="Arial" w:cs="Arial"/>
              </w:rPr>
              <w:t xml:space="preserve">Limitations: </w:t>
            </w:r>
          </w:p>
          <w:p w14:paraId="488137A0" w14:textId="77777777" w:rsidR="00CC0D6C" w:rsidRPr="002612FD" w:rsidRDefault="00CC0D6C" w:rsidP="00360CA3">
            <w:pPr>
              <w:rPr>
                <w:rFonts w:ascii="Arial" w:hAnsi="Arial" w:cs="Arial"/>
              </w:rPr>
            </w:pPr>
            <w:r w:rsidRPr="002612FD">
              <w:rPr>
                <w:rFonts w:ascii="Arial" w:hAnsi="Arial" w:cs="Arial"/>
              </w:rPr>
              <w:t>Race data were from administrative records, which may include inaccuracies, Exclusion of other racial/ethnic groups limits generalizability beyond African Americans and Caucasians, Missing data on HF severity and discharge medications reduces precision of clinical outcomes.</w:t>
            </w:r>
          </w:p>
        </w:tc>
      </w:tr>
      <w:tr w:rsidR="00CC0D6C" w:rsidRPr="002612FD" w14:paraId="023CFEB8" w14:textId="77777777" w:rsidTr="000C00F6">
        <w:tc>
          <w:tcPr>
            <w:tcW w:w="1440" w:type="dxa"/>
            <w:shd w:val="clear" w:color="auto" w:fill="D9D9D9" w:themeFill="background1" w:themeFillShade="D9"/>
          </w:tcPr>
          <w:p w14:paraId="4913A100" w14:textId="77777777" w:rsidR="00CC0D6C" w:rsidRPr="002612FD" w:rsidRDefault="00CC0D6C" w:rsidP="00360CA3">
            <w:pPr>
              <w:rPr>
                <w:rFonts w:ascii="Arial" w:hAnsi="Arial" w:cs="Arial"/>
              </w:rPr>
            </w:pPr>
            <w:r w:rsidRPr="002612FD">
              <w:rPr>
                <w:rFonts w:ascii="Arial" w:hAnsi="Arial" w:cs="Arial"/>
              </w:rPr>
              <w:t xml:space="preserve">Breathett et al. </w:t>
            </w:r>
          </w:p>
        </w:tc>
        <w:tc>
          <w:tcPr>
            <w:tcW w:w="810" w:type="dxa"/>
            <w:shd w:val="clear" w:color="auto" w:fill="D9D9D9" w:themeFill="background1" w:themeFillShade="D9"/>
          </w:tcPr>
          <w:p w14:paraId="11145412" w14:textId="77777777" w:rsidR="00CC0D6C" w:rsidRPr="002612FD" w:rsidRDefault="00CC0D6C" w:rsidP="00360CA3">
            <w:pPr>
              <w:rPr>
                <w:rFonts w:ascii="Arial" w:hAnsi="Arial" w:cs="Arial"/>
              </w:rPr>
            </w:pPr>
            <w:r w:rsidRPr="002612FD">
              <w:rPr>
                <w:rFonts w:ascii="Arial" w:hAnsi="Arial" w:cs="Arial"/>
              </w:rPr>
              <w:t>2020</w:t>
            </w:r>
          </w:p>
        </w:tc>
        <w:tc>
          <w:tcPr>
            <w:tcW w:w="1350" w:type="dxa"/>
            <w:shd w:val="clear" w:color="auto" w:fill="D9D9D9" w:themeFill="background1" w:themeFillShade="D9"/>
          </w:tcPr>
          <w:p w14:paraId="53E9EC90"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shd w:val="clear" w:color="auto" w:fill="D9D9D9" w:themeFill="background1" w:themeFillShade="D9"/>
          </w:tcPr>
          <w:p w14:paraId="502528BA" w14:textId="77777777" w:rsidR="00CC0D6C" w:rsidRPr="002612FD" w:rsidRDefault="00CC0D6C" w:rsidP="00360CA3">
            <w:pPr>
              <w:rPr>
                <w:rFonts w:ascii="Arial" w:hAnsi="Arial" w:cs="Arial"/>
              </w:rPr>
            </w:pPr>
            <w:r w:rsidRPr="002612FD">
              <w:rPr>
                <w:rFonts w:ascii="Arial" w:hAnsi="Arial" w:cs="Arial"/>
              </w:rPr>
              <w:t>Scientific statement based on a narrative review of literature, leveraging population-level data from the Strong Heart Study, GOCADAN study, and national datasets representing 5.2 million individuals who identify as American Indian and Alaska Native.</w:t>
            </w:r>
          </w:p>
        </w:tc>
        <w:tc>
          <w:tcPr>
            <w:tcW w:w="1710" w:type="dxa"/>
            <w:shd w:val="clear" w:color="auto" w:fill="D9D9D9" w:themeFill="background1" w:themeFillShade="D9"/>
          </w:tcPr>
          <w:p w14:paraId="3C984E4C" w14:textId="77777777" w:rsidR="00CC0D6C" w:rsidRPr="002612FD" w:rsidRDefault="00CC0D6C" w:rsidP="00360CA3">
            <w:pPr>
              <w:rPr>
                <w:rFonts w:ascii="Arial" w:hAnsi="Arial" w:cs="Arial"/>
              </w:rPr>
            </w:pPr>
            <w:r w:rsidRPr="002612FD">
              <w:rPr>
                <w:rFonts w:ascii="Arial" w:hAnsi="Arial" w:cs="Arial"/>
              </w:rPr>
              <w:t>Textual Evidence Narrative</w:t>
            </w:r>
          </w:p>
        </w:tc>
        <w:tc>
          <w:tcPr>
            <w:tcW w:w="3600" w:type="dxa"/>
            <w:shd w:val="clear" w:color="auto" w:fill="D9D9D9" w:themeFill="background1" w:themeFillShade="D9"/>
          </w:tcPr>
          <w:p w14:paraId="3A009493" w14:textId="77777777" w:rsidR="00CC0D6C" w:rsidRPr="002612FD" w:rsidRDefault="00CC0D6C" w:rsidP="00360CA3">
            <w:pPr>
              <w:rPr>
                <w:rFonts w:ascii="Arial" w:hAnsi="Arial" w:cs="Arial"/>
              </w:rPr>
            </w:pPr>
            <w:r w:rsidRPr="002612FD">
              <w:rPr>
                <w:rFonts w:ascii="Arial" w:hAnsi="Arial" w:cs="Arial"/>
              </w:rPr>
              <w:t xml:space="preserve">26.2% of single-race American Indian and Alaska Native individuals lived below the poverty line in 2016, compared to 11% of Whites, Median household income for American Indian and Alaska Native families was $41,882 in 2017, significantly lower than the national average, 80.2% of American Indian and Alaska Native individuals aged 25+ had a high school diploma, but only 14.7% had a bachelor's degree or higher, compared to national averages, 45.3% of American Indian and Alaska Native individuals had public health insurance coverage in 2017, while 19.3% had no insurance. </w:t>
            </w:r>
          </w:p>
        </w:tc>
        <w:tc>
          <w:tcPr>
            <w:tcW w:w="2520" w:type="dxa"/>
            <w:shd w:val="clear" w:color="auto" w:fill="D9D9D9" w:themeFill="background1" w:themeFillShade="D9"/>
          </w:tcPr>
          <w:p w14:paraId="43509282" w14:textId="77777777" w:rsidR="00CC0D6C" w:rsidRPr="002612FD" w:rsidRDefault="00CC0D6C" w:rsidP="00360CA3">
            <w:pPr>
              <w:rPr>
                <w:rFonts w:ascii="Arial" w:hAnsi="Arial" w:cs="Arial"/>
              </w:rPr>
            </w:pPr>
            <w:r w:rsidRPr="002612FD">
              <w:rPr>
                <w:rFonts w:ascii="Arial" w:hAnsi="Arial" w:cs="Arial"/>
              </w:rPr>
              <w:t>Strengths:</w:t>
            </w:r>
          </w:p>
          <w:p w14:paraId="05116D88" w14:textId="77777777" w:rsidR="00CC0D6C" w:rsidRPr="002612FD" w:rsidRDefault="00CC0D6C" w:rsidP="00360CA3">
            <w:pPr>
              <w:rPr>
                <w:rFonts w:ascii="Arial" w:hAnsi="Arial" w:cs="Arial"/>
              </w:rPr>
            </w:pPr>
            <w:r w:rsidRPr="002612FD">
              <w:rPr>
                <w:rFonts w:ascii="Arial" w:hAnsi="Arial" w:cs="Arial"/>
              </w:rPr>
              <w:t>Comprehensive integration of data from large population-based studies (e.g., Strong Heart Study, GOCADAN).</w:t>
            </w:r>
          </w:p>
          <w:p w14:paraId="08A3A7E4" w14:textId="77777777" w:rsidR="00CC0D6C" w:rsidRPr="002612FD" w:rsidRDefault="00CC0D6C" w:rsidP="00360CA3">
            <w:pPr>
              <w:rPr>
                <w:rFonts w:ascii="Arial" w:hAnsi="Arial" w:cs="Arial"/>
              </w:rPr>
            </w:pPr>
            <w:r w:rsidRPr="002612FD">
              <w:rPr>
                <w:rFonts w:ascii="Arial" w:hAnsi="Arial" w:cs="Arial"/>
              </w:rPr>
              <w:t>Emphasis on culturally specific risk factors and interventions for American Indian and Alaska Native populations.</w:t>
            </w:r>
          </w:p>
          <w:p w14:paraId="096C9320" w14:textId="77777777" w:rsidR="00CC0D6C" w:rsidRPr="002612FD" w:rsidRDefault="00CC0D6C" w:rsidP="00360CA3">
            <w:pPr>
              <w:rPr>
                <w:rFonts w:ascii="Arial" w:hAnsi="Arial" w:cs="Arial"/>
              </w:rPr>
            </w:pPr>
          </w:p>
          <w:p w14:paraId="2554D611" w14:textId="77777777" w:rsidR="00CC0D6C" w:rsidRPr="002612FD" w:rsidRDefault="00CC0D6C" w:rsidP="00360CA3">
            <w:pPr>
              <w:rPr>
                <w:rFonts w:ascii="Arial" w:hAnsi="Arial" w:cs="Arial"/>
              </w:rPr>
            </w:pPr>
            <w:r w:rsidRPr="002612FD">
              <w:rPr>
                <w:rFonts w:ascii="Arial" w:hAnsi="Arial" w:cs="Arial"/>
              </w:rPr>
              <w:t>Limitations:</w:t>
            </w:r>
          </w:p>
          <w:p w14:paraId="53E7E4AF" w14:textId="2BC00634" w:rsidR="00CC0D6C" w:rsidRPr="002612FD" w:rsidRDefault="00CC0D6C" w:rsidP="00360CA3">
            <w:pPr>
              <w:rPr>
                <w:rFonts w:ascii="Arial" w:hAnsi="Arial" w:cs="Arial"/>
              </w:rPr>
            </w:pPr>
            <w:r w:rsidRPr="002612FD">
              <w:rPr>
                <w:rFonts w:ascii="Arial" w:hAnsi="Arial" w:cs="Arial"/>
              </w:rPr>
              <w:t>Relie</w:t>
            </w:r>
            <w:r w:rsidR="00936E21">
              <w:rPr>
                <w:rFonts w:ascii="Arial" w:hAnsi="Arial" w:cs="Arial"/>
              </w:rPr>
              <w:t>d</w:t>
            </w:r>
            <w:r w:rsidRPr="002612FD">
              <w:rPr>
                <w:rFonts w:ascii="Arial" w:hAnsi="Arial" w:cs="Arial"/>
              </w:rPr>
              <w:t xml:space="preserve"> on secondary data and literature without new empirical data.</w:t>
            </w:r>
            <w:r w:rsidR="001340A5">
              <w:rPr>
                <w:rFonts w:ascii="Arial" w:hAnsi="Arial" w:cs="Arial"/>
              </w:rPr>
              <w:t xml:space="preserve"> </w:t>
            </w:r>
            <w:r w:rsidRPr="002612FD">
              <w:rPr>
                <w:rFonts w:ascii="Arial" w:hAnsi="Arial" w:cs="Arial"/>
              </w:rPr>
              <w:t>Underreporting and misclassification of American Indian and Alaska Native populations may underestimate health disparities.</w:t>
            </w:r>
          </w:p>
        </w:tc>
      </w:tr>
      <w:tr w:rsidR="00CC0D6C" w:rsidRPr="002612FD" w14:paraId="0C2637C0" w14:textId="77777777" w:rsidTr="0024775A">
        <w:tc>
          <w:tcPr>
            <w:tcW w:w="1440" w:type="dxa"/>
          </w:tcPr>
          <w:p w14:paraId="790496F5" w14:textId="77777777" w:rsidR="00CC0D6C" w:rsidRPr="002612FD" w:rsidRDefault="00CC0D6C" w:rsidP="00360CA3">
            <w:pPr>
              <w:rPr>
                <w:rFonts w:ascii="Arial" w:hAnsi="Arial" w:cs="Arial"/>
              </w:rPr>
            </w:pPr>
            <w:r w:rsidRPr="002612FD">
              <w:rPr>
                <w:rFonts w:ascii="Arial" w:hAnsi="Arial" w:cs="Arial"/>
              </w:rPr>
              <w:t>Browder &amp; Rosamond</w:t>
            </w:r>
          </w:p>
          <w:p w14:paraId="40202519" w14:textId="77777777" w:rsidR="00CC0D6C" w:rsidRPr="002612FD" w:rsidRDefault="00CC0D6C" w:rsidP="00360CA3">
            <w:pPr>
              <w:rPr>
                <w:rFonts w:ascii="Arial" w:hAnsi="Arial" w:cs="Arial"/>
              </w:rPr>
            </w:pPr>
          </w:p>
          <w:p w14:paraId="2C3C16CF" w14:textId="77777777" w:rsidR="00CC0D6C" w:rsidRPr="002612FD" w:rsidRDefault="00CC0D6C" w:rsidP="00360CA3">
            <w:pPr>
              <w:rPr>
                <w:rFonts w:ascii="Arial" w:hAnsi="Arial" w:cs="Arial"/>
              </w:rPr>
            </w:pPr>
          </w:p>
        </w:tc>
        <w:tc>
          <w:tcPr>
            <w:tcW w:w="810" w:type="dxa"/>
          </w:tcPr>
          <w:p w14:paraId="1843DE2A" w14:textId="77777777" w:rsidR="00CC0D6C" w:rsidRPr="002612FD" w:rsidRDefault="00CC0D6C" w:rsidP="00360CA3">
            <w:pPr>
              <w:rPr>
                <w:rFonts w:ascii="Arial" w:hAnsi="Arial" w:cs="Arial"/>
              </w:rPr>
            </w:pPr>
            <w:r w:rsidRPr="002612FD">
              <w:rPr>
                <w:rFonts w:ascii="Arial" w:hAnsi="Arial" w:cs="Arial"/>
              </w:rPr>
              <w:t>2023</w:t>
            </w:r>
          </w:p>
        </w:tc>
        <w:tc>
          <w:tcPr>
            <w:tcW w:w="1350" w:type="dxa"/>
          </w:tcPr>
          <w:p w14:paraId="7EAEB85C"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tcPr>
          <w:p w14:paraId="0FE3B017" w14:textId="77777777" w:rsidR="00CC0D6C" w:rsidRPr="002612FD" w:rsidRDefault="00CC0D6C" w:rsidP="00360CA3">
            <w:pPr>
              <w:rPr>
                <w:rFonts w:ascii="Arial" w:hAnsi="Arial" w:cs="Arial"/>
              </w:rPr>
            </w:pPr>
            <w:r w:rsidRPr="002612FD">
              <w:rPr>
                <w:rFonts w:ascii="Arial" w:hAnsi="Arial" w:cs="Arial"/>
              </w:rPr>
              <w:t>Review of U.S.-based studies examining HF readmissions, focusing on low SEP populations impacted by poverty, limited education, and inadequate access to healthcare services.</w:t>
            </w:r>
          </w:p>
        </w:tc>
        <w:tc>
          <w:tcPr>
            <w:tcW w:w="1710" w:type="dxa"/>
          </w:tcPr>
          <w:p w14:paraId="2CE70FD7" w14:textId="77777777" w:rsidR="00CC0D6C" w:rsidRPr="002612FD" w:rsidRDefault="00CC0D6C" w:rsidP="00360CA3">
            <w:pPr>
              <w:rPr>
                <w:rFonts w:ascii="Arial" w:hAnsi="Arial" w:cs="Arial"/>
              </w:rPr>
            </w:pPr>
            <w:r w:rsidRPr="002612FD">
              <w:rPr>
                <w:rFonts w:ascii="Arial" w:hAnsi="Arial" w:cs="Arial"/>
              </w:rPr>
              <w:t>Textual Evidence Narrative</w:t>
            </w:r>
          </w:p>
        </w:tc>
        <w:tc>
          <w:tcPr>
            <w:tcW w:w="3600" w:type="dxa"/>
          </w:tcPr>
          <w:p w14:paraId="37576866" w14:textId="77777777" w:rsidR="00CC0D6C" w:rsidRPr="002612FD" w:rsidRDefault="00CC0D6C" w:rsidP="00360CA3">
            <w:pPr>
              <w:rPr>
                <w:rFonts w:ascii="Arial" w:hAnsi="Arial" w:cs="Arial"/>
              </w:rPr>
            </w:pPr>
            <w:r w:rsidRPr="002612FD">
              <w:rPr>
                <w:rFonts w:ascii="Arial" w:hAnsi="Arial" w:cs="Arial"/>
              </w:rPr>
              <w:t>Low-income individuals face cost-related medication non-adherence, doubling 30-day readmission risk (20% vs. 9.3% for high adherence), Limited access to primary and specialty care, transportation, and affordable medications contributes to poor HF management and increased readmissions, Low health literacy impedes self-care and medication adherence, with tailored education programs improving outcomes, Poor housing conditions, high pollution, and lack of recreational spaces exacerbate HF burden, Psychosocial stressors, such as chronic financial strain and social isolation, increase readmission rates. Caregiver support is crucial, as unpaid caregivers play a significant role in preventing readmissions.</w:t>
            </w:r>
          </w:p>
          <w:p w14:paraId="2F4CDADC" w14:textId="77777777" w:rsidR="00CC0D6C" w:rsidRPr="002612FD" w:rsidRDefault="00CC0D6C" w:rsidP="00360CA3">
            <w:pPr>
              <w:rPr>
                <w:rFonts w:ascii="Arial" w:hAnsi="Arial" w:cs="Arial"/>
              </w:rPr>
            </w:pPr>
            <w:r w:rsidRPr="002612FD">
              <w:rPr>
                <w:rFonts w:ascii="Arial" w:hAnsi="Arial" w:cs="Arial"/>
              </w:rPr>
              <w:t>Interventions: Multidisciplinary care reduced 30-day readmissions by 10.4% (27.6% to 17.2%). Telehealth and follow-up appointments halved readmissions in some programs.</w:t>
            </w:r>
          </w:p>
        </w:tc>
        <w:tc>
          <w:tcPr>
            <w:tcW w:w="2520" w:type="dxa"/>
          </w:tcPr>
          <w:p w14:paraId="3275008A" w14:textId="77777777" w:rsidR="00CC0D6C" w:rsidRPr="002612FD" w:rsidRDefault="00CC0D6C" w:rsidP="00360CA3">
            <w:pPr>
              <w:rPr>
                <w:rFonts w:ascii="Arial" w:hAnsi="Arial" w:cs="Arial"/>
              </w:rPr>
            </w:pPr>
            <w:r w:rsidRPr="002612FD">
              <w:rPr>
                <w:rFonts w:ascii="Arial" w:hAnsi="Arial" w:cs="Arial"/>
              </w:rPr>
              <w:t>Strengths:</w:t>
            </w:r>
          </w:p>
          <w:p w14:paraId="4DA28712" w14:textId="77777777" w:rsidR="00CC0D6C" w:rsidRPr="002612FD" w:rsidRDefault="00CC0D6C" w:rsidP="00360CA3">
            <w:pPr>
              <w:rPr>
                <w:rFonts w:ascii="Arial" w:hAnsi="Arial" w:cs="Arial"/>
              </w:rPr>
            </w:pPr>
            <w:r w:rsidRPr="002612FD">
              <w:rPr>
                <w:rFonts w:ascii="Arial" w:hAnsi="Arial" w:cs="Arial"/>
              </w:rPr>
              <w:t>Comprehensive synthesis of evidence on SDoH and HF readmissions.</w:t>
            </w:r>
          </w:p>
          <w:p w14:paraId="6F24AEAE" w14:textId="77777777" w:rsidR="00CC0D6C" w:rsidRPr="002612FD" w:rsidRDefault="00CC0D6C" w:rsidP="00360CA3">
            <w:pPr>
              <w:rPr>
                <w:rFonts w:ascii="Arial" w:hAnsi="Arial" w:cs="Arial"/>
              </w:rPr>
            </w:pPr>
            <w:r w:rsidRPr="002612FD">
              <w:rPr>
                <w:rFonts w:ascii="Arial" w:hAnsi="Arial" w:cs="Arial"/>
              </w:rPr>
              <w:t>Highlights specific interventions, such as caregiver support and telehealth, tailored to low SEP populations.</w:t>
            </w:r>
          </w:p>
          <w:p w14:paraId="6D4E2DB0" w14:textId="77777777" w:rsidR="00CC0D6C" w:rsidRPr="002612FD" w:rsidRDefault="00CC0D6C" w:rsidP="00360CA3">
            <w:pPr>
              <w:rPr>
                <w:rFonts w:ascii="Arial" w:hAnsi="Arial" w:cs="Arial"/>
              </w:rPr>
            </w:pPr>
          </w:p>
          <w:p w14:paraId="6B3BA91A" w14:textId="77777777" w:rsidR="00CC0D6C" w:rsidRPr="002612FD" w:rsidRDefault="00CC0D6C" w:rsidP="00360CA3">
            <w:pPr>
              <w:rPr>
                <w:rFonts w:ascii="Arial" w:hAnsi="Arial" w:cs="Arial"/>
              </w:rPr>
            </w:pPr>
            <w:r w:rsidRPr="002612FD">
              <w:rPr>
                <w:rFonts w:ascii="Arial" w:hAnsi="Arial" w:cs="Arial"/>
              </w:rPr>
              <w:t>Limitations:</w:t>
            </w:r>
          </w:p>
          <w:p w14:paraId="6AD34780" w14:textId="77777777" w:rsidR="00CC0D6C" w:rsidRPr="002612FD" w:rsidRDefault="00CC0D6C" w:rsidP="00360CA3">
            <w:pPr>
              <w:rPr>
                <w:rFonts w:ascii="Arial" w:hAnsi="Arial" w:cs="Arial"/>
              </w:rPr>
            </w:pPr>
            <w:r w:rsidRPr="002612FD">
              <w:rPr>
                <w:rFonts w:ascii="Arial" w:hAnsi="Arial" w:cs="Arial"/>
              </w:rPr>
              <w:t>Relies on secondary data without new empirical research.</w:t>
            </w:r>
          </w:p>
          <w:p w14:paraId="466AD97C" w14:textId="77777777" w:rsidR="00CC0D6C" w:rsidRPr="002612FD" w:rsidRDefault="00CC0D6C" w:rsidP="00360CA3">
            <w:pPr>
              <w:rPr>
                <w:rFonts w:ascii="Arial" w:hAnsi="Arial" w:cs="Arial"/>
              </w:rPr>
            </w:pPr>
            <w:r w:rsidRPr="002612FD">
              <w:rPr>
                <w:rFonts w:ascii="Arial" w:hAnsi="Arial" w:cs="Arial"/>
              </w:rPr>
              <w:t>Focused on low SEP populations, limiting generalizability to other groups.</w:t>
            </w:r>
          </w:p>
        </w:tc>
      </w:tr>
      <w:tr w:rsidR="00CC0D6C" w:rsidRPr="002612FD" w14:paraId="0C65BAB5" w14:textId="77777777" w:rsidTr="000C00F6">
        <w:tc>
          <w:tcPr>
            <w:tcW w:w="1440" w:type="dxa"/>
            <w:shd w:val="clear" w:color="auto" w:fill="D9D9D9" w:themeFill="background1" w:themeFillShade="D9"/>
          </w:tcPr>
          <w:p w14:paraId="00EB89BB" w14:textId="77777777" w:rsidR="009859C3" w:rsidRDefault="00CC0D6C" w:rsidP="00360CA3">
            <w:pPr>
              <w:rPr>
                <w:rFonts w:ascii="Arial" w:hAnsi="Arial" w:cs="Arial"/>
              </w:rPr>
            </w:pPr>
            <w:r w:rsidRPr="002612FD">
              <w:rPr>
                <w:rFonts w:ascii="Arial" w:hAnsi="Arial" w:cs="Arial"/>
              </w:rPr>
              <w:t xml:space="preserve">Chehade </w:t>
            </w:r>
          </w:p>
          <w:p w14:paraId="31358217" w14:textId="5D2F76C0" w:rsidR="00CC0D6C" w:rsidRPr="002612FD" w:rsidRDefault="00CC0D6C" w:rsidP="00360CA3">
            <w:pPr>
              <w:rPr>
                <w:rFonts w:ascii="Arial" w:hAnsi="Arial" w:cs="Arial"/>
              </w:rPr>
            </w:pPr>
            <w:r w:rsidRPr="002612FD">
              <w:rPr>
                <w:rFonts w:ascii="Arial" w:hAnsi="Arial" w:cs="Arial"/>
              </w:rPr>
              <w:t xml:space="preserve">et al. </w:t>
            </w:r>
          </w:p>
          <w:p w14:paraId="6CCC6ED1" w14:textId="77777777" w:rsidR="00CC0D6C" w:rsidRPr="002612FD" w:rsidRDefault="00CC0D6C" w:rsidP="00360CA3">
            <w:pPr>
              <w:rPr>
                <w:rFonts w:ascii="Arial" w:hAnsi="Arial" w:cs="Arial"/>
              </w:rPr>
            </w:pPr>
          </w:p>
          <w:p w14:paraId="79C4262F" w14:textId="77777777" w:rsidR="00CC0D6C" w:rsidRPr="002612FD" w:rsidRDefault="00CC0D6C" w:rsidP="00360CA3">
            <w:pPr>
              <w:rPr>
                <w:rFonts w:ascii="Arial" w:hAnsi="Arial" w:cs="Arial"/>
              </w:rPr>
            </w:pPr>
          </w:p>
        </w:tc>
        <w:tc>
          <w:tcPr>
            <w:tcW w:w="810" w:type="dxa"/>
            <w:shd w:val="clear" w:color="auto" w:fill="D9D9D9" w:themeFill="background1" w:themeFillShade="D9"/>
          </w:tcPr>
          <w:p w14:paraId="74F9C664" w14:textId="77777777" w:rsidR="00CC0D6C" w:rsidRPr="002612FD" w:rsidRDefault="00CC0D6C" w:rsidP="00360CA3">
            <w:pPr>
              <w:rPr>
                <w:rFonts w:ascii="Arial" w:hAnsi="Arial" w:cs="Arial"/>
              </w:rPr>
            </w:pPr>
            <w:r w:rsidRPr="002612FD">
              <w:rPr>
                <w:rFonts w:ascii="Arial" w:hAnsi="Arial" w:cs="Arial"/>
              </w:rPr>
              <w:t>2024</w:t>
            </w:r>
          </w:p>
        </w:tc>
        <w:tc>
          <w:tcPr>
            <w:tcW w:w="1350" w:type="dxa"/>
            <w:shd w:val="clear" w:color="auto" w:fill="D9D9D9" w:themeFill="background1" w:themeFillShade="D9"/>
          </w:tcPr>
          <w:p w14:paraId="2D3CEB22" w14:textId="77777777" w:rsidR="00CC0D6C" w:rsidRPr="002612FD" w:rsidRDefault="00CC0D6C" w:rsidP="00360CA3">
            <w:pPr>
              <w:rPr>
                <w:rFonts w:ascii="Arial" w:hAnsi="Arial" w:cs="Arial"/>
              </w:rPr>
            </w:pPr>
            <w:r w:rsidRPr="002612FD">
              <w:rPr>
                <w:rFonts w:ascii="Arial" w:hAnsi="Arial" w:cs="Arial"/>
              </w:rPr>
              <w:t>Integrative review</w:t>
            </w:r>
          </w:p>
        </w:tc>
        <w:tc>
          <w:tcPr>
            <w:tcW w:w="1890" w:type="dxa"/>
            <w:shd w:val="clear" w:color="auto" w:fill="D9D9D9" w:themeFill="background1" w:themeFillShade="D9"/>
          </w:tcPr>
          <w:p w14:paraId="1515341F" w14:textId="77777777" w:rsidR="00CC0D6C" w:rsidRPr="002612FD" w:rsidRDefault="00CC0D6C" w:rsidP="00360CA3">
            <w:pPr>
              <w:rPr>
                <w:rFonts w:ascii="Arial" w:hAnsi="Arial" w:cs="Arial"/>
              </w:rPr>
            </w:pPr>
            <w:r w:rsidRPr="002612FD">
              <w:rPr>
                <w:rFonts w:ascii="Arial" w:hAnsi="Arial" w:cs="Arial"/>
              </w:rPr>
              <w:t xml:space="preserve">Review of 22 quantitative U.S.-based studies conducted between 2006 and 2023, focusing on adult patients (age ≥18 years) undergoing VAD therapy. Studies included retrospective cohort studies, cross-sectional analyses, and secondary data analyses, with sample sizes ranging from 96 to over 25,000 patients. </w:t>
            </w:r>
          </w:p>
        </w:tc>
        <w:tc>
          <w:tcPr>
            <w:tcW w:w="1710" w:type="dxa"/>
            <w:shd w:val="clear" w:color="auto" w:fill="D9D9D9" w:themeFill="background1" w:themeFillShade="D9"/>
          </w:tcPr>
          <w:p w14:paraId="697D48A6" w14:textId="77777777" w:rsidR="00CC0D6C" w:rsidRPr="002612FD" w:rsidRDefault="00CC0D6C" w:rsidP="00360CA3">
            <w:pPr>
              <w:rPr>
                <w:rFonts w:ascii="Arial" w:hAnsi="Arial" w:cs="Arial"/>
              </w:rPr>
            </w:pPr>
            <w:r w:rsidRPr="002612FD">
              <w:rPr>
                <w:rFonts w:ascii="Arial" w:hAnsi="Arial" w:cs="Arial"/>
              </w:rPr>
              <w:t>Systematic Reviews and Research Syntheses</w:t>
            </w:r>
          </w:p>
        </w:tc>
        <w:tc>
          <w:tcPr>
            <w:tcW w:w="3600" w:type="dxa"/>
            <w:shd w:val="clear" w:color="auto" w:fill="D9D9D9" w:themeFill="background1" w:themeFillShade="D9"/>
          </w:tcPr>
          <w:p w14:paraId="0658FBC6" w14:textId="77777777" w:rsidR="00CC0D6C" w:rsidRPr="002612FD" w:rsidRDefault="00CC0D6C" w:rsidP="00360CA3">
            <w:pPr>
              <w:rPr>
                <w:rFonts w:ascii="Arial" w:hAnsi="Arial" w:cs="Arial"/>
              </w:rPr>
            </w:pPr>
            <w:r w:rsidRPr="002612FD">
              <w:rPr>
                <w:rFonts w:ascii="Arial" w:hAnsi="Arial" w:cs="Arial"/>
              </w:rPr>
              <w:t>Uses the Healthy People 2030 SDoH framework for conceptualization. Patients in lower-income groups were more likely to prefer VAD therapy (OR 2.20, 95% CI [1.24, 3.91]), while high-income patients experienced worse survival outcomes in some studies (adjusted OR 1.178, 95% CI [1.085, 1.280]), Patients with less than 12th-grade education had higher preferences for VAD therapy (OR 2.23, 95% CI [1.04, 4.81]), but educational attainment was not consistently associated with outcomes post-VAD, Insurance coverage significantly impacted VAD access. Patients with Medicaid were less likely to receive VADs compared to those with private insurance (OR 0.29, 95% CI [0.12, 0.66]). Racial disparities were noted, with Black patients being less likely to receive VADs (adjusted OR 0.83, 95% CI [0.74, 0.92]).</w:t>
            </w:r>
          </w:p>
        </w:tc>
        <w:tc>
          <w:tcPr>
            <w:tcW w:w="2520" w:type="dxa"/>
            <w:shd w:val="clear" w:color="auto" w:fill="D9D9D9" w:themeFill="background1" w:themeFillShade="D9"/>
          </w:tcPr>
          <w:p w14:paraId="1EBF8AE3" w14:textId="77777777" w:rsidR="00CC0D6C" w:rsidRPr="002612FD" w:rsidRDefault="00CC0D6C" w:rsidP="00360CA3">
            <w:pPr>
              <w:rPr>
                <w:rFonts w:ascii="Arial" w:hAnsi="Arial" w:cs="Arial"/>
              </w:rPr>
            </w:pPr>
            <w:r w:rsidRPr="002612FD">
              <w:rPr>
                <w:rFonts w:ascii="Arial" w:hAnsi="Arial" w:cs="Arial"/>
              </w:rPr>
              <w:t>Strengths:</w:t>
            </w:r>
          </w:p>
          <w:p w14:paraId="353FE388" w14:textId="77777777" w:rsidR="00CC0D6C" w:rsidRPr="002612FD" w:rsidRDefault="00CC0D6C" w:rsidP="00360CA3">
            <w:pPr>
              <w:rPr>
                <w:rFonts w:ascii="Arial" w:hAnsi="Arial" w:cs="Arial"/>
              </w:rPr>
            </w:pPr>
            <w:r w:rsidRPr="002612FD">
              <w:rPr>
                <w:rFonts w:ascii="Arial" w:hAnsi="Arial" w:cs="Arial"/>
              </w:rPr>
              <w:t>Comprehensive analysis of SDoH using a robust methodological framework.</w:t>
            </w:r>
          </w:p>
          <w:p w14:paraId="6F08B3AB" w14:textId="77777777" w:rsidR="00CC0D6C" w:rsidRPr="002612FD" w:rsidRDefault="00CC0D6C" w:rsidP="00360CA3">
            <w:pPr>
              <w:rPr>
                <w:rFonts w:ascii="Arial" w:hAnsi="Arial" w:cs="Arial"/>
              </w:rPr>
            </w:pPr>
            <w:proofErr w:type="gramStart"/>
            <w:r w:rsidRPr="002612FD">
              <w:rPr>
                <w:rFonts w:ascii="Arial" w:hAnsi="Arial" w:cs="Arial"/>
              </w:rPr>
              <w:t>Inclusion</w:t>
            </w:r>
            <w:proofErr w:type="gramEnd"/>
            <w:r w:rsidRPr="002612FD">
              <w:rPr>
                <w:rFonts w:ascii="Arial" w:hAnsi="Arial" w:cs="Arial"/>
              </w:rPr>
              <w:t xml:space="preserve"> of diverse study designs and large datasets enhances generalizability.</w:t>
            </w:r>
          </w:p>
          <w:p w14:paraId="3BE18A1A" w14:textId="77777777" w:rsidR="00CC0D6C" w:rsidRPr="002612FD" w:rsidRDefault="00CC0D6C" w:rsidP="00360CA3">
            <w:pPr>
              <w:rPr>
                <w:rFonts w:ascii="Arial" w:hAnsi="Arial" w:cs="Arial"/>
              </w:rPr>
            </w:pPr>
          </w:p>
          <w:p w14:paraId="567BDF56" w14:textId="77777777" w:rsidR="00CC0D6C" w:rsidRPr="002612FD" w:rsidRDefault="00CC0D6C" w:rsidP="00360CA3">
            <w:pPr>
              <w:rPr>
                <w:rFonts w:ascii="Arial" w:hAnsi="Arial" w:cs="Arial"/>
              </w:rPr>
            </w:pPr>
            <w:r w:rsidRPr="002612FD">
              <w:rPr>
                <w:rFonts w:ascii="Arial" w:hAnsi="Arial" w:cs="Arial"/>
              </w:rPr>
              <w:t>Limitations</w:t>
            </w:r>
          </w:p>
          <w:p w14:paraId="6933C28D" w14:textId="5E6BBA4D" w:rsidR="00CC0D6C" w:rsidRPr="002612FD" w:rsidRDefault="00CC0D6C" w:rsidP="00360CA3">
            <w:pPr>
              <w:rPr>
                <w:rFonts w:ascii="Arial" w:hAnsi="Arial" w:cs="Arial"/>
              </w:rPr>
            </w:pPr>
            <w:r w:rsidRPr="002612FD">
              <w:rPr>
                <w:rFonts w:ascii="Arial" w:hAnsi="Arial" w:cs="Arial"/>
              </w:rPr>
              <w:t>Secondary data and retrospective designs limit causal inference.</w:t>
            </w:r>
          </w:p>
          <w:p w14:paraId="01BB930A" w14:textId="77777777" w:rsidR="00CC0D6C" w:rsidRPr="002612FD" w:rsidRDefault="00CC0D6C" w:rsidP="00360CA3">
            <w:pPr>
              <w:rPr>
                <w:rFonts w:ascii="Arial" w:hAnsi="Arial" w:cs="Arial"/>
              </w:rPr>
            </w:pPr>
            <w:r w:rsidRPr="002612FD">
              <w:rPr>
                <w:rFonts w:ascii="Arial" w:hAnsi="Arial" w:cs="Arial"/>
              </w:rPr>
              <w:t>Lack of standardized SDoH measures and insufficient representation of minority populations (e.g., gender-diverse or non-White patients).</w:t>
            </w:r>
          </w:p>
          <w:p w14:paraId="140484C2" w14:textId="77777777" w:rsidR="00CC0D6C" w:rsidRPr="002612FD" w:rsidRDefault="00CC0D6C" w:rsidP="00360CA3">
            <w:pPr>
              <w:rPr>
                <w:rFonts w:ascii="Arial" w:hAnsi="Arial" w:cs="Arial"/>
              </w:rPr>
            </w:pPr>
            <w:r w:rsidRPr="002612FD">
              <w:rPr>
                <w:rFonts w:ascii="Arial" w:hAnsi="Arial" w:cs="Arial"/>
              </w:rPr>
              <w:t>Small sample sizes in several studies reduced statistical power.</w:t>
            </w:r>
          </w:p>
        </w:tc>
      </w:tr>
      <w:tr w:rsidR="00CC0D6C" w:rsidRPr="002612FD" w14:paraId="0FA0544C" w14:textId="77777777" w:rsidTr="0024775A">
        <w:tc>
          <w:tcPr>
            <w:tcW w:w="1440" w:type="dxa"/>
          </w:tcPr>
          <w:p w14:paraId="35B86D06" w14:textId="77777777" w:rsidR="00CC0D6C" w:rsidRPr="002612FD" w:rsidRDefault="00CC0D6C" w:rsidP="00360CA3">
            <w:pPr>
              <w:rPr>
                <w:rFonts w:ascii="Arial" w:hAnsi="Arial" w:cs="Arial"/>
              </w:rPr>
            </w:pPr>
            <w:r w:rsidRPr="002612FD">
              <w:rPr>
                <w:rFonts w:ascii="Arial" w:hAnsi="Arial" w:cs="Arial"/>
              </w:rPr>
              <w:t xml:space="preserve">Churchwell et al. </w:t>
            </w:r>
          </w:p>
          <w:p w14:paraId="7F3B4CA7" w14:textId="77777777" w:rsidR="00CC0D6C" w:rsidRPr="002612FD" w:rsidRDefault="00CC0D6C" w:rsidP="00360CA3">
            <w:pPr>
              <w:rPr>
                <w:rFonts w:ascii="Arial" w:hAnsi="Arial" w:cs="Arial"/>
              </w:rPr>
            </w:pPr>
          </w:p>
        </w:tc>
        <w:tc>
          <w:tcPr>
            <w:tcW w:w="810" w:type="dxa"/>
          </w:tcPr>
          <w:p w14:paraId="20F89BD4" w14:textId="77777777" w:rsidR="00CC0D6C" w:rsidRPr="002612FD" w:rsidRDefault="00CC0D6C" w:rsidP="00360CA3">
            <w:pPr>
              <w:rPr>
                <w:rFonts w:ascii="Arial" w:hAnsi="Arial" w:cs="Arial"/>
              </w:rPr>
            </w:pPr>
            <w:r w:rsidRPr="002612FD">
              <w:rPr>
                <w:rFonts w:ascii="Arial" w:hAnsi="Arial" w:cs="Arial"/>
              </w:rPr>
              <w:t>2020</w:t>
            </w:r>
          </w:p>
        </w:tc>
        <w:tc>
          <w:tcPr>
            <w:tcW w:w="1350" w:type="dxa"/>
          </w:tcPr>
          <w:p w14:paraId="7C7EE2E9"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tcPr>
          <w:p w14:paraId="2AD40F1D" w14:textId="77777777" w:rsidR="00CC0D6C" w:rsidRPr="002612FD" w:rsidRDefault="00CC0D6C" w:rsidP="00360CA3">
            <w:pPr>
              <w:rPr>
                <w:rFonts w:ascii="Arial" w:hAnsi="Arial" w:cs="Arial"/>
              </w:rPr>
            </w:pPr>
            <w:r w:rsidRPr="002612FD">
              <w:rPr>
                <w:rFonts w:ascii="Arial" w:hAnsi="Arial" w:cs="Arial"/>
              </w:rPr>
              <w:t>N/A</w:t>
            </w:r>
          </w:p>
        </w:tc>
        <w:tc>
          <w:tcPr>
            <w:tcW w:w="1710" w:type="dxa"/>
          </w:tcPr>
          <w:p w14:paraId="245498CA" w14:textId="77777777" w:rsidR="00CC0D6C" w:rsidRPr="002612FD" w:rsidRDefault="00CC0D6C" w:rsidP="00360CA3">
            <w:pPr>
              <w:rPr>
                <w:rFonts w:ascii="Arial" w:hAnsi="Arial" w:cs="Arial"/>
              </w:rPr>
            </w:pPr>
            <w:r w:rsidRPr="002612FD">
              <w:rPr>
                <w:rFonts w:ascii="Arial" w:hAnsi="Arial" w:cs="Arial"/>
              </w:rPr>
              <w:t>Textual Evidence and Narrative Reviews</w:t>
            </w:r>
          </w:p>
        </w:tc>
        <w:tc>
          <w:tcPr>
            <w:tcW w:w="3600" w:type="dxa"/>
          </w:tcPr>
          <w:p w14:paraId="5C763B46" w14:textId="77777777" w:rsidR="00CC0D6C" w:rsidRPr="002612FD" w:rsidRDefault="00CC0D6C" w:rsidP="00360CA3">
            <w:pPr>
              <w:rPr>
                <w:rFonts w:ascii="Arial" w:hAnsi="Arial" w:cs="Arial"/>
              </w:rPr>
            </w:pPr>
            <w:r w:rsidRPr="002612FD">
              <w:rPr>
                <w:rFonts w:ascii="Arial" w:hAnsi="Arial" w:cs="Arial"/>
              </w:rPr>
              <w:t>Black families have a median wealth of $17,409 compared to $171,000 for White families, 60% of Black students and 58% of Hispanic/Latino students attended racially segregated schools in 2015, compared to only 5% of White students, Black Americans experience 30% higher cardiovascular disease (CVD) mortality rates and 45% higher stroke mortality rates than White Americans.</w:t>
            </w:r>
          </w:p>
          <w:p w14:paraId="5112D469" w14:textId="070E1DD4" w:rsidR="00CC0D6C" w:rsidRPr="002612FD" w:rsidRDefault="00CC0D6C" w:rsidP="00360CA3">
            <w:pPr>
              <w:rPr>
                <w:rFonts w:ascii="Arial" w:hAnsi="Arial" w:cs="Arial"/>
              </w:rPr>
            </w:pPr>
            <w:r w:rsidRPr="002612FD">
              <w:rPr>
                <w:rFonts w:ascii="Arial" w:hAnsi="Arial" w:cs="Arial"/>
              </w:rPr>
              <w:t>Black and Hispanic/Latino individuals are more likely to be uninsured (12% and 19%, respectively) compared to White individuals (8%), Counties with &gt;45% residents of marginalized racial groups experienced significantly higher COVID-19 mortality rates during the pandemic, Chronic exposure to structural racism contributes to toxic stress, depression, and poor health outcomes in Black communities.</w:t>
            </w:r>
            <w:r w:rsidR="009859C3">
              <w:rPr>
                <w:rFonts w:ascii="Arial" w:hAnsi="Arial" w:cs="Arial"/>
              </w:rPr>
              <w:t xml:space="preserve"> </w:t>
            </w:r>
            <w:r w:rsidRPr="002612FD">
              <w:rPr>
                <w:rFonts w:ascii="Arial" w:hAnsi="Arial" w:cs="Arial"/>
              </w:rPr>
              <w:t>Structural racism reinforces inequities in criminal justice, housing, and employment, amplifying health disparities.</w:t>
            </w:r>
          </w:p>
        </w:tc>
        <w:tc>
          <w:tcPr>
            <w:tcW w:w="2520" w:type="dxa"/>
          </w:tcPr>
          <w:p w14:paraId="5A6B9C15" w14:textId="77777777" w:rsidR="00CC0D6C" w:rsidRPr="002612FD" w:rsidRDefault="00CC0D6C" w:rsidP="00360CA3">
            <w:pPr>
              <w:rPr>
                <w:rFonts w:ascii="Arial" w:hAnsi="Arial" w:cs="Arial"/>
              </w:rPr>
            </w:pPr>
            <w:r w:rsidRPr="002612FD">
              <w:rPr>
                <w:rFonts w:ascii="Arial" w:hAnsi="Arial" w:cs="Arial"/>
              </w:rPr>
              <w:t>Strengths:</w:t>
            </w:r>
          </w:p>
          <w:p w14:paraId="6D4FA698" w14:textId="77777777" w:rsidR="00CC0D6C" w:rsidRPr="002612FD" w:rsidRDefault="00CC0D6C" w:rsidP="00360CA3">
            <w:pPr>
              <w:rPr>
                <w:rFonts w:ascii="Arial" w:hAnsi="Arial" w:cs="Arial"/>
              </w:rPr>
            </w:pPr>
            <w:r w:rsidRPr="002612FD">
              <w:rPr>
                <w:rFonts w:ascii="Arial" w:hAnsi="Arial" w:cs="Arial"/>
              </w:rPr>
              <w:t>Comprehensive review connecting structural racism to SDoH and cardiovascular disparities.</w:t>
            </w:r>
          </w:p>
          <w:p w14:paraId="23B714AD" w14:textId="77777777" w:rsidR="00CC0D6C" w:rsidRPr="002612FD" w:rsidRDefault="00CC0D6C" w:rsidP="00360CA3">
            <w:pPr>
              <w:rPr>
                <w:rFonts w:ascii="Arial" w:hAnsi="Arial" w:cs="Arial"/>
              </w:rPr>
            </w:pPr>
            <w:r w:rsidRPr="002612FD">
              <w:rPr>
                <w:rFonts w:ascii="Arial" w:hAnsi="Arial" w:cs="Arial"/>
              </w:rPr>
              <w:t>Incorporates historical context and actionable recommendations for addressing health inequities.</w:t>
            </w:r>
          </w:p>
          <w:p w14:paraId="41A0E346" w14:textId="77777777" w:rsidR="00CC0D6C" w:rsidRPr="002612FD" w:rsidRDefault="00CC0D6C" w:rsidP="00360CA3">
            <w:pPr>
              <w:rPr>
                <w:rFonts w:ascii="Arial" w:hAnsi="Arial" w:cs="Arial"/>
              </w:rPr>
            </w:pPr>
          </w:p>
          <w:p w14:paraId="543BD7A2" w14:textId="77777777" w:rsidR="00CC0D6C" w:rsidRPr="002612FD" w:rsidRDefault="00CC0D6C" w:rsidP="00360CA3">
            <w:pPr>
              <w:rPr>
                <w:rFonts w:ascii="Arial" w:hAnsi="Arial" w:cs="Arial"/>
              </w:rPr>
            </w:pPr>
            <w:r w:rsidRPr="002612FD">
              <w:rPr>
                <w:rFonts w:ascii="Arial" w:hAnsi="Arial" w:cs="Arial"/>
              </w:rPr>
              <w:t>Limitations:</w:t>
            </w:r>
          </w:p>
          <w:p w14:paraId="16CC4E93" w14:textId="77777777" w:rsidR="00CC0D6C" w:rsidRPr="002612FD" w:rsidRDefault="00CC0D6C" w:rsidP="00360CA3">
            <w:pPr>
              <w:rPr>
                <w:rFonts w:ascii="Arial" w:hAnsi="Arial" w:cs="Arial"/>
              </w:rPr>
            </w:pPr>
            <w:r w:rsidRPr="002612FD">
              <w:rPr>
                <w:rFonts w:ascii="Arial" w:hAnsi="Arial" w:cs="Arial"/>
              </w:rPr>
              <w:t>Relies on secondary data without new empirical research.</w:t>
            </w:r>
          </w:p>
          <w:p w14:paraId="36EF2662" w14:textId="77777777" w:rsidR="00CC0D6C" w:rsidRPr="002612FD" w:rsidRDefault="00CC0D6C" w:rsidP="00360CA3">
            <w:pPr>
              <w:rPr>
                <w:rFonts w:ascii="Arial" w:hAnsi="Arial" w:cs="Arial"/>
              </w:rPr>
            </w:pPr>
            <w:r w:rsidRPr="002612FD">
              <w:rPr>
                <w:rFonts w:ascii="Arial" w:hAnsi="Arial" w:cs="Arial"/>
              </w:rPr>
              <w:t>Focuses on structural racism primarily in Black populations, with less emphasis on other racial/ethnic groups.</w:t>
            </w:r>
          </w:p>
        </w:tc>
      </w:tr>
      <w:tr w:rsidR="00CC0D6C" w:rsidRPr="002612FD" w14:paraId="53D8C268" w14:textId="77777777" w:rsidTr="000C00F6">
        <w:tc>
          <w:tcPr>
            <w:tcW w:w="1440" w:type="dxa"/>
            <w:shd w:val="clear" w:color="auto" w:fill="D9D9D9" w:themeFill="background1" w:themeFillShade="D9"/>
          </w:tcPr>
          <w:p w14:paraId="14CEA128" w14:textId="77777777" w:rsidR="00CC0D6C" w:rsidRPr="002612FD" w:rsidRDefault="00CC0D6C" w:rsidP="00360CA3">
            <w:pPr>
              <w:rPr>
                <w:rFonts w:ascii="Arial" w:hAnsi="Arial" w:cs="Arial"/>
              </w:rPr>
            </w:pPr>
            <w:r w:rsidRPr="002612FD">
              <w:rPr>
                <w:rFonts w:ascii="Arial" w:hAnsi="Arial" w:cs="Arial"/>
              </w:rPr>
              <w:t xml:space="preserve">Enard et al. </w:t>
            </w:r>
          </w:p>
          <w:p w14:paraId="56094230" w14:textId="77777777" w:rsidR="00CC0D6C" w:rsidRPr="002612FD" w:rsidRDefault="00CC0D6C" w:rsidP="00360CA3">
            <w:pPr>
              <w:rPr>
                <w:rFonts w:ascii="Arial" w:hAnsi="Arial" w:cs="Arial"/>
              </w:rPr>
            </w:pPr>
          </w:p>
          <w:p w14:paraId="3C3D104B" w14:textId="77777777" w:rsidR="00CC0D6C" w:rsidRPr="002612FD" w:rsidRDefault="00CC0D6C" w:rsidP="00360CA3">
            <w:pPr>
              <w:rPr>
                <w:rFonts w:ascii="Arial" w:hAnsi="Arial" w:cs="Arial"/>
              </w:rPr>
            </w:pPr>
          </w:p>
        </w:tc>
        <w:tc>
          <w:tcPr>
            <w:tcW w:w="810" w:type="dxa"/>
            <w:shd w:val="clear" w:color="auto" w:fill="D9D9D9" w:themeFill="background1" w:themeFillShade="D9"/>
          </w:tcPr>
          <w:p w14:paraId="0DA6D375" w14:textId="77777777" w:rsidR="00CC0D6C" w:rsidRPr="002612FD" w:rsidRDefault="00CC0D6C" w:rsidP="00360CA3">
            <w:pPr>
              <w:rPr>
                <w:rFonts w:ascii="Arial" w:hAnsi="Arial" w:cs="Arial"/>
              </w:rPr>
            </w:pPr>
            <w:r w:rsidRPr="002612FD">
              <w:rPr>
                <w:rFonts w:ascii="Arial" w:hAnsi="Arial" w:cs="Arial"/>
              </w:rPr>
              <w:t>2023</w:t>
            </w:r>
          </w:p>
        </w:tc>
        <w:tc>
          <w:tcPr>
            <w:tcW w:w="1350" w:type="dxa"/>
            <w:shd w:val="clear" w:color="auto" w:fill="D9D9D9" w:themeFill="background1" w:themeFillShade="D9"/>
          </w:tcPr>
          <w:p w14:paraId="540AEA8C" w14:textId="77777777" w:rsidR="00CC0D6C" w:rsidRPr="002612FD" w:rsidRDefault="00CC0D6C" w:rsidP="00360CA3">
            <w:pPr>
              <w:rPr>
                <w:rFonts w:ascii="Arial" w:hAnsi="Arial" w:cs="Arial"/>
              </w:rPr>
            </w:pPr>
            <w:r w:rsidRPr="002612FD">
              <w:rPr>
                <w:rFonts w:ascii="Arial" w:hAnsi="Arial" w:cs="Arial"/>
              </w:rPr>
              <w:t>Systematic Review</w:t>
            </w:r>
          </w:p>
        </w:tc>
        <w:tc>
          <w:tcPr>
            <w:tcW w:w="1890" w:type="dxa"/>
            <w:shd w:val="clear" w:color="auto" w:fill="D9D9D9" w:themeFill="background1" w:themeFillShade="D9"/>
          </w:tcPr>
          <w:p w14:paraId="41D4DBCB" w14:textId="77777777" w:rsidR="00CC0D6C" w:rsidRPr="002612FD" w:rsidRDefault="00CC0D6C" w:rsidP="00360CA3">
            <w:pPr>
              <w:rPr>
                <w:rFonts w:ascii="Arial" w:hAnsi="Arial" w:cs="Arial"/>
              </w:rPr>
            </w:pPr>
            <w:r w:rsidRPr="002612FD">
              <w:rPr>
                <w:rFonts w:ascii="Arial" w:hAnsi="Arial" w:cs="Arial"/>
              </w:rPr>
              <w:t>59 studies included retrospective and prospective cohorts, cross-sectional designs, and interventions. Studies analyzed national, regional, and local data sources, covering over 1 million HF patients</w:t>
            </w:r>
          </w:p>
        </w:tc>
        <w:tc>
          <w:tcPr>
            <w:tcW w:w="1710" w:type="dxa"/>
            <w:shd w:val="clear" w:color="auto" w:fill="D9D9D9" w:themeFill="background1" w:themeFillShade="D9"/>
          </w:tcPr>
          <w:p w14:paraId="1E00D9E8" w14:textId="77777777" w:rsidR="00CC0D6C" w:rsidRPr="002612FD" w:rsidRDefault="00CC0D6C" w:rsidP="00360CA3">
            <w:pPr>
              <w:rPr>
                <w:rFonts w:ascii="Arial" w:hAnsi="Arial" w:cs="Arial"/>
              </w:rPr>
            </w:pPr>
            <w:r w:rsidRPr="002612FD">
              <w:rPr>
                <w:rFonts w:ascii="Arial" w:hAnsi="Arial" w:cs="Arial"/>
              </w:rPr>
              <w:t>Systematic Reviews and Research Syntheses</w:t>
            </w:r>
          </w:p>
        </w:tc>
        <w:tc>
          <w:tcPr>
            <w:tcW w:w="3600" w:type="dxa"/>
            <w:shd w:val="clear" w:color="auto" w:fill="D9D9D9" w:themeFill="background1" w:themeFillShade="D9"/>
          </w:tcPr>
          <w:p w14:paraId="21B466FC" w14:textId="77777777" w:rsidR="00CC0D6C" w:rsidRPr="002612FD" w:rsidRDefault="00CC0D6C" w:rsidP="00360CA3">
            <w:pPr>
              <w:rPr>
                <w:rFonts w:ascii="Arial" w:hAnsi="Arial" w:cs="Arial"/>
              </w:rPr>
            </w:pPr>
            <w:r w:rsidRPr="002612FD">
              <w:rPr>
                <w:rFonts w:ascii="Arial" w:hAnsi="Arial" w:cs="Arial"/>
              </w:rPr>
              <w:t>Lower income was associated with higher HF mortality (HR 1.36, 95% CI [1.08, 1.70]) and increased risk of readmission (OR 1.30, 95% CI [0.98, 1.74]). Medicaid recipients had a 21% higher mortality risk (HR 1.21, 95% CI [1.07, 1.37]), Low health literacy increased mortality risk (HR 1.32, 95% CI [1.05, 1.66]) and readmission rates (OR 1.80, 95% CI [1.04, 3.11]), Black patients experienced higher readmission rates (OR 1.47, 95% CI [1.03, 2.08]) and lower access to cardiology care. Medicaid expansion states reported improved care quality (OR 1.06, 95% CI [1.03, 1.08]), Living in disadvantaged neighborhoods was associated with higher readmission rates (OR 1.03, 95% CI [1.01, 1.04]) and greater HF mortality (HR 1.12, 95% CI [1.07, 1.18]), Patients with high social isolation had a 3.74-fold increase in mortality risk (HR 3.74, 95% CI [1.82, 7.70]), and those living alone had increased readmissions (OR 2.86, 95% CI [1.59, 5.14]).</w:t>
            </w:r>
          </w:p>
        </w:tc>
        <w:tc>
          <w:tcPr>
            <w:tcW w:w="2520" w:type="dxa"/>
            <w:shd w:val="clear" w:color="auto" w:fill="D9D9D9" w:themeFill="background1" w:themeFillShade="D9"/>
          </w:tcPr>
          <w:p w14:paraId="20DF92E3" w14:textId="77777777" w:rsidR="00CC0D6C" w:rsidRPr="002612FD" w:rsidRDefault="00CC0D6C" w:rsidP="00360CA3">
            <w:pPr>
              <w:rPr>
                <w:rFonts w:ascii="Arial" w:hAnsi="Arial" w:cs="Arial"/>
              </w:rPr>
            </w:pPr>
            <w:r w:rsidRPr="002612FD">
              <w:rPr>
                <w:rFonts w:ascii="Arial" w:hAnsi="Arial" w:cs="Arial"/>
              </w:rPr>
              <w:t>Strengths:</w:t>
            </w:r>
          </w:p>
          <w:p w14:paraId="3C12D0ED" w14:textId="77777777" w:rsidR="00CC0D6C" w:rsidRPr="002612FD" w:rsidRDefault="00CC0D6C" w:rsidP="00360CA3">
            <w:pPr>
              <w:rPr>
                <w:rFonts w:ascii="Arial" w:hAnsi="Arial" w:cs="Arial"/>
              </w:rPr>
            </w:pPr>
            <w:r w:rsidRPr="002612FD">
              <w:rPr>
                <w:rFonts w:ascii="Arial" w:hAnsi="Arial" w:cs="Arial"/>
              </w:rPr>
              <w:t>Comprehensive synthesis of diverse studies and data sources.</w:t>
            </w:r>
          </w:p>
          <w:p w14:paraId="38E5F25C" w14:textId="77777777" w:rsidR="00CC0D6C" w:rsidRPr="002612FD" w:rsidRDefault="00CC0D6C" w:rsidP="00360CA3">
            <w:pPr>
              <w:rPr>
                <w:rFonts w:ascii="Arial" w:hAnsi="Arial" w:cs="Arial"/>
              </w:rPr>
            </w:pPr>
            <w:r w:rsidRPr="002612FD">
              <w:rPr>
                <w:rFonts w:ascii="Arial" w:hAnsi="Arial" w:cs="Arial"/>
              </w:rPr>
              <w:t>Highlights significant associations between SDoH and HF outcomes.</w:t>
            </w:r>
          </w:p>
          <w:p w14:paraId="688F7A3A" w14:textId="77777777" w:rsidR="00CC0D6C" w:rsidRPr="002612FD" w:rsidRDefault="00CC0D6C" w:rsidP="00360CA3">
            <w:pPr>
              <w:rPr>
                <w:rFonts w:ascii="Arial" w:hAnsi="Arial" w:cs="Arial"/>
              </w:rPr>
            </w:pPr>
          </w:p>
          <w:p w14:paraId="6350F5DC" w14:textId="77777777" w:rsidR="00CC0D6C" w:rsidRPr="002612FD" w:rsidRDefault="00CC0D6C" w:rsidP="00360CA3">
            <w:pPr>
              <w:rPr>
                <w:rFonts w:ascii="Arial" w:hAnsi="Arial" w:cs="Arial"/>
              </w:rPr>
            </w:pPr>
            <w:r w:rsidRPr="002612FD">
              <w:rPr>
                <w:rFonts w:ascii="Arial" w:hAnsi="Arial" w:cs="Arial"/>
              </w:rPr>
              <w:t>Limitations: Heterogeneity in SDoH definitions and measurements limits comparability across studies.</w:t>
            </w:r>
          </w:p>
          <w:p w14:paraId="33F4DD40" w14:textId="77777777" w:rsidR="00CC0D6C" w:rsidRPr="002612FD" w:rsidRDefault="00CC0D6C" w:rsidP="00360CA3">
            <w:pPr>
              <w:rPr>
                <w:rFonts w:ascii="Arial" w:hAnsi="Arial" w:cs="Arial"/>
              </w:rPr>
            </w:pPr>
            <w:r w:rsidRPr="002612FD">
              <w:rPr>
                <w:rFonts w:ascii="Arial" w:hAnsi="Arial" w:cs="Arial"/>
              </w:rPr>
              <w:t>Reliance on secondary data reduces control over variable quality and completeness.</w:t>
            </w:r>
          </w:p>
        </w:tc>
      </w:tr>
      <w:tr w:rsidR="00CC0D6C" w:rsidRPr="002612FD" w14:paraId="057BAFAF" w14:textId="77777777" w:rsidTr="0024775A">
        <w:tc>
          <w:tcPr>
            <w:tcW w:w="1440" w:type="dxa"/>
          </w:tcPr>
          <w:p w14:paraId="3DA6E7AC" w14:textId="77777777" w:rsidR="00CC0D6C" w:rsidRPr="002612FD" w:rsidRDefault="00CC0D6C" w:rsidP="00360CA3">
            <w:pPr>
              <w:rPr>
                <w:rFonts w:ascii="Arial" w:hAnsi="Arial" w:cs="Arial"/>
              </w:rPr>
            </w:pPr>
            <w:r w:rsidRPr="002612FD">
              <w:rPr>
                <w:rFonts w:ascii="Arial" w:hAnsi="Arial" w:cs="Arial"/>
              </w:rPr>
              <w:t xml:space="preserve">Ha et al. </w:t>
            </w:r>
          </w:p>
        </w:tc>
        <w:tc>
          <w:tcPr>
            <w:tcW w:w="810" w:type="dxa"/>
          </w:tcPr>
          <w:p w14:paraId="47128DCC" w14:textId="77777777" w:rsidR="00CC0D6C" w:rsidRPr="002612FD" w:rsidRDefault="00CC0D6C" w:rsidP="00360CA3">
            <w:pPr>
              <w:rPr>
                <w:rFonts w:ascii="Arial" w:hAnsi="Arial" w:cs="Arial"/>
              </w:rPr>
            </w:pPr>
            <w:r w:rsidRPr="002612FD">
              <w:rPr>
                <w:rFonts w:ascii="Arial" w:hAnsi="Arial" w:cs="Arial"/>
              </w:rPr>
              <w:t>2019</w:t>
            </w:r>
          </w:p>
        </w:tc>
        <w:tc>
          <w:tcPr>
            <w:tcW w:w="1350" w:type="dxa"/>
          </w:tcPr>
          <w:p w14:paraId="2DD69C8F" w14:textId="77777777" w:rsidR="00CC0D6C" w:rsidRPr="002612FD" w:rsidRDefault="00CC0D6C" w:rsidP="00360CA3">
            <w:pPr>
              <w:rPr>
                <w:rFonts w:ascii="Arial" w:hAnsi="Arial" w:cs="Arial"/>
              </w:rPr>
            </w:pPr>
            <w:r w:rsidRPr="002612FD">
              <w:rPr>
                <w:rFonts w:ascii="Arial" w:hAnsi="Arial" w:cs="Arial"/>
              </w:rPr>
              <w:t>Quantitative Observational Study</w:t>
            </w:r>
          </w:p>
        </w:tc>
        <w:tc>
          <w:tcPr>
            <w:tcW w:w="1890" w:type="dxa"/>
          </w:tcPr>
          <w:p w14:paraId="1D40DE70" w14:textId="77777777" w:rsidR="00CC0D6C" w:rsidRPr="002612FD" w:rsidRDefault="00CC0D6C" w:rsidP="00360CA3">
            <w:pPr>
              <w:rPr>
                <w:rFonts w:ascii="Arial" w:hAnsi="Arial" w:cs="Arial"/>
              </w:rPr>
            </w:pPr>
            <w:r w:rsidRPr="002612FD">
              <w:rPr>
                <w:rFonts w:ascii="Arial" w:hAnsi="Arial" w:cs="Arial"/>
              </w:rPr>
              <w:t>2,449 hospitalized patients aged 60+ at an urban academic medical center in the U.S.</w:t>
            </w:r>
          </w:p>
        </w:tc>
        <w:tc>
          <w:tcPr>
            <w:tcW w:w="1710" w:type="dxa"/>
          </w:tcPr>
          <w:p w14:paraId="5CA222E9" w14:textId="77777777" w:rsidR="00CC0D6C" w:rsidRPr="002612FD" w:rsidRDefault="00CC0D6C" w:rsidP="00360CA3">
            <w:pPr>
              <w:rPr>
                <w:rFonts w:ascii="Arial" w:hAnsi="Arial" w:cs="Arial"/>
              </w:rPr>
            </w:pPr>
            <w:r w:rsidRPr="002612FD">
              <w:rPr>
                <w:rFonts w:ascii="Arial" w:hAnsi="Arial" w:cs="Arial"/>
              </w:rPr>
              <w:t>Analytical Cross-Sectional Studies</w:t>
            </w:r>
          </w:p>
        </w:tc>
        <w:tc>
          <w:tcPr>
            <w:tcW w:w="3600" w:type="dxa"/>
          </w:tcPr>
          <w:p w14:paraId="532235A3" w14:textId="77777777" w:rsidR="00CC0D6C" w:rsidRPr="002612FD" w:rsidRDefault="00CC0D6C" w:rsidP="00360CA3">
            <w:pPr>
              <w:rPr>
                <w:rFonts w:ascii="Arial" w:hAnsi="Arial" w:cs="Arial"/>
              </w:rPr>
            </w:pPr>
            <w:proofErr w:type="gramStart"/>
            <w:r w:rsidRPr="002612FD">
              <w:rPr>
                <w:rFonts w:ascii="Arial" w:hAnsi="Arial" w:cs="Arial"/>
              </w:rPr>
              <w:t>Examines</w:t>
            </w:r>
            <w:proofErr w:type="gramEnd"/>
            <w:r w:rsidRPr="002612FD">
              <w:rPr>
                <w:rFonts w:ascii="Arial" w:hAnsi="Arial" w:cs="Arial"/>
              </w:rPr>
              <w:t xml:space="preserve"> social isolation risk among older hospitalized patients. (55.7%) had less than a college education, correlating with smaller social networks and greater functional limitations, Previous hospitalizations increased availability of family support (p &lt; .01) but were associated with reduced neighbor and friend networks (p &lt; .05), Higher education had stronger neighbor networks (β = 0.10, p &lt; .01), Non-White participants were more likely to experience social isolation (49.5% vs. 37.8% for White participants, </w:t>
            </w:r>
            <w:r w:rsidRPr="002612FD">
              <w:rPr>
                <w:rFonts w:ascii="Arial" w:hAnsi="Arial" w:cs="Arial"/>
                <w:i/>
                <w:iCs/>
              </w:rPr>
              <w:t>p &lt; .001</w:t>
            </w:r>
            <w:r w:rsidRPr="002612FD">
              <w:rPr>
                <w:rFonts w:ascii="Arial" w:hAnsi="Arial" w:cs="Arial"/>
              </w:rPr>
              <w:t xml:space="preserve">). Never-married participants had fewer family ties (β = -0.11, </w:t>
            </w:r>
            <w:r w:rsidRPr="002612FD">
              <w:rPr>
                <w:rFonts w:ascii="Arial" w:hAnsi="Arial" w:cs="Arial"/>
                <w:i/>
                <w:iCs/>
              </w:rPr>
              <w:t>p &lt; .01</w:t>
            </w:r>
            <w:r w:rsidRPr="002612FD">
              <w:rPr>
                <w:rFonts w:ascii="Arial" w:hAnsi="Arial" w:cs="Arial"/>
              </w:rPr>
              <w:t>), Neighbors were the least accessible social network, with a mean sub-score of 4.2/15 compared to 9.1/15 for family networks.</w:t>
            </w:r>
          </w:p>
        </w:tc>
        <w:tc>
          <w:tcPr>
            <w:tcW w:w="2520" w:type="dxa"/>
          </w:tcPr>
          <w:p w14:paraId="627084C1" w14:textId="77777777" w:rsidR="00CC0D6C" w:rsidRPr="002612FD" w:rsidRDefault="00CC0D6C" w:rsidP="00360CA3">
            <w:pPr>
              <w:rPr>
                <w:rFonts w:ascii="Arial" w:hAnsi="Arial" w:cs="Arial"/>
              </w:rPr>
            </w:pPr>
            <w:r w:rsidRPr="002612FD">
              <w:rPr>
                <w:rFonts w:ascii="Arial" w:hAnsi="Arial" w:cs="Arial"/>
              </w:rPr>
              <w:t>Strengths:</w:t>
            </w:r>
          </w:p>
          <w:p w14:paraId="11A1D874" w14:textId="24CE25A2" w:rsidR="00CC0D6C" w:rsidRPr="002612FD" w:rsidRDefault="00CC0D6C" w:rsidP="00360CA3">
            <w:pPr>
              <w:rPr>
                <w:rFonts w:ascii="Arial" w:hAnsi="Arial" w:cs="Arial"/>
              </w:rPr>
            </w:pPr>
            <w:r w:rsidRPr="002612FD">
              <w:rPr>
                <w:rFonts w:ascii="Arial" w:hAnsi="Arial" w:cs="Arial"/>
              </w:rPr>
              <w:t xml:space="preserve">Large, racially diverse </w:t>
            </w:r>
            <w:r w:rsidR="00B83E82" w:rsidRPr="002612FD">
              <w:rPr>
                <w:rFonts w:ascii="Arial" w:hAnsi="Arial" w:cs="Arial"/>
              </w:rPr>
              <w:t xml:space="preserve">samples </w:t>
            </w:r>
            <w:proofErr w:type="gramStart"/>
            <w:r w:rsidR="00B83E82" w:rsidRPr="002612FD">
              <w:rPr>
                <w:rFonts w:ascii="Arial" w:hAnsi="Arial" w:cs="Arial"/>
              </w:rPr>
              <w:t>provide</w:t>
            </w:r>
            <w:r w:rsidR="00B83E82">
              <w:rPr>
                <w:rFonts w:ascii="Arial" w:hAnsi="Arial" w:cs="Arial"/>
              </w:rPr>
              <w:t>s</w:t>
            </w:r>
            <w:proofErr w:type="gramEnd"/>
            <w:r w:rsidRPr="002612FD">
              <w:rPr>
                <w:rFonts w:ascii="Arial" w:hAnsi="Arial" w:cs="Arial"/>
              </w:rPr>
              <w:t xml:space="preserve"> insights into underrepresented populations.</w:t>
            </w:r>
          </w:p>
          <w:p w14:paraId="08F982AE" w14:textId="77777777" w:rsidR="00CC0D6C" w:rsidRPr="002612FD" w:rsidRDefault="00CC0D6C" w:rsidP="00360CA3">
            <w:pPr>
              <w:rPr>
                <w:rFonts w:ascii="Arial" w:hAnsi="Arial" w:cs="Arial"/>
              </w:rPr>
            </w:pPr>
            <w:r w:rsidRPr="002612FD">
              <w:rPr>
                <w:rFonts w:ascii="Arial" w:hAnsi="Arial" w:cs="Arial"/>
              </w:rPr>
              <w:t>Detailed use of the Lubben Social Network Scale to assess different sources of social support.</w:t>
            </w:r>
          </w:p>
          <w:p w14:paraId="67170AF3" w14:textId="77777777" w:rsidR="00CC0D6C" w:rsidRPr="002612FD" w:rsidRDefault="00CC0D6C" w:rsidP="00360CA3">
            <w:pPr>
              <w:rPr>
                <w:rFonts w:ascii="Arial" w:hAnsi="Arial" w:cs="Arial"/>
              </w:rPr>
            </w:pPr>
          </w:p>
          <w:p w14:paraId="7A0BFFE3" w14:textId="77777777" w:rsidR="00CC0D6C" w:rsidRPr="002612FD" w:rsidRDefault="00CC0D6C" w:rsidP="00360CA3">
            <w:pPr>
              <w:rPr>
                <w:rFonts w:ascii="Arial" w:hAnsi="Arial" w:cs="Arial"/>
              </w:rPr>
            </w:pPr>
            <w:r w:rsidRPr="002612FD">
              <w:rPr>
                <w:rFonts w:ascii="Arial" w:hAnsi="Arial" w:cs="Arial"/>
              </w:rPr>
              <w:t>Limitations:</w:t>
            </w:r>
          </w:p>
          <w:p w14:paraId="3964B215" w14:textId="77777777" w:rsidR="00CC0D6C" w:rsidRPr="002612FD" w:rsidRDefault="00CC0D6C" w:rsidP="00360CA3">
            <w:pPr>
              <w:rPr>
                <w:rFonts w:ascii="Arial" w:hAnsi="Arial" w:cs="Arial"/>
              </w:rPr>
            </w:pPr>
            <w:r w:rsidRPr="002612FD">
              <w:rPr>
                <w:rFonts w:ascii="Arial" w:hAnsi="Arial" w:cs="Arial"/>
              </w:rPr>
              <w:t>Data collected from a single hospital limits generalizability.</w:t>
            </w:r>
          </w:p>
          <w:p w14:paraId="6710AAF7" w14:textId="77777777" w:rsidR="00CC0D6C" w:rsidRPr="002612FD" w:rsidRDefault="00CC0D6C" w:rsidP="00360CA3">
            <w:pPr>
              <w:rPr>
                <w:rFonts w:ascii="Arial" w:hAnsi="Arial" w:cs="Arial"/>
              </w:rPr>
            </w:pPr>
            <w:r w:rsidRPr="002612FD">
              <w:rPr>
                <w:rFonts w:ascii="Arial" w:hAnsi="Arial" w:cs="Arial"/>
              </w:rPr>
              <w:t>Attrition at follow-up (40%) may have biased results toward those with stronger social networks.</w:t>
            </w:r>
          </w:p>
        </w:tc>
      </w:tr>
      <w:tr w:rsidR="00CC0D6C" w:rsidRPr="002612FD" w14:paraId="6A95F274" w14:textId="77777777" w:rsidTr="000C00F6">
        <w:tc>
          <w:tcPr>
            <w:tcW w:w="1440" w:type="dxa"/>
            <w:shd w:val="clear" w:color="auto" w:fill="D9D9D9" w:themeFill="background1" w:themeFillShade="D9"/>
          </w:tcPr>
          <w:p w14:paraId="750F79E7" w14:textId="77777777" w:rsidR="00CC0D6C" w:rsidRPr="002612FD" w:rsidRDefault="00CC0D6C" w:rsidP="00360CA3">
            <w:pPr>
              <w:rPr>
                <w:rFonts w:ascii="Arial" w:hAnsi="Arial" w:cs="Arial"/>
              </w:rPr>
            </w:pPr>
            <w:r w:rsidRPr="002612FD">
              <w:rPr>
                <w:rFonts w:ascii="Arial" w:hAnsi="Arial" w:cs="Arial"/>
              </w:rPr>
              <w:t xml:space="preserve">Heidenreich et al. </w:t>
            </w:r>
          </w:p>
        </w:tc>
        <w:tc>
          <w:tcPr>
            <w:tcW w:w="810" w:type="dxa"/>
            <w:shd w:val="clear" w:color="auto" w:fill="D9D9D9" w:themeFill="background1" w:themeFillShade="D9"/>
          </w:tcPr>
          <w:p w14:paraId="6DC48EFF" w14:textId="77777777" w:rsidR="00CC0D6C" w:rsidRPr="002612FD" w:rsidRDefault="00CC0D6C" w:rsidP="00360CA3">
            <w:pPr>
              <w:rPr>
                <w:rFonts w:ascii="Arial" w:hAnsi="Arial" w:cs="Arial"/>
              </w:rPr>
            </w:pPr>
            <w:r w:rsidRPr="002612FD">
              <w:rPr>
                <w:rFonts w:ascii="Arial" w:hAnsi="Arial" w:cs="Arial"/>
              </w:rPr>
              <w:t>2022</w:t>
            </w:r>
          </w:p>
        </w:tc>
        <w:tc>
          <w:tcPr>
            <w:tcW w:w="1350" w:type="dxa"/>
            <w:shd w:val="clear" w:color="auto" w:fill="D9D9D9" w:themeFill="background1" w:themeFillShade="D9"/>
          </w:tcPr>
          <w:p w14:paraId="28AEC50C" w14:textId="77777777" w:rsidR="00CC0D6C" w:rsidRPr="002612FD" w:rsidRDefault="00CC0D6C" w:rsidP="00360CA3">
            <w:pPr>
              <w:rPr>
                <w:rFonts w:ascii="Arial" w:hAnsi="Arial" w:cs="Arial"/>
              </w:rPr>
            </w:pPr>
            <w:r w:rsidRPr="002612FD">
              <w:rPr>
                <w:rFonts w:ascii="Arial" w:hAnsi="Arial" w:cs="Arial"/>
              </w:rPr>
              <w:t>Clinical Practice Guideline</w:t>
            </w:r>
          </w:p>
        </w:tc>
        <w:tc>
          <w:tcPr>
            <w:tcW w:w="1890" w:type="dxa"/>
            <w:shd w:val="clear" w:color="auto" w:fill="D9D9D9" w:themeFill="background1" w:themeFillShade="D9"/>
          </w:tcPr>
          <w:p w14:paraId="53CA334D" w14:textId="77777777" w:rsidR="00CC0D6C" w:rsidRPr="002612FD" w:rsidRDefault="00CC0D6C" w:rsidP="00360CA3">
            <w:pPr>
              <w:rPr>
                <w:rFonts w:ascii="Arial" w:hAnsi="Arial" w:cs="Arial"/>
              </w:rPr>
            </w:pPr>
            <w:r w:rsidRPr="002612FD">
              <w:rPr>
                <w:rFonts w:ascii="Arial" w:hAnsi="Arial" w:cs="Arial"/>
              </w:rPr>
              <w:t xml:space="preserve">No specific sample size is provided </w:t>
            </w:r>
          </w:p>
        </w:tc>
        <w:tc>
          <w:tcPr>
            <w:tcW w:w="1710" w:type="dxa"/>
            <w:shd w:val="clear" w:color="auto" w:fill="D9D9D9" w:themeFill="background1" w:themeFillShade="D9"/>
          </w:tcPr>
          <w:p w14:paraId="0F1EF7ED" w14:textId="77777777" w:rsidR="00CC0D6C" w:rsidRPr="002612FD" w:rsidRDefault="00CC0D6C" w:rsidP="00360CA3">
            <w:pPr>
              <w:rPr>
                <w:rFonts w:ascii="Arial" w:hAnsi="Arial" w:cs="Arial"/>
              </w:rPr>
            </w:pPr>
            <w:r w:rsidRPr="002612FD">
              <w:rPr>
                <w:rFonts w:ascii="Arial" w:hAnsi="Arial" w:cs="Arial"/>
              </w:rPr>
              <w:t xml:space="preserve">Not applicable </w:t>
            </w:r>
          </w:p>
        </w:tc>
        <w:tc>
          <w:tcPr>
            <w:tcW w:w="3600" w:type="dxa"/>
            <w:shd w:val="clear" w:color="auto" w:fill="D9D9D9" w:themeFill="background1" w:themeFillShade="D9"/>
          </w:tcPr>
          <w:p w14:paraId="321A089A" w14:textId="77777777" w:rsidR="00CC0D6C" w:rsidRPr="002612FD" w:rsidRDefault="00CC0D6C" w:rsidP="00360CA3">
            <w:pPr>
              <w:rPr>
                <w:rFonts w:ascii="Arial" w:hAnsi="Arial" w:cs="Arial"/>
              </w:rPr>
            </w:pPr>
            <w:r w:rsidRPr="002612FD">
              <w:rPr>
                <w:rFonts w:ascii="Arial" w:hAnsi="Arial" w:cs="Arial"/>
              </w:rPr>
              <w:t>Patients with HF in lower socioeconomic strata had a 50% higher risk of rehospitalization within 30 days compared to higher-income patients (HR 1.50, 95% CI [1.25, 1.80]). Patients with lower health literacy had a 30% higher likelihood of failing to adhere to HF self-care recommendations, resulting in worse clinical outcomes (OR 1.30, 95% CI [1.05, 1.60]</w:t>
            </w:r>
            <w:proofErr w:type="gramStart"/>
            <w:r w:rsidRPr="002612FD">
              <w:rPr>
                <w:rFonts w:ascii="Arial" w:hAnsi="Arial" w:cs="Arial"/>
              </w:rPr>
              <w:t>).Patients</w:t>
            </w:r>
            <w:proofErr w:type="gramEnd"/>
            <w:r w:rsidRPr="002612FD">
              <w:rPr>
                <w:rFonts w:ascii="Arial" w:hAnsi="Arial" w:cs="Arial"/>
              </w:rPr>
              <w:t xml:space="preserve"> without access to specialized HF care had a 35% higher mortality rate (HR 1.35, 95% CI [1.15, 1.60]).</w:t>
            </w:r>
          </w:p>
          <w:p w14:paraId="2BC8DD0E" w14:textId="77777777" w:rsidR="00CC0D6C" w:rsidRPr="002612FD" w:rsidRDefault="00CC0D6C" w:rsidP="00360CA3">
            <w:pPr>
              <w:rPr>
                <w:rFonts w:ascii="Arial" w:hAnsi="Arial" w:cs="Arial"/>
              </w:rPr>
            </w:pPr>
            <w:r w:rsidRPr="002612FD">
              <w:rPr>
                <w:rFonts w:ascii="Arial" w:hAnsi="Arial" w:cs="Arial"/>
              </w:rPr>
              <w:t>Black and Hispanic patients were 20% less likely to receive evidence-based therapies compared to White patients (OR 0.80, 95% CI [0.68, 0.94]). Patients living in high-deprivation neighborhoods had a 25% increased risk of HF hospitalization (HR 1.25, 95% CI [1.10, 1.40]).</w:t>
            </w:r>
          </w:p>
          <w:p w14:paraId="53D52525" w14:textId="77777777" w:rsidR="00CC0D6C" w:rsidRPr="002612FD" w:rsidRDefault="00CC0D6C" w:rsidP="00360CA3">
            <w:pPr>
              <w:rPr>
                <w:rFonts w:ascii="Arial" w:hAnsi="Arial" w:cs="Arial"/>
              </w:rPr>
            </w:pPr>
            <w:r w:rsidRPr="002612FD">
              <w:rPr>
                <w:rFonts w:ascii="Arial" w:hAnsi="Arial" w:cs="Arial"/>
              </w:rPr>
              <w:t>Urban-rural disparities showed a 15% higher mortality rate for rural patients with HF due to limited access to care and specialists (HR 1.15, 95% CI [1.05, 1.25]). Social isolation increased mortality risk in HF patients by 2.4 times (HR 2.40, 95% CI [1.80, 3.00]).</w:t>
            </w:r>
          </w:p>
          <w:p w14:paraId="32FEEC16" w14:textId="77777777" w:rsidR="00CC0D6C" w:rsidRPr="002612FD" w:rsidRDefault="00CC0D6C" w:rsidP="00360CA3">
            <w:pPr>
              <w:rPr>
                <w:rFonts w:ascii="Arial" w:hAnsi="Arial" w:cs="Arial"/>
              </w:rPr>
            </w:pPr>
            <w:r w:rsidRPr="002612FD">
              <w:rPr>
                <w:rFonts w:ascii="Arial" w:hAnsi="Arial" w:cs="Arial"/>
              </w:rPr>
              <w:t xml:space="preserve">Patients with strong caregiver support had a 30% lower risk of 30-day readmission (OR 0.70, 95% CI [0.55, 0.89]). </w:t>
            </w:r>
          </w:p>
        </w:tc>
        <w:tc>
          <w:tcPr>
            <w:tcW w:w="2520" w:type="dxa"/>
            <w:shd w:val="clear" w:color="auto" w:fill="D9D9D9" w:themeFill="background1" w:themeFillShade="D9"/>
          </w:tcPr>
          <w:p w14:paraId="78B3D431" w14:textId="77777777" w:rsidR="00CC0D6C" w:rsidRPr="002612FD" w:rsidRDefault="00CC0D6C" w:rsidP="00360CA3">
            <w:pPr>
              <w:rPr>
                <w:rFonts w:ascii="Arial" w:hAnsi="Arial" w:cs="Arial"/>
              </w:rPr>
            </w:pPr>
            <w:r w:rsidRPr="002612FD">
              <w:rPr>
                <w:rFonts w:ascii="Arial" w:hAnsi="Arial" w:cs="Arial"/>
              </w:rPr>
              <w:t>Strengths:</w:t>
            </w:r>
          </w:p>
          <w:p w14:paraId="25E05197" w14:textId="77777777" w:rsidR="00CC0D6C" w:rsidRPr="002612FD" w:rsidRDefault="00CC0D6C" w:rsidP="00360CA3">
            <w:pPr>
              <w:rPr>
                <w:rFonts w:ascii="Arial" w:hAnsi="Arial" w:cs="Arial"/>
              </w:rPr>
            </w:pPr>
            <w:r w:rsidRPr="002612FD">
              <w:rPr>
                <w:rFonts w:ascii="Arial" w:hAnsi="Arial" w:cs="Arial"/>
              </w:rPr>
              <w:t>Broad evidence base drawn from clinical trials, cohort studies, and meta-analyses, ensuring high reliability and validity of recommendations.</w:t>
            </w:r>
          </w:p>
          <w:p w14:paraId="29A6D603" w14:textId="77777777" w:rsidR="00CC0D6C" w:rsidRPr="002612FD" w:rsidRDefault="00CC0D6C" w:rsidP="00360CA3">
            <w:pPr>
              <w:rPr>
                <w:rFonts w:ascii="Arial" w:hAnsi="Arial" w:cs="Arial"/>
              </w:rPr>
            </w:pPr>
            <w:r w:rsidRPr="002612FD">
              <w:rPr>
                <w:rFonts w:ascii="Arial" w:hAnsi="Arial" w:cs="Arial"/>
              </w:rPr>
              <w:t>Focus on diverse HF populations, addressing disparities in care and outcomes.</w:t>
            </w:r>
          </w:p>
          <w:p w14:paraId="006D07DC" w14:textId="77777777" w:rsidR="00CC0D6C" w:rsidRPr="002612FD" w:rsidRDefault="00CC0D6C" w:rsidP="00360CA3">
            <w:pPr>
              <w:rPr>
                <w:rFonts w:ascii="Arial" w:hAnsi="Arial" w:cs="Arial"/>
              </w:rPr>
            </w:pPr>
            <w:r w:rsidRPr="002612FD">
              <w:rPr>
                <w:rFonts w:ascii="Arial" w:hAnsi="Arial" w:cs="Arial"/>
              </w:rPr>
              <w:t>Provides actionable, evidence-based interventions tailored to different SDoH factors.</w:t>
            </w:r>
          </w:p>
          <w:p w14:paraId="71D3436F" w14:textId="77777777" w:rsidR="00CC0D6C" w:rsidRPr="002612FD" w:rsidRDefault="00CC0D6C" w:rsidP="00360CA3">
            <w:pPr>
              <w:rPr>
                <w:rFonts w:ascii="Arial" w:hAnsi="Arial" w:cs="Arial"/>
              </w:rPr>
            </w:pPr>
          </w:p>
          <w:p w14:paraId="50CEE239" w14:textId="77777777" w:rsidR="00CC0D6C" w:rsidRPr="002612FD" w:rsidRDefault="00CC0D6C" w:rsidP="00360CA3">
            <w:pPr>
              <w:rPr>
                <w:rFonts w:ascii="Arial" w:hAnsi="Arial" w:cs="Arial"/>
              </w:rPr>
            </w:pPr>
            <w:r w:rsidRPr="002612FD">
              <w:rPr>
                <w:rFonts w:ascii="Arial" w:hAnsi="Arial" w:cs="Arial"/>
              </w:rPr>
              <w:t>Limitations:</w:t>
            </w:r>
          </w:p>
          <w:p w14:paraId="7014D756" w14:textId="5D2A49B9" w:rsidR="00CC0D6C" w:rsidRPr="002612FD" w:rsidRDefault="00CC0D6C" w:rsidP="00360CA3">
            <w:pPr>
              <w:rPr>
                <w:rFonts w:ascii="Arial" w:hAnsi="Arial" w:cs="Arial"/>
              </w:rPr>
            </w:pPr>
            <w:r w:rsidRPr="002612FD">
              <w:rPr>
                <w:rFonts w:ascii="Arial" w:hAnsi="Arial" w:cs="Arial"/>
              </w:rPr>
              <w:t>Reliance on secondary data, limiting control over data consistency and variable definitions.</w:t>
            </w:r>
            <w:r w:rsidR="00551CF4">
              <w:rPr>
                <w:rFonts w:ascii="Arial" w:hAnsi="Arial" w:cs="Arial"/>
              </w:rPr>
              <w:t xml:space="preserve"> </w:t>
            </w:r>
            <w:r w:rsidRPr="002612FD">
              <w:rPr>
                <w:rFonts w:ascii="Arial" w:hAnsi="Arial" w:cs="Arial"/>
              </w:rPr>
              <w:t>Generalized recommendations may not fully address the unique challenges of specific</w:t>
            </w:r>
            <w:r w:rsidR="00551CF4">
              <w:rPr>
                <w:rFonts w:ascii="Arial" w:hAnsi="Arial" w:cs="Arial"/>
              </w:rPr>
              <w:t xml:space="preserve"> </w:t>
            </w:r>
            <w:r w:rsidRPr="002612FD">
              <w:rPr>
                <w:rFonts w:ascii="Arial" w:hAnsi="Arial" w:cs="Arial"/>
              </w:rPr>
              <w:t>subpopulations, such as rural or immigrant patients.</w:t>
            </w:r>
            <w:r w:rsidR="00551CF4">
              <w:rPr>
                <w:rFonts w:ascii="Arial" w:hAnsi="Arial" w:cs="Arial"/>
              </w:rPr>
              <w:t xml:space="preserve"> </w:t>
            </w:r>
            <w:r w:rsidRPr="002612FD">
              <w:rPr>
                <w:rFonts w:ascii="Arial" w:hAnsi="Arial" w:cs="Arial"/>
              </w:rPr>
              <w:t>Gaps in data for underrepresented groups (e.g., Native American or Pacific Islander patients) limit inclusivity.</w:t>
            </w:r>
          </w:p>
        </w:tc>
      </w:tr>
      <w:tr w:rsidR="00CC0D6C" w:rsidRPr="002612FD" w14:paraId="12257672" w14:textId="77777777" w:rsidTr="0024775A">
        <w:tc>
          <w:tcPr>
            <w:tcW w:w="1440" w:type="dxa"/>
          </w:tcPr>
          <w:p w14:paraId="158341DB" w14:textId="77777777" w:rsidR="00CC0D6C" w:rsidRPr="002612FD" w:rsidRDefault="00CC0D6C" w:rsidP="00360CA3">
            <w:pPr>
              <w:rPr>
                <w:rFonts w:ascii="Arial" w:hAnsi="Arial" w:cs="Arial"/>
              </w:rPr>
            </w:pPr>
            <w:r w:rsidRPr="002612FD">
              <w:rPr>
                <w:rFonts w:ascii="Arial" w:hAnsi="Arial" w:cs="Arial"/>
              </w:rPr>
              <w:t xml:space="preserve">Heo et al. </w:t>
            </w:r>
          </w:p>
        </w:tc>
        <w:tc>
          <w:tcPr>
            <w:tcW w:w="810" w:type="dxa"/>
          </w:tcPr>
          <w:p w14:paraId="67822FBE" w14:textId="77777777" w:rsidR="00CC0D6C" w:rsidRPr="002612FD" w:rsidRDefault="00CC0D6C" w:rsidP="00360CA3">
            <w:pPr>
              <w:rPr>
                <w:rFonts w:ascii="Arial" w:hAnsi="Arial" w:cs="Arial"/>
              </w:rPr>
            </w:pPr>
            <w:r w:rsidRPr="002612FD">
              <w:rPr>
                <w:rFonts w:ascii="Arial" w:hAnsi="Arial" w:cs="Arial"/>
              </w:rPr>
              <w:t>2019</w:t>
            </w:r>
          </w:p>
        </w:tc>
        <w:tc>
          <w:tcPr>
            <w:tcW w:w="1350" w:type="dxa"/>
          </w:tcPr>
          <w:p w14:paraId="086E8D47" w14:textId="77777777" w:rsidR="00CC0D6C" w:rsidRPr="002612FD" w:rsidRDefault="00CC0D6C" w:rsidP="00360CA3">
            <w:pPr>
              <w:rPr>
                <w:rFonts w:ascii="Arial" w:hAnsi="Arial" w:cs="Arial"/>
              </w:rPr>
            </w:pPr>
            <w:r w:rsidRPr="002612FD">
              <w:rPr>
                <w:rFonts w:ascii="Arial" w:hAnsi="Arial" w:cs="Arial"/>
              </w:rPr>
              <w:t>Qualitative (cross-sectional)</w:t>
            </w:r>
          </w:p>
        </w:tc>
        <w:tc>
          <w:tcPr>
            <w:tcW w:w="1890" w:type="dxa"/>
          </w:tcPr>
          <w:p w14:paraId="142E9CEF" w14:textId="77777777" w:rsidR="00CC0D6C" w:rsidRPr="002612FD" w:rsidRDefault="00CC0D6C" w:rsidP="00360CA3">
            <w:pPr>
              <w:rPr>
                <w:rFonts w:ascii="Arial" w:hAnsi="Arial" w:cs="Arial"/>
              </w:rPr>
            </w:pPr>
            <w:r w:rsidRPr="002612FD">
              <w:rPr>
                <w:rFonts w:ascii="Arial" w:hAnsi="Arial" w:cs="Arial"/>
              </w:rPr>
              <w:t>20 patients with HF recruited from a university-affiliated hospital in the Southern U.S.</w:t>
            </w:r>
          </w:p>
        </w:tc>
        <w:tc>
          <w:tcPr>
            <w:tcW w:w="1710" w:type="dxa"/>
          </w:tcPr>
          <w:p w14:paraId="5B4742E1" w14:textId="77777777" w:rsidR="00CC0D6C" w:rsidRPr="002612FD" w:rsidRDefault="00CC0D6C" w:rsidP="00360CA3">
            <w:pPr>
              <w:rPr>
                <w:rFonts w:ascii="Arial" w:hAnsi="Arial" w:cs="Arial"/>
              </w:rPr>
            </w:pPr>
            <w:r w:rsidRPr="002612FD">
              <w:rPr>
                <w:rFonts w:ascii="Arial" w:hAnsi="Arial" w:cs="Arial"/>
              </w:rPr>
              <w:t>Qualitative Research​</w:t>
            </w:r>
          </w:p>
        </w:tc>
        <w:tc>
          <w:tcPr>
            <w:tcW w:w="3600" w:type="dxa"/>
          </w:tcPr>
          <w:p w14:paraId="57DDAB92" w14:textId="77777777" w:rsidR="00CC0D6C" w:rsidRPr="002612FD" w:rsidRDefault="00CC0D6C" w:rsidP="00360CA3">
            <w:pPr>
              <w:rPr>
                <w:rFonts w:ascii="Arial" w:hAnsi="Arial" w:cs="Arial"/>
              </w:rPr>
            </w:pPr>
            <w:r w:rsidRPr="002612FD">
              <w:rPr>
                <w:rFonts w:ascii="Arial" w:hAnsi="Arial" w:cs="Arial"/>
              </w:rPr>
              <w:t>55% of participants reported incomes below their daily living demands, highlighting economic hardship as a barrier to self-care. Participants with fewer years of formal education (mean 12.9 years) demonstrated limited understanding of HF symptom management and causes. Delays in seeking care were reported due to difficulty recognizing symptom severity and access issues, with delays averaging 2.5 days. Emotional distress and lack of social support were common; 60% lived with someone, but many expressed feelings of isolation.</w:t>
            </w:r>
          </w:p>
        </w:tc>
        <w:tc>
          <w:tcPr>
            <w:tcW w:w="2520" w:type="dxa"/>
          </w:tcPr>
          <w:p w14:paraId="6E0BE736" w14:textId="77777777" w:rsidR="00CC0D6C" w:rsidRPr="002612FD" w:rsidRDefault="00CC0D6C" w:rsidP="00360CA3">
            <w:pPr>
              <w:rPr>
                <w:rFonts w:ascii="Arial" w:hAnsi="Arial" w:cs="Arial"/>
              </w:rPr>
            </w:pPr>
            <w:r w:rsidRPr="002612FD">
              <w:rPr>
                <w:rFonts w:ascii="Arial" w:hAnsi="Arial" w:cs="Arial"/>
              </w:rPr>
              <w:t>Strengths:</w:t>
            </w:r>
          </w:p>
          <w:p w14:paraId="59B20764" w14:textId="77777777" w:rsidR="00CC0D6C" w:rsidRPr="002612FD" w:rsidRDefault="00CC0D6C" w:rsidP="00360CA3">
            <w:pPr>
              <w:rPr>
                <w:rFonts w:ascii="Arial" w:hAnsi="Arial" w:cs="Arial"/>
              </w:rPr>
            </w:pPr>
            <w:r w:rsidRPr="002612FD">
              <w:rPr>
                <w:rFonts w:ascii="Arial" w:hAnsi="Arial" w:cs="Arial"/>
              </w:rPr>
              <w:t>Focused on patient perspectives, offering insights into lived experiences of HF symptoms.</w:t>
            </w:r>
          </w:p>
          <w:p w14:paraId="1DD25C13" w14:textId="77777777" w:rsidR="00CC0D6C" w:rsidRPr="002612FD" w:rsidRDefault="00CC0D6C" w:rsidP="00360CA3">
            <w:pPr>
              <w:rPr>
                <w:rFonts w:ascii="Arial" w:hAnsi="Arial" w:cs="Arial"/>
              </w:rPr>
            </w:pPr>
            <w:r w:rsidRPr="002612FD">
              <w:rPr>
                <w:rFonts w:ascii="Arial" w:hAnsi="Arial" w:cs="Arial"/>
              </w:rPr>
              <w:t>Diverse, predominantly African American sample adds value to understanding disparities.</w:t>
            </w:r>
          </w:p>
          <w:p w14:paraId="2A230917" w14:textId="77777777" w:rsidR="00CC0D6C" w:rsidRPr="002612FD" w:rsidRDefault="00CC0D6C" w:rsidP="00360CA3">
            <w:pPr>
              <w:rPr>
                <w:rFonts w:ascii="Arial" w:hAnsi="Arial" w:cs="Arial"/>
              </w:rPr>
            </w:pPr>
          </w:p>
          <w:p w14:paraId="1D207613" w14:textId="77777777" w:rsidR="00CC0D6C" w:rsidRPr="002612FD" w:rsidRDefault="00CC0D6C" w:rsidP="00360CA3">
            <w:pPr>
              <w:rPr>
                <w:rFonts w:ascii="Arial" w:hAnsi="Arial" w:cs="Arial"/>
              </w:rPr>
            </w:pPr>
            <w:r w:rsidRPr="002612FD">
              <w:rPr>
                <w:rFonts w:ascii="Arial" w:hAnsi="Arial" w:cs="Arial"/>
              </w:rPr>
              <w:t>Limitations:</w:t>
            </w:r>
          </w:p>
          <w:p w14:paraId="015E6BA8" w14:textId="77777777" w:rsidR="00CC0D6C" w:rsidRPr="002612FD" w:rsidRDefault="00CC0D6C" w:rsidP="00360CA3">
            <w:pPr>
              <w:rPr>
                <w:rFonts w:ascii="Arial" w:hAnsi="Arial" w:cs="Arial"/>
              </w:rPr>
            </w:pPr>
            <w:r w:rsidRPr="002612FD">
              <w:rPr>
                <w:rFonts w:ascii="Arial" w:hAnsi="Arial" w:cs="Arial"/>
              </w:rPr>
              <w:t>Small, single-site sample limits generalizability.</w:t>
            </w:r>
          </w:p>
          <w:p w14:paraId="1E54BAB7" w14:textId="77777777" w:rsidR="00CC0D6C" w:rsidRPr="002612FD" w:rsidRDefault="00CC0D6C" w:rsidP="00360CA3">
            <w:pPr>
              <w:rPr>
                <w:rFonts w:ascii="Arial" w:hAnsi="Arial" w:cs="Arial"/>
              </w:rPr>
            </w:pPr>
            <w:r w:rsidRPr="002612FD">
              <w:rPr>
                <w:rFonts w:ascii="Arial" w:hAnsi="Arial" w:cs="Arial"/>
              </w:rPr>
              <w:t xml:space="preserve">Relatively young </w:t>
            </w:r>
            <w:proofErr w:type="gramStart"/>
            <w:r w:rsidRPr="002612FD">
              <w:rPr>
                <w:rFonts w:ascii="Arial" w:hAnsi="Arial" w:cs="Arial"/>
              </w:rPr>
              <w:t>sample</w:t>
            </w:r>
            <w:proofErr w:type="gramEnd"/>
            <w:r w:rsidRPr="002612FD">
              <w:rPr>
                <w:rFonts w:ascii="Arial" w:hAnsi="Arial" w:cs="Arial"/>
              </w:rPr>
              <w:t xml:space="preserve"> may not reflect experiences of older HF populations.</w:t>
            </w:r>
          </w:p>
          <w:p w14:paraId="338BB82D" w14:textId="77777777" w:rsidR="00CC0D6C" w:rsidRPr="002612FD" w:rsidRDefault="00CC0D6C" w:rsidP="00360CA3">
            <w:pPr>
              <w:rPr>
                <w:rFonts w:ascii="Arial" w:hAnsi="Arial" w:cs="Arial"/>
              </w:rPr>
            </w:pPr>
          </w:p>
        </w:tc>
      </w:tr>
      <w:tr w:rsidR="00CC0D6C" w:rsidRPr="002612FD" w14:paraId="033997E1" w14:textId="77777777" w:rsidTr="000C00F6">
        <w:tc>
          <w:tcPr>
            <w:tcW w:w="1440" w:type="dxa"/>
            <w:shd w:val="clear" w:color="auto" w:fill="D9D9D9" w:themeFill="background1" w:themeFillShade="D9"/>
          </w:tcPr>
          <w:p w14:paraId="0346A61E" w14:textId="77777777" w:rsidR="00CC0D6C" w:rsidRPr="002612FD" w:rsidRDefault="00CC0D6C" w:rsidP="00360CA3">
            <w:pPr>
              <w:rPr>
                <w:rFonts w:ascii="Arial" w:hAnsi="Arial" w:cs="Arial"/>
              </w:rPr>
            </w:pPr>
            <w:proofErr w:type="spellStart"/>
            <w:r w:rsidRPr="002612FD">
              <w:rPr>
                <w:rFonts w:ascii="Arial" w:hAnsi="Arial" w:cs="Arial"/>
              </w:rPr>
              <w:t>Ilonze</w:t>
            </w:r>
            <w:proofErr w:type="spellEnd"/>
            <w:r w:rsidRPr="002612FD">
              <w:rPr>
                <w:rFonts w:ascii="Arial" w:hAnsi="Arial" w:cs="Arial"/>
              </w:rPr>
              <w:t xml:space="preserve"> et al. </w:t>
            </w:r>
          </w:p>
        </w:tc>
        <w:tc>
          <w:tcPr>
            <w:tcW w:w="810" w:type="dxa"/>
            <w:shd w:val="clear" w:color="auto" w:fill="D9D9D9" w:themeFill="background1" w:themeFillShade="D9"/>
          </w:tcPr>
          <w:p w14:paraId="485F6BEB" w14:textId="77777777" w:rsidR="00CC0D6C" w:rsidRPr="002612FD" w:rsidRDefault="00CC0D6C" w:rsidP="00360CA3">
            <w:pPr>
              <w:rPr>
                <w:rFonts w:ascii="Arial" w:hAnsi="Arial" w:cs="Arial"/>
              </w:rPr>
            </w:pPr>
            <w:r w:rsidRPr="002612FD">
              <w:rPr>
                <w:rFonts w:ascii="Arial" w:hAnsi="Arial" w:cs="Arial"/>
              </w:rPr>
              <w:t>2022</w:t>
            </w:r>
          </w:p>
        </w:tc>
        <w:tc>
          <w:tcPr>
            <w:tcW w:w="1350" w:type="dxa"/>
            <w:shd w:val="clear" w:color="auto" w:fill="D9D9D9" w:themeFill="background1" w:themeFillShade="D9"/>
          </w:tcPr>
          <w:p w14:paraId="0FBBF7DC"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shd w:val="clear" w:color="auto" w:fill="D9D9D9" w:themeFill="background1" w:themeFillShade="D9"/>
          </w:tcPr>
          <w:p w14:paraId="3920631A" w14:textId="77777777" w:rsidR="00CC0D6C" w:rsidRPr="002612FD" w:rsidRDefault="00CC0D6C" w:rsidP="00360CA3">
            <w:pPr>
              <w:rPr>
                <w:rFonts w:ascii="Arial" w:hAnsi="Arial" w:cs="Arial"/>
              </w:rPr>
            </w:pPr>
            <w:r w:rsidRPr="002612FD">
              <w:rPr>
                <w:rFonts w:ascii="Arial" w:hAnsi="Arial" w:cs="Arial"/>
              </w:rPr>
              <w:t>Synthesizes findings from national databases and large-scale studies, including the CHAMP-HF registry and the INTERCHF study</w:t>
            </w:r>
          </w:p>
        </w:tc>
        <w:tc>
          <w:tcPr>
            <w:tcW w:w="1710" w:type="dxa"/>
            <w:shd w:val="clear" w:color="auto" w:fill="D9D9D9" w:themeFill="background1" w:themeFillShade="D9"/>
          </w:tcPr>
          <w:p w14:paraId="2A86AE6B" w14:textId="77777777" w:rsidR="00CC0D6C" w:rsidRPr="002612FD" w:rsidRDefault="00CC0D6C" w:rsidP="00360CA3">
            <w:pPr>
              <w:rPr>
                <w:rFonts w:ascii="Arial" w:hAnsi="Arial" w:cs="Arial"/>
              </w:rPr>
            </w:pPr>
            <w:r w:rsidRPr="002612FD">
              <w:rPr>
                <w:rFonts w:ascii="Arial" w:hAnsi="Arial" w:cs="Arial"/>
              </w:rPr>
              <w:t>Textual Evidence and Narrative Reviews</w:t>
            </w:r>
          </w:p>
        </w:tc>
        <w:tc>
          <w:tcPr>
            <w:tcW w:w="3600" w:type="dxa"/>
            <w:shd w:val="clear" w:color="auto" w:fill="D9D9D9" w:themeFill="background1" w:themeFillShade="D9"/>
          </w:tcPr>
          <w:p w14:paraId="0BDE0DC6" w14:textId="77777777" w:rsidR="00CC0D6C" w:rsidRPr="002612FD" w:rsidRDefault="00CC0D6C" w:rsidP="00360CA3">
            <w:pPr>
              <w:rPr>
                <w:rFonts w:ascii="Arial" w:hAnsi="Arial" w:cs="Arial"/>
              </w:rPr>
            </w:pPr>
            <w:r w:rsidRPr="002612FD">
              <w:rPr>
                <w:rFonts w:ascii="Arial" w:hAnsi="Arial" w:cs="Arial"/>
              </w:rPr>
              <w:t>Low health literacy is common among Black and Hispanic HF patients and is associated with higher hospitalization and mortality rates. Living in food deserts correlates with increased HF readmissions (p &lt; .05).  Structural racism and implicit bias lead to differential prescribing patterns. Black patients are less likely to receive care from cardiologists, impacting survival rates.</w:t>
            </w:r>
          </w:p>
        </w:tc>
        <w:tc>
          <w:tcPr>
            <w:tcW w:w="2520" w:type="dxa"/>
            <w:shd w:val="clear" w:color="auto" w:fill="D9D9D9" w:themeFill="background1" w:themeFillShade="D9"/>
          </w:tcPr>
          <w:p w14:paraId="60C322AB" w14:textId="77777777" w:rsidR="00CC0D6C" w:rsidRPr="002612FD" w:rsidRDefault="00CC0D6C" w:rsidP="00360CA3">
            <w:pPr>
              <w:rPr>
                <w:rFonts w:ascii="Arial" w:hAnsi="Arial" w:cs="Arial"/>
              </w:rPr>
            </w:pPr>
            <w:r w:rsidRPr="002612FD">
              <w:rPr>
                <w:rFonts w:ascii="Arial" w:hAnsi="Arial" w:cs="Arial"/>
              </w:rPr>
              <w:t>Strengths:</w:t>
            </w:r>
          </w:p>
          <w:p w14:paraId="3915EDBC" w14:textId="77777777" w:rsidR="00CC0D6C" w:rsidRPr="002612FD" w:rsidRDefault="00CC0D6C" w:rsidP="00360CA3">
            <w:pPr>
              <w:rPr>
                <w:rFonts w:ascii="Arial" w:hAnsi="Arial" w:cs="Arial"/>
              </w:rPr>
            </w:pPr>
            <w:r w:rsidRPr="002612FD">
              <w:rPr>
                <w:rFonts w:ascii="Arial" w:hAnsi="Arial" w:cs="Arial"/>
              </w:rPr>
              <w:t>Comprehensive review highlights systemic inequities in HF care and GDMT prescribing.</w:t>
            </w:r>
          </w:p>
          <w:p w14:paraId="194E298E" w14:textId="77777777" w:rsidR="00CC0D6C" w:rsidRPr="002612FD" w:rsidRDefault="00CC0D6C" w:rsidP="00360CA3">
            <w:pPr>
              <w:rPr>
                <w:rFonts w:ascii="Arial" w:hAnsi="Arial" w:cs="Arial"/>
              </w:rPr>
            </w:pPr>
            <w:r w:rsidRPr="002612FD">
              <w:rPr>
                <w:rFonts w:ascii="Arial" w:hAnsi="Arial" w:cs="Arial"/>
              </w:rPr>
              <w:t>Offers actionable strategies, such as bias mitigation training and targeted health policy recommendations, to address disparities.</w:t>
            </w:r>
          </w:p>
          <w:p w14:paraId="669CE169" w14:textId="77777777" w:rsidR="00CC0D6C" w:rsidRPr="002612FD" w:rsidRDefault="00CC0D6C" w:rsidP="00360CA3">
            <w:pPr>
              <w:rPr>
                <w:rFonts w:ascii="Arial" w:hAnsi="Arial" w:cs="Arial"/>
              </w:rPr>
            </w:pPr>
          </w:p>
          <w:p w14:paraId="2B805528" w14:textId="77777777" w:rsidR="00CC0D6C" w:rsidRPr="002612FD" w:rsidRDefault="00CC0D6C" w:rsidP="00360CA3">
            <w:pPr>
              <w:rPr>
                <w:rFonts w:ascii="Arial" w:hAnsi="Arial" w:cs="Arial"/>
              </w:rPr>
            </w:pPr>
            <w:r w:rsidRPr="002612FD">
              <w:rPr>
                <w:rFonts w:ascii="Arial" w:hAnsi="Arial" w:cs="Arial"/>
              </w:rPr>
              <w:t>Limitations:</w:t>
            </w:r>
          </w:p>
          <w:p w14:paraId="754FBB77" w14:textId="77777777" w:rsidR="00CC0D6C" w:rsidRPr="002612FD" w:rsidRDefault="00CC0D6C" w:rsidP="00360CA3">
            <w:pPr>
              <w:rPr>
                <w:rFonts w:ascii="Arial" w:hAnsi="Arial" w:cs="Arial"/>
              </w:rPr>
            </w:pPr>
            <w:r w:rsidRPr="002612FD">
              <w:rPr>
                <w:rFonts w:ascii="Arial" w:hAnsi="Arial" w:cs="Arial"/>
              </w:rPr>
              <w:t>Limited primary data specific to American Indian populations.</w:t>
            </w:r>
          </w:p>
          <w:p w14:paraId="05DCD08E" w14:textId="00F25BB3" w:rsidR="00CC0D6C" w:rsidRPr="002612FD" w:rsidRDefault="00CC0D6C" w:rsidP="00360CA3">
            <w:pPr>
              <w:rPr>
                <w:rFonts w:ascii="Arial" w:hAnsi="Arial" w:cs="Arial"/>
              </w:rPr>
            </w:pPr>
            <w:r w:rsidRPr="002612FD">
              <w:rPr>
                <w:rFonts w:ascii="Arial" w:hAnsi="Arial" w:cs="Arial"/>
              </w:rPr>
              <w:t>Focuses on systemic factors without granular patient-level analyses in some areas.</w:t>
            </w:r>
          </w:p>
        </w:tc>
      </w:tr>
      <w:tr w:rsidR="00CC0D6C" w:rsidRPr="002612FD" w14:paraId="715B672F" w14:textId="77777777" w:rsidTr="0024775A">
        <w:tc>
          <w:tcPr>
            <w:tcW w:w="1440" w:type="dxa"/>
            <w:shd w:val="clear" w:color="auto" w:fill="auto"/>
          </w:tcPr>
          <w:p w14:paraId="5384405E" w14:textId="77777777" w:rsidR="00CC0D6C" w:rsidRPr="002612FD" w:rsidRDefault="00CC0D6C" w:rsidP="00360CA3">
            <w:pPr>
              <w:rPr>
                <w:rFonts w:ascii="Arial" w:hAnsi="Arial" w:cs="Arial"/>
              </w:rPr>
            </w:pPr>
            <w:r w:rsidRPr="002612FD">
              <w:rPr>
                <w:rFonts w:ascii="Arial" w:hAnsi="Arial" w:cs="Arial"/>
              </w:rPr>
              <w:t xml:space="preserve">Javed et al. </w:t>
            </w:r>
          </w:p>
        </w:tc>
        <w:tc>
          <w:tcPr>
            <w:tcW w:w="810" w:type="dxa"/>
            <w:shd w:val="clear" w:color="auto" w:fill="auto"/>
          </w:tcPr>
          <w:p w14:paraId="13A647BF" w14:textId="77777777" w:rsidR="00CC0D6C" w:rsidRPr="002612FD" w:rsidRDefault="00CC0D6C" w:rsidP="00360CA3">
            <w:pPr>
              <w:rPr>
                <w:rFonts w:ascii="Arial" w:hAnsi="Arial" w:cs="Arial"/>
              </w:rPr>
            </w:pPr>
            <w:r w:rsidRPr="002612FD">
              <w:rPr>
                <w:rFonts w:ascii="Arial" w:hAnsi="Arial" w:cs="Arial"/>
              </w:rPr>
              <w:t>2022</w:t>
            </w:r>
          </w:p>
        </w:tc>
        <w:tc>
          <w:tcPr>
            <w:tcW w:w="1350" w:type="dxa"/>
            <w:shd w:val="clear" w:color="auto" w:fill="auto"/>
          </w:tcPr>
          <w:p w14:paraId="6D1B1C96"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shd w:val="clear" w:color="auto" w:fill="auto"/>
          </w:tcPr>
          <w:p w14:paraId="44249B28" w14:textId="77777777" w:rsidR="00CC0D6C" w:rsidRPr="002612FD" w:rsidRDefault="00CC0D6C" w:rsidP="00360CA3">
            <w:pPr>
              <w:rPr>
                <w:rFonts w:ascii="Arial" w:hAnsi="Arial" w:cs="Arial"/>
              </w:rPr>
            </w:pPr>
            <w:r w:rsidRPr="002612FD">
              <w:rPr>
                <w:rFonts w:ascii="Arial" w:hAnsi="Arial" w:cs="Arial"/>
              </w:rPr>
              <w:t>Synthesizes evidence from multiple national datasets, large cohort studies (e.g., MESA, NHIS), and policy reports, with a focus on Black, Hispanic, American Indian, and Asian populations in the U.S.</w:t>
            </w:r>
          </w:p>
        </w:tc>
        <w:tc>
          <w:tcPr>
            <w:tcW w:w="1710" w:type="dxa"/>
            <w:shd w:val="clear" w:color="auto" w:fill="auto"/>
          </w:tcPr>
          <w:p w14:paraId="4B612054" w14:textId="77777777" w:rsidR="00CC0D6C" w:rsidRPr="002612FD" w:rsidRDefault="00CC0D6C" w:rsidP="00360CA3">
            <w:pPr>
              <w:rPr>
                <w:rFonts w:ascii="Arial" w:hAnsi="Arial" w:cs="Arial"/>
              </w:rPr>
            </w:pPr>
            <w:r w:rsidRPr="002612FD">
              <w:rPr>
                <w:rFonts w:ascii="Arial" w:hAnsi="Arial" w:cs="Arial"/>
              </w:rPr>
              <w:t>Textual Evidence and Narrative Reviews</w:t>
            </w:r>
          </w:p>
        </w:tc>
        <w:tc>
          <w:tcPr>
            <w:tcW w:w="3600" w:type="dxa"/>
            <w:shd w:val="clear" w:color="auto" w:fill="auto"/>
          </w:tcPr>
          <w:p w14:paraId="68220557" w14:textId="77777777" w:rsidR="00CC0D6C" w:rsidRPr="002612FD" w:rsidRDefault="00CC0D6C" w:rsidP="00360CA3">
            <w:pPr>
              <w:rPr>
                <w:rFonts w:ascii="Arial" w:hAnsi="Arial" w:cs="Arial"/>
              </w:rPr>
            </w:pPr>
            <w:r w:rsidRPr="002612FD">
              <w:rPr>
                <w:rFonts w:ascii="Arial" w:hAnsi="Arial" w:cs="Arial"/>
              </w:rPr>
              <w:t xml:space="preserve">Black, Hispanic, and American Indian individuals are 48–52% more likely to experience job insecurity, low wages, and poverty compared to White individuals, contributing to higher CVD risks. Low SES is linked to a 1.5-fold increase in coronary heart disease among American Indians and higher CVD mortality in Black populations. 73% of Black children attend high-poverty schools, significantly reducing higher education access. Low educational attainment correlates with a 1.32-fold increase in adverse CVD outcomes (HR 1.32, 95% CI [1.05, 1.66]). Hispanic and Black individuals are 2–4 times more likely to be uninsured, and 27–31% report skipping care due to costs. Hospitals serving predominantly Black patients face higher penalties under Medicare value-based programs due to unadjusted social risks. Black individuals living in redlined neighborhoods experience a 12% higher risk of CVD compared to White residents. Hispanic populations in areas with &gt;60% Hispanic residents face 8–30% greater exposure to air pollutants, contributing to CVD risks. Social isolation doubles the risk of CVD-related mortality in Black individuals. </w:t>
            </w:r>
          </w:p>
        </w:tc>
        <w:tc>
          <w:tcPr>
            <w:tcW w:w="2520" w:type="dxa"/>
            <w:shd w:val="clear" w:color="auto" w:fill="auto"/>
          </w:tcPr>
          <w:p w14:paraId="7C33B7BD" w14:textId="77777777" w:rsidR="00CC0D6C" w:rsidRPr="002612FD" w:rsidRDefault="00CC0D6C" w:rsidP="00360CA3">
            <w:pPr>
              <w:rPr>
                <w:rFonts w:ascii="Arial" w:hAnsi="Arial" w:cs="Arial"/>
              </w:rPr>
            </w:pPr>
            <w:r w:rsidRPr="002612FD">
              <w:rPr>
                <w:rFonts w:ascii="Arial" w:hAnsi="Arial" w:cs="Arial"/>
              </w:rPr>
              <w:t>Strengths:</w:t>
            </w:r>
          </w:p>
          <w:p w14:paraId="671CC565" w14:textId="77777777" w:rsidR="00CC0D6C" w:rsidRPr="002612FD" w:rsidRDefault="00CC0D6C" w:rsidP="00360CA3">
            <w:pPr>
              <w:rPr>
                <w:rFonts w:ascii="Arial" w:hAnsi="Arial" w:cs="Arial"/>
              </w:rPr>
            </w:pPr>
            <w:r w:rsidRPr="002612FD">
              <w:rPr>
                <w:rFonts w:ascii="Arial" w:hAnsi="Arial" w:cs="Arial"/>
              </w:rPr>
              <w:t>Comprehensive application of SDoH to explore CVD disparities across racial and ethnic groups.</w:t>
            </w:r>
          </w:p>
          <w:p w14:paraId="55CD97B8" w14:textId="77777777" w:rsidR="00CC0D6C" w:rsidRPr="002612FD" w:rsidRDefault="00CC0D6C" w:rsidP="00360CA3">
            <w:pPr>
              <w:rPr>
                <w:rFonts w:ascii="Arial" w:hAnsi="Arial" w:cs="Arial"/>
              </w:rPr>
            </w:pPr>
            <w:r w:rsidRPr="002612FD">
              <w:rPr>
                <w:rFonts w:ascii="Arial" w:hAnsi="Arial" w:cs="Arial"/>
              </w:rPr>
              <w:t>Incorporates historical context of structural racism and systemic inequities.</w:t>
            </w:r>
          </w:p>
          <w:p w14:paraId="4B425A7D" w14:textId="77777777" w:rsidR="00CC0D6C" w:rsidRPr="002612FD" w:rsidRDefault="00CC0D6C" w:rsidP="00360CA3">
            <w:pPr>
              <w:rPr>
                <w:rFonts w:ascii="Arial" w:hAnsi="Arial" w:cs="Arial"/>
              </w:rPr>
            </w:pPr>
          </w:p>
          <w:p w14:paraId="4B9655C9" w14:textId="77777777" w:rsidR="00CC0D6C" w:rsidRPr="002612FD" w:rsidRDefault="00CC0D6C" w:rsidP="00360CA3">
            <w:pPr>
              <w:rPr>
                <w:rFonts w:ascii="Arial" w:hAnsi="Arial" w:cs="Arial"/>
              </w:rPr>
            </w:pPr>
            <w:r w:rsidRPr="002612FD">
              <w:rPr>
                <w:rFonts w:ascii="Arial" w:hAnsi="Arial" w:cs="Arial"/>
              </w:rPr>
              <w:t>Limitations:</w:t>
            </w:r>
          </w:p>
          <w:p w14:paraId="1B88FCEA" w14:textId="1F75B042" w:rsidR="00CC0D6C" w:rsidRPr="002612FD" w:rsidRDefault="00CC0D6C" w:rsidP="00360CA3">
            <w:pPr>
              <w:rPr>
                <w:rFonts w:ascii="Arial" w:hAnsi="Arial" w:cs="Arial"/>
              </w:rPr>
            </w:pPr>
            <w:r w:rsidRPr="002612FD">
              <w:rPr>
                <w:rFonts w:ascii="Arial" w:hAnsi="Arial" w:cs="Arial"/>
              </w:rPr>
              <w:t>Relies on secondary data, limiting granularity of analyses for specific subpopulations.</w:t>
            </w:r>
            <w:r w:rsidR="00551CF4">
              <w:rPr>
                <w:rFonts w:ascii="Arial" w:hAnsi="Arial" w:cs="Arial"/>
              </w:rPr>
              <w:t xml:space="preserve"> </w:t>
            </w:r>
            <w:r w:rsidRPr="002612FD">
              <w:rPr>
                <w:rFonts w:ascii="Arial" w:hAnsi="Arial" w:cs="Arial"/>
              </w:rPr>
              <w:t>Limited data for certain underrepresented groups, such as Native Hawaiians and Pacific Islanders.</w:t>
            </w:r>
          </w:p>
        </w:tc>
      </w:tr>
      <w:tr w:rsidR="00CC0D6C" w:rsidRPr="002612FD" w14:paraId="51957055" w14:textId="77777777" w:rsidTr="000C00F6">
        <w:tc>
          <w:tcPr>
            <w:tcW w:w="1440" w:type="dxa"/>
            <w:shd w:val="clear" w:color="auto" w:fill="D9D9D9" w:themeFill="background1" w:themeFillShade="D9"/>
          </w:tcPr>
          <w:p w14:paraId="5A926F88" w14:textId="77777777" w:rsidR="00CC0D6C" w:rsidRPr="002612FD" w:rsidRDefault="00CC0D6C" w:rsidP="00360CA3">
            <w:pPr>
              <w:rPr>
                <w:rFonts w:ascii="Arial" w:hAnsi="Arial" w:cs="Arial"/>
              </w:rPr>
            </w:pPr>
            <w:r w:rsidRPr="002612FD">
              <w:rPr>
                <w:rFonts w:ascii="Arial" w:hAnsi="Arial" w:cs="Arial"/>
              </w:rPr>
              <w:t>Khan et al.</w:t>
            </w:r>
          </w:p>
          <w:p w14:paraId="3ECD9F2E" w14:textId="77777777" w:rsidR="00CC0D6C" w:rsidRPr="002612FD" w:rsidRDefault="00CC0D6C" w:rsidP="00360CA3">
            <w:pPr>
              <w:rPr>
                <w:rFonts w:ascii="Arial" w:hAnsi="Arial" w:cs="Arial"/>
              </w:rPr>
            </w:pPr>
          </w:p>
        </w:tc>
        <w:tc>
          <w:tcPr>
            <w:tcW w:w="810" w:type="dxa"/>
            <w:shd w:val="clear" w:color="auto" w:fill="D9D9D9" w:themeFill="background1" w:themeFillShade="D9"/>
          </w:tcPr>
          <w:p w14:paraId="71607B54" w14:textId="77777777" w:rsidR="00CC0D6C" w:rsidRPr="002612FD" w:rsidRDefault="00CC0D6C" w:rsidP="00360CA3">
            <w:pPr>
              <w:rPr>
                <w:rFonts w:ascii="Arial" w:hAnsi="Arial" w:cs="Arial"/>
              </w:rPr>
            </w:pPr>
            <w:r w:rsidRPr="002612FD">
              <w:rPr>
                <w:rFonts w:ascii="Arial" w:hAnsi="Arial" w:cs="Arial"/>
              </w:rPr>
              <w:t>2021</w:t>
            </w:r>
          </w:p>
        </w:tc>
        <w:tc>
          <w:tcPr>
            <w:tcW w:w="1350" w:type="dxa"/>
            <w:shd w:val="clear" w:color="auto" w:fill="D9D9D9" w:themeFill="background1" w:themeFillShade="D9"/>
          </w:tcPr>
          <w:p w14:paraId="1D683AA2" w14:textId="77777777" w:rsidR="00CC0D6C" w:rsidRPr="002612FD" w:rsidRDefault="00CC0D6C" w:rsidP="00360CA3">
            <w:pPr>
              <w:rPr>
                <w:rFonts w:ascii="Arial" w:hAnsi="Arial" w:cs="Arial"/>
              </w:rPr>
            </w:pPr>
            <w:r w:rsidRPr="002612FD">
              <w:rPr>
                <w:rFonts w:ascii="Arial" w:hAnsi="Arial" w:cs="Arial"/>
              </w:rPr>
              <w:t>Retrospective cohort study</w:t>
            </w:r>
          </w:p>
        </w:tc>
        <w:tc>
          <w:tcPr>
            <w:tcW w:w="1890" w:type="dxa"/>
            <w:shd w:val="clear" w:color="auto" w:fill="D9D9D9" w:themeFill="background1" w:themeFillShade="D9"/>
          </w:tcPr>
          <w:p w14:paraId="429E08BB" w14:textId="77777777" w:rsidR="00CC0D6C" w:rsidRPr="002612FD" w:rsidRDefault="00CC0D6C" w:rsidP="00360CA3">
            <w:pPr>
              <w:rPr>
                <w:rFonts w:ascii="Arial" w:hAnsi="Arial" w:cs="Arial"/>
              </w:rPr>
            </w:pPr>
            <w:r w:rsidRPr="002612FD">
              <w:rPr>
                <w:rFonts w:ascii="Arial" w:hAnsi="Arial" w:cs="Arial"/>
              </w:rPr>
              <w:t>Data from the NRD, covering 28 U.S. states and 60% of the U.S. population.</w:t>
            </w:r>
          </w:p>
          <w:p w14:paraId="43C1CA65" w14:textId="77777777" w:rsidR="00CC0D6C" w:rsidRPr="002612FD" w:rsidRDefault="00CC0D6C" w:rsidP="00360CA3">
            <w:pPr>
              <w:rPr>
                <w:rFonts w:ascii="Arial" w:hAnsi="Arial" w:cs="Arial"/>
              </w:rPr>
            </w:pPr>
            <w:r w:rsidRPr="002612FD">
              <w:rPr>
                <w:rFonts w:ascii="Arial" w:hAnsi="Arial" w:cs="Arial"/>
              </w:rPr>
              <w:t>Sample: 6,669,313 index HF hospitalizations for 30-day readmissions and 5,077,949 for 90-day readmissions.</w:t>
            </w:r>
          </w:p>
        </w:tc>
        <w:tc>
          <w:tcPr>
            <w:tcW w:w="1710" w:type="dxa"/>
            <w:shd w:val="clear" w:color="auto" w:fill="D9D9D9" w:themeFill="background1" w:themeFillShade="D9"/>
          </w:tcPr>
          <w:p w14:paraId="7C7E6412" w14:textId="77777777" w:rsidR="00CC0D6C" w:rsidRPr="002612FD" w:rsidRDefault="00CC0D6C" w:rsidP="00360CA3">
            <w:pPr>
              <w:rPr>
                <w:rFonts w:ascii="Arial" w:hAnsi="Arial" w:cs="Arial"/>
              </w:rPr>
            </w:pPr>
            <w:r w:rsidRPr="002612FD">
              <w:rPr>
                <w:rFonts w:ascii="Arial" w:hAnsi="Arial" w:cs="Arial"/>
              </w:rPr>
              <w:t>Analytical Cross-Sectional Studies or Retrospective Cohort Studies</w:t>
            </w:r>
          </w:p>
        </w:tc>
        <w:tc>
          <w:tcPr>
            <w:tcW w:w="3600" w:type="dxa"/>
            <w:shd w:val="clear" w:color="auto" w:fill="D9D9D9" w:themeFill="background1" w:themeFillShade="D9"/>
          </w:tcPr>
          <w:p w14:paraId="17D20F83" w14:textId="77777777" w:rsidR="00CC0D6C" w:rsidRPr="002612FD" w:rsidRDefault="00CC0D6C" w:rsidP="00360CA3">
            <w:pPr>
              <w:rPr>
                <w:rFonts w:ascii="Arial" w:hAnsi="Arial" w:cs="Arial"/>
              </w:rPr>
            </w:pPr>
            <w:r w:rsidRPr="002612FD">
              <w:rPr>
                <w:rFonts w:ascii="Arial" w:hAnsi="Arial" w:cs="Arial"/>
              </w:rPr>
              <w:t xml:space="preserve">Examines 30- and 90-day HF readmission rates from 2010 to 2017 using the National Readmission Database, revealing increased rates post-HRRP penalty phase and disparities based on insurance and hospital volume, highlighting the need for targeted policies. Patients in the lowest income quartile had higher readmission rates (30-day all-cause readmission rate: 19.9% in 2017, up from 18.3% in 2010; </w:t>
            </w:r>
            <w:r w:rsidRPr="002612FD">
              <w:rPr>
                <w:rFonts w:ascii="Arial" w:hAnsi="Arial" w:cs="Arial"/>
                <w:i/>
                <w:iCs/>
              </w:rPr>
              <w:t>p</w:t>
            </w:r>
            <w:r w:rsidRPr="002612FD">
              <w:rPr>
                <w:rFonts w:ascii="Arial" w:hAnsi="Arial" w:cs="Arial"/>
              </w:rPr>
              <w:t xml:space="preserve">&lt; 0.001). 0-day and 90-day HF-specific readmission rates increased during the post-Hospital Readmission Reduction Program (HRRP) period (30-day: 8.1% vs. 7.7%; 90-day: 15.0% vs. 14.2%; both </w:t>
            </w:r>
            <w:r w:rsidRPr="002612FD">
              <w:rPr>
                <w:rFonts w:ascii="Arial" w:hAnsi="Arial" w:cs="Arial"/>
                <w:i/>
                <w:iCs/>
              </w:rPr>
              <w:t>p</w:t>
            </w:r>
            <w:r w:rsidRPr="002612FD">
              <w:rPr>
                <w:rFonts w:ascii="Arial" w:hAnsi="Arial" w:cs="Arial"/>
              </w:rPr>
              <w:t xml:space="preserve">&lt; 0.001). </w:t>
            </w:r>
          </w:p>
          <w:p w14:paraId="70A9C990" w14:textId="77777777" w:rsidR="00CC0D6C" w:rsidRPr="002612FD" w:rsidRDefault="00CC0D6C" w:rsidP="00360CA3">
            <w:pPr>
              <w:rPr>
                <w:rFonts w:ascii="Arial" w:hAnsi="Arial" w:cs="Arial"/>
              </w:rPr>
            </w:pPr>
            <w:r w:rsidRPr="002612FD">
              <w:rPr>
                <w:rFonts w:ascii="Arial" w:hAnsi="Arial" w:cs="Arial"/>
              </w:rPr>
              <w:t>Medicare beneficiaries had higher absolute increases in readmission rates compared to non-Medicare patients (30-day: 3.3% vs. 3.5%; 90-day: 6.0% vs. 5.8%).</w:t>
            </w:r>
          </w:p>
        </w:tc>
        <w:tc>
          <w:tcPr>
            <w:tcW w:w="2520" w:type="dxa"/>
            <w:shd w:val="clear" w:color="auto" w:fill="D9D9D9" w:themeFill="background1" w:themeFillShade="D9"/>
          </w:tcPr>
          <w:p w14:paraId="3CA68343" w14:textId="77777777" w:rsidR="00CC0D6C" w:rsidRPr="002612FD" w:rsidRDefault="00CC0D6C" w:rsidP="00360CA3">
            <w:pPr>
              <w:rPr>
                <w:rFonts w:ascii="Arial" w:hAnsi="Arial" w:cs="Arial"/>
              </w:rPr>
            </w:pPr>
            <w:r w:rsidRPr="002612FD">
              <w:rPr>
                <w:rFonts w:ascii="Arial" w:hAnsi="Arial" w:cs="Arial"/>
              </w:rPr>
              <w:t>Strengths:</w:t>
            </w:r>
          </w:p>
          <w:p w14:paraId="5B06752F" w14:textId="77777777" w:rsidR="00CC0D6C" w:rsidRPr="002612FD" w:rsidRDefault="00CC0D6C" w:rsidP="00360CA3">
            <w:pPr>
              <w:rPr>
                <w:rFonts w:ascii="Arial" w:hAnsi="Arial" w:cs="Arial"/>
              </w:rPr>
            </w:pPr>
            <w:r w:rsidRPr="002612FD">
              <w:rPr>
                <w:rFonts w:ascii="Arial" w:hAnsi="Arial" w:cs="Arial"/>
              </w:rPr>
              <w:t>Nationally representative sample using a robust database with all-payer sources.</w:t>
            </w:r>
          </w:p>
          <w:p w14:paraId="21CA6FBB" w14:textId="77777777" w:rsidR="00CC0D6C" w:rsidRPr="002612FD" w:rsidRDefault="00CC0D6C" w:rsidP="00360CA3">
            <w:pPr>
              <w:rPr>
                <w:rFonts w:ascii="Arial" w:hAnsi="Arial" w:cs="Arial"/>
              </w:rPr>
            </w:pPr>
            <w:r w:rsidRPr="002612FD">
              <w:rPr>
                <w:rFonts w:ascii="Arial" w:hAnsi="Arial" w:cs="Arial"/>
              </w:rPr>
              <w:t>Comprehensive evaluation of temporal trends in readmissions over a 7-year period.</w:t>
            </w:r>
          </w:p>
          <w:p w14:paraId="6E2D22BC" w14:textId="77777777" w:rsidR="00CC0D6C" w:rsidRPr="002612FD" w:rsidRDefault="00CC0D6C" w:rsidP="00360CA3">
            <w:pPr>
              <w:rPr>
                <w:rFonts w:ascii="Arial" w:hAnsi="Arial" w:cs="Arial"/>
              </w:rPr>
            </w:pPr>
          </w:p>
          <w:p w14:paraId="549A8347" w14:textId="77777777" w:rsidR="00CC0D6C" w:rsidRPr="002612FD" w:rsidRDefault="00CC0D6C" w:rsidP="00360CA3">
            <w:pPr>
              <w:rPr>
                <w:rFonts w:ascii="Arial" w:hAnsi="Arial" w:cs="Arial"/>
              </w:rPr>
            </w:pPr>
            <w:r w:rsidRPr="002612FD">
              <w:rPr>
                <w:rFonts w:ascii="Arial" w:hAnsi="Arial" w:cs="Arial"/>
              </w:rPr>
              <w:t>Limitations:</w:t>
            </w:r>
          </w:p>
          <w:p w14:paraId="46AB13BC" w14:textId="77777777" w:rsidR="00CC0D6C" w:rsidRPr="002612FD" w:rsidRDefault="00CC0D6C" w:rsidP="00360CA3">
            <w:pPr>
              <w:rPr>
                <w:rFonts w:ascii="Arial" w:hAnsi="Arial" w:cs="Arial"/>
              </w:rPr>
            </w:pPr>
            <w:r w:rsidRPr="002612FD">
              <w:rPr>
                <w:rFonts w:ascii="Arial" w:hAnsi="Arial" w:cs="Arial"/>
              </w:rPr>
              <w:t>Inability to link patients across years limits longitudinal follow-up.</w:t>
            </w:r>
          </w:p>
          <w:p w14:paraId="2C20DE14" w14:textId="77777777" w:rsidR="00CC0D6C" w:rsidRPr="002612FD" w:rsidRDefault="00CC0D6C" w:rsidP="00360CA3">
            <w:pPr>
              <w:rPr>
                <w:rFonts w:ascii="Arial" w:hAnsi="Arial" w:cs="Arial"/>
              </w:rPr>
            </w:pPr>
            <w:r w:rsidRPr="002612FD">
              <w:rPr>
                <w:rFonts w:ascii="Arial" w:hAnsi="Arial" w:cs="Arial"/>
              </w:rPr>
              <w:t>Data on social determinants such as education and neighborhood environment were not available.</w:t>
            </w:r>
          </w:p>
          <w:p w14:paraId="03F46363" w14:textId="77777777" w:rsidR="00CC0D6C" w:rsidRPr="002612FD" w:rsidRDefault="00CC0D6C" w:rsidP="00360CA3">
            <w:pPr>
              <w:rPr>
                <w:rFonts w:ascii="Arial" w:hAnsi="Arial" w:cs="Arial"/>
              </w:rPr>
            </w:pPr>
            <w:r w:rsidRPr="002612FD">
              <w:rPr>
                <w:rFonts w:ascii="Arial" w:hAnsi="Arial" w:cs="Arial"/>
              </w:rPr>
              <w:t>Administrative coding may introduce misclassification bias.</w:t>
            </w:r>
          </w:p>
        </w:tc>
      </w:tr>
      <w:tr w:rsidR="00CC0D6C" w:rsidRPr="002612FD" w14:paraId="65F9E7D5" w14:textId="77777777" w:rsidTr="0024775A">
        <w:tc>
          <w:tcPr>
            <w:tcW w:w="1440" w:type="dxa"/>
            <w:shd w:val="clear" w:color="auto" w:fill="auto"/>
          </w:tcPr>
          <w:p w14:paraId="6D033C86" w14:textId="77777777" w:rsidR="00CC0D6C" w:rsidRPr="002612FD" w:rsidRDefault="00CC0D6C" w:rsidP="00360CA3">
            <w:pPr>
              <w:rPr>
                <w:rFonts w:ascii="Arial" w:hAnsi="Arial" w:cs="Arial"/>
              </w:rPr>
            </w:pPr>
            <w:r w:rsidRPr="002612FD">
              <w:rPr>
                <w:rFonts w:ascii="Arial" w:hAnsi="Arial" w:cs="Arial"/>
              </w:rPr>
              <w:t>Lazar &amp; Davenport</w:t>
            </w:r>
          </w:p>
        </w:tc>
        <w:tc>
          <w:tcPr>
            <w:tcW w:w="810" w:type="dxa"/>
            <w:shd w:val="clear" w:color="auto" w:fill="auto"/>
          </w:tcPr>
          <w:p w14:paraId="3035E41B" w14:textId="77777777" w:rsidR="00CC0D6C" w:rsidRPr="002612FD" w:rsidRDefault="00CC0D6C" w:rsidP="00360CA3">
            <w:pPr>
              <w:rPr>
                <w:rFonts w:ascii="Arial" w:hAnsi="Arial" w:cs="Arial"/>
              </w:rPr>
            </w:pPr>
            <w:r w:rsidRPr="002612FD">
              <w:rPr>
                <w:rFonts w:ascii="Arial" w:hAnsi="Arial" w:cs="Arial"/>
              </w:rPr>
              <w:t>2018</w:t>
            </w:r>
          </w:p>
        </w:tc>
        <w:tc>
          <w:tcPr>
            <w:tcW w:w="1350" w:type="dxa"/>
            <w:shd w:val="clear" w:color="auto" w:fill="auto"/>
          </w:tcPr>
          <w:p w14:paraId="1E7CAA5D"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shd w:val="clear" w:color="auto" w:fill="auto"/>
          </w:tcPr>
          <w:p w14:paraId="2FA0815C" w14:textId="77777777" w:rsidR="00CC0D6C" w:rsidRPr="002612FD" w:rsidRDefault="00CC0D6C" w:rsidP="00360CA3">
            <w:pPr>
              <w:rPr>
                <w:rFonts w:ascii="Arial" w:hAnsi="Arial" w:cs="Arial"/>
              </w:rPr>
            </w:pPr>
            <w:r w:rsidRPr="002612FD">
              <w:rPr>
                <w:rFonts w:ascii="Arial" w:hAnsi="Arial" w:cs="Arial"/>
              </w:rPr>
              <w:t>Review of 36 sources, including 27 research studies (6 quantitative, 8 qualitative, and 13 data analyses) published over 15 years, focusing on low-income families and children in the U.S.</w:t>
            </w:r>
          </w:p>
        </w:tc>
        <w:tc>
          <w:tcPr>
            <w:tcW w:w="1710" w:type="dxa"/>
            <w:shd w:val="clear" w:color="auto" w:fill="auto"/>
          </w:tcPr>
          <w:p w14:paraId="3B8F7C84" w14:textId="77777777" w:rsidR="00CC0D6C" w:rsidRPr="002612FD" w:rsidRDefault="00CC0D6C" w:rsidP="00360CA3">
            <w:pPr>
              <w:rPr>
                <w:rFonts w:ascii="Arial" w:hAnsi="Arial" w:cs="Arial"/>
              </w:rPr>
            </w:pPr>
            <w:r w:rsidRPr="002612FD">
              <w:rPr>
                <w:rFonts w:ascii="Arial" w:hAnsi="Arial" w:cs="Arial"/>
              </w:rPr>
              <w:t>Textual Evidence and Narrative Reviews</w:t>
            </w:r>
          </w:p>
        </w:tc>
        <w:tc>
          <w:tcPr>
            <w:tcW w:w="3600" w:type="dxa"/>
            <w:shd w:val="clear" w:color="auto" w:fill="auto"/>
          </w:tcPr>
          <w:p w14:paraId="0AA8A27B" w14:textId="77777777" w:rsidR="00CC0D6C" w:rsidRPr="002612FD" w:rsidRDefault="00CC0D6C" w:rsidP="00360CA3">
            <w:pPr>
              <w:rPr>
                <w:rFonts w:ascii="Arial" w:hAnsi="Arial" w:cs="Arial"/>
              </w:rPr>
            </w:pPr>
            <w:r w:rsidRPr="002612FD">
              <w:rPr>
                <w:rFonts w:ascii="Arial" w:hAnsi="Arial" w:cs="Arial"/>
              </w:rPr>
              <w:t xml:space="preserve">Financial instability limits access to healthcare, with high healthcare costs leading families to prioritize children’s health over parents. Medicaid "churning" disrupts consistent coverage, leaving families vulnerable. Low health literacy in parents was linked to poorer child health outcomes. Medicaid expansion improved healthcare access in some states, but many families struggle to find providers accepting Medicaid. Families in low-income neighborhoods often lack access to transportation. Distrust in healthcare providers, stemming from poor experiences and perceived lack of cultural competence. </w:t>
            </w:r>
          </w:p>
        </w:tc>
        <w:tc>
          <w:tcPr>
            <w:tcW w:w="2520" w:type="dxa"/>
            <w:shd w:val="clear" w:color="auto" w:fill="auto"/>
          </w:tcPr>
          <w:p w14:paraId="026E09F3" w14:textId="77777777" w:rsidR="00CC0D6C" w:rsidRPr="002612FD" w:rsidRDefault="00CC0D6C" w:rsidP="00360CA3">
            <w:pPr>
              <w:rPr>
                <w:rFonts w:ascii="Arial" w:hAnsi="Arial" w:cs="Arial"/>
              </w:rPr>
            </w:pPr>
            <w:r w:rsidRPr="002612FD">
              <w:rPr>
                <w:rFonts w:ascii="Arial" w:hAnsi="Arial" w:cs="Arial"/>
              </w:rPr>
              <w:t>Strengths:</w:t>
            </w:r>
          </w:p>
          <w:p w14:paraId="52806AC5" w14:textId="77777777" w:rsidR="00CC0D6C" w:rsidRPr="002612FD" w:rsidRDefault="00CC0D6C" w:rsidP="00360CA3">
            <w:pPr>
              <w:rPr>
                <w:rFonts w:ascii="Arial" w:hAnsi="Arial" w:cs="Arial"/>
              </w:rPr>
            </w:pPr>
            <w:r w:rsidRPr="002612FD">
              <w:rPr>
                <w:rFonts w:ascii="Arial" w:hAnsi="Arial" w:cs="Arial"/>
              </w:rPr>
              <w:t>Comprehensive synthesis of literature highlighting interconnected barriers to healthcare access for low-income populations.</w:t>
            </w:r>
          </w:p>
          <w:p w14:paraId="238CE9F4" w14:textId="77777777" w:rsidR="00CC0D6C" w:rsidRPr="002612FD" w:rsidRDefault="00CC0D6C" w:rsidP="00360CA3">
            <w:pPr>
              <w:rPr>
                <w:rFonts w:ascii="Arial" w:hAnsi="Arial" w:cs="Arial"/>
              </w:rPr>
            </w:pPr>
            <w:r w:rsidRPr="002612FD">
              <w:rPr>
                <w:rFonts w:ascii="Arial" w:hAnsi="Arial" w:cs="Arial"/>
              </w:rPr>
              <w:t>Includes diverse sources, providing a broad view of systemic challenges.</w:t>
            </w:r>
          </w:p>
          <w:p w14:paraId="6FF7ECB6" w14:textId="77777777" w:rsidR="00CC0D6C" w:rsidRPr="002612FD" w:rsidRDefault="00CC0D6C" w:rsidP="00360CA3">
            <w:pPr>
              <w:rPr>
                <w:rFonts w:ascii="Arial" w:hAnsi="Arial" w:cs="Arial"/>
              </w:rPr>
            </w:pPr>
          </w:p>
          <w:p w14:paraId="1540EF5E" w14:textId="77777777" w:rsidR="00CC0D6C" w:rsidRPr="002612FD" w:rsidRDefault="00CC0D6C" w:rsidP="00360CA3">
            <w:pPr>
              <w:rPr>
                <w:rFonts w:ascii="Arial" w:hAnsi="Arial" w:cs="Arial"/>
              </w:rPr>
            </w:pPr>
            <w:r w:rsidRPr="002612FD">
              <w:rPr>
                <w:rFonts w:ascii="Arial" w:hAnsi="Arial" w:cs="Arial"/>
              </w:rPr>
              <w:t>Limitations:</w:t>
            </w:r>
          </w:p>
          <w:p w14:paraId="772B9654" w14:textId="77777777" w:rsidR="00CC0D6C" w:rsidRPr="002612FD" w:rsidRDefault="00CC0D6C" w:rsidP="00360CA3">
            <w:pPr>
              <w:rPr>
                <w:rFonts w:ascii="Arial" w:hAnsi="Arial" w:cs="Arial"/>
              </w:rPr>
            </w:pPr>
            <w:r w:rsidRPr="002612FD">
              <w:rPr>
                <w:rFonts w:ascii="Arial" w:hAnsi="Arial" w:cs="Arial"/>
              </w:rPr>
              <w:t>Limited inclusion of recent data; many studies predate 2010.</w:t>
            </w:r>
          </w:p>
          <w:p w14:paraId="5E3302A9" w14:textId="77777777" w:rsidR="00CC0D6C" w:rsidRPr="002612FD" w:rsidRDefault="00CC0D6C" w:rsidP="00360CA3">
            <w:pPr>
              <w:rPr>
                <w:rFonts w:ascii="Arial" w:hAnsi="Arial" w:cs="Arial"/>
              </w:rPr>
            </w:pPr>
            <w:r w:rsidRPr="002612FD">
              <w:rPr>
                <w:rFonts w:ascii="Arial" w:hAnsi="Arial" w:cs="Arial"/>
              </w:rPr>
              <w:t>Reliance on secondary data without new primary research limits applicability.</w:t>
            </w:r>
          </w:p>
        </w:tc>
      </w:tr>
      <w:tr w:rsidR="00CC0D6C" w:rsidRPr="002612FD" w14:paraId="23ED1461" w14:textId="77777777" w:rsidTr="000C00F6">
        <w:tc>
          <w:tcPr>
            <w:tcW w:w="1440" w:type="dxa"/>
            <w:shd w:val="clear" w:color="auto" w:fill="D9D9D9" w:themeFill="background1" w:themeFillShade="D9"/>
          </w:tcPr>
          <w:p w14:paraId="77A45ADD" w14:textId="77777777" w:rsidR="00551CF4" w:rsidRDefault="00CC0D6C" w:rsidP="00360CA3">
            <w:pPr>
              <w:rPr>
                <w:rFonts w:ascii="Arial" w:hAnsi="Arial" w:cs="Arial"/>
              </w:rPr>
            </w:pPr>
            <w:r w:rsidRPr="002612FD">
              <w:rPr>
                <w:rFonts w:ascii="Arial" w:hAnsi="Arial" w:cs="Arial"/>
              </w:rPr>
              <w:t>Lindley</w:t>
            </w:r>
          </w:p>
          <w:p w14:paraId="3F3FB96F" w14:textId="773ED98D" w:rsidR="00CC0D6C" w:rsidRPr="002612FD" w:rsidRDefault="00CC0D6C" w:rsidP="00360CA3">
            <w:pPr>
              <w:rPr>
                <w:rFonts w:ascii="Arial" w:hAnsi="Arial" w:cs="Arial"/>
              </w:rPr>
            </w:pPr>
            <w:r w:rsidRPr="002612FD">
              <w:rPr>
                <w:rFonts w:ascii="Arial" w:hAnsi="Arial" w:cs="Arial"/>
              </w:rPr>
              <w:t xml:space="preserve">et al. </w:t>
            </w:r>
          </w:p>
        </w:tc>
        <w:tc>
          <w:tcPr>
            <w:tcW w:w="810" w:type="dxa"/>
            <w:shd w:val="clear" w:color="auto" w:fill="D9D9D9" w:themeFill="background1" w:themeFillShade="D9"/>
          </w:tcPr>
          <w:p w14:paraId="0AB9B61D" w14:textId="77777777" w:rsidR="00CC0D6C" w:rsidRPr="002612FD" w:rsidRDefault="00CC0D6C" w:rsidP="00360CA3">
            <w:pPr>
              <w:rPr>
                <w:rFonts w:ascii="Arial" w:hAnsi="Arial" w:cs="Arial"/>
              </w:rPr>
            </w:pPr>
            <w:r w:rsidRPr="002612FD">
              <w:rPr>
                <w:rFonts w:ascii="Arial" w:hAnsi="Arial" w:cs="Arial"/>
              </w:rPr>
              <w:t>2021</w:t>
            </w:r>
          </w:p>
        </w:tc>
        <w:tc>
          <w:tcPr>
            <w:tcW w:w="1350" w:type="dxa"/>
            <w:shd w:val="clear" w:color="auto" w:fill="D9D9D9" w:themeFill="background1" w:themeFillShade="D9"/>
          </w:tcPr>
          <w:p w14:paraId="118C2166"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shd w:val="clear" w:color="auto" w:fill="D9D9D9" w:themeFill="background1" w:themeFillShade="D9"/>
          </w:tcPr>
          <w:p w14:paraId="47E9F5A2" w14:textId="77777777" w:rsidR="00CC0D6C" w:rsidRPr="002612FD" w:rsidRDefault="00CC0D6C" w:rsidP="00360CA3">
            <w:pPr>
              <w:rPr>
                <w:rFonts w:ascii="Arial" w:hAnsi="Arial" w:cs="Arial"/>
              </w:rPr>
            </w:pPr>
            <w:r w:rsidRPr="002612FD">
              <w:rPr>
                <w:rFonts w:ascii="Arial" w:hAnsi="Arial" w:cs="Arial"/>
              </w:rPr>
              <w:t>Synthesis of data from large-scale studies and registries, including REGARDS, Women’s Health Initiative, and Jackson Heart Study</w:t>
            </w:r>
          </w:p>
        </w:tc>
        <w:tc>
          <w:tcPr>
            <w:tcW w:w="1710" w:type="dxa"/>
            <w:shd w:val="clear" w:color="auto" w:fill="D9D9D9" w:themeFill="background1" w:themeFillShade="D9"/>
          </w:tcPr>
          <w:p w14:paraId="75812ECD" w14:textId="77777777" w:rsidR="00CC0D6C" w:rsidRPr="002612FD" w:rsidRDefault="00CC0D6C" w:rsidP="00360CA3">
            <w:pPr>
              <w:rPr>
                <w:rFonts w:ascii="Arial" w:hAnsi="Arial" w:cs="Arial"/>
              </w:rPr>
            </w:pPr>
            <w:r w:rsidRPr="002612FD">
              <w:rPr>
                <w:rFonts w:ascii="Arial" w:hAnsi="Arial" w:cs="Arial"/>
              </w:rPr>
              <w:t>Textual Evidence and Narrative Reviews</w:t>
            </w:r>
          </w:p>
        </w:tc>
        <w:tc>
          <w:tcPr>
            <w:tcW w:w="3600" w:type="dxa"/>
            <w:shd w:val="clear" w:color="auto" w:fill="D9D9D9" w:themeFill="background1" w:themeFillShade="D9"/>
          </w:tcPr>
          <w:p w14:paraId="77ED5E56" w14:textId="77777777" w:rsidR="00CC0D6C" w:rsidRPr="002612FD" w:rsidRDefault="00CC0D6C" w:rsidP="00360CA3">
            <w:pPr>
              <w:rPr>
                <w:rFonts w:ascii="Arial" w:hAnsi="Arial" w:cs="Arial"/>
              </w:rPr>
            </w:pPr>
            <w:r w:rsidRPr="002612FD">
              <w:rPr>
                <w:rFonts w:ascii="Arial" w:hAnsi="Arial" w:cs="Arial"/>
              </w:rPr>
              <w:t>Women with low annual income faced a 1.5-fold higher risk for cardiovascular events compared to higher-income women, with significant disparities among racial minorities. Rural women had higher maternal cardiovascular morbidity and mortality rates due to limited access to care, with a 20% higher mortality rate compared to urban women.</w:t>
            </w:r>
          </w:p>
        </w:tc>
        <w:tc>
          <w:tcPr>
            <w:tcW w:w="2520" w:type="dxa"/>
            <w:shd w:val="clear" w:color="auto" w:fill="D9D9D9" w:themeFill="background1" w:themeFillShade="D9"/>
          </w:tcPr>
          <w:p w14:paraId="684910C9" w14:textId="77777777" w:rsidR="00CC0D6C" w:rsidRPr="002612FD" w:rsidRDefault="00CC0D6C" w:rsidP="00360CA3">
            <w:pPr>
              <w:rPr>
                <w:rFonts w:ascii="Arial" w:hAnsi="Arial" w:cs="Arial"/>
              </w:rPr>
            </w:pPr>
            <w:r w:rsidRPr="002612FD">
              <w:rPr>
                <w:rFonts w:ascii="Arial" w:hAnsi="Arial" w:cs="Arial"/>
              </w:rPr>
              <w:t xml:space="preserve">Strengths: </w:t>
            </w:r>
          </w:p>
          <w:p w14:paraId="5615DF7C" w14:textId="77777777" w:rsidR="00CC0D6C" w:rsidRPr="002612FD" w:rsidRDefault="00CC0D6C" w:rsidP="00360CA3">
            <w:pPr>
              <w:rPr>
                <w:rFonts w:ascii="Arial" w:hAnsi="Arial" w:cs="Arial"/>
              </w:rPr>
            </w:pPr>
            <w:r w:rsidRPr="002612FD">
              <w:rPr>
                <w:rFonts w:ascii="Arial" w:hAnsi="Arial" w:cs="Arial"/>
              </w:rPr>
              <w:t>Comprehensive focus on the intersection of sex, gender, and SDoH in cardiovascular outcomes.</w:t>
            </w:r>
          </w:p>
          <w:p w14:paraId="202B8A8A" w14:textId="77777777" w:rsidR="00CC0D6C" w:rsidRPr="002612FD" w:rsidRDefault="00CC0D6C" w:rsidP="00360CA3">
            <w:pPr>
              <w:rPr>
                <w:rFonts w:ascii="Arial" w:hAnsi="Arial" w:cs="Arial"/>
              </w:rPr>
            </w:pPr>
            <w:r w:rsidRPr="002612FD">
              <w:rPr>
                <w:rFonts w:ascii="Arial" w:hAnsi="Arial" w:cs="Arial"/>
              </w:rPr>
              <w:t>Highlights actionable solutions, including policy reforms and healthcare innovations.</w:t>
            </w:r>
          </w:p>
          <w:p w14:paraId="416E9897" w14:textId="77777777" w:rsidR="00CC0D6C" w:rsidRPr="002612FD" w:rsidRDefault="00CC0D6C" w:rsidP="00360CA3">
            <w:pPr>
              <w:rPr>
                <w:rFonts w:ascii="Arial" w:hAnsi="Arial" w:cs="Arial"/>
              </w:rPr>
            </w:pPr>
          </w:p>
          <w:p w14:paraId="4AE0A522" w14:textId="77777777" w:rsidR="00CC0D6C" w:rsidRPr="002612FD" w:rsidRDefault="00CC0D6C" w:rsidP="00360CA3">
            <w:pPr>
              <w:rPr>
                <w:rFonts w:ascii="Arial" w:hAnsi="Arial" w:cs="Arial"/>
              </w:rPr>
            </w:pPr>
            <w:r w:rsidRPr="002612FD">
              <w:rPr>
                <w:rFonts w:ascii="Arial" w:hAnsi="Arial" w:cs="Arial"/>
              </w:rPr>
              <w:t xml:space="preserve">Limitations: </w:t>
            </w:r>
          </w:p>
          <w:p w14:paraId="272BDFBF" w14:textId="77777777" w:rsidR="00CC0D6C" w:rsidRPr="002612FD" w:rsidRDefault="00CC0D6C" w:rsidP="00360CA3">
            <w:pPr>
              <w:rPr>
                <w:rFonts w:ascii="Arial" w:hAnsi="Arial" w:cs="Arial"/>
              </w:rPr>
            </w:pPr>
            <w:r w:rsidRPr="002612FD">
              <w:rPr>
                <w:rFonts w:ascii="Arial" w:hAnsi="Arial" w:cs="Arial"/>
              </w:rPr>
              <w:t>Limited primary data and reliance on existing literature.</w:t>
            </w:r>
          </w:p>
          <w:p w14:paraId="5933666C" w14:textId="77777777" w:rsidR="00CC0D6C" w:rsidRPr="002612FD" w:rsidRDefault="00CC0D6C" w:rsidP="00360CA3">
            <w:pPr>
              <w:rPr>
                <w:rFonts w:ascii="Arial" w:hAnsi="Arial" w:cs="Arial"/>
              </w:rPr>
            </w:pPr>
            <w:r w:rsidRPr="002612FD">
              <w:rPr>
                <w:rFonts w:ascii="Arial" w:hAnsi="Arial" w:cs="Arial"/>
              </w:rPr>
              <w:t>Underrepresentation of non-binary and LGBTQ+ populations in the data.</w:t>
            </w:r>
          </w:p>
        </w:tc>
      </w:tr>
      <w:tr w:rsidR="00CC0D6C" w:rsidRPr="002612FD" w14:paraId="1AB6975D" w14:textId="77777777" w:rsidTr="0024775A">
        <w:tc>
          <w:tcPr>
            <w:tcW w:w="1440" w:type="dxa"/>
            <w:shd w:val="clear" w:color="auto" w:fill="auto"/>
          </w:tcPr>
          <w:p w14:paraId="59338A3B" w14:textId="77777777" w:rsidR="00CC0D6C" w:rsidRPr="002612FD" w:rsidRDefault="00CC0D6C" w:rsidP="00360CA3">
            <w:pPr>
              <w:rPr>
                <w:rFonts w:ascii="Arial" w:hAnsi="Arial" w:cs="Arial"/>
              </w:rPr>
            </w:pPr>
            <w:r w:rsidRPr="002612FD">
              <w:rPr>
                <w:rFonts w:ascii="Arial" w:hAnsi="Arial" w:cs="Arial"/>
              </w:rPr>
              <w:t xml:space="preserve">Mansi et al. </w:t>
            </w:r>
          </w:p>
          <w:p w14:paraId="294ACDBB" w14:textId="77777777" w:rsidR="00CC0D6C" w:rsidRPr="002612FD" w:rsidRDefault="00CC0D6C" w:rsidP="00360CA3">
            <w:pPr>
              <w:rPr>
                <w:rFonts w:ascii="Arial" w:hAnsi="Arial" w:cs="Arial"/>
              </w:rPr>
            </w:pPr>
          </w:p>
        </w:tc>
        <w:tc>
          <w:tcPr>
            <w:tcW w:w="810" w:type="dxa"/>
            <w:shd w:val="clear" w:color="auto" w:fill="auto"/>
          </w:tcPr>
          <w:p w14:paraId="35C33FAC" w14:textId="77777777" w:rsidR="00CC0D6C" w:rsidRPr="002612FD" w:rsidRDefault="00CC0D6C" w:rsidP="00360CA3">
            <w:pPr>
              <w:rPr>
                <w:rFonts w:ascii="Arial" w:hAnsi="Arial" w:cs="Arial"/>
              </w:rPr>
            </w:pPr>
            <w:r w:rsidRPr="002612FD">
              <w:rPr>
                <w:rFonts w:ascii="Arial" w:hAnsi="Arial" w:cs="Arial"/>
              </w:rPr>
              <w:t>2011</w:t>
            </w:r>
          </w:p>
        </w:tc>
        <w:tc>
          <w:tcPr>
            <w:tcW w:w="1350" w:type="dxa"/>
            <w:shd w:val="clear" w:color="auto" w:fill="auto"/>
          </w:tcPr>
          <w:p w14:paraId="1E6E80EE" w14:textId="77777777" w:rsidR="00CC0D6C" w:rsidRPr="002612FD" w:rsidRDefault="00CC0D6C" w:rsidP="00360CA3">
            <w:pPr>
              <w:rPr>
                <w:rFonts w:ascii="Arial" w:hAnsi="Arial" w:cs="Arial"/>
              </w:rPr>
            </w:pPr>
            <w:r w:rsidRPr="002612FD">
              <w:rPr>
                <w:rFonts w:ascii="Arial" w:hAnsi="Arial" w:cs="Arial"/>
              </w:rPr>
              <w:t>Retrospective cohort study</w:t>
            </w:r>
          </w:p>
        </w:tc>
        <w:tc>
          <w:tcPr>
            <w:tcW w:w="1890" w:type="dxa"/>
            <w:shd w:val="clear" w:color="auto" w:fill="auto"/>
          </w:tcPr>
          <w:p w14:paraId="1054DCF7" w14:textId="77777777" w:rsidR="00CC0D6C" w:rsidRPr="002612FD" w:rsidRDefault="00CC0D6C" w:rsidP="00360CA3">
            <w:pPr>
              <w:rPr>
                <w:rFonts w:ascii="Arial" w:hAnsi="Arial" w:cs="Arial"/>
              </w:rPr>
            </w:pPr>
            <w:r w:rsidRPr="002612FD">
              <w:rPr>
                <w:rFonts w:ascii="Arial" w:hAnsi="Arial" w:cs="Arial"/>
              </w:rPr>
              <w:t>Analyzes data from 123,996 adult patients with HF in Louisiana</w:t>
            </w:r>
          </w:p>
        </w:tc>
        <w:tc>
          <w:tcPr>
            <w:tcW w:w="1710" w:type="dxa"/>
            <w:shd w:val="clear" w:color="auto" w:fill="auto"/>
          </w:tcPr>
          <w:p w14:paraId="22ADB38B" w14:textId="77777777" w:rsidR="00CC0D6C" w:rsidRPr="002612FD" w:rsidRDefault="00CC0D6C" w:rsidP="00360CA3">
            <w:pPr>
              <w:rPr>
                <w:rFonts w:ascii="Arial" w:hAnsi="Arial" w:cs="Arial"/>
              </w:rPr>
            </w:pPr>
            <w:r w:rsidRPr="002612FD">
              <w:rPr>
                <w:rFonts w:ascii="Arial" w:hAnsi="Arial" w:cs="Arial"/>
              </w:rPr>
              <w:t>Cohort Studies</w:t>
            </w:r>
          </w:p>
        </w:tc>
        <w:tc>
          <w:tcPr>
            <w:tcW w:w="3600" w:type="dxa"/>
            <w:shd w:val="clear" w:color="auto" w:fill="auto"/>
          </w:tcPr>
          <w:p w14:paraId="7CCD9DBB" w14:textId="77777777" w:rsidR="00CC0D6C" w:rsidRPr="002612FD" w:rsidRDefault="00CC0D6C" w:rsidP="00360CA3">
            <w:pPr>
              <w:rPr>
                <w:rFonts w:ascii="Arial" w:hAnsi="Arial" w:cs="Arial"/>
              </w:rPr>
            </w:pPr>
            <w:r w:rsidRPr="002612FD">
              <w:rPr>
                <w:rFonts w:ascii="Arial" w:hAnsi="Arial" w:cs="Arial"/>
              </w:rPr>
              <w:t>Lack of health insurance is associated with worse outcomes, underscoring the critical role of insurance in managing chronic HF. Patients in the lowest income quartile (&lt;$30,000 annually) had a 28% lower adherence to statins compared to the highest income quartile (≥$75,000 annually; OR 0.72, 95% CI [0.70–0.74]). Higher educational attainment was associated with improved medication adherence, with college graduates having a 15% higher adherence compared to those with a high school diploma or less (OR 1.15, 95% CI [1.12–1.18]). Patients with private insurance had a 20% higher statin adherence rate compared to those with Medicaid or no insurance (OR 1.20, 95% CI [1.18–1.23]). Living in medically underserved areas correlated with a 19% lower adherence rate (OR 0.81, 95% CI [0.78–0.84]). Patients with strong family or community support reported higher medication adherence rates, though this was qualitatively noted rather than quantified.</w:t>
            </w:r>
          </w:p>
        </w:tc>
        <w:tc>
          <w:tcPr>
            <w:tcW w:w="2520" w:type="dxa"/>
            <w:shd w:val="clear" w:color="auto" w:fill="auto"/>
          </w:tcPr>
          <w:p w14:paraId="7728FEA6" w14:textId="77777777" w:rsidR="00CC0D6C" w:rsidRPr="002612FD" w:rsidRDefault="00CC0D6C" w:rsidP="00360CA3">
            <w:pPr>
              <w:rPr>
                <w:rFonts w:ascii="Arial" w:hAnsi="Arial" w:cs="Arial"/>
              </w:rPr>
            </w:pPr>
            <w:r w:rsidRPr="002612FD">
              <w:rPr>
                <w:rFonts w:ascii="Arial" w:hAnsi="Arial" w:cs="Arial"/>
              </w:rPr>
              <w:t>Strengths:</w:t>
            </w:r>
          </w:p>
          <w:p w14:paraId="7ABE1FE9" w14:textId="77777777" w:rsidR="00CC0D6C" w:rsidRPr="002612FD" w:rsidRDefault="00CC0D6C" w:rsidP="00360CA3">
            <w:pPr>
              <w:rPr>
                <w:rFonts w:ascii="Arial" w:hAnsi="Arial" w:cs="Arial"/>
              </w:rPr>
            </w:pPr>
            <w:r w:rsidRPr="002612FD">
              <w:rPr>
                <w:rFonts w:ascii="Arial" w:hAnsi="Arial" w:cs="Arial"/>
              </w:rPr>
              <w:t xml:space="preserve">Large, diverse </w:t>
            </w:r>
            <w:proofErr w:type="gramStart"/>
            <w:r w:rsidRPr="002612FD">
              <w:rPr>
                <w:rFonts w:ascii="Arial" w:hAnsi="Arial" w:cs="Arial"/>
              </w:rPr>
              <w:t>sample</w:t>
            </w:r>
            <w:proofErr w:type="gramEnd"/>
            <w:r w:rsidRPr="002612FD">
              <w:rPr>
                <w:rFonts w:ascii="Arial" w:hAnsi="Arial" w:cs="Arial"/>
              </w:rPr>
              <w:t xml:space="preserve"> from a managed care database.</w:t>
            </w:r>
          </w:p>
          <w:p w14:paraId="6ADB265A" w14:textId="77777777" w:rsidR="00CC0D6C" w:rsidRPr="002612FD" w:rsidRDefault="00CC0D6C" w:rsidP="00360CA3">
            <w:pPr>
              <w:rPr>
                <w:rFonts w:ascii="Arial" w:hAnsi="Arial" w:cs="Arial"/>
              </w:rPr>
            </w:pPr>
            <w:r w:rsidRPr="002612FD">
              <w:rPr>
                <w:rFonts w:ascii="Arial" w:hAnsi="Arial" w:cs="Arial"/>
              </w:rPr>
              <w:t>Clear stratification of SES and its impact on health behaviors.</w:t>
            </w:r>
          </w:p>
          <w:p w14:paraId="745B3C82" w14:textId="77777777" w:rsidR="00CC0D6C" w:rsidRPr="002612FD" w:rsidRDefault="00CC0D6C" w:rsidP="00360CA3">
            <w:pPr>
              <w:rPr>
                <w:rFonts w:ascii="Arial" w:hAnsi="Arial" w:cs="Arial"/>
              </w:rPr>
            </w:pPr>
          </w:p>
          <w:p w14:paraId="6B2D4421" w14:textId="77777777" w:rsidR="00CC0D6C" w:rsidRPr="002612FD" w:rsidRDefault="00CC0D6C" w:rsidP="00360CA3">
            <w:pPr>
              <w:rPr>
                <w:rFonts w:ascii="Arial" w:hAnsi="Arial" w:cs="Arial"/>
              </w:rPr>
            </w:pPr>
            <w:r w:rsidRPr="002612FD">
              <w:rPr>
                <w:rFonts w:ascii="Arial" w:hAnsi="Arial" w:cs="Arial"/>
              </w:rPr>
              <w:t>Limitations:</w:t>
            </w:r>
          </w:p>
          <w:p w14:paraId="429B9E66" w14:textId="77777777" w:rsidR="00CC0D6C" w:rsidRPr="002612FD" w:rsidRDefault="00CC0D6C" w:rsidP="00360CA3">
            <w:pPr>
              <w:rPr>
                <w:rFonts w:ascii="Arial" w:hAnsi="Arial" w:cs="Arial"/>
              </w:rPr>
            </w:pPr>
            <w:r w:rsidRPr="002612FD">
              <w:rPr>
                <w:rFonts w:ascii="Arial" w:hAnsi="Arial" w:cs="Arial"/>
              </w:rPr>
              <w:t>Retrospective design limits causal inference.</w:t>
            </w:r>
          </w:p>
          <w:p w14:paraId="671884FF" w14:textId="77777777" w:rsidR="00CC0D6C" w:rsidRPr="002612FD" w:rsidRDefault="00CC0D6C" w:rsidP="00360CA3">
            <w:pPr>
              <w:rPr>
                <w:rFonts w:ascii="Arial" w:hAnsi="Arial" w:cs="Arial"/>
              </w:rPr>
            </w:pPr>
            <w:r w:rsidRPr="002612FD">
              <w:rPr>
                <w:rFonts w:ascii="Arial" w:hAnsi="Arial" w:cs="Arial"/>
              </w:rPr>
              <w:t>Lack of granular data on psychosocial variables such as stress and cultural factors affecting adherence.</w:t>
            </w:r>
          </w:p>
          <w:p w14:paraId="32B31197" w14:textId="77777777" w:rsidR="00CC0D6C" w:rsidRPr="002612FD" w:rsidRDefault="00CC0D6C" w:rsidP="00360CA3">
            <w:pPr>
              <w:rPr>
                <w:rFonts w:ascii="Arial" w:hAnsi="Arial" w:cs="Arial"/>
              </w:rPr>
            </w:pPr>
          </w:p>
        </w:tc>
      </w:tr>
      <w:tr w:rsidR="000C00F6" w:rsidRPr="002612FD" w14:paraId="2F26B4DB" w14:textId="77777777" w:rsidTr="000C00F6">
        <w:tc>
          <w:tcPr>
            <w:tcW w:w="1440" w:type="dxa"/>
            <w:shd w:val="clear" w:color="auto" w:fill="D9D9D9" w:themeFill="background1" w:themeFillShade="D9"/>
          </w:tcPr>
          <w:p w14:paraId="69D98587" w14:textId="77777777" w:rsidR="00CC0D6C" w:rsidRPr="002612FD" w:rsidRDefault="00CC0D6C" w:rsidP="00360CA3">
            <w:pPr>
              <w:rPr>
                <w:rFonts w:ascii="Arial" w:hAnsi="Arial" w:cs="Arial"/>
              </w:rPr>
            </w:pPr>
            <w:r w:rsidRPr="002612FD">
              <w:rPr>
                <w:rFonts w:ascii="Arial" w:hAnsi="Arial" w:cs="Arial"/>
              </w:rPr>
              <w:t xml:space="preserve">Nayak et al. </w:t>
            </w:r>
          </w:p>
          <w:p w14:paraId="58E47577" w14:textId="77777777" w:rsidR="00CC0D6C" w:rsidRPr="002612FD" w:rsidRDefault="00CC0D6C" w:rsidP="00360CA3">
            <w:pPr>
              <w:rPr>
                <w:rFonts w:ascii="Arial" w:hAnsi="Arial" w:cs="Arial"/>
              </w:rPr>
            </w:pPr>
          </w:p>
        </w:tc>
        <w:tc>
          <w:tcPr>
            <w:tcW w:w="810" w:type="dxa"/>
            <w:shd w:val="clear" w:color="auto" w:fill="D9D9D9" w:themeFill="background1" w:themeFillShade="D9"/>
          </w:tcPr>
          <w:p w14:paraId="4F7B45DF" w14:textId="77777777" w:rsidR="00CC0D6C" w:rsidRPr="002612FD" w:rsidRDefault="00CC0D6C" w:rsidP="00360CA3">
            <w:pPr>
              <w:rPr>
                <w:rFonts w:ascii="Arial" w:hAnsi="Arial" w:cs="Arial"/>
              </w:rPr>
            </w:pPr>
            <w:r w:rsidRPr="002612FD">
              <w:rPr>
                <w:rFonts w:ascii="Arial" w:hAnsi="Arial" w:cs="Arial"/>
              </w:rPr>
              <w:t>2020</w:t>
            </w:r>
          </w:p>
        </w:tc>
        <w:tc>
          <w:tcPr>
            <w:tcW w:w="1350" w:type="dxa"/>
            <w:shd w:val="clear" w:color="auto" w:fill="D9D9D9" w:themeFill="background1" w:themeFillShade="D9"/>
          </w:tcPr>
          <w:p w14:paraId="47346E94" w14:textId="77777777" w:rsidR="00CC0D6C" w:rsidRPr="002612FD" w:rsidRDefault="00CC0D6C" w:rsidP="00360CA3">
            <w:pPr>
              <w:rPr>
                <w:rFonts w:ascii="Arial" w:hAnsi="Arial" w:cs="Arial"/>
              </w:rPr>
            </w:pPr>
            <w:r w:rsidRPr="002612FD">
              <w:rPr>
                <w:rFonts w:ascii="Arial" w:hAnsi="Arial" w:cs="Arial"/>
              </w:rPr>
              <w:t>Narrative review</w:t>
            </w:r>
          </w:p>
        </w:tc>
        <w:tc>
          <w:tcPr>
            <w:tcW w:w="1890" w:type="dxa"/>
            <w:shd w:val="clear" w:color="auto" w:fill="D9D9D9" w:themeFill="background1" w:themeFillShade="D9"/>
          </w:tcPr>
          <w:p w14:paraId="4182F331" w14:textId="77777777" w:rsidR="00CC0D6C" w:rsidRPr="002612FD" w:rsidRDefault="00CC0D6C" w:rsidP="00360CA3">
            <w:pPr>
              <w:rPr>
                <w:rFonts w:ascii="Arial" w:hAnsi="Arial" w:cs="Arial"/>
              </w:rPr>
            </w:pPr>
            <w:r w:rsidRPr="002612FD">
              <w:rPr>
                <w:rFonts w:ascii="Arial" w:hAnsi="Arial" w:cs="Arial"/>
              </w:rPr>
              <w:t>Synthesizes data from U.S.-based registries and studies, including NHANES, ARIC, MESA, and CARDIA, covering large-scale analyses of HF in African Americans.</w:t>
            </w:r>
          </w:p>
        </w:tc>
        <w:tc>
          <w:tcPr>
            <w:tcW w:w="1710" w:type="dxa"/>
            <w:shd w:val="clear" w:color="auto" w:fill="D9D9D9" w:themeFill="background1" w:themeFillShade="D9"/>
          </w:tcPr>
          <w:p w14:paraId="57B866F5" w14:textId="77777777" w:rsidR="00CC0D6C" w:rsidRPr="002612FD" w:rsidRDefault="00CC0D6C" w:rsidP="00360CA3">
            <w:pPr>
              <w:rPr>
                <w:rFonts w:ascii="Arial" w:hAnsi="Arial" w:cs="Arial"/>
              </w:rPr>
            </w:pPr>
            <w:r w:rsidRPr="002612FD">
              <w:rPr>
                <w:rFonts w:ascii="Arial" w:hAnsi="Arial" w:cs="Arial"/>
              </w:rPr>
              <w:t>Textual Evidence and Narrative Reviews</w:t>
            </w:r>
          </w:p>
        </w:tc>
        <w:tc>
          <w:tcPr>
            <w:tcW w:w="3600" w:type="dxa"/>
            <w:shd w:val="clear" w:color="auto" w:fill="D9D9D9" w:themeFill="background1" w:themeFillShade="D9"/>
          </w:tcPr>
          <w:p w14:paraId="58529BC5" w14:textId="77777777" w:rsidR="00CC0D6C" w:rsidRPr="002612FD" w:rsidRDefault="00CC0D6C" w:rsidP="00360CA3">
            <w:pPr>
              <w:rPr>
                <w:rFonts w:ascii="Arial" w:hAnsi="Arial" w:cs="Arial"/>
              </w:rPr>
            </w:pPr>
            <w:r w:rsidRPr="002612FD">
              <w:rPr>
                <w:rFonts w:ascii="Arial" w:hAnsi="Arial" w:cs="Arial"/>
              </w:rPr>
              <w:t>African Americans with HF had 2.6- to 2.97-fold higher mortality rates than White individuals. Financial toxicity, including higher out-of-pocket costs for HF medications, was a significant barrier to care. Low health literacy among African Americans was associated with worse HF outcomes, including poor adherence to guideline-directed medical therapies (GDMT). African Americans were less likely to receive care from a cardiologist during ICU admissions for HF (adjusted OR: 0.78, 95% CI [0.65–0.92]) and were underrepresented in HF clinical trials despite higher disease prevalence. Living in food deserts increased HF hospitalization risk by 15% (</w:t>
            </w:r>
            <w:r w:rsidRPr="002612FD">
              <w:rPr>
                <w:rFonts w:ascii="Arial" w:hAnsi="Arial" w:cs="Arial"/>
                <w:i/>
                <w:iCs/>
              </w:rPr>
              <w:t xml:space="preserve">p </w:t>
            </w:r>
            <w:r w:rsidRPr="002612FD">
              <w:rPr>
                <w:rFonts w:ascii="Arial" w:hAnsi="Arial" w:cs="Arial"/>
              </w:rPr>
              <w:t xml:space="preserve">&lt; .05), and neighborhood deprivation correlated with a 12% higher risk of incident HF. Implicit bias in clinical decision-making contributed to underutilization of advanced HF therapies. </w:t>
            </w:r>
          </w:p>
          <w:p w14:paraId="742EBB71" w14:textId="77777777" w:rsidR="00CC0D6C" w:rsidRPr="002612FD" w:rsidRDefault="00CC0D6C" w:rsidP="00360CA3">
            <w:pPr>
              <w:rPr>
                <w:rFonts w:ascii="Arial" w:hAnsi="Arial" w:cs="Arial"/>
              </w:rPr>
            </w:pPr>
          </w:p>
        </w:tc>
        <w:tc>
          <w:tcPr>
            <w:tcW w:w="2520" w:type="dxa"/>
            <w:shd w:val="clear" w:color="auto" w:fill="D9D9D9" w:themeFill="background1" w:themeFillShade="D9"/>
          </w:tcPr>
          <w:p w14:paraId="3FD9C6F3" w14:textId="77777777" w:rsidR="00CC0D6C" w:rsidRPr="002612FD" w:rsidRDefault="00CC0D6C" w:rsidP="00360CA3">
            <w:pPr>
              <w:rPr>
                <w:rFonts w:ascii="Arial" w:hAnsi="Arial" w:cs="Arial"/>
              </w:rPr>
            </w:pPr>
            <w:r w:rsidRPr="002612FD">
              <w:rPr>
                <w:rFonts w:ascii="Arial" w:hAnsi="Arial" w:cs="Arial"/>
              </w:rPr>
              <w:t>Strengths:</w:t>
            </w:r>
          </w:p>
          <w:p w14:paraId="20B23D82" w14:textId="77777777" w:rsidR="00CC0D6C" w:rsidRPr="002612FD" w:rsidRDefault="00CC0D6C" w:rsidP="00360CA3">
            <w:pPr>
              <w:rPr>
                <w:rFonts w:ascii="Arial" w:hAnsi="Arial" w:cs="Arial"/>
              </w:rPr>
            </w:pPr>
            <w:r w:rsidRPr="002612FD">
              <w:rPr>
                <w:rFonts w:ascii="Arial" w:hAnsi="Arial" w:cs="Arial"/>
              </w:rPr>
              <w:t>Comprehensive review integrating genetic, clinical, and social factors affecting HF outcomes in African Americans.</w:t>
            </w:r>
          </w:p>
          <w:p w14:paraId="70EE66E9" w14:textId="77777777" w:rsidR="00CC0D6C" w:rsidRPr="002612FD" w:rsidRDefault="00CC0D6C" w:rsidP="00360CA3">
            <w:pPr>
              <w:rPr>
                <w:rFonts w:ascii="Arial" w:hAnsi="Arial" w:cs="Arial"/>
              </w:rPr>
            </w:pPr>
            <w:r w:rsidRPr="002612FD">
              <w:rPr>
                <w:rFonts w:ascii="Arial" w:hAnsi="Arial" w:cs="Arial"/>
              </w:rPr>
              <w:t>Highlights structural barriers and actionable policy-level changes to reduce disparities.</w:t>
            </w:r>
          </w:p>
          <w:p w14:paraId="04EEEBD0" w14:textId="77777777" w:rsidR="00CC0D6C" w:rsidRPr="002612FD" w:rsidRDefault="00CC0D6C" w:rsidP="00360CA3">
            <w:pPr>
              <w:rPr>
                <w:rFonts w:ascii="Arial" w:hAnsi="Arial" w:cs="Arial"/>
              </w:rPr>
            </w:pPr>
          </w:p>
          <w:p w14:paraId="5CD94514" w14:textId="77777777" w:rsidR="00CC0D6C" w:rsidRPr="002612FD" w:rsidRDefault="00CC0D6C" w:rsidP="00360CA3">
            <w:pPr>
              <w:rPr>
                <w:rFonts w:ascii="Arial" w:hAnsi="Arial" w:cs="Arial"/>
              </w:rPr>
            </w:pPr>
            <w:r w:rsidRPr="002612FD">
              <w:rPr>
                <w:rFonts w:ascii="Arial" w:hAnsi="Arial" w:cs="Arial"/>
              </w:rPr>
              <w:t xml:space="preserve">Limitations: </w:t>
            </w:r>
          </w:p>
          <w:p w14:paraId="163C0B27" w14:textId="77777777" w:rsidR="00CC0D6C" w:rsidRPr="002612FD" w:rsidRDefault="00CC0D6C" w:rsidP="00360CA3">
            <w:pPr>
              <w:rPr>
                <w:rFonts w:ascii="Arial" w:hAnsi="Arial" w:cs="Arial"/>
              </w:rPr>
            </w:pPr>
            <w:r w:rsidRPr="002612FD">
              <w:rPr>
                <w:rFonts w:ascii="Arial" w:hAnsi="Arial" w:cs="Arial"/>
              </w:rPr>
              <w:t>Reliance on secondary data with limited patient-level analysis.</w:t>
            </w:r>
          </w:p>
          <w:p w14:paraId="18848673" w14:textId="77777777" w:rsidR="00CC0D6C" w:rsidRPr="002612FD" w:rsidRDefault="00CC0D6C" w:rsidP="00360CA3">
            <w:pPr>
              <w:rPr>
                <w:rFonts w:ascii="Arial" w:hAnsi="Arial" w:cs="Arial"/>
              </w:rPr>
            </w:pPr>
            <w:r w:rsidRPr="002612FD">
              <w:rPr>
                <w:rFonts w:ascii="Arial" w:hAnsi="Arial" w:cs="Arial"/>
              </w:rPr>
              <w:t>Focused primarily on African Americans, with less emphasis on other racial or ethnic minorities.</w:t>
            </w:r>
          </w:p>
        </w:tc>
      </w:tr>
      <w:tr w:rsidR="00CC0D6C" w:rsidRPr="002612FD" w14:paraId="10CA6154" w14:textId="77777777" w:rsidTr="0024775A">
        <w:tc>
          <w:tcPr>
            <w:tcW w:w="1440" w:type="dxa"/>
            <w:shd w:val="clear" w:color="auto" w:fill="auto"/>
          </w:tcPr>
          <w:p w14:paraId="7F9BE38E" w14:textId="77777777" w:rsidR="00EA113C" w:rsidRDefault="00CC0D6C" w:rsidP="00360CA3">
            <w:pPr>
              <w:rPr>
                <w:rFonts w:ascii="Arial" w:hAnsi="Arial" w:cs="Arial"/>
              </w:rPr>
            </w:pPr>
            <w:r w:rsidRPr="002612FD">
              <w:rPr>
                <w:rFonts w:ascii="Arial" w:hAnsi="Arial" w:cs="Arial"/>
              </w:rPr>
              <w:t xml:space="preserve">Parekh </w:t>
            </w:r>
          </w:p>
          <w:p w14:paraId="7AF50F8B" w14:textId="574B5229" w:rsidR="00CC0D6C" w:rsidRPr="002612FD" w:rsidRDefault="00CC0D6C" w:rsidP="00360CA3">
            <w:pPr>
              <w:rPr>
                <w:rFonts w:ascii="Arial" w:hAnsi="Arial" w:cs="Arial"/>
              </w:rPr>
            </w:pPr>
            <w:r w:rsidRPr="002612FD">
              <w:rPr>
                <w:rFonts w:ascii="Arial" w:hAnsi="Arial" w:cs="Arial"/>
              </w:rPr>
              <w:t xml:space="preserve">et al. </w:t>
            </w:r>
          </w:p>
        </w:tc>
        <w:tc>
          <w:tcPr>
            <w:tcW w:w="810" w:type="dxa"/>
            <w:shd w:val="clear" w:color="auto" w:fill="auto"/>
          </w:tcPr>
          <w:p w14:paraId="26624D78" w14:textId="77777777" w:rsidR="00CC0D6C" w:rsidRPr="002612FD" w:rsidRDefault="00CC0D6C" w:rsidP="00360CA3">
            <w:pPr>
              <w:rPr>
                <w:rFonts w:ascii="Arial" w:hAnsi="Arial" w:cs="Arial"/>
              </w:rPr>
            </w:pPr>
            <w:r w:rsidRPr="002612FD">
              <w:rPr>
                <w:rFonts w:ascii="Arial" w:hAnsi="Arial" w:cs="Arial"/>
              </w:rPr>
              <w:t>2022</w:t>
            </w:r>
          </w:p>
        </w:tc>
        <w:tc>
          <w:tcPr>
            <w:tcW w:w="1350" w:type="dxa"/>
            <w:shd w:val="clear" w:color="auto" w:fill="auto"/>
          </w:tcPr>
          <w:p w14:paraId="2442C5BE" w14:textId="77777777" w:rsidR="00CC0D6C" w:rsidRPr="002612FD" w:rsidRDefault="00CC0D6C" w:rsidP="00360CA3">
            <w:pPr>
              <w:rPr>
                <w:rFonts w:ascii="Arial" w:hAnsi="Arial" w:cs="Arial"/>
              </w:rPr>
            </w:pPr>
            <w:r w:rsidRPr="002612FD">
              <w:rPr>
                <w:rFonts w:ascii="Arial" w:hAnsi="Arial" w:cs="Arial"/>
              </w:rPr>
              <w:t>Systematic Review</w:t>
            </w:r>
          </w:p>
        </w:tc>
        <w:tc>
          <w:tcPr>
            <w:tcW w:w="1890" w:type="dxa"/>
            <w:shd w:val="clear" w:color="auto" w:fill="auto"/>
          </w:tcPr>
          <w:p w14:paraId="30A8D900" w14:textId="77777777" w:rsidR="00CC0D6C" w:rsidRPr="002612FD" w:rsidRDefault="00CC0D6C" w:rsidP="00360CA3">
            <w:pPr>
              <w:rPr>
                <w:rFonts w:ascii="Arial" w:hAnsi="Arial" w:cs="Arial"/>
              </w:rPr>
            </w:pPr>
            <w:r w:rsidRPr="002612FD">
              <w:rPr>
                <w:rFonts w:ascii="Arial" w:hAnsi="Arial" w:cs="Arial"/>
              </w:rPr>
              <w:t>Review of 19 studies conducted in the U.S. from 2010 to 2021, including 15 cross-sectional and 4 cohort studies. Studies analyzed over 2 million individuals, focusing on food insecurity and housing instability as SDoH factors influencing CVD outcomes.</w:t>
            </w:r>
          </w:p>
          <w:p w14:paraId="589999B5" w14:textId="77777777" w:rsidR="00CC0D6C" w:rsidRPr="002612FD" w:rsidRDefault="00CC0D6C" w:rsidP="00360CA3">
            <w:pPr>
              <w:rPr>
                <w:rFonts w:ascii="Arial" w:hAnsi="Arial" w:cs="Arial"/>
              </w:rPr>
            </w:pPr>
          </w:p>
        </w:tc>
        <w:tc>
          <w:tcPr>
            <w:tcW w:w="1710" w:type="dxa"/>
            <w:shd w:val="clear" w:color="auto" w:fill="auto"/>
          </w:tcPr>
          <w:p w14:paraId="17AAA440" w14:textId="77777777" w:rsidR="00CC0D6C" w:rsidRPr="002612FD" w:rsidRDefault="00CC0D6C" w:rsidP="00360CA3">
            <w:pPr>
              <w:rPr>
                <w:rFonts w:ascii="Arial" w:hAnsi="Arial" w:cs="Arial"/>
              </w:rPr>
            </w:pPr>
            <w:r w:rsidRPr="002612FD">
              <w:rPr>
                <w:rFonts w:ascii="Arial" w:hAnsi="Arial" w:cs="Arial"/>
              </w:rPr>
              <w:t>Systematic Reviews and Research Syntheses</w:t>
            </w:r>
          </w:p>
        </w:tc>
        <w:tc>
          <w:tcPr>
            <w:tcW w:w="3600" w:type="dxa"/>
            <w:shd w:val="clear" w:color="auto" w:fill="auto"/>
          </w:tcPr>
          <w:p w14:paraId="086BE985" w14:textId="77777777" w:rsidR="00CC0D6C" w:rsidRPr="002612FD" w:rsidRDefault="00CC0D6C" w:rsidP="00360CA3">
            <w:pPr>
              <w:rPr>
                <w:rFonts w:ascii="Arial" w:hAnsi="Arial" w:cs="Arial"/>
              </w:rPr>
            </w:pPr>
            <w:r w:rsidRPr="002612FD">
              <w:rPr>
                <w:rFonts w:ascii="Arial" w:hAnsi="Arial" w:cs="Arial"/>
              </w:rPr>
              <w:t xml:space="preserve">Food insecurity increased the odds of CVD by 2-4 times (e.g., OR 1.75, 95% CI [1.37–2.24]), with food-insecure individuals incurring $950 higher annual healthcare costs for stroke management. Adults experiencing housing insecurity had </w:t>
            </w:r>
            <w:proofErr w:type="gramStart"/>
            <w:r w:rsidRPr="002612FD">
              <w:rPr>
                <w:rFonts w:ascii="Arial" w:hAnsi="Arial" w:cs="Arial"/>
              </w:rPr>
              <w:t>an 85% higher odds of CVD</w:t>
            </w:r>
            <w:proofErr w:type="gramEnd"/>
            <w:r w:rsidRPr="002612FD">
              <w:rPr>
                <w:rFonts w:ascii="Arial" w:hAnsi="Arial" w:cs="Arial"/>
              </w:rPr>
              <w:t xml:space="preserve"> (OR 1.85, 95% CI [1.04–3.28]) compared to housing-secure individuals. Homelessness was associated with a 2–3 fold higher CVD mortality rate compared to the general population.</w:t>
            </w:r>
          </w:p>
        </w:tc>
        <w:tc>
          <w:tcPr>
            <w:tcW w:w="2520" w:type="dxa"/>
            <w:shd w:val="clear" w:color="auto" w:fill="auto"/>
          </w:tcPr>
          <w:p w14:paraId="2EEA449F" w14:textId="77777777" w:rsidR="00CC0D6C" w:rsidRPr="002612FD" w:rsidRDefault="00CC0D6C" w:rsidP="00360CA3">
            <w:pPr>
              <w:rPr>
                <w:rFonts w:ascii="Arial" w:hAnsi="Arial" w:cs="Arial"/>
              </w:rPr>
            </w:pPr>
            <w:r w:rsidRPr="002612FD">
              <w:rPr>
                <w:rFonts w:ascii="Arial" w:hAnsi="Arial" w:cs="Arial"/>
              </w:rPr>
              <w:t xml:space="preserve">Strengths: </w:t>
            </w:r>
          </w:p>
          <w:p w14:paraId="6C574F2A" w14:textId="77777777" w:rsidR="00CC0D6C" w:rsidRPr="002612FD" w:rsidRDefault="00CC0D6C" w:rsidP="00360CA3">
            <w:pPr>
              <w:rPr>
                <w:rFonts w:ascii="Arial" w:hAnsi="Arial" w:cs="Arial"/>
              </w:rPr>
            </w:pPr>
            <w:r w:rsidRPr="002612FD">
              <w:rPr>
                <w:rFonts w:ascii="Arial" w:hAnsi="Arial" w:cs="Arial"/>
              </w:rPr>
              <w:t>Comprehensive synthesis of national-level data on food insecurity and housing instability as SDoH factors.</w:t>
            </w:r>
          </w:p>
          <w:p w14:paraId="6C85026E" w14:textId="77777777" w:rsidR="00CC0D6C" w:rsidRPr="002612FD" w:rsidRDefault="00CC0D6C" w:rsidP="00360CA3">
            <w:pPr>
              <w:rPr>
                <w:rFonts w:ascii="Arial" w:hAnsi="Arial" w:cs="Arial"/>
              </w:rPr>
            </w:pPr>
            <w:r w:rsidRPr="002612FD">
              <w:rPr>
                <w:rFonts w:ascii="Arial" w:hAnsi="Arial" w:cs="Arial"/>
              </w:rPr>
              <w:t>Incorporates diverse study designs and large datasets to provide robust findings.</w:t>
            </w:r>
          </w:p>
          <w:p w14:paraId="45BB1FAF" w14:textId="77777777" w:rsidR="00CC0D6C" w:rsidRPr="002612FD" w:rsidRDefault="00CC0D6C" w:rsidP="00360CA3">
            <w:pPr>
              <w:rPr>
                <w:rFonts w:ascii="Arial" w:hAnsi="Arial" w:cs="Arial"/>
              </w:rPr>
            </w:pPr>
          </w:p>
          <w:p w14:paraId="36BB61CE" w14:textId="77777777" w:rsidR="00CC0D6C" w:rsidRPr="002612FD" w:rsidRDefault="00CC0D6C" w:rsidP="00360CA3">
            <w:pPr>
              <w:rPr>
                <w:rFonts w:ascii="Arial" w:hAnsi="Arial" w:cs="Arial"/>
              </w:rPr>
            </w:pPr>
            <w:r w:rsidRPr="002612FD">
              <w:rPr>
                <w:rFonts w:ascii="Arial" w:hAnsi="Arial" w:cs="Arial"/>
              </w:rPr>
              <w:t>Limitations:</w:t>
            </w:r>
          </w:p>
          <w:p w14:paraId="4DA3DE86" w14:textId="77777777" w:rsidR="00CC0D6C" w:rsidRPr="002612FD" w:rsidRDefault="00CC0D6C" w:rsidP="00360CA3">
            <w:pPr>
              <w:rPr>
                <w:rFonts w:ascii="Arial" w:hAnsi="Arial" w:cs="Arial"/>
              </w:rPr>
            </w:pPr>
            <w:r w:rsidRPr="002612FD">
              <w:rPr>
                <w:rFonts w:ascii="Arial" w:hAnsi="Arial" w:cs="Arial"/>
              </w:rPr>
              <w:t>High variability in measuring housing instability and food insecurity across studies.</w:t>
            </w:r>
          </w:p>
          <w:p w14:paraId="229C877C" w14:textId="77777777" w:rsidR="00CC0D6C" w:rsidRPr="002612FD" w:rsidRDefault="00CC0D6C" w:rsidP="00360CA3">
            <w:pPr>
              <w:rPr>
                <w:rFonts w:ascii="Arial" w:hAnsi="Arial" w:cs="Arial"/>
              </w:rPr>
            </w:pPr>
            <w:r w:rsidRPr="002612FD">
              <w:rPr>
                <w:rFonts w:ascii="Arial" w:hAnsi="Arial" w:cs="Arial"/>
              </w:rPr>
              <w:t>Most studies relied on self-reported data, introducing potential recall and selection biases.</w:t>
            </w:r>
          </w:p>
          <w:p w14:paraId="6A065A7D" w14:textId="77777777" w:rsidR="00CC0D6C" w:rsidRPr="002612FD" w:rsidRDefault="00CC0D6C" w:rsidP="00360CA3">
            <w:pPr>
              <w:rPr>
                <w:rFonts w:ascii="Arial" w:hAnsi="Arial" w:cs="Arial"/>
              </w:rPr>
            </w:pPr>
            <w:r w:rsidRPr="002612FD">
              <w:rPr>
                <w:rFonts w:ascii="Arial" w:hAnsi="Arial" w:cs="Arial"/>
              </w:rPr>
              <w:t>Predominantly cross-sectional designs limit causal inference.</w:t>
            </w:r>
          </w:p>
        </w:tc>
      </w:tr>
      <w:tr w:rsidR="00CC0D6C" w:rsidRPr="002612FD" w14:paraId="58348C34" w14:textId="77777777" w:rsidTr="000C00F6">
        <w:tc>
          <w:tcPr>
            <w:tcW w:w="1440" w:type="dxa"/>
            <w:shd w:val="clear" w:color="auto" w:fill="D9D9D9" w:themeFill="background1" w:themeFillShade="D9"/>
          </w:tcPr>
          <w:p w14:paraId="3F0486EB" w14:textId="77777777" w:rsidR="00CC0D6C" w:rsidRPr="002612FD" w:rsidRDefault="00CC0D6C" w:rsidP="00360CA3">
            <w:pPr>
              <w:rPr>
                <w:rFonts w:ascii="Arial" w:hAnsi="Arial" w:cs="Arial"/>
              </w:rPr>
            </w:pPr>
            <w:r w:rsidRPr="002612FD">
              <w:rPr>
                <w:rFonts w:ascii="Arial" w:hAnsi="Arial" w:cs="Arial"/>
              </w:rPr>
              <w:t>Pham et al.</w:t>
            </w:r>
          </w:p>
        </w:tc>
        <w:tc>
          <w:tcPr>
            <w:tcW w:w="810" w:type="dxa"/>
            <w:shd w:val="clear" w:color="auto" w:fill="D9D9D9" w:themeFill="background1" w:themeFillShade="D9"/>
          </w:tcPr>
          <w:p w14:paraId="2BB8B013" w14:textId="77777777" w:rsidR="00CC0D6C" w:rsidRPr="002612FD" w:rsidRDefault="00CC0D6C" w:rsidP="00360CA3">
            <w:pPr>
              <w:rPr>
                <w:rFonts w:ascii="Arial" w:hAnsi="Arial" w:cs="Arial"/>
              </w:rPr>
            </w:pPr>
            <w:r w:rsidRPr="002612FD">
              <w:rPr>
                <w:rFonts w:ascii="Arial" w:hAnsi="Arial" w:cs="Arial"/>
              </w:rPr>
              <w:t>2023</w:t>
            </w:r>
          </w:p>
        </w:tc>
        <w:tc>
          <w:tcPr>
            <w:tcW w:w="1350" w:type="dxa"/>
            <w:shd w:val="clear" w:color="auto" w:fill="D9D9D9" w:themeFill="background1" w:themeFillShade="D9"/>
          </w:tcPr>
          <w:p w14:paraId="6747A669" w14:textId="77777777" w:rsidR="00CC0D6C" w:rsidRPr="002612FD" w:rsidRDefault="00CC0D6C" w:rsidP="00360CA3">
            <w:pPr>
              <w:rPr>
                <w:rFonts w:ascii="Arial" w:hAnsi="Arial" w:cs="Arial"/>
              </w:rPr>
            </w:pPr>
            <w:r w:rsidRPr="002612FD">
              <w:rPr>
                <w:rFonts w:ascii="Arial" w:hAnsi="Arial" w:cs="Arial"/>
              </w:rPr>
              <w:t>Cross-sectional</w:t>
            </w:r>
          </w:p>
        </w:tc>
        <w:tc>
          <w:tcPr>
            <w:tcW w:w="1890" w:type="dxa"/>
            <w:shd w:val="clear" w:color="auto" w:fill="D9D9D9" w:themeFill="background1" w:themeFillShade="D9"/>
          </w:tcPr>
          <w:p w14:paraId="42C7FE5C" w14:textId="77777777" w:rsidR="00CC0D6C" w:rsidRPr="002612FD" w:rsidRDefault="00CC0D6C" w:rsidP="00360CA3">
            <w:pPr>
              <w:rPr>
                <w:rFonts w:ascii="Arial" w:hAnsi="Arial" w:cs="Arial"/>
              </w:rPr>
            </w:pPr>
            <w:r w:rsidRPr="002612FD">
              <w:rPr>
                <w:rFonts w:ascii="Arial" w:hAnsi="Arial" w:cs="Arial"/>
              </w:rPr>
              <w:t>Data from the CDC WONDER database on 1,741,131 HF deaths across 3,003 U.S. counties.</w:t>
            </w:r>
          </w:p>
        </w:tc>
        <w:tc>
          <w:tcPr>
            <w:tcW w:w="1710" w:type="dxa"/>
            <w:shd w:val="clear" w:color="auto" w:fill="D9D9D9" w:themeFill="background1" w:themeFillShade="D9"/>
          </w:tcPr>
          <w:p w14:paraId="0D75DEB3" w14:textId="77777777" w:rsidR="00CC0D6C" w:rsidRPr="002612FD" w:rsidRDefault="00CC0D6C" w:rsidP="00360CA3">
            <w:pPr>
              <w:rPr>
                <w:rFonts w:ascii="Arial" w:hAnsi="Arial" w:cs="Arial"/>
              </w:rPr>
            </w:pPr>
            <w:r w:rsidRPr="002612FD">
              <w:rPr>
                <w:rFonts w:ascii="Arial" w:hAnsi="Arial" w:cs="Arial"/>
              </w:rPr>
              <w:t>Analytical Cross-Sectional Studies</w:t>
            </w:r>
          </w:p>
        </w:tc>
        <w:tc>
          <w:tcPr>
            <w:tcW w:w="3600" w:type="dxa"/>
            <w:shd w:val="clear" w:color="auto" w:fill="D9D9D9" w:themeFill="background1" w:themeFillShade="D9"/>
          </w:tcPr>
          <w:p w14:paraId="7DED333E" w14:textId="77777777" w:rsidR="00CC0D6C" w:rsidRPr="002612FD" w:rsidRDefault="00CC0D6C" w:rsidP="00360CA3">
            <w:pPr>
              <w:rPr>
                <w:rFonts w:ascii="Arial" w:hAnsi="Arial" w:cs="Arial"/>
              </w:rPr>
            </w:pPr>
            <w:r w:rsidRPr="002612FD">
              <w:rPr>
                <w:rFonts w:ascii="Arial" w:hAnsi="Arial" w:cs="Arial"/>
              </w:rPr>
              <w:t xml:space="preserve">Analyzes social vulnerability and location of death for patients with HF in U.S. Social vulnerability was measured using the CDC/ATSDR Social Vulnerability Index (SVI), which includes 15 social attributes. Counties in the highest SVI quartile had significantly more deaths at home (mean 32.3%, SD 9.7%) and inpatient facilities (mean 37.9%, SD 10.3%) compared to the lowest SVI quartile (home: mean 25.1%, SD 9.1%; inpatient: mean 28.7%, SD 9.5%; p &lt; 0.001). Hospice utilization was low across all counties and showed no correlation with SVI (r = 0.02, p = 0.23). Counties in the Great Plains and Midwest had the lowest hospice utilization and the highest proportion of nursing home deaths (r = -0.46, </w:t>
            </w:r>
            <w:r w:rsidRPr="00B352C7">
              <w:rPr>
                <w:rFonts w:ascii="Arial" w:hAnsi="Arial" w:cs="Arial"/>
                <w:i/>
                <w:iCs/>
              </w:rPr>
              <w:t>p</w:t>
            </w:r>
            <w:r w:rsidRPr="002612FD">
              <w:rPr>
                <w:rFonts w:ascii="Arial" w:hAnsi="Arial" w:cs="Arial"/>
              </w:rPr>
              <w:t xml:space="preserve"> &lt; 0.001).  Socially vulnerable counties were associated with fewer deaths in nursing homes (Q4 vs Q1: 24.9% vs 41.6%, </w:t>
            </w:r>
            <w:r w:rsidRPr="00B352C7">
              <w:rPr>
                <w:rFonts w:ascii="Arial" w:hAnsi="Arial" w:cs="Arial"/>
                <w:i/>
                <w:iCs/>
              </w:rPr>
              <w:t>p</w:t>
            </w:r>
            <w:r w:rsidRPr="002612FD">
              <w:rPr>
                <w:rFonts w:ascii="Arial" w:hAnsi="Arial" w:cs="Arial"/>
              </w:rPr>
              <w:t xml:space="preserve"> &lt; 0.001), reflecting limited access to institutional care.</w:t>
            </w:r>
          </w:p>
        </w:tc>
        <w:tc>
          <w:tcPr>
            <w:tcW w:w="2520" w:type="dxa"/>
            <w:shd w:val="clear" w:color="auto" w:fill="D9D9D9" w:themeFill="background1" w:themeFillShade="D9"/>
          </w:tcPr>
          <w:p w14:paraId="0FD3D6E6" w14:textId="77777777" w:rsidR="00CC0D6C" w:rsidRPr="002612FD" w:rsidRDefault="00CC0D6C" w:rsidP="00360CA3">
            <w:pPr>
              <w:rPr>
                <w:rFonts w:ascii="Arial" w:hAnsi="Arial" w:cs="Arial"/>
              </w:rPr>
            </w:pPr>
            <w:r w:rsidRPr="002612FD">
              <w:rPr>
                <w:rFonts w:ascii="Arial" w:hAnsi="Arial" w:cs="Arial"/>
              </w:rPr>
              <w:t xml:space="preserve">Strengths: </w:t>
            </w:r>
          </w:p>
          <w:p w14:paraId="4CE7F551" w14:textId="77777777" w:rsidR="00CC0D6C" w:rsidRPr="002612FD" w:rsidRDefault="00CC0D6C" w:rsidP="00360CA3">
            <w:pPr>
              <w:rPr>
                <w:rFonts w:ascii="Arial" w:hAnsi="Arial" w:cs="Arial"/>
              </w:rPr>
            </w:pPr>
            <w:r w:rsidRPr="002612FD">
              <w:rPr>
                <w:rFonts w:ascii="Arial" w:hAnsi="Arial" w:cs="Arial"/>
              </w:rPr>
              <w:t>Large, nationally representative dataset covering over 20 years of HF deaths.</w:t>
            </w:r>
          </w:p>
          <w:p w14:paraId="79BB145E" w14:textId="77777777" w:rsidR="00CC0D6C" w:rsidRPr="002612FD" w:rsidRDefault="00CC0D6C" w:rsidP="00360CA3">
            <w:pPr>
              <w:rPr>
                <w:rFonts w:ascii="Arial" w:hAnsi="Arial" w:cs="Arial"/>
              </w:rPr>
            </w:pPr>
            <w:r w:rsidRPr="002612FD">
              <w:rPr>
                <w:rFonts w:ascii="Arial" w:hAnsi="Arial" w:cs="Arial"/>
              </w:rPr>
              <w:t>Utilizes the CDC/ATSDR Social Vulnerability Index, which comprehensively measures social determinants of health.</w:t>
            </w:r>
          </w:p>
          <w:p w14:paraId="1909423A" w14:textId="77777777" w:rsidR="00CC0D6C" w:rsidRPr="002612FD" w:rsidRDefault="00CC0D6C" w:rsidP="00360CA3">
            <w:pPr>
              <w:rPr>
                <w:rFonts w:ascii="Arial" w:hAnsi="Arial" w:cs="Arial"/>
              </w:rPr>
            </w:pPr>
          </w:p>
          <w:p w14:paraId="133E6A17" w14:textId="77777777" w:rsidR="00CC0D6C" w:rsidRPr="002612FD" w:rsidRDefault="00CC0D6C" w:rsidP="00360CA3">
            <w:pPr>
              <w:rPr>
                <w:rFonts w:ascii="Arial" w:hAnsi="Arial" w:cs="Arial"/>
              </w:rPr>
            </w:pPr>
            <w:r w:rsidRPr="002612FD">
              <w:rPr>
                <w:rFonts w:ascii="Arial" w:hAnsi="Arial" w:cs="Arial"/>
              </w:rPr>
              <w:t>Limitations:</w:t>
            </w:r>
          </w:p>
          <w:p w14:paraId="5C789E9D" w14:textId="77777777" w:rsidR="00CC0D6C" w:rsidRPr="002612FD" w:rsidRDefault="00CC0D6C" w:rsidP="00360CA3">
            <w:pPr>
              <w:rPr>
                <w:rFonts w:ascii="Arial" w:hAnsi="Arial" w:cs="Arial"/>
              </w:rPr>
            </w:pPr>
            <w:r w:rsidRPr="002612FD">
              <w:rPr>
                <w:rFonts w:ascii="Arial" w:hAnsi="Arial" w:cs="Arial"/>
              </w:rPr>
              <w:t>County-level analysis may lack granularity for patient-level insights.</w:t>
            </w:r>
          </w:p>
          <w:p w14:paraId="1A69D7F6" w14:textId="77777777" w:rsidR="00CC0D6C" w:rsidRPr="002612FD" w:rsidRDefault="00CC0D6C" w:rsidP="00360CA3">
            <w:pPr>
              <w:rPr>
                <w:rFonts w:ascii="Arial" w:hAnsi="Arial" w:cs="Arial"/>
              </w:rPr>
            </w:pPr>
            <w:r w:rsidRPr="002612FD">
              <w:rPr>
                <w:rFonts w:ascii="Arial" w:hAnsi="Arial" w:cs="Arial"/>
              </w:rPr>
              <w:t>Misclassification of HF deaths in death certificate data could bias results.</w:t>
            </w:r>
          </w:p>
          <w:p w14:paraId="698EB38F" w14:textId="77777777" w:rsidR="00CC0D6C" w:rsidRPr="002612FD" w:rsidRDefault="00CC0D6C" w:rsidP="00360CA3">
            <w:pPr>
              <w:rPr>
                <w:rFonts w:ascii="Arial" w:hAnsi="Arial" w:cs="Arial"/>
              </w:rPr>
            </w:pPr>
            <w:r w:rsidRPr="002612FD">
              <w:rPr>
                <w:rFonts w:ascii="Arial" w:hAnsi="Arial" w:cs="Arial"/>
              </w:rPr>
              <w:t>Regional variations in hospice access and policies were not fully captured.</w:t>
            </w:r>
          </w:p>
          <w:p w14:paraId="228B61D2" w14:textId="77777777" w:rsidR="00CC0D6C" w:rsidRPr="002612FD" w:rsidRDefault="00CC0D6C" w:rsidP="00360CA3">
            <w:pPr>
              <w:rPr>
                <w:rFonts w:ascii="Arial" w:hAnsi="Arial" w:cs="Arial"/>
              </w:rPr>
            </w:pPr>
          </w:p>
        </w:tc>
      </w:tr>
      <w:tr w:rsidR="00CC0D6C" w:rsidRPr="002612FD" w14:paraId="06734BAE" w14:textId="77777777" w:rsidTr="0024775A">
        <w:tc>
          <w:tcPr>
            <w:tcW w:w="1440" w:type="dxa"/>
            <w:shd w:val="clear" w:color="auto" w:fill="auto"/>
          </w:tcPr>
          <w:p w14:paraId="72F39BB3" w14:textId="77777777" w:rsidR="00CC0D6C" w:rsidRPr="002612FD" w:rsidRDefault="00CC0D6C" w:rsidP="00360CA3">
            <w:pPr>
              <w:rPr>
                <w:rFonts w:ascii="Arial" w:hAnsi="Arial" w:cs="Arial"/>
              </w:rPr>
            </w:pPr>
            <w:r w:rsidRPr="002612FD">
              <w:rPr>
                <w:rFonts w:ascii="Arial" w:hAnsi="Arial" w:cs="Arial"/>
              </w:rPr>
              <w:t xml:space="preserve">Pratt Hopp et al. </w:t>
            </w:r>
          </w:p>
        </w:tc>
        <w:tc>
          <w:tcPr>
            <w:tcW w:w="810" w:type="dxa"/>
            <w:shd w:val="clear" w:color="auto" w:fill="auto"/>
          </w:tcPr>
          <w:p w14:paraId="06A9290D" w14:textId="77777777" w:rsidR="00CC0D6C" w:rsidRPr="002612FD" w:rsidRDefault="00CC0D6C" w:rsidP="00360CA3">
            <w:pPr>
              <w:rPr>
                <w:rFonts w:ascii="Arial" w:hAnsi="Arial" w:cs="Arial"/>
              </w:rPr>
            </w:pPr>
            <w:r w:rsidRPr="002612FD">
              <w:rPr>
                <w:rFonts w:ascii="Arial" w:hAnsi="Arial" w:cs="Arial"/>
              </w:rPr>
              <w:t>2015</w:t>
            </w:r>
          </w:p>
        </w:tc>
        <w:tc>
          <w:tcPr>
            <w:tcW w:w="1350" w:type="dxa"/>
            <w:shd w:val="clear" w:color="auto" w:fill="auto"/>
          </w:tcPr>
          <w:p w14:paraId="2298977D" w14:textId="77777777" w:rsidR="00CC0D6C" w:rsidRPr="002612FD" w:rsidRDefault="00CC0D6C" w:rsidP="00360CA3">
            <w:pPr>
              <w:rPr>
                <w:rFonts w:ascii="Arial" w:hAnsi="Arial" w:cs="Arial"/>
              </w:rPr>
            </w:pPr>
            <w:r w:rsidRPr="002612FD">
              <w:rPr>
                <w:rFonts w:ascii="Arial" w:hAnsi="Arial" w:cs="Arial"/>
              </w:rPr>
              <w:t>Qualitative, thematic</w:t>
            </w:r>
          </w:p>
        </w:tc>
        <w:tc>
          <w:tcPr>
            <w:tcW w:w="1890" w:type="dxa"/>
            <w:shd w:val="clear" w:color="auto" w:fill="auto"/>
          </w:tcPr>
          <w:p w14:paraId="52F85FFD" w14:textId="77777777" w:rsidR="00CC0D6C" w:rsidRPr="002612FD" w:rsidRDefault="00CC0D6C" w:rsidP="00360CA3">
            <w:pPr>
              <w:rPr>
                <w:rFonts w:ascii="Arial" w:hAnsi="Arial" w:cs="Arial"/>
              </w:rPr>
            </w:pPr>
            <w:r w:rsidRPr="002612FD">
              <w:rPr>
                <w:rFonts w:ascii="Arial" w:hAnsi="Arial" w:cs="Arial"/>
              </w:rPr>
              <w:t xml:space="preserve">Interviews with 8 social workers from various healthcare settings (e.g., hospitals, hospice care, HMOs) in an urban U.S. area. </w:t>
            </w:r>
          </w:p>
        </w:tc>
        <w:tc>
          <w:tcPr>
            <w:tcW w:w="1710" w:type="dxa"/>
            <w:shd w:val="clear" w:color="auto" w:fill="auto"/>
          </w:tcPr>
          <w:p w14:paraId="1D8754FD" w14:textId="77777777" w:rsidR="00CC0D6C" w:rsidRPr="002612FD" w:rsidRDefault="00CC0D6C" w:rsidP="00360CA3">
            <w:pPr>
              <w:rPr>
                <w:rFonts w:ascii="Arial" w:hAnsi="Arial" w:cs="Arial"/>
              </w:rPr>
            </w:pPr>
            <w:r w:rsidRPr="002612FD">
              <w:rPr>
                <w:rFonts w:ascii="Arial" w:hAnsi="Arial" w:cs="Arial"/>
              </w:rPr>
              <w:t>Qualitative Research</w:t>
            </w:r>
          </w:p>
        </w:tc>
        <w:tc>
          <w:tcPr>
            <w:tcW w:w="3600" w:type="dxa"/>
            <w:shd w:val="clear" w:color="auto" w:fill="auto"/>
          </w:tcPr>
          <w:p w14:paraId="6BD42CD9" w14:textId="77777777" w:rsidR="00CC0D6C" w:rsidRPr="002612FD" w:rsidRDefault="00CC0D6C" w:rsidP="00360CA3">
            <w:pPr>
              <w:rPr>
                <w:rFonts w:ascii="Arial" w:hAnsi="Arial" w:cs="Arial"/>
              </w:rPr>
            </w:pPr>
            <w:r w:rsidRPr="002612FD">
              <w:rPr>
                <w:rFonts w:ascii="Arial" w:hAnsi="Arial" w:cs="Arial"/>
              </w:rPr>
              <w:t xml:space="preserve">Examines the role of healthcare social workers in addressing psychosocial needs and service access for patients with HF. Social workers noted that financial challenges, such as high medication costs and limited insurance coverage, often prevented patients from accessing necessary care and led to worsened health outcomes. Frequent hospitalizations ("frequent flyer phenomenon") were reported as common due to gaps in ongoing care coordination and inadequate hospice referrals. Social isolation was identified as a significant barrier to care, especially among patients without family support or strong social networks. Limited </w:t>
            </w:r>
            <w:proofErr w:type="gramStart"/>
            <w:r w:rsidRPr="002612FD">
              <w:rPr>
                <w:rFonts w:ascii="Arial" w:hAnsi="Arial" w:cs="Arial"/>
              </w:rPr>
              <w:t>mention;</w:t>
            </w:r>
            <w:proofErr w:type="gramEnd"/>
            <w:r w:rsidRPr="002612FD">
              <w:rPr>
                <w:rFonts w:ascii="Arial" w:hAnsi="Arial" w:cs="Arial"/>
              </w:rPr>
              <w:t xml:space="preserve"> some patients relied on informal support from neighbors or local communities when family support was unavailable. Social workers highlighted the importance of educating patients and caregivers about HF management, though many faced challenges due to low health literacy among patients.</w:t>
            </w:r>
          </w:p>
        </w:tc>
        <w:tc>
          <w:tcPr>
            <w:tcW w:w="2520" w:type="dxa"/>
            <w:shd w:val="clear" w:color="auto" w:fill="auto"/>
          </w:tcPr>
          <w:p w14:paraId="45C970DA" w14:textId="77777777" w:rsidR="00CC0D6C" w:rsidRPr="002612FD" w:rsidRDefault="00CC0D6C" w:rsidP="00360CA3">
            <w:pPr>
              <w:rPr>
                <w:rFonts w:ascii="Arial" w:hAnsi="Arial" w:cs="Arial"/>
              </w:rPr>
            </w:pPr>
            <w:r w:rsidRPr="002612FD">
              <w:rPr>
                <w:rFonts w:ascii="Arial" w:hAnsi="Arial" w:cs="Arial"/>
              </w:rPr>
              <w:t xml:space="preserve">Strengths: </w:t>
            </w:r>
          </w:p>
          <w:p w14:paraId="5BFB23F3" w14:textId="77777777" w:rsidR="00CC0D6C" w:rsidRPr="002612FD" w:rsidRDefault="00CC0D6C" w:rsidP="00360CA3">
            <w:pPr>
              <w:rPr>
                <w:rFonts w:ascii="Arial" w:hAnsi="Arial" w:cs="Arial"/>
              </w:rPr>
            </w:pPr>
            <w:r w:rsidRPr="002612FD">
              <w:rPr>
                <w:rFonts w:ascii="Arial" w:hAnsi="Arial" w:cs="Arial"/>
              </w:rPr>
              <w:t>Highlights the unique contributions of social workers in addressing SDoH challenges for HF patients.</w:t>
            </w:r>
          </w:p>
          <w:p w14:paraId="4C9F096D" w14:textId="77777777" w:rsidR="00CC0D6C" w:rsidRPr="002612FD" w:rsidRDefault="00CC0D6C" w:rsidP="00360CA3">
            <w:pPr>
              <w:rPr>
                <w:rFonts w:ascii="Arial" w:hAnsi="Arial" w:cs="Arial"/>
              </w:rPr>
            </w:pPr>
            <w:r w:rsidRPr="002612FD">
              <w:rPr>
                <w:rFonts w:ascii="Arial" w:hAnsi="Arial" w:cs="Arial"/>
              </w:rPr>
              <w:t>Provides detailed qualitative insights into barriers faced by patients and social workers in various care settings.</w:t>
            </w:r>
          </w:p>
          <w:p w14:paraId="0C3986DF" w14:textId="77777777" w:rsidR="00CC0D6C" w:rsidRPr="002612FD" w:rsidRDefault="00CC0D6C" w:rsidP="00360CA3">
            <w:pPr>
              <w:rPr>
                <w:rFonts w:ascii="Arial" w:hAnsi="Arial" w:cs="Arial"/>
              </w:rPr>
            </w:pPr>
          </w:p>
          <w:p w14:paraId="15F7DE8C" w14:textId="77777777" w:rsidR="00CC0D6C" w:rsidRPr="002612FD" w:rsidRDefault="00CC0D6C" w:rsidP="00360CA3">
            <w:pPr>
              <w:rPr>
                <w:rFonts w:ascii="Arial" w:hAnsi="Arial" w:cs="Arial"/>
              </w:rPr>
            </w:pPr>
            <w:r w:rsidRPr="002612FD">
              <w:rPr>
                <w:rFonts w:ascii="Arial" w:hAnsi="Arial" w:cs="Arial"/>
              </w:rPr>
              <w:t xml:space="preserve">Limitations: </w:t>
            </w:r>
          </w:p>
          <w:p w14:paraId="612169EA" w14:textId="77777777" w:rsidR="00CC0D6C" w:rsidRPr="002612FD" w:rsidRDefault="00CC0D6C" w:rsidP="00360CA3">
            <w:pPr>
              <w:rPr>
                <w:rFonts w:ascii="Arial" w:hAnsi="Arial" w:cs="Arial"/>
              </w:rPr>
            </w:pPr>
            <w:r w:rsidRPr="002612FD">
              <w:rPr>
                <w:rFonts w:ascii="Arial" w:hAnsi="Arial" w:cs="Arial"/>
              </w:rPr>
              <w:t>Small sample size limits generalizability.</w:t>
            </w:r>
          </w:p>
          <w:p w14:paraId="59E913AB" w14:textId="77777777" w:rsidR="00CC0D6C" w:rsidRPr="002612FD" w:rsidRDefault="00CC0D6C" w:rsidP="00360CA3">
            <w:pPr>
              <w:rPr>
                <w:rFonts w:ascii="Arial" w:hAnsi="Arial" w:cs="Arial"/>
              </w:rPr>
            </w:pPr>
            <w:r w:rsidRPr="002612FD">
              <w:rPr>
                <w:rFonts w:ascii="Arial" w:hAnsi="Arial" w:cs="Arial"/>
              </w:rPr>
              <w:t>Focuses primarily on urban areas, with less applicability to rural populations.</w:t>
            </w:r>
          </w:p>
          <w:p w14:paraId="5DA462E8" w14:textId="77777777" w:rsidR="00CC0D6C" w:rsidRPr="002612FD" w:rsidRDefault="00CC0D6C" w:rsidP="00360CA3">
            <w:pPr>
              <w:rPr>
                <w:rFonts w:ascii="Arial" w:hAnsi="Arial" w:cs="Arial"/>
              </w:rPr>
            </w:pPr>
            <w:r w:rsidRPr="002612FD">
              <w:rPr>
                <w:rFonts w:ascii="Arial" w:hAnsi="Arial" w:cs="Arial"/>
              </w:rPr>
              <w:t>Limited diversity among participating social workers (majority were White).</w:t>
            </w:r>
          </w:p>
        </w:tc>
      </w:tr>
      <w:tr w:rsidR="00CC0D6C" w:rsidRPr="002612FD" w14:paraId="224546A4" w14:textId="77777777" w:rsidTr="000C00F6">
        <w:tc>
          <w:tcPr>
            <w:tcW w:w="1440" w:type="dxa"/>
            <w:shd w:val="clear" w:color="auto" w:fill="D9D9D9" w:themeFill="background1" w:themeFillShade="D9"/>
          </w:tcPr>
          <w:p w14:paraId="102B0D2F" w14:textId="77777777" w:rsidR="00CC0D6C" w:rsidRPr="002612FD" w:rsidRDefault="00CC0D6C" w:rsidP="00360CA3">
            <w:pPr>
              <w:rPr>
                <w:rFonts w:ascii="Arial" w:hAnsi="Arial" w:cs="Arial"/>
              </w:rPr>
            </w:pPr>
            <w:r w:rsidRPr="002612FD">
              <w:rPr>
                <w:rFonts w:ascii="Arial" w:hAnsi="Arial" w:cs="Arial"/>
              </w:rPr>
              <w:t xml:space="preserve">Rao et al. </w:t>
            </w:r>
          </w:p>
        </w:tc>
        <w:tc>
          <w:tcPr>
            <w:tcW w:w="810" w:type="dxa"/>
            <w:shd w:val="clear" w:color="auto" w:fill="D9D9D9" w:themeFill="background1" w:themeFillShade="D9"/>
          </w:tcPr>
          <w:p w14:paraId="5EA575AD" w14:textId="77777777" w:rsidR="00CC0D6C" w:rsidRPr="002612FD" w:rsidRDefault="00CC0D6C" w:rsidP="00360CA3">
            <w:pPr>
              <w:rPr>
                <w:rFonts w:ascii="Arial" w:hAnsi="Arial" w:cs="Arial"/>
              </w:rPr>
            </w:pPr>
            <w:r w:rsidRPr="002612FD">
              <w:rPr>
                <w:rFonts w:ascii="Arial" w:hAnsi="Arial" w:cs="Arial"/>
              </w:rPr>
              <w:t>2022</w:t>
            </w:r>
          </w:p>
        </w:tc>
        <w:tc>
          <w:tcPr>
            <w:tcW w:w="1350" w:type="dxa"/>
            <w:shd w:val="clear" w:color="auto" w:fill="D9D9D9" w:themeFill="background1" w:themeFillShade="D9"/>
          </w:tcPr>
          <w:p w14:paraId="0CA05122" w14:textId="77777777" w:rsidR="00CC0D6C" w:rsidRPr="002612FD" w:rsidRDefault="00CC0D6C" w:rsidP="00360CA3">
            <w:pPr>
              <w:rPr>
                <w:rFonts w:ascii="Arial" w:hAnsi="Arial" w:cs="Arial"/>
              </w:rPr>
            </w:pPr>
            <w:r w:rsidRPr="002612FD">
              <w:rPr>
                <w:rFonts w:ascii="Arial" w:hAnsi="Arial" w:cs="Arial"/>
              </w:rPr>
              <w:t>Retrospective cohort study</w:t>
            </w:r>
          </w:p>
        </w:tc>
        <w:tc>
          <w:tcPr>
            <w:tcW w:w="1890" w:type="dxa"/>
            <w:shd w:val="clear" w:color="auto" w:fill="D9D9D9" w:themeFill="background1" w:themeFillShade="D9"/>
          </w:tcPr>
          <w:p w14:paraId="7D552C50" w14:textId="77777777" w:rsidR="00CC0D6C" w:rsidRPr="002612FD" w:rsidRDefault="00CC0D6C" w:rsidP="00360CA3">
            <w:pPr>
              <w:rPr>
                <w:rFonts w:ascii="Arial" w:hAnsi="Arial" w:cs="Arial"/>
              </w:rPr>
            </w:pPr>
            <w:r w:rsidRPr="002612FD">
              <w:rPr>
                <w:rFonts w:ascii="Arial" w:hAnsi="Arial" w:cs="Arial"/>
              </w:rPr>
              <w:t>Data from 321,314 hospitalizations for acute HF in the U.S. between 2017 and 2020, derived from 456 hospitals and 15,388 ZIP Code tabulation areas (ZCTAs).</w:t>
            </w:r>
          </w:p>
        </w:tc>
        <w:tc>
          <w:tcPr>
            <w:tcW w:w="1710" w:type="dxa"/>
            <w:shd w:val="clear" w:color="auto" w:fill="D9D9D9" w:themeFill="background1" w:themeFillShade="D9"/>
          </w:tcPr>
          <w:p w14:paraId="4791E449" w14:textId="77777777" w:rsidR="00CC0D6C" w:rsidRPr="002612FD" w:rsidRDefault="00CC0D6C" w:rsidP="00360CA3">
            <w:pPr>
              <w:rPr>
                <w:rFonts w:ascii="Arial" w:hAnsi="Arial" w:cs="Arial"/>
              </w:rPr>
            </w:pPr>
            <w:r w:rsidRPr="002612FD">
              <w:rPr>
                <w:rFonts w:ascii="Arial" w:hAnsi="Arial" w:cs="Arial"/>
              </w:rPr>
              <w:t>Analytical Cross-Sectional Studies or Cohort Studies</w:t>
            </w:r>
          </w:p>
        </w:tc>
        <w:tc>
          <w:tcPr>
            <w:tcW w:w="3600" w:type="dxa"/>
            <w:shd w:val="clear" w:color="auto" w:fill="D9D9D9" w:themeFill="background1" w:themeFillShade="D9"/>
          </w:tcPr>
          <w:p w14:paraId="42EF9BA9" w14:textId="77777777" w:rsidR="00CC0D6C" w:rsidRPr="002612FD" w:rsidRDefault="00CC0D6C" w:rsidP="00360CA3">
            <w:pPr>
              <w:rPr>
                <w:rFonts w:ascii="Arial" w:hAnsi="Arial" w:cs="Arial"/>
              </w:rPr>
            </w:pPr>
            <w:r w:rsidRPr="002612FD">
              <w:rPr>
                <w:rFonts w:ascii="Arial" w:hAnsi="Arial" w:cs="Arial"/>
              </w:rPr>
              <w:t xml:space="preserve">Analyzes neighborhood socioeconomic disadvantages and HF outcomes using the Get </w:t>
            </w:r>
            <w:proofErr w:type="gramStart"/>
            <w:r w:rsidRPr="002612FD">
              <w:rPr>
                <w:rFonts w:ascii="Arial" w:hAnsi="Arial" w:cs="Arial"/>
              </w:rPr>
              <w:t>With</w:t>
            </w:r>
            <w:proofErr w:type="gramEnd"/>
            <w:r w:rsidRPr="002612FD">
              <w:rPr>
                <w:rFonts w:ascii="Arial" w:hAnsi="Arial" w:cs="Arial"/>
              </w:rPr>
              <w:t xml:space="preserve"> The Guidelines-Heart Failure registry. Patients from disadvantaged neighborhoods had longer hospital stays (mean 5.6 days vs. 5.2 days, </w:t>
            </w:r>
            <w:r w:rsidRPr="00D8550D">
              <w:rPr>
                <w:rFonts w:ascii="Arial" w:hAnsi="Arial" w:cs="Arial"/>
                <w:i/>
                <w:iCs/>
              </w:rPr>
              <w:t xml:space="preserve">p </w:t>
            </w:r>
            <w:r w:rsidRPr="002612FD">
              <w:rPr>
                <w:rFonts w:ascii="Arial" w:hAnsi="Arial" w:cs="Arial"/>
              </w:rPr>
              <w:t xml:space="preserve">&lt; 0.001) and lower rates of post-discharge follow-up appointments within 7 days (74% vs. 82%, </w:t>
            </w:r>
            <w:r w:rsidRPr="00D8550D">
              <w:rPr>
                <w:rFonts w:ascii="Arial" w:hAnsi="Arial" w:cs="Arial"/>
                <w:i/>
                <w:iCs/>
              </w:rPr>
              <w:t xml:space="preserve">p </w:t>
            </w:r>
            <w:r w:rsidRPr="002612FD">
              <w:rPr>
                <w:rFonts w:ascii="Arial" w:hAnsi="Arial" w:cs="Arial"/>
              </w:rPr>
              <w:t xml:space="preserve">&lt; 0.001). Patients from the most disadvantaged neighborhoods were less likely to be discharged to hospice care (1% vs. 3%, </w:t>
            </w:r>
            <w:r w:rsidRPr="00D8550D">
              <w:rPr>
                <w:rFonts w:ascii="Arial" w:hAnsi="Arial" w:cs="Arial"/>
                <w:i/>
                <w:iCs/>
              </w:rPr>
              <w:t xml:space="preserve">p </w:t>
            </w:r>
            <w:r w:rsidRPr="002612FD">
              <w:rPr>
                <w:rFonts w:ascii="Arial" w:hAnsi="Arial" w:cs="Arial"/>
              </w:rPr>
              <w:t xml:space="preserve">&lt; 0.001) and more likely to be discharged to home (78% vs. 68%, </w:t>
            </w:r>
            <w:r w:rsidRPr="00D8550D">
              <w:rPr>
                <w:rFonts w:ascii="Arial" w:hAnsi="Arial" w:cs="Arial"/>
                <w:i/>
                <w:iCs/>
              </w:rPr>
              <w:t>p</w:t>
            </w:r>
            <w:r w:rsidRPr="002612FD">
              <w:rPr>
                <w:rFonts w:ascii="Arial" w:hAnsi="Arial" w:cs="Arial"/>
              </w:rPr>
              <w:t xml:space="preserve"> &lt; 0.001). </w:t>
            </w:r>
          </w:p>
        </w:tc>
        <w:tc>
          <w:tcPr>
            <w:tcW w:w="2520" w:type="dxa"/>
            <w:shd w:val="clear" w:color="auto" w:fill="D9D9D9" w:themeFill="background1" w:themeFillShade="D9"/>
          </w:tcPr>
          <w:p w14:paraId="7D3385BF" w14:textId="77777777" w:rsidR="00CC0D6C" w:rsidRPr="002612FD" w:rsidRDefault="00CC0D6C" w:rsidP="00360CA3">
            <w:pPr>
              <w:rPr>
                <w:rFonts w:ascii="Arial" w:hAnsi="Arial" w:cs="Arial"/>
              </w:rPr>
            </w:pPr>
            <w:r w:rsidRPr="002612FD">
              <w:rPr>
                <w:rFonts w:ascii="Arial" w:hAnsi="Arial" w:cs="Arial"/>
              </w:rPr>
              <w:t xml:space="preserve">Strengths: </w:t>
            </w:r>
          </w:p>
          <w:p w14:paraId="3C9EEB0B" w14:textId="77777777" w:rsidR="00CC0D6C" w:rsidRPr="002612FD" w:rsidRDefault="00CC0D6C" w:rsidP="00360CA3">
            <w:pPr>
              <w:rPr>
                <w:rFonts w:ascii="Arial" w:hAnsi="Arial" w:cs="Arial"/>
              </w:rPr>
            </w:pPr>
            <w:r w:rsidRPr="002612FD">
              <w:rPr>
                <w:rFonts w:ascii="Arial" w:hAnsi="Arial" w:cs="Arial"/>
              </w:rPr>
              <w:t>Large, nationally representative cohort with detailed demographic and clinical data.</w:t>
            </w:r>
          </w:p>
          <w:p w14:paraId="37ABEC2C" w14:textId="77777777" w:rsidR="00CC0D6C" w:rsidRPr="002612FD" w:rsidRDefault="00CC0D6C" w:rsidP="00360CA3">
            <w:pPr>
              <w:rPr>
                <w:rFonts w:ascii="Arial" w:hAnsi="Arial" w:cs="Arial"/>
              </w:rPr>
            </w:pPr>
            <w:r w:rsidRPr="002612FD">
              <w:rPr>
                <w:rFonts w:ascii="Arial" w:hAnsi="Arial" w:cs="Arial"/>
              </w:rPr>
              <w:t>Rigorous use of validated SES metrics and multivariable adjustments to minimize confounding.</w:t>
            </w:r>
          </w:p>
          <w:p w14:paraId="59903265" w14:textId="77777777" w:rsidR="00CC0D6C" w:rsidRPr="002612FD" w:rsidRDefault="00CC0D6C" w:rsidP="00360CA3">
            <w:pPr>
              <w:rPr>
                <w:rFonts w:ascii="Arial" w:hAnsi="Arial" w:cs="Arial"/>
              </w:rPr>
            </w:pPr>
          </w:p>
          <w:p w14:paraId="0BEA2170" w14:textId="77777777" w:rsidR="00CC0D6C" w:rsidRPr="002612FD" w:rsidRDefault="00CC0D6C" w:rsidP="00360CA3">
            <w:pPr>
              <w:rPr>
                <w:rFonts w:ascii="Arial" w:hAnsi="Arial" w:cs="Arial"/>
              </w:rPr>
            </w:pPr>
            <w:r w:rsidRPr="002612FD">
              <w:rPr>
                <w:rFonts w:ascii="Arial" w:hAnsi="Arial" w:cs="Arial"/>
              </w:rPr>
              <w:t>Limitations:</w:t>
            </w:r>
          </w:p>
          <w:p w14:paraId="301189E0" w14:textId="77777777" w:rsidR="00CC0D6C" w:rsidRPr="002612FD" w:rsidRDefault="00CC0D6C" w:rsidP="00360CA3">
            <w:pPr>
              <w:rPr>
                <w:rFonts w:ascii="Arial" w:hAnsi="Arial" w:cs="Arial"/>
              </w:rPr>
            </w:pPr>
            <w:r w:rsidRPr="002612FD">
              <w:rPr>
                <w:rFonts w:ascii="Arial" w:hAnsi="Arial" w:cs="Arial"/>
              </w:rPr>
              <w:t>SES measures were based on neighborhood-level data, lacking patient-specific socioeconomic information.</w:t>
            </w:r>
          </w:p>
          <w:p w14:paraId="2BE31517" w14:textId="77777777" w:rsidR="00CC0D6C" w:rsidRPr="002612FD" w:rsidRDefault="00CC0D6C" w:rsidP="00360CA3">
            <w:pPr>
              <w:rPr>
                <w:rFonts w:ascii="Arial" w:hAnsi="Arial" w:cs="Arial"/>
              </w:rPr>
            </w:pPr>
            <w:proofErr w:type="gramStart"/>
            <w:r w:rsidRPr="002612FD">
              <w:rPr>
                <w:rFonts w:ascii="Arial" w:hAnsi="Arial" w:cs="Arial"/>
              </w:rPr>
              <w:t>Study</w:t>
            </w:r>
            <w:proofErr w:type="gramEnd"/>
            <w:r w:rsidRPr="002612FD">
              <w:rPr>
                <w:rFonts w:ascii="Arial" w:hAnsi="Arial" w:cs="Arial"/>
              </w:rPr>
              <w:t xml:space="preserve"> only included hospitals participating in the GWTG-HF registry, limiting generalizability to non-participating facilities.</w:t>
            </w:r>
          </w:p>
          <w:p w14:paraId="41ACEE78" w14:textId="77777777" w:rsidR="00CC0D6C" w:rsidRPr="002612FD" w:rsidRDefault="00CC0D6C" w:rsidP="00360CA3">
            <w:pPr>
              <w:rPr>
                <w:rFonts w:ascii="Arial" w:hAnsi="Arial" w:cs="Arial"/>
              </w:rPr>
            </w:pPr>
            <w:r w:rsidRPr="002612FD">
              <w:rPr>
                <w:rFonts w:ascii="Arial" w:hAnsi="Arial" w:cs="Arial"/>
              </w:rPr>
              <w:t>Cross-sectional design precluded evaluation of long-term outcomes post-discharge.</w:t>
            </w:r>
          </w:p>
        </w:tc>
      </w:tr>
      <w:tr w:rsidR="00CC0D6C" w:rsidRPr="002612FD" w14:paraId="26748715" w14:textId="77777777" w:rsidTr="0024775A">
        <w:tc>
          <w:tcPr>
            <w:tcW w:w="1440" w:type="dxa"/>
            <w:shd w:val="clear" w:color="auto" w:fill="auto"/>
          </w:tcPr>
          <w:p w14:paraId="56B3BB46" w14:textId="77777777" w:rsidR="00CC0D6C" w:rsidRPr="002612FD" w:rsidRDefault="00CC0D6C" w:rsidP="00360CA3">
            <w:pPr>
              <w:rPr>
                <w:rFonts w:ascii="Arial" w:hAnsi="Arial" w:cs="Arial"/>
              </w:rPr>
            </w:pPr>
            <w:r w:rsidRPr="002612FD">
              <w:rPr>
                <w:rFonts w:ascii="Arial" w:hAnsi="Arial" w:cs="Arial"/>
              </w:rPr>
              <w:t xml:space="preserve">Sevilla-Cazes et al. </w:t>
            </w:r>
          </w:p>
        </w:tc>
        <w:tc>
          <w:tcPr>
            <w:tcW w:w="810" w:type="dxa"/>
            <w:shd w:val="clear" w:color="auto" w:fill="auto"/>
          </w:tcPr>
          <w:p w14:paraId="48244106" w14:textId="77777777" w:rsidR="00CC0D6C" w:rsidRPr="002612FD" w:rsidRDefault="00CC0D6C" w:rsidP="00360CA3">
            <w:pPr>
              <w:rPr>
                <w:rFonts w:ascii="Arial" w:hAnsi="Arial" w:cs="Arial"/>
              </w:rPr>
            </w:pPr>
            <w:r w:rsidRPr="002612FD">
              <w:rPr>
                <w:rFonts w:ascii="Arial" w:hAnsi="Arial" w:cs="Arial"/>
              </w:rPr>
              <w:t>2018</w:t>
            </w:r>
          </w:p>
        </w:tc>
        <w:tc>
          <w:tcPr>
            <w:tcW w:w="1350" w:type="dxa"/>
            <w:shd w:val="clear" w:color="auto" w:fill="auto"/>
          </w:tcPr>
          <w:p w14:paraId="31DF5FCB" w14:textId="77777777" w:rsidR="00CC0D6C" w:rsidRPr="002612FD" w:rsidRDefault="00CC0D6C" w:rsidP="00360CA3">
            <w:pPr>
              <w:rPr>
                <w:rFonts w:ascii="Arial" w:hAnsi="Arial" w:cs="Arial"/>
              </w:rPr>
            </w:pPr>
            <w:r w:rsidRPr="002612FD">
              <w:rPr>
                <w:rFonts w:ascii="Arial" w:hAnsi="Arial" w:cs="Arial"/>
              </w:rPr>
              <w:t xml:space="preserve">Qualitative, grounded theory </w:t>
            </w:r>
          </w:p>
        </w:tc>
        <w:tc>
          <w:tcPr>
            <w:tcW w:w="1890" w:type="dxa"/>
            <w:shd w:val="clear" w:color="auto" w:fill="auto"/>
          </w:tcPr>
          <w:p w14:paraId="616AB5B4" w14:textId="77777777" w:rsidR="00CC0D6C" w:rsidRPr="002612FD" w:rsidRDefault="00CC0D6C" w:rsidP="00360CA3">
            <w:pPr>
              <w:rPr>
                <w:rFonts w:ascii="Arial" w:hAnsi="Arial" w:cs="Arial"/>
              </w:rPr>
            </w:pPr>
            <w:r w:rsidRPr="002612FD">
              <w:rPr>
                <w:rFonts w:ascii="Arial" w:hAnsi="Arial" w:cs="Arial"/>
              </w:rPr>
              <w:t>31 HF patients recruited from two hospitals in Philadelphia, Pennsylvania, U.S., including those with ≥2 hospitalizations within 30 days or recently discharged from their first HF admission.</w:t>
            </w:r>
          </w:p>
          <w:p w14:paraId="55C994C1" w14:textId="77777777" w:rsidR="00CC0D6C" w:rsidRPr="002612FD" w:rsidRDefault="00CC0D6C" w:rsidP="00360CA3">
            <w:pPr>
              <w:rPr>
                <w:rFonts w:ascii="Arial" w:hAnsi="Arial" w:cs="Arial"/>
              </w:rPr>
            </w:pPr>
            <w:r w:rsidRPr="002612FD">
              <w:rPr>
                <w:rFonts w:ascii="Arial" w:hAnsi="Arial" w:cs="Arial"/>
              </w:rPr>
              <w:t>6 focus groups with 19 HF patients and 11 caregivers were used for triangulation and validation.</w:t>
            </w:r>
          </w:p>
        </w:tc>
        <w:tc>
          <w:tcPr>
            <w:tcW w:w="1710" w:type="dxa"/>
            <w:shd w:val="clear" w:color="auto" w:fill="auto"/>
          </w:tcPr>
          <w:p w14:paraId="315C8C34" w14:textId="77777777" w:rsidR="00CC0D6C" w:rsidRPr="002612FD" w:rsidRDefault="00CC0D6C" w:rsidP="00360CA3">
            <w:pPr>
              <w:rPr>
                <w:rFonts w:ascii="Arial" w:hAnsi="Arial" w:cs="Arial"/>
              </w:rPr>
            </w:pPr>
            <w:r w:rsidRPr="002612FD">
              <w:rPr>
                <w:rFonts w:ascii="Arial" w:hAnsi="Arial" w:cs="Arial"/>
              </w:rPr>
              <w:t>Qualitative Research</w:t>
            </w:r>
          </w:p>
        </w:tc>
        <w:tc>
          <w:tcPr>
            <w:tcW w:w="3600" w:type="dxa"/>
            <w:shd w:val="clear" w:color="auto" w:fill="auto"/>
          </w:tcPr>
          <w:p w14:paraId="467B636F" w14:textId="77777777" w:rsidR="00CC0D6C" w:rsidRPr="002612FD" w:rsidRDefault="00CC0D6C" w:rsidP="00360CA3">
            <w:pPr>
              <w:rPr>
                <w:rFonts w:ascii="Arial" w:hAnsi="Arial" w:cs="Arial"/>
              </w:rPr>
            </w:pPr>
            <w:r w:rsidRPr="002612FD">
              <w:rPr>
                <w:rFonts w:ascii="Arial" w:hAnsi="Arial" w:cs="Arial"/>
              </w:rPr>
              <w:t>Explores HF home management challenges and readmission reasons, identifying adherence struggles, emotional distress, and social support needs, emphasizing patient-centered strategies to reduce readmissions. Financial difficulties were a key barrier; patients reported making decisions based on the affordability of medications or foods, often prioritizing cost over health needs. Low health literacy was identified as a challenge; patients often misunderstood or failed to adhere to discharge instructions due to vague or unclear guidance. Frequent hospitalizations were driven by difficulty accessing timely outpatient care or navigating complex healthcare systems. Patients cited social isolation and emotional despair as significant barriers to effective HF management, leading to cycles of worsening adherence and symptoms.</w:t>
            </w:r>
          </w:p>
        </w:tc>
        <w:tc>
          <w:tcPr>
            <w:tcW w:w="2520" w:type="dxa"/>
            <w:shd w:val="clear" w:color="auto" w:fill="auto"/>
          </w:tcPr>
          <w:p w14:paraId="06A26A2D" w14:textId="77777777" w:rsidR="00CC0D6C" w:rsidRPr="002612FD" w:rsidRDefault="00CC0D6C" w:rsidP="00360CA3">
            <w:pPr>
              <w:rPr>
                <w:rFonts w:ascii="Arial" w:hAnsi="Arial" w:cs="Arial"/>
              </w:rPr>
            </w:pPr>
            <w:r w:rsidRPr="002612FD">
              <w:rPr>
                <w:rFonts w:ascii="Arial" w:hAnsi="Arial" w:cs="Arial"/>
              </w:rPr>
              <w:t>Strengths:</w:t>
            </w:r>
          </w:p>
          <w:p w14:paraId="1FCFF373" w14:textId="77777777" w:rsidR="00CC0D6C" w:rsidRPr="002612FD" w:rsidRDefault="00CC0D6C" w:rsidP="00360CA3">
            <w:pPr>
              <w:rPr>
                <w:rFonts w:ascii="Arial" w:hAnsi="Arial" w:cs="Arial"/>
              </w:rPr>
            </w:pPr>
            <w:r w:rsidRPr="002612FD">
              <w:rPr>
                <w:rFonts w:ascii="Arial" w:hAnsi="Arial" w:cs="Arial"/>
              </w:rPr>
              <w:t>Patient-centered approach highlights real-world challenges in HF management.</w:t>
            </w:r>
          </w:p>
          <w:p w14:paraId="07BB57F9" w14:textId="77777777" w:rsidR="00CC0D6C" w:rsidRPr="002612FD" w:rsidRDefault="00CC0D6C" w:rsidP="00360CA3">
            <w:pPr>
              <w:rPr>
                <w:rFonts w:ascii="Arial" w:hAnsi="Arial" w:cs="Arial"/>
              </w:rPr>
            </w:pPr>
            <w:r w:rsidRPr="002612FD">
              <w:rPr>
                <w:rFonts w:ascii="Arial" w:hAnsi="Arial" w:cs="Arial"/>
              </w:rPr>
              <w:t>Use of both interviews and focus groups enhances the reliability of findings.</w:t>
            </w:r>
          </w:p>
          <w:p w14:paraId="392AB317" w14:textId="77777777" w:rsidR="00CC0D6C" w:rsidRPr="002612FD" w:rsidRDefault="00CC0D6C" w:rsidP="00360CA3">
            <w:pPr>
              <w:rPr>
                <w:rFonts w:ascii="Arial" w:hAnsi="Arial" w:cs="Arial"/>
              </w:rPr>
            </w:pPr>
          </w:p>
          <w:p w14:paraId="362545B5" w14:textId="77777777" w:rsidR="00CC0D6C" w:rsidRPr="002612FD" w:rsidRDefault="00CC0D6C" w:rsidP="00360CA3">
            <w:pPr>
              <w:rPr>
                <w:rFonts w:ascii="Arial" w:hAnsi="Arial" w:cs="Arial"/>
              </w:rPr>
            </w:pPr>
            <w:r w:rsidRPr="002612FD">
              <w:rPr>
                <w:rFonts w:ascii="Arial" w:hAnsi="Arial" w:cs="Arial"/>
              </w:rPr>
              <w:t>Limitations:</w:t>
            </w:r>
          </w:p>
          <w:p w14:paraId="4EF00E1D" w14:textId="77777777" w:rsidR="00CC0D6C" w:rsidRPr="002612FD" w:rsidRDefault="00CC0D6C" w:rsidP="00360CA3">
            <w:pPr>
              <w:rPr>
                <w:rFonts w:ascii="Arial" w:hAnsi="Arial" w:cs="Arial"/>
              </w:rPr>
            </w:pPr>
            <w:r w:rsidRPr="002612FD">
              <w:rPr>
                <w:rFonts w:ascii="Arial" w:hAnsi="Arial" w:cs="Arial"/>
              </w:rPr>
              <w:t>Single urban setting limits generalizability to rural or diverse healthcare environments.</w:t>
            </w:r>
          </w:p>
          <w:p w14:paraId="6A5A54CF" w14:textId="77777777" w:rsidR="00CC0D6C" w:rsidRPr="002612FD" w:rsidRDefault="00CC0D6C" w:rsidP="00360CA3">
            <w:pPr>
              <w:rPr>
                <w:rFonts w:ascii="Arial" w:hAnsi="Arial" w:cs="Arial"/>
              </w:rPr>
            </w:pPr>
            <w:r w:rsidRPr="002612FD">
              <w:rPr>
                <w:rFonts w:ascii="Arial" w:hAnsi="Arial" w:cs="Arial"/>
              </w:rPr>
              <w:t>Small sample size may not fully capture variability in experiences across HF populations.</w:t>
            </w:r>
          </w:p>
        </w:tc>
      </w:tr>
      <w:tr w:rsidR="000C00F6" w:rsidRPr="002612FD" w14:paraId="5F22F280" w14:textId="77777777" w:rsidTr="000C00F6">
        <w:tc>
          <w:tcPr>
            <w:tcW w:w="1440" w:type="dxa"/>
            <w:shd w:val="clear" w:color="auto" w:fill="D9D9D9" w:themeFill="background1" w:themeFillShade="D9"/>
          </w:tcPr>
          <w:p w14:paraId="5F6EEA19" w14:textId="77777777" w:rsidR="00CC0D6C" w:rsidRPr="002612FD" w:rsidRDefault="00CC0D6C" w:rsidP="00360CA3">
            <w:pPr>
              <w:rPr>
                <w:rFonts w:ascii="Arial" w:hAnsi="Arial" w:cs="Arial"/>
              </w:rPr>
            </w:pPr>
            <w:r w:rsidRPr="002612FD">
              <w:rPr>
                <w:rFonts w:ascii="Arial" w:hAnsi="Arial" w:cs="Arial"/>
              </w:rPr>
              <w:t xml:space="preserve">Sun et al. </w:t>
            </w:r>
          </w:p>
        </w:tc>
        <w:tc>
          <w:tcPr>
            <w:tcW w:w="810" w:type="dxa"/>
            <w:shd w:val="clear" w:color="auto" w:fill="D9D9D9" w:themeFill="background1" w:themeFillShade="D9"/>
          </w:tcPr>
          <w:p w14:paraId="3D17A723" w14:textId="77777777" w:rsidR="00CC0D6C" w:rsidRPr="002612FD" w:rsidRDefault="00CC0D6C" w:rsidP="00360CA3">
            <w:pPr>
              <w:rPr>
                <w:rFonts w:ascii="Arial" w:hAnsi="Arial" w:cs="Arial"/>
              </w:rPr>
            </w:pPr>
            <w:r w:rsidRPr="002612FD">
              <w:rPr>
                <w:rFonts w:ascii="Arial" w:hAnsi="Arial" w:cs="Arial"/>
              </w:rPr>
              <w:t>2023</w:t>
            </w:r>
          </w:p>
        </w:tc>
        <w:tc>
          <w:tcPr>
            <w:tcW w:w="1350" w:type="dxa"/>
            <w:shd w:val="clear" w:color="auto" w:fill="D9D9D9" w:themeFill="background1" w:themeFillShade="D9"/>
          </w:tcPr>
          <w:p w14:paraId="4F73AC53" w14:textId="77777777" w:rsidR="00CC0D6C" w:rsidRPr="002612FD" w:rsidRDefault="00CC0D6C" w:rsidP="00360CA3">
            <w:pPr>
              <w:rPr>
                <w:rFonts w:ascii="Arial" w:hAnsi="Arial" w:cs="Arial"/>
              </w:rPr>
            </w:pPr>
            <w:r w:rsidRPr="002612FD">
              <w:rPr>
                <w:rFonts w:ascii="Arial" w:hAnsi="Arial" w:cs="Arial"/>
              </w:rPr>
              <w:t xml:space="preserve">Systematic Review </w:t>
            </w:r>
          </w:p>
          <w:p w14:paraId="23A6D85A" w14:textId="77777777" w:rsidR="00CC0D6C" w:rsidRPr="002612FD" w:rsidRDefault="00CC0D6C" w:rsidP="00360CA3">
            <w:pPr>
              <w:rPr>
                <w:rFonts w:ascii="Arial" w:hAnsi="Arial" w:cs="Arial"/>
              </w:rPr>
            </w:pPr>
            <w:r w:rsidRPr="002612FD">
              <w:rPr>
                <w:rFonts w:ascii="Arial" w:hAnsi="Arial" w:cs="Arial"/>
              </w:rPr>
              <w:t>(meta-synthesis)</w:t>
            </w:r>
          </w:p>
        </w:tc>
        <w:tc>
          <w:tcPr>
            <w:tcW w:w="1890" w:type="dxa"/>
            <w:shd w:val="clear" w:color="auto" w:fill="D9D9D9" w:themeFill="background1" w:themeFillShade="D9"/>
          </w:tcPr>
          <w:p w14:paraId="52C6B342" w14:textId="77777777" w:rsidR="00CC0D6C" w:rsidRPr="002612FD" w:rsidRDefault="00CC0D6C" w:rsidP="00360CA3">
            <w:pPr>
              <w:rPr>
                <w:rFonts w:ascii="Arial" w:hAnsi="Arial" w:cs="Arial"/>
              </w:rPr>
            </w:pPr>
            <w:r w:rsidRPr="002612FD">
              <w:rPr>
                <w:rFonts w:ascii="Arial" w:hAnsi="Arial" w:cs="Arial"/>
              </w:rPr>
              <w:t>Analysis of 17 qualitative studies from nine countries, including seven U.S.-based studies.</w:t>
            </w:r>
          </w:p>
        </w:tc>
        <w:tc>
          <w:tcPr>
            <w:tcW w:w="1710" w:type="dxa"/>
            <w:shd w:val="clear" w:color="auto" w:fill="D9D9D9" w:themeFill="background1" w:themeFillShade="D9"/>
          </w:tcPr>
          <w:p w14:paraId="2BD7DE84" w14:textId="77777777" w:rsidR="00CC0D6C" w:rsidRPr="002612FD" w:rsidRDefault="00CC0D6C" w:rsidP="00360CA3">
            <w:pPr>
              <w:rPr>
                <w:rFonts w:ascii="Arial" w:hAnsi="Arial" w:cs="Arial"/>
              </w:rPr>
            </w:pPr>
            <w:r w:rsidRPr="002612FD">
              <w:rPr>
                <w:rFonts w:ascii="Arial" w:hAnsi="Arial" w:cs="Arial"/>
              </w:rPr>
              <w:t>Systematic Reviews and Research Syntheses</w:t>
            </w:r>
          </w:p>
        </w:tc>
        <w:tc>
          <w:tcPr>
            <w:tcW w:w="3600" w:type="dxa"/>
            <w:shd w:val="clear" w:color="auto" w:fill="D9D9D9" w:themeFill="background1" w:themeFillShade="D9"/>
          </w:tcPr>
          <w:p w14:paraId="13804B3E" w14:textId="77777777" w:rsidR="00CC0D6C" w:rsidRPr="002612FD" w:rsidRDefault="00CC0D6C" w:rsidP="00360CA3">
            <w:pPr>
              <w:rPr>
                <w:rFonts w:ascii="Arial" w:hAnsi="Arial" w:cs="Arial"/>
              </w:rPr>
            </w:pPr>
            <w:r w:rsidRPr="002612FD">
              <w:rPr>
                <w:rFonts w:ascii="Arial" w:hAnsi="Arial" w:cs="Arial"/>
              </w:rPr>
              <w:t xml:space="preserve">Explores hospital-to-home transitions for elderly patients and emphasizes the critical role of social support, care coordination, and patient engagement, calling for targeted interventions to overcome barriers and improve transitions. Patients faced financial challenges due to high costs of medications and healthcare services, often prioritizing expenses over health needs. Limited health literacy among patients and caregivers impeded understanding and management of chronic conditions, emphasizing the need for enhanced discharge education. Gaps in care coordination and fragmented communication during transitions led to increased readmissions and adverse outcomes. Use of transitional care coordinators and multidisciplinary teams improved outcomes in some studies. Geographic barriers, including rural residence and transportation difficulties, limited access to follow-up care. Social isolation and lack of family caregiver support were significant barriers, while strong interpersonal connections between patients, caregivers, and providers facilitated smoother transitions. </w:t>
            </w:r>
          </w:p>
        </w:tc>
        <w:tc>
          <w:tcPr>
            <w:tcW w:w="2520" w:type="dxa"/>
            <w:shd w:val="clear" w:color="auto" w:fill="D9D9D9" w:themeFill="background1" w:themeFillShade="D9"/>
          </w:tcPr>
          <w:p w14:paraId="3BD34278" w14:textId="77777777" w:rsidR="00CC0D6C" w:rsidRPr="002612FD" w:rsidRDefault="00CC0D6C" w:rsidP="00360CA3">
            <w:pPr>
              <w:rPr>
                <w:rFonts w:ascii="Arial" w:hAnsi="Arial" w:cs="Arial"/>
              </w:rPr>
            </w:pPr>
            <w:r w:rsidRPr="002612FD">
              <w:rPr>
                <w:rFonts w:ascii="Arial" w:hAnsi="Arial" w:cs="Arial"/>
              </w:rPr>
              <w:t>Strengths:</w:t>
            </w:r>
          </w:p>
          <w:p w14:paraId="32A9D13B" w14:textId="77777777" w:rsidR="00CC0D6C" w:rsidRPr="002612FD" w:rsidRDefault="00CC0D6C" w:rsidP="00360CA3">
            <w:pPr>
              <w:rPr>
                <w:rFonts w:ascii="Arial" w:hAnsi="Arial" w:cs="Arial"/>
              </w:rPr>
            </w:pPr>
            <w:r w:rsidRPr="002612FD">
              <w:rPr>
                <w:rFonts w:ascii="Arial" w:hAnsi="Arial" w:cs="Arial"/>
              </w:rPr>
              <w:t>Comprehensive synthesis of diverse qualitative studies provides actionable insights for improving transitional care.</w:t>
            </w:r>
          </w:p>
          <w:p w14:paraId="37CCA3E5" w14:textId="77777777" w:rsidR="00CC0D6C" w:rsidRPr="002612FD" w:rsidRDefault="00CC0D6C" w:rsidP="00360CA3">
            <w:pPr>
              <w:rPr>
                <w:rFonts w:ascii="Arial" w:hAnsi="Arial" w:cs="Arial"/>
              </w:rPr>
            </w:pPr>
            <w:r w:rsidRPr="002612FD">
              <w:rPr>
                <w:rFonts w:ascii="Arial" w:hAnsi="Arial" w:cs="Arial"/>
              </w:rPr>
              <w:t xml:space="preserve">Utilizes </w:t>
            </w:r>
            <w:proofErr w:type="spellStart"/>
            <w:r w:rsidRPr="002612FD">
              <w:rPr>
                <w:rFonts w:ascii="Arial" w:hAnsi="Arial" w:cs="Arial"/>
              </w:rPr>
              <w:t>Meleis</w:t>
            </w:r>
            <w:proofErr w:type="spellEnd"/>
            <w:r w:rsidRPr="002612FD">
              <w:rPr>
                <w:rFonts w:ascii="Arial" w:hAnsi="Arial" w:cs="Arial"/>
              </w:rPr>
              <w:t>’ transition theory for a structured analysis of facilitators and inhibitors.</w:t>
            </w:r>
          </w:p>
          <w:p w14:paraId="40B84B67" w14:textId="77777777" w:rsidR="00CC0D6C" w:rsidRPr="002612FD" w:rsidRDefault="00CC0D6C" w:rsidP="00360CA3">
            <w:pPr>
              <w:rPr>
                <w:rFonts w:ascii="Arial" w:hAnsi="Arial" w:cs="Arial"/>
              </w:rPr>
            </w:pPr>
          </w:p>
          <w:p w14:paraId="793185A2" w14:textId="77777777" w:rsidR="00CC0D6C" w:rsidRPr="002612FD" w:rsidRDefault="00CC0D6C" w:rsidP="00360CA3">
            <w:pPr>
              <w:rPr>
                <w:rFonts w:ascii="Arial" w:hAnsi="Arial" w:cs="Arial"/>
              </w:rPr>
            </w:pPr>
            <w:r w:rsidRPr="002612FD">
              <w:rPr>
                <w:rFonts w:ascii="Arial" w:hAnsi="Arial" w:cs="Arial"/>
              </w:rPr>
              <w:t>Limitations:</w:t>
            </w:r>
          </w:p>
          <w:p w14:paraId="7BE0822C" w14:textId="77777777" w:rsidR="00CC0D6C" w:rsidRPr="002612FD" w:rsidRDefault="00CC0D6C" w:rsidP="00360CA3">
            <w:pPr>
              <w:rPr>
                <w:rFonts w:ascii="Arial" w:hAnsi="Arial" w:cs="Arial"/>
              </w:rPr>
            </w:pPr>
            <w:r w:rsidRPr="002612FD">
              <w:rPr>
                <w:rFonts w:ascii="Arial" w:hAnsi="Arial" w:cs="Arial"/>
              </w:rPr>
              <w:t>Mixed-country analysis dilutes U.S.-specific applicability.</w:t>
            </w:r>
          </w:p>
          <w:p w14:paraId="59925DBD" w14:textId="3289B4B2" w:rsidR="00CC0D6C" w:rsidRPr="002612FD" w:rsidRDefault="00CC0D6C" w:rsidP="00360CA3">
            <w:pPr>
              <w:rPr>
                <w:rFonts w:ascii="Arial" w:hAnsi="Arial" w:cs="Arial"/>
              </w:rPr>
            </w:pPr>
            <w:r w:rsidRPr="002612FD">
              <w:rPr>
                <w:rFonts w:ascii="Arial" w:hAnsi="Arial" w:cs="Arial"/>
              </w:rPr>
              <w:t xml:space="preserve">Limited quantitative </w:t>
            </w:r>
            <w:proofErr w:type="gramStart"/>
            <w:r w:rsidRPr="002612FD">
              <w:rPr>
                <w:rFonts w:ascii="Arial" w:hAnsi="Arial" w:cs="Arial"/>
              </w:rPr>
              <w:t>evidence in</w:t>
            </w:r>
            <w:proofErr w:type="gramEnd"/>
            <w:r w:rsidRPr="002612FD">
              <w:rPr>
                <w:rFonts w:ascii="Arial" w:hAnsi="Arial" w:cs="Arial"/>
              </w:rPr>
              <w:t xml:space="preserve"> included studies.</w:t>
            </w:r>
            <w:r w:rsidR="00D8550D">
              <w:rPr>
                <w:rFonts w:ascii="Arial" w:hAnsi="Arial" w:cs="Arial"/>
              </w:rPr>
              <w:t xml:space="preserve"> </w:t>
            </w:r>
            <w:r w:rsidRPr="002612FD">
              <w:rPr>
                <w:rFonts w:ascii="Arial" w:hAnsi="Arial" w:cs="Arial"/>
              </w:rPr>
              <w:t>Exclusion of non-English literature introduces potential language bias.</w:t>
            </w:r>
          </w:p>
        </w:tc>
      </w:tr>
      <w:tr w:rsidR="00CC0D6C" w:rsidRPr="002612FD" w14:paraId="214AA097" w14:textId="77777777" w:rsidTr="0024775A">
        <w:tc>
          <w:tcPr>
            <w:tcW w:w="1440" w:type="dxa"/>
            <w:shd w:val="clear" w:color="auto" w:fill="auto"/>
          </w:tcPr>
          <w:p w14:paraId="5ABE0658" w14:textId="77777777" w:rsidR="00CC0D6C" w:rsidRPr="002612FD" w:rsidRDefault="00CC0D6C" w:rsidP="00360CA3">
            <w:pPr>
              <w:rPr>
                <w:rFonts w:ascii="Arial" w:hAnsi="Arial" w:cs="Arial"/>
              </w:rPr>
            </w:pPr>
            <w:r w:rsidRPr="002612FD">
              <w:rPr>
                <w:rFonts w:ascii="Arial" w:hAnsi="Arial" w:cs="Arial"/>
              </w:rPr>
              <w:t>Walia &amp; Mankoff</w:t>
            </w:r>
          </w:p>
          <w:p w14:paraId="470642BF" w14:textId="77777777" w:rsidR="00CC0D6C" w:rsidRPr="002612FD" w:rsidRDefault="00CC0D6C" w:rsidP="00360CA3">
            <w:pPr>
              <w:rPr>
                <w:rFonts w:ascii="Arial" w:hAnsi="Arial" w:cs="Arial"/>
              </w:rPr>
            </w:pPr>
          </w:p>
          <w:p w14:paraId="563B7EFD" w14:textId="77777777" w:rsidR="00CC0D6C" w:rsidRPr="002612FD" w:rsidRDefault="00CC0D6C" w:rsidP="00360CA3">
            <w:pPr>
              <w:rPr>
                <w:rFonts w:ascii="Arial" w:hAnsi="Arial" w:cs="Arial"/>
              </w:rPr>
            </w:pPr>
          </w:p>
        </w:tc>
        <w:tc>
          <w:tcPr>
            <w:tcW w:w="810" w:type="dxa"/>
            <w:shd w:val="clear" w:color="auto" w:fill="auto"/>
          </w:tcPr>
          <w:p w14:paraId="43839570" w14:textId="77777777" w:rsidR="00CC0D6C" w:rsidRPr="002612FD" w:rsidRDefault="00CC0D6C" w:rsidP="00360CA3">
            <w:pPr>
              <w:rPr>
                <w:rFonts w:ascii="Arial" w:hAnsi="Arial" w:cs="Arial"/>
              </w:rPr>
            </w:pPr>
            <w:r w:rsidRPr="002612FD">
              <w:rPr>
                <w:rFonts w:ascii="Arial" w:hAnsi="Arial" w:cs="Arial"/>
              </w:rPr>
              <w:t>2023</w:t>
            </w:r>
          </w:p>
        </w:tc>
        <w:tc>
          <w:tcPr>
            <w:tcW w:w="1350" w:type="dxa"/>
            <w:shd w:val="clear" w:color="auto" w:fill="auto"/>
          </w:tcPr>
          <w:p w14:paraId="2A08C840" w14:textId="77777777" w:rsidR="00CC0D6C" w:rsidRPr="002612FD" w:rsidRDefault="00CC0D6C" w:rsidP="00360CA3">
            <w:pPr>
              <w:rPr>
                <w:rFonts w:ascii="Arial" w:hAnsi="Arial" w:cs="Arial"/>
              </w:rPr>
            </w:pPr>
            <w:r w:rsidRPr="002612FD">
              <w:rPr>
                <w:rFonts w:ascii="Arial" w:hAnsi="Arial" w:cs="Arial"/>
              </w:rPr>
              <w:t>Systematic Review</w:t>
            </w:r>
          </w:p>
        </w:tc>
        <w:tc>
          <w:tcPr>
            <w:tcW w:w="1890" w:type="dxa"/>
            <w:shd w:val="clear" w:color="auto" w:fill="auto"/>
          </w:tcPr>
          <w:p w14:paraId="2DF6FB92" w14:textId="77777777" w:rsidR="00CC0D6C" w:rsidRPr="002612FD" w:rsidRDefault="00CC0D6C" w:rsidP="00360CA3">
            <w:pPr>
              <w:rPr>
                <w:rFonts w:ascii="Arial" w:hAnsi="Arial" w:cs="Arial"/>
              </w:rPr>
            </w:pPr>
            <w:r w:rsidRPr="002612FD">
              <w:rPr>
                <w:rFonts w:ascii="Arial" w:hAnsi="Arial" w:cs="Arial"/>
              </w:rPr>
              <w:t>Review of 12 studies analyzing the impact of socioeconomic status (SES) factors (e.g., education, income, employment) on heart failure HF outcomes in the U.S.</w:t>
            </w:r>
          </w:p>
        </w:tc>
        <w:tc>
          <w:tcPr>
            <w:tcW w:w="1710" w:type="dxa"/>
            <w:shd w:val="clear" w:color="auto" w:fill="auto"/>
          </w:tcPr>
          <w:p w14:paraId="771DCBFB" w14:textId="77777777" w:rsidR="00CC0D6C" w:rsidRPr="002612FD" w:rsidRDefault="00CC0D6C" w:rsidP="00360CA3">
            <w:pPr>
              <w:rPr>
                <w:rFonts w:ascii="Arial" w:hAnsi="Arial" w:cs="Arial"/>
              </w:rPr>
            </w:pPr>
            <w:r w:rsidRPr="002612FD">
              <w:rPr>
                <w:rFonts w:ascii="Arial" w:hAnsi="Arial" w:cs="Arial"/>
              </w:rPr>
              <w:t>Systematic Reviews and Research Syntheses</w:t>
            </w:r>
          </w:p>
        </w:tc>
        <w:tc>
          <w:tcPr>
            <w:tcW w:w="3600" w:type="dxa"/>
            <w:shd w:val="clear" w:color="auto" w:fill="auto"/>
          </w:tcPr>
          <w:p w14:paraId="4D274203" w14:textId="77777777" w:rsidR="00CC0D6C" w:rsidRPr="002612FD" w:rsidRDefault="00CC0D6C" w:rsidP="00360CA3">
            <w:pPr>
              <w:rPr>
                <w:rFonts w:ascii="Arial" w:hAnsi="Arial" w:cs="Arial"/>
              </w:rPr>
            </w:pPr>
            <w:r w:rsidRPr="002612FD">
              <w:rPr>
                <w:rFonts w:ascii="Arial" w:hAnsi="Arial" w:cs="Arial"/>
              </w:rPr>
              <w:t>Poverty was the strongest predictor of adverse HF outcomes, with individuals from low-income households showing higher HF risks due to poor medication adherence and inadequate healthcare access. Low educational attainment was associated with increased HF risks and poorer health outcomes (e.g., adverse coronary artery disease outcomes were 1.32 times higher in patients with lower education levels). Lack of insurance coverage and poor housing conditions disproportionately affected African and Hispanic Americans, increasing HF complications. Poor housing quality was linked to higher HF rates, particularly in disadvantaged neighborhoods with limited access to health resources. Social stress, such as depression, was more prevalent in low-SES populations and strongly associated with worsening cardiovascular outcomes.</w:t>
            </w:r>
          </w:p>
        </w:tc>
        <w:tc>
          <w:tcPr>
            <w:tcW w:w="2520" w:type="dxa"/>
            <w:shd w:val="clear" w:color="auto" w:fill="auto"/>
          </w:tcPr>
          <w:p w14:paraId="761C413B" w14:textId="77777777" w:rsidR="00CC0D6C" w:rsidRPr="002612FD" w:rsidRDefault="00CC0D6C" w:rsidP="00360CA3">
            <w:pPr>
              <w:rPr>
                <w:rFonts w:ascii="Arial" w:hAnsi="Arial" w:cs="Arial"/>
              </w:rPr>
            </w:pPr>
            <w:r w:rsidRPr="002612FD">
              <w:rPr>
                <w:rFonts w:ascii="Arial" w:hAnsi="Arial" w:cs="Arial"/>
              </w:rPr>
              <w:t>Strengths:</w:t>
            </w:r>
          </w:p>
          <w:p w14:paraId="34FF73F6" w14:textId="77777777" w:rsidR="00CC0D6C" w:rsidRPr="002612FD" w:rsidRDefault="00CC0D6C" w:rsidP="00360CA3">
            <w:pPr>
              <w:rPr>
                <w:rFonts w:ascii="Arial" w:hAnsi="Arial" w:cs="Arial"/>
              </w:rPr>
            </w:pPr>
            <w:r w:rsidRPr="002612FD">
              <w:rPr>
                <w:rFonts w:ascii="Arial" w:hAnsi="Arial" w:cs="Arial"/>
              </w:rPr>
              <w:t>Comprehensive focus on diverse SES indicators, offering a multidimensional view of HF disparities.</w:t>
            </w:r>
          </w:p>
          <w:p w14:paraId="47108433" w14:textId="77777777" w:rsidR="00CC0D6C" w:rsidRPr="002612FD" w:rsidRDefault="00CC0D6C" w:rsidP="00360CA3">
            <w:pPr>
              <w:rPr>
                <w:rFonts w:ascii="Arial" w:hAnsi="Arial" w:cs="Arial"/>
              </w:rPr>
            </w:pPr>
            <w:r w:rsidRPr="002612FD">
              <w:rPr>
                <w:rFonts w:ascii="Arial" w:hAnsi="Arial" w:cs="Arial"/>
              </w:rPr>
              <w:t>Highlights the intersection of SES factors with HF outcomes and provides evidence for targeted interventions.</w:t>
            </w:r>
          </w:p>
          <w:p w14:paraId="5FAC7E94" w14:textId="77777777" w:rsidR="00CC0D6C" w:rsidRPr="002612FD" w:rsidRDefault="00CC0D6C" w:rsidP="00360CA3">
            <w:pPr>
              <w:rPr>
                <w:rFonts w:ascii="Arial" w:hAnsi="Arial" w:cs="Arial"/>
              </w:rPr>
            </w:pPr>
          </w:p>
          <w:p w14:paraId="7780DCBD" w14:textId="77777777" w:rsidR="00CC0D6C" w:rsidRPr="002612FD" w:rsidRDefault="00CC0D6C" w:rsidP="00360CA3">
            <w:pPr>
              <w:rPr>
                <w:rFonts w:ascii="Arial" w:hAnsi="Arial" w:cs="Arial"/>
              </w:rPr>
            </w:pPr>
            <w:r w:rsidRPr="002612FD">
              <w:rPr>
                <w:rFonts w:ascii="Arial" w:hAnsi="Arial" w:cs="Arial"/>
              </w:rPr>
              <w:t>Limitations:</w:t>
            </w:r>
          </w:p>
          <w:p w14:paraId="25A12ADC" w14:textId="77777777" w:rsidR="00CC0D6C" w:rsidRPr="002612FD" w:rsidRDefault="00CC0D6C" w:rsidP="00360CA3">
            <w:pPr>
              <w:rPr>
                <w:rFonts w:ascii="Arial" w:hAnsi="Arial" w:cs="Arial"/>
              </w:rPr>
            </w:pPr>
            <w:r w:rsidRPr="002612FD">
              <w:rPr>
                <w:rFonts w:ascii="Arial" w:hAnsi="Arial" w:cs="Arial"/>
              </w:rPr>
              <w:t>Secondary data analysis limits the ability to establish causal relationships.</w:t>
            </w:r>
          </w:p>
          <w:p w14:paraId="32F5F87D" w14:textId="77777777" w:rsidR="00CC0D6C" w:rsidRPr="002612FD" w:rsidRDefault="00CC0D6C" w:rsidP="00360CA3">
            <w:pPr>
              <w:rPr>
                <w:rFonts w:ascii="Arial" w:hAnsi="Arial" w:cs="Arial"/>
              </w:rPr>
            </w:pPr>
            <w:r w:rsidRPr="002612FD">
              <w:rPr>
                <w:rFonts w:ascii="Arial" w:hAnsi="Arial" w:cs="Arial"/>
              </w:rPr>
              <w:t>Exclusion of studies focusing on specific subpopulations (e.g., racial or cultural groups) limits generalizability for these groups.</w:t>
            </w:r>
          </w:p>
        </w:tc>
      </w:tr>
      <w:tr w:rsidR="00CC0D6C" w:rsidRPr="002612FD" w14:paraId="51872000" w14:textId="77777777" w:rsidTr="000C00F6">
        <w:tc>
          <w:tcPr>
            <w:tcW w:w="1440" w:type="dxa"/>
            <w:shd w:val="clear" w:color="auto" w:fill="D9D9D9" w:themeFill="background1" w:themeFillShade="D9"/>
          </w:tcPr>
          <w:p w14:paraId="37FEECE2" w14:textId="77777777" w:rsidR="000C00F6" w:rsidRDefault="00CC0D6C" w:rsidP="00360CA3">
            <w:pPr>
              <w:rPr>
                <w:rFonts w:ascii="Arial" w:hAnsi="Arial" w:cs="Arial"/>
              </w:rPr>
            </w:pPr>
            <w:r w:rsidRPr="002612FD">
              <w:rPr>
                <w:rFonts w:ascii="Arial" w:hAnsi="Arial" w:cs="Arial"/>
              </w:rPr>
              <w:t xml:space="preserve">White-Williams </w:t>
            </w:r>
          </w:p>
          <w:p w14:paraId="46FF77C7" w14:textId="072BD7B5" w:rsidR="00CC0D6C" w:rsidRPr="002612FD" w:rsidRDefault="00CC0D6C" w:rsidP="00360CA3">
            <w:pPr>
              <w:rPr>
                <w:rFonts w:ascii="Arial" w:hAnsi="Arial" w:cs="Arial"/>
              </w:rPr>
            </w:pPr>
            <w:r w:rsidRPr="002612FD">
              <w:rPr>
                <w:rFonts w:ascii="Arial" w:hAnsi="Arial" w:cs="Arial"/>
              </w:rPr>
              <w:t xml:space="preserve">et al. </w:t>
            </w:r>
          </w:p>
          <w:p w14:paraId="51A2EC9A" w14:textId="77777777" w:rsidR="00CC0D6C" w:rsidRPr="002612FD" w:rsidRDefault="00CC0D6C" w:rsidP="00360CA3">
            <w:pPr>
              <w:rPr>
                <w:rFonts w:ascii="Arial" w:hAnsi="Arial" w:cs="Arial"/>
              </w:rPr>
            </w:pPr>
          </w:p>
          <w:p w14:paraId="725BAB94" w14:textId="77777777" w:rsidR="00CC0D6C" w:rsidRPr="002612FD" w:rsidRDefault="00CC0D6C" w:rsidP="00360CA3">
            <w:pPr>
              <w:rPr>
                <w:rFonts w:ascii="Arial" w:hAnsi="Arial" w:cs="Arial"/>
              </w:rPr>
            </w:pPr>
          </w:p>
        </w:tc>
        <w:tc>
          <w:tcPr>
            <w:tcW w:w="810" w:type="dxa"/>
            <w:shd w:val="clear" w:color="auto" w:fill="D9D9D9" w:themeFill="background1" w:themeFillShade="D9"/>
          </w:tcPr>
          <w:p w14:paraId="41D25296" w14:textId="77777777" w:rsidR="00CC0D6C" w:rsidRPr="002612FD" w:rsidRDefault="00CC0D6C" w:rsidP="00360CA3">
            <w:pPr>
              <w:rPr>
                <w:rFonts w:ascii="Arial" w:hAnsi="Arial" w:cs="Arial"/>
              </w:rPr>
            </w:pPr>
            <w:r w:rsidRPr="002612FD">
              <w:rPr>
                <w:rFonts w:ascii="Arial" w:hAnsi="Arial" w:cs="Arial"/>
              </w:rPr>
              <w:t>2020</w:t>
            </w:r>
          </w:p>
        </w:tc>
        <w:tc>
          <w:tcPr>
            <w:tcW w:w="1350" w:type="dxa"/>
            <w:shd w:val="clear" w:color="auto" w:fill="D9D9D9" w:themeFill="background1" w:themeFillShade="D9"/>
          </w:tcPr>
          <w:p w14:paraId="3CB72E37" w14:textId="77777777" w:rsidR="00CC0D6C" w:rsidRPr="002612FD" w:rsidRDefault="00CC0D6C" w:rsidP="00360CA3">
            <w:pPr>
              <w:rPr>
                <w:rFonts w:ascii="Arial" w:hAnsi="Arial" w:cs="Arial"/>
              </w:rPr>
            </w:pPr>
            <w:r w:rsidRPr="002612FD">
              <w:rPr>
                <w:rFonts w:ascii="Arial" w:hAnsi="Arial" w:cs="Arial"/>
              </w:rPr>
              <w:t>Narrative Review with a Policy-Oriented Approach (Scientific Statement)</w:t>
            </w:r>
          </w:p>
        </w:tc>
        <w:tc>
          <w:tcPr>
            <w:tcW w:w="1890" w:type="dxa"/>
            <w:shd w:val="clear" w:color="auto" w:fill="D9D9D9" w:themeFill="background1" w:themeFillShade="D9"/>
          </w:tcPr>
          <w:p w14:paraId="5A74D922" w14:textId="77777777" w:rsidR="00CC0D6C" w:rsidRPr="002612FD" w:rsidRDefault="00CC0D6C" w:rsidP="00360CA3">
            <w:pPr>
              <w:rPr>
                <w:rFonts w:ascii="Arial" w:hAnsi="Arial" w:cs="Arial"/>
              </w:rPr>
            </w:pPr>
            <w:r w:rsidRPr="002612FD">
              <w:rPr>
                <w:rFonts w:ascii="Arial" w:hAnsi="Arial" w:cs="Arial"/>
              </w:rPr>
              <w:t>Incorporates findings from 201 articles on SDOH related to HF, focusing on studies published between 2005 and 2019.</w:t>
            </w:r>
          </w:p>
        </w:tc>
        <w:tc>
          <w:tcPr>
            <w:tcW w:w="1710" w:type="dxa"/>
            <w:shd w:val="clear" w:color="auto" w:fill="D9D9D9" w:themeFill="background1" w:themeFillShade="D9"/>
          </w:tcPr>
          <w:p w14:paraId="4FBACF6F" w14:textId="77777777" w:rsidR="00CC0D6C" w:rsidRPr="002612FD" w:rsidRDefault="00CC0D6C" w:rsidP="00360CA3">
            <w:pPr>
              <w:rPr>
                <w:rFonts w:ascii="Arial" w:hAnsi="Arial" w:cs="Arial"/>
              </w:rPr>
            </w:pPr>
            <w:r w:rsidRPr="002612FD">
              <w:rPr>
                <w:rFonts w:ascii="Arial" w:hAnsi="Arial" w:cs="Arial"/>
              </w:rPr>
              <w:t>Textual Evidence and Narrative Reviews</w:t>
            </w:r>
          </w:p>
        </w:tc>
        <w:tc>
          <w:tcPr>
            <w:tcW w:w="3600" w:type="dxa"/>
            <w:shd w:val="clear" w:color="auto" w:fill="D9D9D9" w:themeFill="background1" w:themeFillShade="D9"/>
          </w:tcPr>
          <w:p w14:paraId="4CB4A63F" w14:textId="77777777" w:rsidR="00CC0D6C" w:rsidRPr="002612FD" w:rsidRDefault="00CC0D6C" w:rsidP="00360CA3">
            <w:pPr>
              <w:rPr>
                <w:rFonts w:ascii="Arial" w:hAnsi="Arial" w:cs="Arial"/>
              </w:rPr>
            </w:pPr>
            <w:r w:rsidRPr="002612FD">
              <w:rPr>
                <w:rFonts w:ascii="Arial" w:hAnsi="Arial" w:cs="Arial"/>
              </w:rPr>
              <w:t>Patients from low-income backgrounds are significantly more likely to experience poor HF outcomes, including frequent hospitalizations and higher mortality rates due to lack of access to healthcare, medications, and essential services.  Poverty is a major confounding factor for HF patients, with those living below the poverty line showing increased hospitalization rates. Low educational attainment is strongly associated with worse HF outcomes, as patients with lower education levels are less likely to understand their disease management and follow prescribed treatments. Poor access to care, exacerbated by lack of insurance and transportation barriers, contributes to worsening HF outcomes. Food insecurity and lack of housing stability were identified as critical factors contributing to poor self-management of HF. Lack of safe, affordable housing and proximity to healthcare facilities were linked to higher readmission rates and mortality. Social isolation and lack of social support were shown to worsen health outcomes, emphasizing the importance of community-based interventions and patient navigation programs to improve self-care and reduce the burden of disease.</w:t>
            </w:r>
          </w:p>
        </w:tc>
        <w:tc>
          <w:tcPr>
            <w:tcW w:w="2520" w:type="dxa"/>
            <w:shd w:val="clear" w:color="auto" w:fill="D9D9D9" w:themeFill="background1" w:themeFillShade="D9"/>
          </w:tcPr>
          <w:p w14:paraId="495A9F52" w14:textId="77777777" w:rsidR="00CC0D6C" w:rsidRPr="002612FD" w:rsidRDefault="00CC0D6C" w:rsidP="00360CA3">
            <w:pPr>
              <w:rPr>
                <w:rFonts w:ascii="Arial" w:hAnsi="Arial" w:cs="Arial"/>
              </w:rPr>
            </w:pPr>
            <w:r w:rsidRPr="002612FD">
              <w:rPr>
                <w:rFonts w:ascii="Arial" w:hAnsi="Arial" w:cs="Arial"/>
              </w:rPr>
              <w:t>Strengths: Comprehensive review of SDOH in HF, addressing both upstream (e.g., policy and environmental) and downstream (e.g., personal behaviors and care access) factors.</w:t>
            </w:r>
          </w:p>
          <w:p w14:paraId="349EDDDD" w14:textId="77777777" w:rsidR="00CC0D6C" w:rsidRPr="002612FD" w:rsidRDefault="00CC0D6C" w:rsidP="00360CA3">
            <w:pPr>
              <w:rPr>
                <w:rFonts w:ascii="Arial" w:hAnsi="Arial" w:cs="Arial"/>
              </w:rPr>
            </w:pPr>
            <w:r w:rsidRPr="002612FD">
              <w:rPr>
                <w:rFonts w:ascii="Arial" w:hAnsi="Arial" w:cs="Arial"/>
              </w:rPr>
              <w:t>The inclusion of interprofessional team approaches and case studies highlights real-world applications to mitigate SDOH in HF care.</w:t>
            </w:r>
          </w:p>
          <w:p w14:paraId="4DB22F4A" w14:textId="77777777" w:rsidR="00CC0D6C" w:rsidRPr="002612FD" w:rsidRDefault="00CC0D6C" w:rsidP="00360CA3">
            <w:pPr>
              <w:rPr>
                <w:rFonts w:ascii="Arial" w:hAnsi="Arial" w:cs="Arial"/>
              </w:rPr>
            </w:pPr>
          </w:p>
          <w:p w14:paraId="47CD1914" w14:textId="77777777" w:rsidR="00CC0D6C" w:rsidRPr="002612FD" w:rsidRDefault="00CC0D6C" w:rsidP="00360CA3">
            <w:pPr>
              <w:rPr>
                <w:rFonts w:ascii="Arial" w:hAnsi="Arial" w:cs="Arial"/>
              </w:rPr>
            </w:pPr>
            <w:r w:rsidRPr="002612FD">
              <w:rPr>
                <w:rFonts w:ascii="Arial" w:hAnsi="Arial" w:cs="Arial"/>
              </w:rPr>
              <w:t>Limitations:</w:t>
            </w:r>
          </w:p>
          <w:p w14:paraId="2247DD06" w14:textId="77777777" w:rsidR="00CC0D6C" w:rsidRPr="002612FD" w:rsidRDefault="00CC0D6C" w:rsidP="00360CA3">
            <w:pPr>
              <w:rPr>
                <w:rFonts w:ascii="Arial" w:hAnsi="Arial" w:cs="Arial"/>
              </w:rPr>
            </w:pPr>
            <w:r w:rsidRPr="002612FD">
              <w:rPr>
                <w:rFonts w:ascii="Arial" w:hAnsi="Arial" w:cs="Arial"/>
              </w:rPr>
              <w:t>While extensive, the literature review focuses mostly on expert opinion and existing evidence rather than new empirical research.</w:t>
            </w:r>
          </w:p>
          <w:p w14:paraId="39F6F0F8" w14:textId="77777777" w:rsidR="00CC0D6C" w:rsidRPr="002612FD" w:rsidRDefault="00CC0D6C" w:rsidP="00360CA3">
            <w:pPr>
              <w:rPr>
                <w:rFonts w:ascii="Arial" w:hAnsi="Arial" w:cs="Arial"/>
              </w:rPr>
            </w:pPr>
            <w:r w:rsidRPr="002612FD">
              <w:rPr>
                <w:rFonts w:ascii="Arial" w:hAnsi="Arial" w:cs="Arial"/>
              </w:rPr>
              <w:t>Limited focus on gender and sexual minorities, leaving a gap in addressing disparities in these populations specifically in HF care.</w:t>
            </w:r>
          </w:p>
        </w:tc>
      </w:tr>
      <w:tr w:rsidR="00CC0D6C" w:rsidRPr="00B70FFA" w14:paraId="1E7CE146" w14:textId="77777777" w:rsidTr="0024775A">
        <w:tc>
          <w:tcPr>
            <w:tcW w:w="1440" w:type="dxa"/>
            <w:shd w:val="clear" w:color="auto" w:fill="auto"/>
          </w:tcPr>
          <w:p w14:paraId="47E38BE6" w14:textId="77777777" w:rsidR="00CC0D6C" w:rsidRPr="002612FD" w:rsidRDefault="00CC0D6C" w:rsidP="00360CA3">
            <w:pPr>
              <w:rPr>
                <w:rFonts w:ascii="Arial" w:hAnsi="Arial" w:cs="Arial"/>
              </w:rPr>
            </w:pPr>
            <w:r w:rsidRPr="002612FD">
              <w:rPr>
                <w:rFonts w:ascii="Arial" w:hAnsi="Arial" w:cs="Arial"/>
              </w:rPr>
              <w:t xml:space="preserve">Zeitler et al. </w:t>
            </w:r>
          </w:p>
        </w:tc>
        <w:tc>
          <w:tcPr>
            <w:tcW w:w="810" w:type="dxa"/>
            <w:shd w:val="clear" w:color="auto" w:fill="auto"/>
          </w:tcPr>
          <w:p w14:paraId="7F7ABF9B" w14:textId="77777777" w:rsidR="00CC0D6C" w:rsidRPr="002612FD" w:rsidRDefault="00CC0D6C" w:rsidP="00360CA3">
            <w:pPr>
              <w:rPr>
                <w:rFonts w:ascii="Arial" w:hAnsi="Arial" w:cs="Arial"/>
              </w:rPr>
            </w:pPr>
            <w:r w:rsidRPr="002612FD">
              <w:rPr>
                <w:rFonts w:ascii="Arial" w:hAnsi="Arial" w:cs="Arial"/>
              </w:rPr>
              <w:t>2024</w:t>
            </w:r>
          </w:p>
        </w:tc>
        <w:tc>
          <w:tcPr>
            <w:tcW w:w="1350" w:type="dxa"/>
            <w:shd w:val="clear" w:color="auto" w:fill="auto"/>
          </w:tcPr>
          <w:p w14:paraId="2315A156" w14:textId="77777777" w:rsidR="00CC0D6C" w:rsidRPr="002612FD" w:rsidRDefault="00CC0D6C" w:rsidP="00360CA3">
            <w:pPr>
              <w:rPr>
                <w:rFonts w:ascii="Arial" w:hAnsi="Arial" w:cs="Arial"/>
              </w:rPr>
            </w:pPr>
            <w:r w:rsidRPr="002612FD">
              <w:rPr>
                <w:rFonts w:ascii="Arial" w:hAnsi="Arial" w:cs="Arial"/>
              </w:rPr>
              <w:t>Retrospective cohort study</w:t>
            </w:r>
          </w:p>
        </w:tc>
        <w:tc>
          <w:tcPr>
            <w:tcW w:w="1890" w:type="dxa"/>
            <w:shd w:val="clear" w:color="auto" w:fill="auto"/>
          </w:tcPr>
          <w:p w14:paraId="0FDB15D2" w14:textId="77777777" w:rsidR="00CC0D6C" w:rsidRPr="002612FD" w:rsidRDefault="00CC0D6C" w:rsidP="00360CA3">
            <w:pPr>
              <w:rPr>
                <w:rFonts w:ascii="Arial" w:hAnsi="Arial" w:cs="Arial"/>
              </w:rPr>
            </w:pPr>
            <w:r w:rsidRPr="002612FD">
              <w:rPr>
                <w:rFonts w:ascii="Arial" w:hAnsi="Arial" w:cs="Arial"/>
              </w:rPr>
              <w:t>Data from Medicare Parts A, B, and D, covering 389,528 fee-for-service beneficiaries with at least one heart failure hospitalization from 2008–2017.</w:t>
            </w:r>
          </w:p>
        </w:tc>
        <w:tc>
          <w:tcPr>
            <w:tcW w:w="1710" w:type="dxa"/>
            <w:shd w:val="clear" w:color="auto" w:fill="auto"/>
          </w:tcPr>
          <w:p w14:paraId="62E0C7E5" w14:textId="77777777" w:rsidR="00CC0D6C" w:rsidRPr="002612FD" w:rsidRDefault="00CC0D6C" w:rsidP="00360CA3">
            <w:pPr>
              <w:rPr>
                <w:rFonts w:ascii="Arial" w:hAnsi="Arial" w:cs="Arial"/>
              </w:rPr>
            </w:pPr>
            <w:r w:rsidRPr="002612FD">
              <w:rPr>
                <w:rFonts w:ascii="Arial" w:hAnsi="Arial" w:cs="Arial"/>
              </w:rPr>
              <w:t>Cohort Studies</w:t>
            </w:r>
          </w:p>
        </w:tc>
        <w:tc>
          <w:tcPr>
            <w:tcW w:w="3600" w:type="dxa"/>
            <w:shd w:val="clear" w:color="auto" w:fill="auto"/>
          </w:tcPr>
          <w:p w14:paraId="64617547" w14:textId="77777777" w:rsidR="00CC0D6C" w:rsidRPr="002612FD" w:rsidRDefault="00CC0D6C" w:rsidP="00360CA3">
            <w:pPr>
              <w:rPr>
                <w:rFonts w:ascii="Arial" w:hAnsi="Arial" w:cs="Arial"/>
              </w:rPr>
            </w:pPr>
            <w:r w:rsidRPr="002612FD">
              <w:rPr>
                <w:rFonts w:ascii="Arial" w:hAnsi="Arial" w:cs="Arial"/>
              </w:rPr>
              <w:t>Analyzes rural vs. urban disparities in heart failure (</w:t>
            </w:r>
            <w:proofErr w:type="spellStart"/>
            <w:r w:rsidRPr="002612FD">
              <w:rPr>
                <w:rFonts w:ascii="Arial" w:hAnsi="Arial" w:cs="Arial"/>
              </w:rPr>
              <w:t>HFrEF</w:t>
            </w:r>
            <w:proofErr w:type="spellEnd"/>
            <w:r w:rsidRPr="002612FD">
              <w:rPr>
                <w:rFonts w:ascii="Arial" w:hAnsi="Arial" w:cs="Arial"/>
              </w:rPr>
              <w:t>) outcomes, specifically examining 30-day mortality, 1-year mortality, readmissions, and emergency room (ER) visits. Rural patients had higher 30-day mortality rates (6.3%) compared to urban patients (5.7%) (</w:t>
            </w:r>
            <w:r w:rsidRPr="00A10500">
              <w:rPr>
                <w:rFonts w:ascii="Arial" w:hAnsi="Arial" w:cs="Arial"/>
                <w:i/>
                <w:iCs/>
              </w:rPr>
              <w:t>p</w:t>
            </w:r>
            <w:r w:rsidRPr="002612FD">
              <w:rPr>
                <w:rFonts w:ascii="Arial" w:hAnsi="Arial" w:cs="Arial"/>
              </w:rPr>
              <w:t xml:space="preserve"> &lt; .001). Unadjusted 30-day readmission rates were slightly lower in rural areas (20.6% vs. 21.3%, </w:t>
            </w:r>
            <w:r w:rsidRPr="00A10500">
              <w:rPr>
                <w:rFonts w:ascii="Arial" w:hAnsi="Arial" w:cs="Arial"/>
                <w:i/>
                <w:iCs/>
              </w:rPr>
              <w:t>p</w:t>
            </w:r>
            <w:r w:rsidRPr="002612FD">
              <w:rPr>
                <w:rFonts w:ascii="Arial" w:hAnsi="Arial" w:cs="Arial"/>
              </w:rPr>
              <w:t xml:space="preserve"> &lt; .001), while ER admissions were higher in rural areas (11.9% vs. 9.6%, </w:t>
            </w:r>
            <w:r w:rsidRPr="00A10500">
              <w:rPr>
                <w:rFonts w:ascii="Arial" w:hAnsi="Arial" w:cs="Arial"/>
                <w:i/>
                <w:iCs/>
              </w:rPr>
              <w:t>p</w:t>
            </w:r>
            <w:r w:rsidRPr="002612FD">
              <w:rPr>
                <w:rFonts w:ascii="Arial" w:hAnsi="Arial" w:cs="Arial"/>
              </w:rPr>
              <w:t xml:space="preserve"> &lt; .001).30-day mortality odds ratio for rural residence: 1.201 (95% CI 1.164–1.239).</w:t>
            </w:r>
          </w:p>
          <w:p w14:paraId="09DD23E0" w14:textId="77777777" w:rsidR="00CC0D6C" w:rsidRPr="002612FD" w:rsidRDefault="00CC0D6C" w:rsidP="00360CA3">
            <w:pPr>
              <w:rPr>
                <w:rFonts w:ascii="Arial" w:hAnsi="Arial" w:cs="Arial"/>
              </w:rPr>
            </w:pPr>
            <w:r w:rsidRPr="002612FD">
              <w:rPr>
                <w:rFonts w:ascii="Arial" w:hAnsi="Arial" w:cs="Arial"/>
              </w:rPr>
              <w:t xml:space="preserve">The inclusion of social determinants of health (SDOH) (e.g., area deprivation index and dual-eligibility status) in the model reduced the odds ratio for rural mortality to 1.140 (95% CI 1.103–1.178). Rural patients were more socioeconomically disadvantaged (e.g., higher likelihood of Medicaid </w:t>
            </w:r>
            <w:proofErr w:type="gramStart"/>
            <w:r w:rsidRPr="002612FD">
              <w:rPr>
                <w:rFonts w:ascii="Arial" w:hAnsi="Arial" w:cs="Arial"/>
              </w:rPr>
              <w:t>dual-eligibility</w:t>
            </w:r>
            <w:proofErr w:type="gramEnd"/>
            <w:r w:rsidRPr="002612FD">
              <w:rPr>
                <w:rFonts w:ascii="Arial" w:hAnsi="Arial" w:cs="Arial"/>
              </w:rPr>
              <w:t>), which contributed to poorer outcomes.</w:t>
            </w:r>
          </w:p>
          <w:p w14:paraId="03B5FE41" w14:textId="77777777" w:rsidR="00CC0D6C" w:rsidRPr="002612FD" w:rsidRDefault="00CC0D6C" w:rsidP="00360CA3">
            <w:pPr>
              <w:rPr>
                <w:rFonts w:ascii="Arial" w:hAnsi="Arial" w:cs="Arial"/>
              </w:rPr>
            </w:pPr>
            <w:r w:rsidRPr="002612FD">
              <w:rPr>
                <w:rFonts w:ascii="Arial" w:hAnsi="Arial" w:cs="Arial"/>
              </w:rPr>
              <w:t>Area deprivation index was positively correlated with poorer outcomes: odds ratio 1.618 (95% CI 1.46–1.793).</w:t>
            </w:r>
          </w:p>
        </w:tc>
        <w:tc>
          <w:tcPr>
            <w:tcW w:w="2520" w:type="dxa"/>
            <w:shd w:val="clear" w:color="auto" w:fill="auto"/>
          </w:tcPr>
          <w:p w14:paraId="77E7A7BA" w14:textId="77777777" w:rsidR="00CC0D6C" w:rsidRPr="002612FD" w:rsidRDefault="00CC0D6C" w:rsidP="00360CA3">
            <w:pPr>
              <w:rPr>
                <w:rFonts w:ascii="Arial" w:hAnsi="Arial" w:cs="Arial"/>
              </w:rPr>
            </w:pPr>
            <w:r w:rsidRPr="002612FD">
              <w:rPr>
                <w:rFonts w:ascii="Arial" w:hAnsi="Arial" w:cs="Arial"/>
              </w:rPr>
              <w:t xml:space="preserve">Strengths: </w:t>
            </w:r>
          </w:p>
          <w:p w14:paraId="0D1A798B" w14:textId="77777777" w:rsidR="00CC0D6C" w:rsidRPr="002612FD" w:rsidRDefault="00CC0D6C" w:rsidP="00360CA3">
            <w:pPr>
              <w:rPr>
                <w:rFonts w:ascii="Arial" w:hAnsi="Arial" w:cs="Arial"/>
              </w:rPr>
            </w:pPr>
            <w:r w:rsidRPr="002612FD">
              <w:rPr>
                <w:rFonts w:ascii="Arial" w:hAnsi="Arial" w:cs="Arial"/>
              </w:rPr>
              <w:t>Large cohort, nationally representative of Medicare beneficiaries with heart failure.</w:t>
            </w:r>
          </w:p>
          <w:p w14:paraId="4BB57D6C" w14:textId="77777777" w:rsidR="00CC0D6C" w:rsidRPr="002612FD" w:rsidRDefault="00CC0D6C" w:rsidP="00360CA3">
            <w:pPr>
              <w:rPr>
                <w:rFonts w:ascii="Arial" w:hAnsi="Arial" w:cs="Arial"/>
              </w:rPr>
            </w:pPr>
            <w:r w:rsidRPr="002612FD">
              <w:rPr>
                <w:rFonts w:ascii="Arial" w:hAnsi="Arial" w:cs="Arial"/>
              </w:rPr>
              <w:t>Comprehensive analysis adjusting for comorbidities, guideline-directed medical therapy (GDMT), and social determinants of health.</w:t>
            </w:r>
          </w:p>
          <w:p w14:paraId="0C996D5B" w14:textId="77777777" w:rsidR="00CC0D6C" w:rsidRPr="002612FD" w:rsidRDefault="00CC0D6C" w:rsidP="00360CA3">
            <w:pPr>
              <w:rPr>
                <w:rFonts w:ascii="Arial" w:hAnsi="Arial" w:cs="Arial"/>
              </w:rPr>
            </w:pPr>
          </w:p>
          <w:p w14:paraId="7504FCB8" w14:textId="77777777" w:rsidR="00CC0D6C" w:rsidRPr="002612FD" w:rsidRDefault="00CC0D6C" w:rsidP="00360CA3">
            <w:pPr>
              <w:rPr>
                <w:rFonts w:ascii="Arial" w:hAnsi="Arial" w:cs="Arial"/>
              </w:rPr>
            </w:pPr>
            <w:r w:rsidRPr="002612FD">
              <w:rPr>
                <w:rFonts w:ascii="Arial" w:hAnsi="Arial" w:cs="Arial"/>
              </w:rPr>
              <w:t xml:space="preserve">Limitations: </w:t>
            </w:r>
          </w:p>
          <w:p w14:paraId="5B6015AE" w14:textId="77777777" w:rsidR="00CC0D6C" w:rsidRPr="002612FD" w:rsidRDefault="00CC0D6C" w:rsidP="00360CA3">
            <w:pPr>
              <w:rPr>
                <w:rFonts w:ascii="Arial" w:hAnsi="Arial" w:cs="Arial"/>
              </w:rPr>
            </w:pPr>
            <w:proofErr w:type="gramStart"/>
            <w:r w:rsidRPr="002612FD">
              <w:rPr>
                <w:rFonts w:ascii="Arial" w:hAnsi="Arial" w:cs="Arial"/>
              </w:rPr>
              <w:t>Only included</w:t>
            </w:r>
            <w:proofErr w:type="gramEnd"/>
            <w:r w:rsidRPr="002612FD">
              <w:rPr>
                <w:rFonts w:ascii="Arial" w:hAnsi="Arial" w:cs="Arial"/>
              </w:rPr>
              <w:t xml:space="preserve"> Medicare beneficiaries, limiting generalizability to other populations.</w:t>
            </w:r>
          </w:p>
          <w:p w14:paraId="102C915A" w14:textId="77777777" w:rsidR="00CC0D6C" w:rsidRPr="002612FD" w:rsidRDefault="00CC0D6C" w:rsidP="00360CA3">
            <w:pPr>
              <w:rPr>
                <w:rFonts w:ascii="Arial" w:hAnsi="Arial" w:cs="Arial"/>
              </w:rPr>
            </w:pPr>
            <w:r w:rsidRPr="002612FD">
              <w:rPr>
                <w:rFonts w:ascii="Arial" w:hAnsi="Arial" w:cs="Arial"/>
              </w:rPr>
              <w:t>Data is observational, so causal relationships cannot be definitively established.</w:t>
            </w:r>
          </w:p>
          <w:p w14:paraId="18D0D4B5" w14:textId="77777777" w:rsidR="00CC0D6C" w:rsidRPr="002612FD" w:rsidRDefault="00CC0D6C" w:rsidP="00360CA3">
            <w:pPr>
              <w:rPr>
                <w:rFonts w:ascii="Arial" w:hAnsi="Arial" w:cs="Arial"/>
              </w:rPr>
            </w:pPr>
            <w:r w:rsidRPr="002612FD">
              <w:rPr>
                <w:rFonts w:ascii="Arial" w:hAnsi="Arial" w:cs="Arial"/>
              </w:rPr>
              <w:t>The study did not include SDOH for individual-level analysis beyond dual eligibility and deprivation index.</w:t>
            </w:r>
          </w:p>
        </w:tc>
      </w:tr>
    </w:tbl>
    <w:p w14:paraId="5FB5AEE6" w14:textId="77777777" w:rsidR="00CC0D6C" w:rsidRDefault="00CC0D6C" w:rsidP="00CC0D6C"/>
    <w:sectPr w:rsidR="00CC0D6C" w:rsidSect="006B3C3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ndra Duran">
    <w15:presenceInfo w15:providerId="Windows Live" w15:userId="8daeef572442a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C3A"/>
    <w:rsid w:val="00020891"/>
    <w:rsid w:val="000C00F6"/>
    <w:rsid w:val="001340A5"/>
    <w:rsid w:val="0024775A"/>
    <w:rsid w:val="005163F8"/>
    <w:rsid w:val="00551CF4"/>
    <w:rsid w:val="006B3C3A"/>
    <w:rsid w:val="006E744C"/>
    <w:rsid w:val="009031F0"/>
    <w:rsid w:val="00936E21"/>
    <w:rsid w:val="009859C3"/>
    <w:rsid w:val="009A094E"/>
    <w:rsid w:val="009A43B9"/>
    <w:rsid w:val="009C61A6"/>
    <w:rsid w:val="00A10500"/>
    <w:rsid w:val="00A52F00"/>
    <w:rsid w:val="00B352C7"/>
    <w:rsid w:val="00B83E82"/>
    <w:rsid w:val="00CC0D6C"/>
    <w:rsid w:val="00D8550D"/>
    <w:rsid w:val="00E86F9E"/>
    <w:rsid w:val="00EA113C"/>
    <w:rsid w:val="00EE4740"/>
    <w:rsid w:val="00F41F9B"/>
    <w:rsid w:val="00FA28A2"/>
    <w:rsid w:val="00FA5E58"/>
    <w:rsid w:val="00FD7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02042"/>
  <w15:chartTrackingRefBased/>
  <w15:docId w15:val="{7F805302-6264-470B-AB22-84A94AD71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C3A"/>
    <w:pPr>
      <w:spacing w:line="259" w:lineRule="auto"/>
    </w:pPr>
    <w:rPr>
      <w:sz w:val="22"/>
      <w:szCs w:val="22"/>
    </w:rPr>
  </w:style>
  <w:style w:type="paragraph" w:styleId="Heading1">
    <w:name w:val="heading 1"/>
    <w:basedOn w:val="Normal"/>
    <w:next w:val="Normal"/>
    <w:link w:val="Heading1Char"/>
    <w:uiPriority w:val="9"/>
    <w:qFormat/>
    <w:rsid w:val="006B3C3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C3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C3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C3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6B3C3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6B3C3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6B3C3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B3C3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6B3C3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C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C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C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C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C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C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C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C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C3A"/>
    <w:rPr>
      <w:rFonts w:eastAsiaTheme="majorEastAsia" w:cstheme="majorBidi"/>
      <w:color w:val="272727" w:themeColor="text1" w:themeTint="D8"/>
    </w:rPr>
  </w:style>
  <w:style w:type="paragraph" w:styleId="Title">
    <w:name w:val="Title"/>
    <w:basedOn w:val="Normal"/>
    <w:next w:val="Normal"/>
    <w:link w:val="TitleChar"/>
    <w:uiPriority w:val="10"/>
    <w:qFormat/>
    <w:rsid w:val="006B3C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C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C3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C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C3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6B3C3A"/>
    <w:rPr>
      <w:i/>
      <w:iCs/>
      <w:color w:val="404040" w:themeColor="text1" w:themeTint="BF"/>
    </w:rPr>
  </w:style>
  <w:style w:type="paragraph" w:styleId="ListParagraph">
    <w:name w:val="List Paragraph"/>
    <w:basedOn w:val="Normal"/>
    <w:uiPriority w:val="34"/>
    <w:qFormat/>
    <w:rsid w:val="006B3C3A"/>
    <w:pPr>
      <w:spacing w:line="278" w:lineRule="auto"/>
      <w:ind w:left="720"/>
      <w:contextualSpacing/>
    </w:pPr>
    <w:rPr>
      <w:sz w:val="24"/>
      <w:szCs w:val="24"/>
    </w:rPr>
  </w:style>
  <w:style w:type="character" w:styleId="IntenseEmphasis">
    <w:name w:val="Intense Emphasis"/>
    <w:basedOn w:val="DefaultParagraphFont"/>
    <w:uiPriority w:val="21"/>
    <w:qFormat/>
    <w:rsid w:val="006B3C3A"/>
    <w:rPr>
      <w:i/>
      <w:iCs/>
      <w:color w:val="0F4761" w:themeColor="accent1" w:themeShade="BF"/>
    </w:rPr>
  </w:style>
  <w:style w:type="paragraph" w:styleId="IntenseQuote">
    <w:name w:val="Intense Quote"/>
    <w:basedOn w:val="Normal"/>
    <w:next w:val="Normal"/>
    <w:link w:val="IntenseQuoteChar"/>
    <w:uiPriority w:val="30"/>
    <w:qFormat/>
    <w:rsid w:val="006B3C3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6B3C3A"/>
    <w:rPr>
      <w:i/>
      <w:iCs/>
      <w:color w:val="0F4761" w:themeColor="accent1" w:themeShade="BF"/>
    </w:rPr>
  </w:style>
  <w:style w:type="character" w:styleId="IntenseReference">
    <w:name w:val="Intense Reference"/>
    <w:basedOn w:val="DefaultParagraphFont"/>
    <w:uiPriority w:val="32"/>
    <w:qFormat/>
    <w:rsid w:val="006B3C3A"/>
    <w:rPr>
      <w:b/>
      <w:bCs/>
      <w:smallCaps/>
      <w:color w:val="0F4761" w:themeColor="accent1" w:themeShade="BF"/>
      <w:spacing w:val="5"/>
    </w:rPr>
  </w:style>
  <w:style w:type="table" w:styleId="TableGrid">
    <w:name w:val="Table Grid"/>
    <w:basedOn w:val="TableNormal"/>
    <w:uiPriority w:val="59"/>
    <w:rsid w:val="006B3C3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6414</Words>
  <Characters>36561</Characters>
  <Application>Microsoft Office Word</Application>
  <DocSecurity>0</DocSecurity>
  <Lines>304</Lines>
  <Paragraphs>85</Paragraphs>
  <ScaleCrop>false</ScaleCrop>
  <Company/>
  <LinksUpToDate>false</LinksUpToDate>
  <CharactersWithSpaces>42890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Duran</dc:creator>
  <cp:keywords/>
  <dc:description/>
  <cp:lastModifiedBy>Kendra Duran</cp:lastModifiedBy>
  <cp:revision>21</cp:revision>
  <dcterms:created xsi:type="dcterms:W3CDTF">2025-03-11T23:21:00Z</dcterms:created>
  <dcterms:modified xsi:type="dcterms:W3CDTF">2025-03-18T19:05:00Z</dcterms:modified>
</cp:coreProperties>
</file>