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5C152" w14:textId="71F23969" w:rsidR="00DE5C1A" w:rsidRPr="00FB5916" w:rsidRDefault="00A5089C" w:rsidP="00235B5F">
      <w:pPr>
        <w:pStyle w:val="Cmsor1"/>
        <w:jc w:val="center"/>
        <w:rPr>
          <w:rFonts w:ascii="Times New Roman" w:hAnsi="Times New Roman" w:cs="Times New Roman"/>
          <w:sz w:val="20"/>
          <w:szCs w:val="20"/>
        </w:rPr>
      </w:pPr>
      <w:r w:rsidRPr="00FB5916">
        <w:rPr>
          <w:rFonts w:ascii="Times New Roman" w:hAnsi="Times New Roman" w:cs="Times New Roman"/>
          <w:sz w:val="20"/>
          <w:szCs w:val="20"/>
        </w:rPr>
        <w:t>Supplementary File 1</w:t>
      </w:r>
    </w:p>
    <w:p w14:paraId="70362FD7" w14:textId="77777777" w:rsidR="00DE5C1A" w:rsidRPr="00FB5916" w:rsidRDefault="00DE5C1A" w:rsidP="00235B5F">
      <w:pPr>
        <w:rPr>
          <w:rFonts w:ascii="Times New Roman" w:hAnsi="Times New Roman" w:cs="Times New Roman"/>
          <w:sz w:val="20"/>
          <w:szCs w:val="20"/>
        </w:rPr>
      </w:pPr>
    </w:p>
    <w:p w14:paraId="69D64F20" w14:textId="77777777" w:rsidR="00DE5C1A" w:rsidRPr="00FB5916" w:rsidRDefault="00DE5C1A" w:rsidP="00235B5F">
      <w:pPr>
        <w:rPr>
          <w:rFonts w:ascii="Times New Roman" w:hAnsi="Times New Roman" w:cs="Times New Roman"/>
          <w:sz w:val="20"/>
          <w:szCs w:val="20"/>
        </w:rPr>
      </w:pPr>
    </w:p>
    <w:p w14:paraId="5DA680EC" w14:textId="5853BE1B" w:rsidR="00DE5C1A" w:rsidRPr="00FB5916" w:rsidRDefault="00DE5C1A" w:rsidP="00235B5F">
      <w:pPr>
        <w:pStyle w:val="Kpalrs"/>
        <w:keepNext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FB5916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Table </w:t>
      </w:r>
      <w:r w:rsidRPr="00FB5916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begin"/>
      </w:r>
      <w:r w:rsidRPr="00FB5916">
        <w:rPr>
          <w:rFonts w:ascii="Times New Roman" w:hAnsi="Times New Roman" w:cs="Times New Roman"/>
          <w:i w:val="0"/>
          <w:iCs w:val="0"/>
          <w:sz w:val="20"/>
          <w:szCs w:val="20"/>
        </w:rPr>
        <w:instrText xml:space="preserve"> SEQ Table \* ARABIC </w:instrText>
      </w:r>
      <w:r w:rsidRPr="00FB5916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separate"/>
      </w:r>
      <w:r w:rsidR="00A5089C" w:rsidRPr="00FB5916">
        <w:rPr>
          <w:rFonts w:ascii="Times New Roman" w:hAnsi="Times New Roman" w:cs="Times New Roman"/>
          <w:i w:val="0"/>
          <w:iCs w:val="0"/>
          <w:noProof/>
          <w:sz w:val="20"/>
          <w:szCs w:val="20"/>
        </w:rPr>
        <w:t>1</w:t>
      </w:r>
      <w:r w:rsidRPr="00FB5916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end"/>
      </w:r>
      <w:r w:rsidRPr="00FB5916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 Search Strategy</w:t>
      </w:r>
    </w:p>
    <w:tbl>
      <w:tblPr>
        <w:tblW w:w="510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018"/>
        <w:gridCol w:w="1310"/>
        <w:gridCol w:w="5566"/>
        <w:gridCol w:w="1315"/>
      </w:tblGrid>
      <w:tr w:rsidR="00DE5C1A" w:rsidRPr="00A5089C" w14:paraId="48EA60A7" w14:textId="77777777" w:rsidTr="00FB5916">
        <w:trPr>
          <w:cantSplit/>
          <w:trHeight w:val="759"/>
          <w:tblHeader/>
        </w:trPr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ACD911" w14:textId="77777777" w:rsidR="00DE5C1A" w:rsidRPr="00FB5916" w:rsidRDefault="00DE5C1A" w:rsidP="00235B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Search</w:t>
            </w:r>
            <w:r w:rsidRPr="00FB59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No.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D103A45" w14:textId="77777777" w:rsidR="00DE5C1A" w:rsidRPr="00FB5916" w:rsidRDefault="00DE5C1A" w:rsidP="00235B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Concepts</w:t>
            </w:r>
          </w:p>
        </w:tc>
        <w:tc>
          <w:tcPr>
            <w:tcW w:w="3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2981B6C" w14:textId="77777777" w:rsidR="00DE5C1A" w:rsidRPr="00FB5916" w:rsidRDefault="00DE5C1A" w:rsidP="00235B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Search string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060B41B" w14:textId="77777777" w:rsidR="00DE5C1A" w:rsidRPr="00FB5916" w:rsidRDefault="00DE5C1A" w:rsidP="00235B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</w:t>
            </w:r>
            <w:r w:rsidRPr="00FB59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hits</w:t>
            </w:r>
          </w:p>
        </w:tc>
      </w:tr>
      <w:tr w:rsidR="00DE5C1A" w:rsidRPr="00A5089C" w14:paraId="192D5DE0" w14:textId="77777777" w:rsidTr="00FB5916">
        <w:trPr>
          <w:cantSplit/>
          <w:trHeight w:val="667"/>
        </w:trPr>
        <w:tc>
          <w:tcPr>
            <w:tcW w:w="126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8AAF6C" w14:textId="77777777" w:rsidR="00DE5C1A" w:rsidRPr="00FB5916" w:rsidRDefault="00DE5C1A" w:rsidP="00235B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Date of search</w:t>
            </w:r>
          </w:p>
        </w:tc>
        <w:tc>
          <w:tcPr>
            <w:tcW w:w="373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78AA62" w14:textId="77777777" w:rsidR="00DE5C1A" w:rsidRPr="00FB5916" w:rsidRDefault="00DE5C1A" w:rsidP="00235B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February 3, 2025</w:t>
            </w:r>
          </w:p>
        </w:tc>
      </w:tr>
      <w:tr w:rsidR="00DE5C1A" w:rsidRPr="00A5089C" w14:paraId="0112D693" w14:textId="77777777" w:rsidTr="00FB5916">
        <w:trPr>
          <w:cantSplit/>
          <w:trHeight w:val="75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771FFB" w14:textId="77777777" w:rsidR="00DE5C1A" w:rsidRPr="00FB5916" w:rsidRDefault="00DE5C1A" w:rsidP="00235B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PUBMED</w:t>
            </w:r>
          </w:p>
        </w:tc>
      </w:tr>
      <w:tr w:rsidR="00DE5C1A" w:rsidRPr="00A5089C" w14:paraId="3AA97130" w14:textId="77777777" w:rsidTr="00FB5916">
        <w:trPr>
          <w:cantSplit/>
          <w:trHeight w:val="929"/>
        </w:trPr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BE7894" w14:textId="77777777" w:rsidR="00DE5C1A" w:rsidRPr="00FB5916" w:rsidRDefault="00DE5C1A" w:rsidP="00235B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#1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24A1EF" w14:textId="77777777" w:rsidR="00DE5C1A" w:rsidRPr="00FB5916" w:rsidRDefault="00DE5C1A" w:rsidP="00235B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Disease</w:t>
            </w:r>
          </w:p>
        </w:tc>
        <w:tc>
          <w:tcPr>
            <w:tcW w:w="3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64F671" w14:textId="77777777" w:rsidR="00DE5C1A" w:rsidRPr="00FB5916" w:rsidRDefault="00DE5C1A" w:rsidP="00235B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("Methylmalonic acidemia"[Title/Abstract] OR "Methylmalonic acidaemia"[Title/Abstract] OR "Methylmalonic aciduria"[Title/Abstract]) OR ("Methylmalonic acidemia" [Supplementary Concept] OR "Methylmalonic aciduria cblB type" [Supplementary Concept] OR "Methylmalonic Aciduria due to Methylmalonyl-CoA Mutase Deficiency" [Supplementary Concept])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4EEB66" w14:textId="77777777" w:rsidR="00DE5C1A" w:rsidRPr="00FB5916" w:rsidRDefault="00DE5C1A" w:rsidP="00235B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1,641</w:t>
            </w:r>
          </w:p>
        </w:tc>
      </w:tr>
      <w:tr w:rsidR="00DE5C1A" w:rsidRPr="00A5089C" w14:paraId="7DE0A0B7" w14:textId="77777777" w:rsidTr="00FB5916">
        <w:trPr>
          <w:cantSplit/>
          <w:trHeight w:val="1695"/>
        </w:trPr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1680B18" w14:textId="77777777" w:rsidR="00DE5C1A" w:rsidRPr="00FB5916" w:rsidRDefault="00DE5C1A" w:rsidP="00235B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#2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F7E4439" w14:textId="77777777" w:rsidR="00DE5C1A" w:rsidRPr="00FB5916" w:rsidRDefault="00DE5C1A" w:rsidP="00235B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Filters</w:t>
            </w:r>
          </w:p>
        </w:tc>
        <w:tc>
          <w:tcPr>
            <w:tcW w:w="3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A0C3ADE" w14:textId="77777777" w:rsidR="00DE5C1A" w:rsidRPr="00FB5916" w:rsidRDefault="00DE5C1A" w:rsidP="00235B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#1 AND</w:t>
            </w:r>
            <w:r w:rsidRPr="00FB59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Filters applied: Humans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23B094E" w14:textId="77777777" w:rsidR="00DE5C1A" w:rsidRPr="00FB5916" w:rsidRDefault="00DE5C1A" w:rsidP="00235B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1,334</w:t>
            </w:r>
          </w:p>
        </w:tc>
      </w:tr>
      <w:tr w:rsidR="00DE5C1A" w:rsidRPr="00A5089C" w14:paraId="0555FC26" w14:textId="77777777" w:rsidTr="00FB5916">
        <w:trPr>
          <w:cantSplit/>
          <w:trHeight w:val="759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829334" w14:textId="77777777" w:rsidR="00DE5C1A" w:rsidRPr="00FB5916" w:rsidRDefault="00DE5C1A" w:rsidP="00235B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EMBASE</w:t>
            </w:r>
          </w:p>
        </w:tc>
      </w:tr>
      <w:tr w:rsidR="00DE5C1A" w:rsidRPr="00A5089C" w14:paraId="1FA5C8AA" w14:textId="77777777" w:rsidTr="00FB5916">
        <w:trPr>
          <w:cantSplit/>
          <w:trHeight w:val="810"/>
        </w:trPr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6F181" w14:textId="77777777" w:rsidR="00DE5C1A" w:rsidRPr="00FB5916" w:rsidRDefault="00DE5C1A" w:rsidP="00235B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Hlk113370944"/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#1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BC870" w14:textId="77777777" w:rsidR="00DE5C1A" w:rsidRPr="00FB5916" w:rsidRDefault="00DE5C1A" w:rsidP="00235B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Disease</w:t>
            </w:r>
          </w:p>
        </w:tc>
        <w:tc>
          <w:tcPr>
            <w:tcW w:w="3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56413" w14:textId="77777777" w:rsidR="00DE5C1A" w:rsidRPr="00FB5916" w:rsidRDefault="00DE5C1A" w:rsidP="00235B5F">
            <w:pPr>
              <w:rPr>
                <w:rFonts w:ascii="Times New Roman" w:hAnsi="Times New Roman" w:cs="Times New Roman"/>
                <w:sz w:val="20"/>
                <w:szCs w:val="20"/>
                <w:lang w:val="hu-HU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('methylmalonic acidemia' OR 'methylmalonic acidemia</w:t>
            </w:r>
            <w:proofErr w:type="gramStart"/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':ab</w:t>
            </w:r>
            <w:proofErr w:type="gramEnd"/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,ti OR 'methylmalonic acidaemia</w:t>
            </w:r>
            <w:proofErr w:type="gramStart"/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':ab</w:t>
            </w:r>
            <w:proofErr w:type="gramEnd"/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,ti OR 'methylmalonic aciduria' OR 'methylmalonic acidaemia' OR 'methylmalonic aciduria</w:t>
            </w:r>
            <w:proofErr w:type="gramStart"/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':ab</w:t>
            </w:r>
            <w:proofErr w:type="gramEnd"/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,ti)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D229E" w14:textId="77777777" w:rsidR="00DE5C1A" w:rsidRPr="00FB5916" w:rsidRDefault="00DE5C1A" w:rsidP="00235B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3,304</w:t>
            </w:r>
          </w:p>
        </w:tc>
      </w:tr>
      <w:tr w:rsidR="00DE5C1A" w:rsidRPr="00A5089C" w14:paraId="4CC68D2A" w14:textId="77777777" w:rsidTr="00FB5916">
        <w:trPr>
          <w:cantSplit/>
          <w:trHeight w:val="810"/>
        </w:trPr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60FDD40" w14:textId="77777777" w:rsidR="00DE5C1A" w:rsidRPr="00FB5916" w:rsidRDefault="00DE5C1A" w:rsidP="00235B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#2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A7C2A2" w14:textId="77777777" w:rsidR="00DE5C1A" w:rsidRPr="00FB5916" w:rsidRDefault="00DE5C1A" w:rsidP="00235B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Filters</w:t>
            </w:r>
          </w:p>
        </w:tc>
        <w:tc>
          <w:tcPr>
            <w:tcW w:w="3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3E28749" w14:textId="77777777" w:rsidR="00DE5C1A" w:rsidRPr="00FB5916" w:rsidRDefault="00DE5C1A" w:rsidP="00235B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#1 AND 'human'/de AND 'article'/it AND [english]/lim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46CCB78" w14:textId="77777777" w:rsidR="00DE5C1A" w:rsidRPr="00FB5916" w:rsidRDefault="00DE5C1A" w:rsidP="00235B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1,507</w:t>
            </w:r>
          </w:p>
        </w:tc>
      </w:tr>
      <w:tr w:rsidR="00DE5C1A" w:rsidRPr="00A5089C" w14:paraId="5A77EBA1" w14:textId="77777777" w:rsidTr="00FB5916">
        <w:trPr>
          <w:cantSplit/>
          <w:trHeight w:val="759"/>
        </w:trPr>
        <w:tc>
          <w:tcPr>
            <w:tcW w:w="5000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22648A" w14:textId="77777777" w:rsidR="00DE5C1A" w:rsidRPr="00FB5916" w:rsidRDefault="00DE5C1A" w:rsidP="00235B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COCHRANE</w:t>
            </w:r>
          </w:p>
        </w:tc>
      </w:tr>
      <w:tr w:rsidR="00DE5C1A" w:rsidRPr="00A5089C" w14:paraId="7B9815F8" w14:textId="77777777" w:rsidTr="00FB5916">
        <w:trPr>
          <w:cantSplit/>
          <w:trHeight w:val="810"/>
        </w:trPr>
        <w:tc>
          <w:tcPr>
            <w:tcW w:w="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597761A" w14:textId="77777777" w:rsidR="00DE5C1A" w:rsidRPr="00FB5916" w:rsidRDefault="00DE5C1A" w:rsidP="00235B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#1</w:t>
            </w:r>
          </w:p>
        </w:tc>
        <w:tc>
          <w:tcPr>
            <w:tcW w:w="7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E9A8B86" w14:textId="77777777" w:rsidR="00DE5C1A" w:rsidRPr="00FB5916" w:rsidRDefault="00DE5C1A" w:rsidP="00235B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Disease</w:t>
            </w:r>
          </w:p>
        </w:tc>
        <w:tc>
          <w:tcPr>
            <w:tcW w:w="3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9E789D7" w14:textId="77777777" w:rsidR="00DE5C1A" w:rsidRPr="00FB5916" w:rsidRDefault="00DE5C1A" w:rsidP="00235B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"Methylmalonic acidemia" OR "Methylmalonic acidaemia" OR "Methylmalonic aciduria" </w:t>
            </w:r>
          </w:p>
        </w:tc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29FE81A" w14:textId="77777777" w:rsidR="00DE5C1A" w:rsidRPr="00FB5916" w:rsidRDefault="00DE5C1A" w:rsidP="00235B5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</w:p>
        </w:tc>
      </w:tr>
      <w:bookmarkEnd w:id="0"/>
    </w:tbl>
    <w:p w14:paraId="3B724EC9" w14:textId="77777777" w:rsidR="00DE5C1A" w:rsidRPr="00A5089C" w:rsidRDefault="00DE5C1A" w:rsidP="00235B5F">
      <w:pPr>
        <w:rPr>
          <w:rFonts w:asciiTheme="minorBidi" w:hAnsiTheme="minorBidi"/>
        </w:rPr>
      </w:pPr>
    </w:p>
    <w:p w14:paraId="2A334F7E" w14:textId="77777777" w:rsidR="007440E6" w:rsidRPr="00A5089C" w:rsidRDefault="007440E6">
      <w:pPr>
        <w:rPr>
          <w:rFonts w:asciiTheme="minorBidi" w:hAnsiTheme="minorBidi"/>
        </w:rPr>
      </w:pPr>
      <w:r w:rsidRPr="00A5089C">
        <w:rPr>
          <w:rFonts w:asciiTheme="minorBidi" w:hAnsiTheme="minorBidi"/>
        </w:rPr>
        <w:br w:type="page"/>
      </w:r>
    </w:p>
    <w:p w14:paraId="4C3167FD" w14:textId="77777777" w:rsidR="00DE5C1A" w:rsidRPr="00A5089C" w:rsidRDefault="00DE5C1A" w:rsidP="00235B5F">
      <w:pPr>
        <w:rPr>
          <w:rFonts w:asciiTheme="minorBidi" w:hAnsiTheme="minorBidi"/>
        </w:rPr>
      </w:pPr>
    </w:p>
    <w:p w14:paraId="0F35DDC7" w14:textId="3987AD9B" w:rsidR="007440E6" w:rsidRPr="00FB5916" w:rsidRDefault="007440E6" w:rsidP="007440E6">
      <w:pPr>
        <w:pStyle w:val="Kpalrs"/>
        <w:keepNext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FB5916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Table </w:t>
      </w:r>
      <w:r w:rsidRPr="00FB5916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begin"/>
      </w:r>
      <w:r w:rsidRPr="00FB5916">
        <w:rPr>
          <w:rFonts w:ascii="Times New Roman" w:hAnsi="Times New Roman" w:cs="Times New Roman"/>
          <w:i w:val="0"/>
          <w:iCs w:val="0"/>
          <w:sz w:val="20"/>
          <w:szCs w:val="20"/>
        </w:rPr>
        <w:instrText xml:space="preserve"> SEQ Table \* ARABIC </w:instrText>
      </w:r>
      <w:r w:rsidRPr="00FB5916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separate"/>
      </w:r>
      <w:r w:rsidR="00A5089C" w:rsidRPr="00FB5916">
        <w:rPr>
          <w:rFonts w:ascii="Times New Roman" w:hAnsi="Times New Roman" w:cs="Times New Roman"/>
          <w:i w:val="0"/>
          <w:iCs w:val="0"/>
          <w:noProof/>
          <w:sz w:val="20"/>
          <w:szCs w:val="20"/>
        </w:rPr>
        <w:t>2</w:t>
      </w:r>
      <w:r w:rsidRPr="00FB5916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end"/>
      </w:r>
      <w:r w:rsidRPr="00FB5916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 Exclusion criteria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696"/>
        <w:gridCol w:w="7320"/>
      </w:tblGrid>
      <w:tr w:rsidR="007440E6" w:rsidRPr="00FB5916" w14:paraId="4375081D" w14:textId="77777777" w:rsidTr="007440E6">
        <w:tc>
          <w:tcPr>
            <w:tcW w:w="1696" w:type="dxa"/>
          </w:tcPr>
          <w:p w14:paraId="7E287A83" w14:textId="6D56BA49" w:rsidR="007440E6" w:rsidRPr="00FB5916" w:rsidRDefault="007440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Title and abstract screening</w:t>
            </w:r>
          </w:p>
        </w:tc>
        <w:tc>
          <w:tcPr>
            <w:tcW w:w="7320" w:type="dxa"/>
          </w:tcPr>
          <w:p w14:paraId="58DE5656" w14:textId="2CCD27A7" w:rsidR="007440E6" w:rsidRPr="00FB5916" w:rsidRDefault="007440E6" w:rsidP="007440E6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No English abstract and irrelevant title</w:t>
            </w:r>
          </w:p>
          <w:p w14:paraId="64A30857" w14:textId="77777777" w:rsidR="007440E6" w:rsidRPr="00FB5916" w:rsidRDefault="007440E6" w:rsidP="007440E6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Not related to MMA in humans</w:t>
            </w:r>
          </w:p>
          <w:p w14:paraId="29846803" w14:textId="77777777" w:rsidR="007440E6" w:rsidRPr="00FB5916" w:rsidRDefault="007440E6" w:rsidP="007440E6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Editorial, letter, expert opinion or review (no original data)</w:t>
            </w:r>
          </w:p>
          <w:p w14:paraId="56BDA627" w14:textId="77777777" w:rsidR="007440E6" w:rsidRPr="00FB5916" w:rsidRDefault="007440E6" w:rsidP="007440E6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No relevant data on selected biomarkers in MMA patients</w:t>
            </w:r>
          </w:p>
          <w:p w14:paraId="330078A3" w14:textId="77777777" w:rsidR="007440E6" w:rsidRPr="00FB5916" w:rsidRDefault="007440E6" w:rsidP="007440E6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Data on MMA subtypes not in scope (e.g., B12-responsive and/or combined forms)</w:t>
            </w:r>
          </w:p>
          <w:p w14:paraId="71F0F1B1" w14:textId="77777777" w:rsidR="007440E6" w:rsidRPr="00FB5916" w:rsidRDefault="007440E6" w:rsidP="007440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440E6" w:rsidRPr="00FB5916" w14:paraId="36FD3057" w14:textId="77777777" w:rsidTr="007440E6">
        <w:tc>
          <w:tcPr>
            <w:tcW w:w="1696" w:type="dxa"/>
          </w:tcPr>
          <w:p w14:paraId="7BC52144" w14:textId="5CBB9E4B" w:rsidR="007440E6" w:rsidRPr="00FB5916" w:rsidRDefault="007440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Full-text screening</w:t>
            </w:r>
          </w:p>
        </w:tc>
        <w:tc>
          <w:tcPr>
            <w:tcW w:w="7320" w:type="dxa"/>
          </w:tcPr>
          <w:p w14:paraId="13719378" w14:textId="77777777" w:rsidR="007440E6" w:rsidRPr="00FB5916" w:rsidRDefault="007440E6" w:rsidP="007440E6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Articles not written in English </w:t>
            </w:r>
          </w:p>
          <w:p w14:paraId="07330C7C" w14:textId="77777777" w:rsidR="007440E6" w:rsidRPr="00FB5916" w:rsidRDefault="007440E6" w:rsidP="007440E6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No relevant primary data presented in the article on methylmalonic acid levels</w:t>
            </w:r>
          </w:p>
          <w:p w14:paraId="4C7292C4" w14:textId="17786377" w:rsidR="007440E6" w:rsidRPr="00FB5916" w:rsidRDefault="007440E6" w:rsidP="007440E6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Articles not reporting relevant data specific to the MUT subtype </w:t>
            </w:r>
          </w:p>
          <w:p w14:paraId="62753900" w14:textId="77777777" w:rsidR="007440E6" w:rsidRPr="00FB5916" w:rsidRDefault="007440E6" w:rsidP="007440E6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Articles not presenting pre- and post-transplant methylmalonic acid levels in different body fluids</w:t>
            </w:r>
          </w:p>
          <w:p w14:paraId="2A87835B" w14:textId="77777777" w:rsidR="007440E6" w:rsidRPr="00FB5916" w:rsidRDefault="007440E6" w:rsidP="007440E6">
            <w:pPr>
              <w:numPr>
                <w:ilvl w:val="0"/>
                <w:numId w:val="2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Relevant former systematic literature reviews and meta-analyses </w:t>
            </w:r>
          </w:p>
          <w:p w14:paraId="549A1AA6" w14:textId="60F35D7C" w:rsidR="007440E6" w:rsidRPr="00FB5916" w:rsidRDefault="007440E6" w:rsidP="007440E6">
            <w:pPr>
              <w:ind w:left="7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3A49EDB" w14:textId="77777777" w:rsidR="00A5089C" w:rsidRPr="00FB5916" w:rsidRDefault="00A5089C" w:rsidP="00A5089C">
      <w:pPr>
        <w:rPr>
          <w:rFonts w:ascii="Times New Roman" w:hAnsi="Times New Roman" w:cs="Times New Roman"/>
          <w:sz w:val="20"/>
          <w:szCs w:val="20"/>
        </w:rPr>
      </w:pPr>
    </w:p>
    <w:p w14:paraId="4D6F0B41" w14:textId="17027DE1" w:rsidR="00A5089C" w:rsidRPr="00FB5916" w:rsidRDefault="00A5089C" w:rsidP="00A5089C">
      <w:pPr>
        <w:pStyle w:val="Kpalrs"/>
        <w:keepNext/>
        <w:rPr>
          <w:rFonts w:ascii="Times New Roman" w:hAnsi="Times New Roman" w:cs="Times New Roman"/>
          <w:i w:val="0"/>
          <w:iCs w:val="0"/>
          <w:sz w:val="20"/>
          <w:szCs w:val="20"/>
        </w:rPr>
      </w:pPr>
      <w:r w:rsidRPr="00FB5916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Table </w:t>
      </w:r>
      <w:r w:rsidRPr="00FB5916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begin"/>
      </w:r>
      <w:r w:rsidRPr="00FB5916">
        <w:rPr>
          <w:rFonts w:ascii="Times New Roman" w:hAnsi="Times New Roman" w:cs="Times New Roman"/>
          <w:i w:val="0"/>
          <w:iCs w:val="0"/>
          <w:sz w:val="20"/>
          <w:szCs w:val="20"/>
        </w:rPr>
        <w:instrText xml:space="preserve"> SEQ Table \* ARABIC </w:instrText>
      </w:r>
      <w:r w:rsidRPr="00FB5916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separate"/>
      </w:r>
      <w:r w:rsidRPr="00FB5916">
        <w:rPr>
          <w:rFonts w:ascii="Times New Roman" w:hAnsi="Times New Roman" w:cs="Times New Roman"/>
          <w:i w:val="0"/>
          <w:iCs w:val="0"/>
          <w:noProof/>
          <w:sz w:val="20"/>
          <w:szCs w:val="20"/>
        </w:rPr>
        <w:t>3</w:t>
      </w:r>
      <w:r w:rsidRPr="00FB5916">
        <w:rPr>
          <w:rFonts w:ascii="Times New Roman" w:hAnsi="Times New Roman" w:cs="Times New Roman"/>
          <w:i w:val="0"/>
          <w:iCs w:val="0"/>
          <w:sz w:val="20"/>
          <w:szCs w:val="20"/>
        </w:rPr>
        <w:fldChar w:fldCharType="end"/>
      </w:r>
      <w:r w:rsidRPr="00FB5916">
        <w:rPr>
          <w:rFonts w:ascii="Times New Roman" w:hAnsi="Times New Roman" w:cs="Times New Roman"/>
          <w:i w:val="0"/>
          <w:iCs w:val="0"/>
          <w:sz w:val="20"/>
          <w:szCs w:val="20"/>
        </w:rPr>
        <w:t xml:space="preserve"> List of included studies</w:t>
      </w:r>
    </w:p>
    <w:tbl>
      <w:tblPr>
        <w:tblStyle w:val="Rcsostblzat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8505"/>
      </w:tblGrid>
      <w:tr w:rsidR="00A5089C" w:rsidRPr="00FB5916" w14:paraId="2F9091F8" w14:textId="77777777" w:rsidTr="00F56C55">
        <w:tc>
          <w:tcPr>
            <w:tcW w:w="567" w:type="dxa"/>
          </w:tcPr>
          <w:p w14:paraId="380F9255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8505" w:type="dxa"/>
          </w:tcPr>
          <w:p w14:paraId="486D98ED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Minnee, R., et al., </w:t>
            </w:r>
            <w:r w:rsidRPr="00FB5916">
              <w:rPr>
                <w:rFonts w:ascii="Times New Roman" w:hAnsi="Times New Roman" w:cs="Times New Roman"/>
                <w:i/>
                <w:sz w:val="20"/>
                <w:szCs w:val="20"/>
              </w:rPr>
              <w:t>Long-Term Outcomes of Living Donor Liver Transplantation for Methylmalonic Acidemia.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 Pediatric Transplantation, 2024. </w:t>
            </w:r>
            <w:r w:rsidRPr="00FB5916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(6).</w:t>
            </w:r>
          </w:p>
        </w:tc>
      </w:tr>
      <w:tr w:rsidR="00A5089C" w:rsidRPr="00FB5916" w14:paraId="5F270E8A" w14:textId="77777777" w:rsidTr="00F56C55">
        <w:tc>
          <w:tcPr>
            <w:tcW w:w="567" w:type="dxa"/>
          </w:tcPr>
          <w:p w14:paraId="583C90B6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8505" w:type="dxa"/>
          </w:tcPr>
          <w:p w14:paraId="26888A1C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Jiang, Y.Z., et al., </w:t>
            </w:r>
            <w:r w:rsidRPr="00FB5916">
              <w:rPr>
                <w:rFonts w:ascii="Times New Roman" w:hAnsi="Times New Roman" w:cs="Times New Roman"/>
                <w:i/>
                <w:sz w:val="20"/>
                <w:szCs w:val="20"/>
              </w:rPr>
              <w:t>Long-term clinical outcomes and health-related quality of life in patients with isolated methylmalonic acidemia after liver transplantation: experience from the largest cohort study in China.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 World J Pediatr, 2024. </w:t>
            </w:r>
            <w:r w:rsidRPr="00FB5916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(8): p. 809-821.</w:t>
            </w:r>
          </w:p>
        </w:tc>
      </w:tr>
      <w:tr w:rsidR="00A5089C" w:rsidRPr="00FB5916" w14:paraId="7528E492" w14:textId="77777777" w:rsidTr="00F56C55">
        <w:tc>
          <w:tcPr>
            <w:tcW w:w="567" w:type="dxa"/>
          </w:tcPr>
          <w:p w14:paraId="7865B113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8505" w:type="dxa"/>
          </w:tcPr>
          <w:p w14:paraId="70472A26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Chorley, A.J., et al., </w:t>
            </w:r>
            <w:r w:rsidRPr="00FB5916">
              <w:rPr>
                <w:rFonts w:ascii="Times New Roman" w:hAnsi="Times New Roman" w:cs="Times New Roman"/>
                <w:i/>
                <w:sz w:val="20"/>
                <w:szCs w:val="20"/>
              </w:rPr>
              <w:t>Successful adult domino living donor liver transplantation in methylmalonic acidemia: case report.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 Translational Gastroenterology and Hepatology, 2024. </w:t>
            </w:r>
            <w:r w:rsidRPr="00FB5916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A5089C" w:rsidRPr="00FB5916" w14:paraId="1B224FA2" w14:textId="77777777" w:rsidTr="00F56C55">
        <w:tc>
          <w:tcPr>
            <w:tcW w:w="567" w:type="dxa"/>
          </w:tcPr>
          <w:p w14:paraId="3CD59D1D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8505" w:type="dxa"/>
          </w:tcPr>
          <w:p w14:paraId="69F946E9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Paessler, A., et al., </w:t>
            </w:r>
            <w:r w:rsidRPr="00FB5916">
              <w:rPr>
                <w:rFonts w:ascii="Times New Roman" w:hAnsi="Times New Roman" w:cs="Times New Roman"/>
                <w:i/>
                <w:sz w:val="20"/>
                <w:szCs w:val="20"/>
              </w:rPr>
              <w:t>Transplantation in paediatric patients with MMA requires multidisciplinary approach for achievement of good clinical outcomes.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 Pediatric Nephrology, 2023. </w:t>
            </w:r>
            <w:r w:rsidRPr="00FB5916">
              <w:rPr>
                <w:rFonts w:ascii="Times New Roman" w:hAnsi="Times New Roman" w:cs="Times New Roman"/>
                <w:b/>
                <w:sz w:val="20"/>
                <w:szCs w:val="20"/>
              </w:rPr>
              <w:t>38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(8): p. 2887-2896.</w:t>
            </w:r>
          </w:p>
        </w:tc>
      </w:tr>
      <w:tr w:rsidR="00A5089C" w:rsidRPr="00FB5916" w14:paraId="0472F6E7" w14:textId="77777777" w:rsidTr="00F56C55">
        <w:tc>
          <w:tcPr>
            <w:tcW w:w="567" w:type="dxa"/>
          </w:tcPr>
          <w:p w14:paraId="0E55BE6A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8505" w:type="dxa"/>
          </w:tcPr>
          <w:p w14:paraId="0A76A3B4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Martinelli, D., et al., </w:t>
            </w:r>
            <w:r w:rsidRPr="00FB5916">
              <w:rPr>
                <w:rFonts w:ascii="Times New Roman" w:hAnsi="Times New Roman" w:cs="Times New Roman"/>
                <w:i/>
                <w:sz w:val="20"/>
                <w:szCs w:val="20"/>
              </w:rPr>
              <w:t>Neurologic outcome following liver transplantation for methylmalonic aciduria.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 Journal of Inherited Metabolic Disease, 2023. </w:t>
            </w:r>
            <w:r w:rsidRPr="00FB5916">
              <w:rPr>
                <w:rFonts w:ascii="Times New Roman" w:hAnsi="Times New Roman" w:cs="Times New Roman"/>
                <w:b/>
                <w:sz w:val="20"/>
                <w:szCs w:val="20"/>
              </w:rPr>
              <w:t>46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(3): p. 450-465.</w:t>
            </w:r>
          </w:p>
        </w:tc>
      </w:tr>
      <w:tr w:rsidR="00A5089C" w:rsidRPr="00FB5916" w14:paraId="2C22B271" w14:textId="77777777" w:rsidTr="00F56C55">
        <w:tc>
          <w:tcPr>
            <w:tcW w:w="567" w:type="dxa"/>
          </w:tcPr>
          <w:p w14:paraId="4976AC79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8505" w:type="dxa"/>
          </w:tcPr>
          <w:p w14:paraId="68C36C68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Manoli, I., et al., </w:t>
            </w:r>
            <w:r w:rsidRPr="00FB5916">
              <w:rPr>
                <w:rFonts w:ascii="Times New Roman" w:hAnsi="Times New Roman" w:cs="Times New Roman"/>
                <w:i/>
                <w:sz w:val="20"/>
                <w:szCs w:val="20"/>
              </w:rPr>
              <w:t>Biomarkers to predict disease progression and therapeutic response in isolated methylmalonic acidemia.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 J Inherit Metab Dis, 2023. </w:t>
            </w:r>
            <w:r w:rsidRPr="00FB5916">
              <w:rPr>
                <w:rFonts w:ascii="Times New Roman" w:hAnsi="Times New Roman" w:cs="Times New Roman"/>
                <w:b/>
                <w:sz w:val="20"/>
                <w:szCs w:val="20"/>
              </w:rPr>
              <w:t>46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(4): p. 554-572.</w:t>
            </w:r>
          </w:p>
        </w:tc>
      </w:tr>
      <w:tr w:rsidR="00A5089C" w:rsidRPr="00FB5916" w14:paraId="5D1C5028" w14:textId="77777777" w:rsidTr="00F56C55">
        <w:tc>
          <w:tcPr>
            <w:tcW w:w="567" w:type="dxa"/>
          </w:tcPr>
          <w:p w14:paraId="4A2458AA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8505" w:type="dxa"/>
          </w:tcPr>
          <w:p w14:paraId="6F6A53C3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Lin, N.C., et al., </w:t>
            </w:r>
            <w:r w:rsidRPr="00FB5916">
              <w:rPr>
                <w:rFonts w:ascii="Times New Roman" w:hAnsi="Times New Roman" w:cs="Times New Roman"/>
                <w:i/>
                <w:sz w:val="20"/>
                <w:szCs w:val="20"/>
              </w:rPr>
              <w:t>Safety and long-term outcomes of early liver transplantation for pediatric methylmalonic acidemia patients.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 Pediatr Transplant, 2022. </w:t>
            </w:r>
            <w:r w:rsidRPr="00FB5916">
              <w:rPr>
                <w:rFonts w:ascii="Times New Roman" w:hAnsi="Times New Roman" w:cs="Times New Roman"/>
                <w:b/>
                <w:sz w:val="20"/>
                <w:szCs w:val="20"/>
              </w:rPr>
              <w:t>26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(4): p. e14228.</w:t>
            </w:r>
          </w:p>
        </w:tc>
      </w:tr>
      <w:tr w:rsidR="00A5089C" w:rsidRPr="00FB5916" w14:paraId="32E8B2B8" w14:textId="77777777" w:rsidTr="00F56C55">
        <w:tc>
          <w:tcPr>
            <w:tcW w:w="567" w:type="dxa"/>
          </w:tcPr>
          <w:p w14:paraId="223BF329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8505" w:type="dxa"/>
          </w:tcPr>
          <w:p w14:paraId="70EC438F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Siegel, C., et al., </w:t>
            </w:r>
            <w:r w:rsidRPr="00FB5916">
              <w:rPr>
                <w:rFonts w:ascii="Times New Roman" w:hAnsi="Times New Roman" w:cs="Times New Roman"/>
                <w:i/>
                <w:sz w:val="20"/>
                <w:szCs w:val="20"/>
              </w:rPr>
              <w:t>Nutritional management and biochemical outcomes during the immediate phase after liver transplant for methylmalonic acidemia.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 Nutrients, 2020. </w:t>
            </w:r>
            <w:r w:rsidRPr="00FB5916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(10): p. 1-14.</w:t>
            </w:r>
          </w:p>
        </w:tc>
      </w:tr>
      <w:tr w:rsidR="00A5089C" w:rsidRPr="00FB5916" w14:paraId="44D5E55F" w14:textId="77777777" w:rsidTr="00F56C55">
        <w:tc>
          <w:tcPr>
            <w:tcW w:w="567" w:type="dxa"/>
          </w:tcPr>
          <w:p w14:paraId="241D1ABB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8505" w:type="dxa"/>
          </w:tcPr>
          <w:p w14:paraId="0B974244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Brassier, A., et al., </w:t>
            </w:r>
            <w:r w:rsidRPr="00FB5916">
              <w:rPr>
                <w:rFonts w:ascii="Times New Roman" w:hAnsi="Times New Roman" w:cs="Times New Roman"/>
                <w:i/>
                <w:sz w:val="20"/>
                <w:szCs w:val="20"/>
              </w:rPr>
              <w:t>Long-term outcome of methylmalonic aciduria after kidney, liver, or combined liver-kidney transplantation: The French experience.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 J Inherit Metab Dis, 2020. </w:t>
            </w:r>
            <w:r w:rsidRPr="00FB5916">
              <w:rPr>
                <w:rFonts w:ascii="Times New Roman" w:hAnsi="Times New Roman" w:cs="Times New Roman"/>
                <w:b/>
                <w:sz w:val="20"/>
                <w:szCs w:val="20"/>
              </w:rPr>
              <w:t>43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(2): p. 234-243.</w:t>
            </w:r>
          </w:p>
        </w:tc>
      </w:tr>
      <w:tr w:rsidR="00A5089C" w:rsidRPr="00FB5916" w14:paraId="487695F7" w14:textId="77777777" w:rsidTr="00F56C55">
        <w:tc>
          <w:tcPr>
            <w:tcW w:w="567" w:type="dxa"/>
          </w:tcPr>
          <w:p w14:paraId="5CCD4FF7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8505" w:type="dxa"/>
          </w:tcPr>
          <w:p w14:paraId="4B81AA7F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Pillai, N.R., et al., </w:t>
            </w:r>
            <w:r w:rsidRPr="00FB5916">
              <w:rPr>
                <w:rFonts w:ascii="Times New Roman" w:hAnsi="Times New Roman" w:cs="Times New Roman"/>
                <w:i/>
                <w:sz w:val="20"/>
                <w:szCs w:val="20"/>
              </w:rPr>
              <w:t>Liver transplantation in propionic and methylmalonic acidemia: A single center study with literature review.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 Mol Genet Metab, 2019. </w:t>
            </w:r>
            <w:r w:rsidRPr="00FB5916">
              <w:rPr>
                <w:rFonts w:ascii="Times New Roman" w:hAnsi="Times New Roman" w:cs="Times New Roman"/>
                <w:b/>
                <w:sz w:val="20"/>
                <w:szCs w:val="20"/>
              </w:rPr>
              <w:t>128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(4): p. 431-443.</w:t>
            </w:r>
          </w:p>
        </w:tc>
      </w:tr>
      <w:tr w:rsidR="00A5089C" w:rsidRPr="00FB5916" w14:paraId="66E92990" w14:textId="77777777" w:rsidTr="00F56C55">
        <w:tc>
          <w:tcPr>
            <w:tcW w:w="567" w:type="dxa"/>
          </w:tcPr>
          <w:p w14:paraId="0863F7AE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</w:p>
        </w:tc>
        <w:tc>
          <w:tcPr>
            <w:tcW w:w="8505" w:type="dxa"/>
          </w:tcPr>
          <w:p w14:paraId="7E21849B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Noone, D., et al., </w:t>
            </w:r>
            <w:r w:rsidRPr="00FB5916">
              <w:rPr>
                <w:rFonts w:ascii="Times New Roman" w:hAnsi="Times New Roman" w:cs="Times New Roman"/>
                <w:i/>
                <w:sz w:val="20"/>
                <w:szCs w:val="20"/>
              </w:rPr>
              <w:t>Kidney disease and organ transplantation in methylmalonic acidaemia.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 Pediatr Transplant, 2019. </w:t>
            </w:r>
            <w:r w:rsidRPr="00FB5916">
              <w:rPr>
                <w:rFonts w:ascii="Times New Roman" w:hAnsi="Times New Roman" w:cs="Times New Roman"/>
                <w:b/>
                <w:sz w:val="20"/>
                <w:szCs w:val="20"/>
              </w:rPr>
              <w:t>23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(4): p. e13407.</w:t>
            </w:r>
          </w:p>
        </w:tc>
      </w:tr>
      <w:tr w:rsidR="00A5089C" w:rsidRPr="00FB5916" w14:paraId="13A438AB" w14:textId="77777777" w:rsidTr="00F56C55">
        <w:tc>
          <w:tcPr>
            <w:tcW w:w="567" w:type="dxa"/>
          </w:tcPr>
          <w:p w14:paraId="19EC71E0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8505" w:type="dxa"/>
          </w:tcPr>
          <w:p w14:paraId="1ED95BD2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Chu, T.H., et al., </w:t>
            </w:r>
            <w:r w:rsidRPr="00FB5916">
              <w:rPr>
                <w:rFonts w:ascii="Times New Roman" w:hAnsi="Times New Roman" w:cs="Times New Roman"/>
                <w:i/>
                <w:sz w:val="20"/>
                <w:szCs w:val="20"/>
              </w:rPr>
              <w:t>Methylmalonic acidemia/propionic acidemia - the biochemical presentation and comparing the outcome between liver transplantation versus non-liver transplantation groups.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 Orphanet J Rare Dis, 2019. </w:t>
            </w:r>
            <w:r w:rsidRPr="00FB5916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(1): p. 73.</w:t>
            </w:r>
          </w:p>
        </w:tc>
      </w:tr>
      <w:tr w:rsidR="00A5089C" w:rsidRPr="00FB5916" w14:paraId="497EBBC0" w14:textId="77777777" w:rsidTr="00F56C55">
        <w:tc>
          <w:tcPr>
            <w:tcW w:w="567" w:type="dxa"/>
          </w:tcPr>
          <w:p w14:paraId="1E1EC680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8505" w:type="dxa"/>
          </w:tcPr>
          <w:p w14:paraId="1DB1CFD4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Hirotsu, A., et al., </w:t>
            </w:r>
            <w:r w:rsidRPr="00FB5916">
              <w:rPr>
                <w:rFonts w:ascii="Times New Roman" w:hAnsi="Times New Roman" w:cs="Times New Roman"/>
                <w:i/>
                <w:sz w:val="20"/>
                <w:szCs w:val="20"/>
              </w:rPr>
              <w:t>Successful perioperative management of living-donor liver transplantation for a patient with severe methylmalonic acidemia: a case report.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 JA Clinical Reports, 2018. </w:t>
            </w:r>
            <w:r w:rsidRPr="00FB5916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(1).</w:t>
            </w:r>
          </w:p>
        </w:tc>
      </w:tr>
      <w:tr w:rsidR="00A5089C" w:rsidRPr="00FB5916" w14:paraId="482B0110" w14:textId="77777777" w:rsidTr="00F56C55">
        <w:tc>
          <w:tcPr>
            <w:tcW w:w="567" w:type="dxa"/>
          </w:tcPr>
          <w:p w14:paraId="1DF59662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8505" w:type="dxa"/>
          </w:tcPr>
          <w:p w14:paraId="7196FB13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Spada, M., et al., </w:t>
            </w:r>
            <w:r w:rsidRPr="00FB5916">
              <w:rPr>
                <w:rFonts w:ascii="Times New Roman" w:hAnsi="Times New Roman" w:cs="Times New Roman"/>
                <w:i/>
                <w:sz w:val="20"/>
                <w:szCs w:val="20"/>
              </w:rPr>
              <w:t>Early Liver Transplantation for Neonatal-Onset Methylmalonic Acidemia.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 Pediatrics, 2015. </w:t>
            </w:r>
            <w:r w:rsidRPr="00FB5916">
              <w:rPr>
                <w:rFonts w:ascii="Times New Roman" w:hAnsi="Times New Roman" w:cs="Times New Roman"/>
                <w:b/>
                <w:sz w:val="20"/>
                <w:szCs w:val="20"/>
              </w:rPr>
              <w:t>136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(1): p. e252-6.</w:t>
            </w:r>
          </w:p>
        </w:tc>
      </w:tr>
      <w:tr w:rsidR="00A5089C" w:rsidRPr="00FB5916" w14:paraId="07DB72F6" w14:textId="77777777" w:rsidTr="00F56C55">
        <w:tc>
          <w:tcPr>
            <w:tcW w:w="567" w:type="dxa"/>
          </w:tcPr>
          <w:p w14:paraId="34D491B7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8505" w:type="dxa"/>
          </w:tcPr>
          <w:p w14:paraId="59E6D738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Niemi, A.K., et al., </w:t>
            </w:r>
            <w:r w:rsidRPr="00FB5916">
              <w:rPr>
                <w:rFonts w:ascii="Times New Roman" w:hAnsi="Times New Roman" w:cs="Times New Roman"/>
                <w:i/>
                <w:sz w:val="20"/>
                <w:szCs w:val="20"/>
              </w:rPr>
              <w:t>Treatment of methylmalonic acidemia by liver or combined liver-kidney transplantation.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 J Pediatr, 2015. </w:t>
            </w:r>
            <w:r w:rsidRPr="00FB5916">
              <w:rPr>
                <w:rFonts w:ascii="Times New Roman" w:hAnsi="Times New Roman" w:cs="Times New Roman"/>
                <w:b/>
                <w:sz w:val="20"/>
                <w:szCs w:val="20"/>
              </w:rPr>
              <w:t>166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(6): p. 1455-61.e1.</w:t>
            </w:r>
          </w:p>
        </w:tc>
      </w:tr>
      <w:tr w:rsidR="00A5089C" w:rsidRPr="00FB5916" w14:paraId="7F6B7744" w14:textId="77777777" w:rsidTr="00F56C55">
        <w:tc>
          <w:tcPr>
            <w:tcW w:w="567" w:type="dxa"/>
          </w:tcPr>
          <w:p w14:paraId="08D60543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8505" w:type="dxa"/>
          </w:tcPr>
          <w:p w14:paraId="1594902B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Vernon, H.J., et al., </w:t>
            </w:r>
            <w:r w:rsidRPr="00FB5916">
              <w:rPr>
                <w:rFonts w:ascii="Times New Roman" w:hAnsi="Times New Roman" w:cs="Times New Roman"/>
                <w:i/>
                <w:sz w:val="20"/>
                <w:szCs w:val="20"/>
              </w:rPr>
              <w:t>A detailed analysis of methylmalonic acid kinetics during hemodialysis and after combined liver/kidney transplantation in a patient with mut (0) methylmalonic acidemia.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 J Inherit Metab Dis, 2014. </w:t>
            </w:r>
            <w:r w:rsidRPr="00FB5916">
              <w:rPr>
                <w:rFonts w:ascii="Times New Roman" w:hAnsi="Times New Roman" w:cs="Times New Roman"/>
                <w:b/>
                <w:sz w:val="20"/>
                <w:szCs w:val="20"/>
              </w:rPr>
              <w:t>37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(6): p. 899-907.</w:t>
            </w:r>
          </w:p>
        </w:tc>
      </w:tr>
      <w:tr w:rsidR="00A5089C" w:rsidRPr="00FB5916" w14:paraId="560502D7" w14:textId="77777777" w:rsidTr="00F56C55">
        <w:tc>
          <w:tcPr>
            <w:tcW w:w="567" w:type="dxa"/>
          </w:tcPr>
          <w:p w14:paraId="58CB6E01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8505" w:type="dxa"/>
          </w:tcPr>
          <w:p w14:paraId="0F47F169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Kamei, K., et al., </w:t>
            </w:r>
            <w:r w:rsidRPr="00FB5916">
              <w:rPr>
                <w:rFonts w:ascii="Times New Roman" w:hAnsi="Times New Roman" w:cs="Times New Roman"/>
                <w:i/>
                <w:sz w:val="20"/>
                <w:szCs w:val="20"/>
              </w:rPr>
              <w:t>Preoperative Dialysis for Liver Transplantation in Methylmalonic Acidemia.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 Therapeutic Apheresis and Dialysis, 2011. </w:t>
            </w:r>
            <w:r w:rsidRPr="00FB5916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(5): p. 488-492.</w:t>
            </w:r>
          </w:p>
        </w:tc>
      </w:tr>
      <w:tr w:rsidR="00A5089C" w:rsidRPr="00FB5916" w14:paraId="266D6389" w14:textId="77777777" w:rsidTr="00F56C55">
        <w:tc>
          <w:tcPr>
            <w:tcW w:w="567" w:type="dxa"/>
          </w:tcPr>
          <w:p w14:paraId="194AC6B4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18.</w:t>
            </w:r>
          </w:p>
        </w:tc>
        <w:tc>
          <w:tcPr>
            <w:tcW w:w="8505" w:type="dxa"/>
          </w:tcPr>
          <w:p w14:paraId="64B59DA3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Stevenson, T., et al., </w:t>
            </w:r>
            <w:r w:rsidRPr="00FB5916">
              <w:rPr>
                <w:rFonts w:ascii="Times New Roman" w:hAnsi="Times New Roman" w:cs="Times New Roman"/>
                <w:i/>
                <w:sz w:val="20"/>
                <w:szCs w:val="20"/>
              </w:rPr>
              <w:t>Long-term outcome following pediatric liver transplantation for metabolic disorders.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 Pediatric Transplantation, 2010. </w:t>
            </w:r>
            <w:r w:rsidRPr="00FB5916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(2): p. 268-275.</w:t>
            </w:r>
          </w:p>
        </w:tc>
      </w:tr>
      <w:tr w:rsidR="00A5089C" w:rsidRPr="00FB5916" w14:paraId="79E63097" w14:textId="77777777" w:rsidTr="00F56C55">
        <w:tc>
          <w:tcPr>
            <w:tcW w:w="567" w:type="dxa"/>
          </w:tcPr>
          <w:p w14:paraId="4D905922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19.</w:t>
            </w:r>
          </w:p>
        </w:tc>
        <w:tc>
          <w:tcPr>
            <w:tcW w:w="8505" w:type="dxa"/>
          </w:tcPr>
          <w:p w14:paraId="35B84970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Chen, P.W., et al., </w:t>
            </w:r>
            <w:r w:rsidRPr="00FB5916">
              <w:rPr>
                <w:rFonts w:ascii="Times New Roman" w:hAnsi="Times New Roman" w:cs="Times New Roman"/>
                <w:i/>
                <w:sz w:val="20"/>
                <w:szCs w:val="20"/>
              </w:rPr>
              <w:t>Stabilization of blood methylmalonic acid level in methylmalonic acidemia after liver transplantation.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 Pediatr Transplant, 2010. </w:t>
            </w:r>
            <w:r w:rsidRPr="00FB5916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(3): p. 337-41.</w:t>
            </w:r>
          </w:p>
        </w:tc>
      </w:tr>
      <w:tr w:rsidR="00A5089C" w:rsidRPr="00FB5916" w14:paraId="7DE741A4" w14:textId="77777777" w:rsidTr="00F56C55">
        <w:tc>
          <w:tcPr>
            <w:tcW w:w="567" w:type="dxa"/>
          </w:tcPr>
          <w:p w14:paraId="0EE30812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20.</w:t>
            </w:r>
          </w:p>
        </w:tc>
        <w:tc>
          <w:tcPr>
            <w:tcW w:w="8505" w:type="dxa"/>
          </w:tcPr>
          <w:p w14:paraId="36B94DB7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Mc Guire, P.J., et al., </w:t>
            </w:r>
            <w:r w:rsidRPr="00FB5916">
              <w:rPr>
                <w:rFonts w:ascii="Times New Roman" w:hAnsi="Times New Roman" w:cs="Times New Roman"/>
                <w:i/>
                <w:sz w:val="20"/>
                <w:szCs w:val="20"/>
              </w:rPr>
              <w:t>Combined liver-kidney transplant for the management of methylmalonic aciduria: a case report and review of the literature.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 Mol Genet Metab, 2008. </w:t>
            </w:r>
            <w:r w:rsidRPr="00FB5916">
              <w:rPr>
                <w:rFonts w:ascii="Times New Roman" w:hAnsi="Times New Roman" w:cs="Times New Roman"/>
                <w:b/>
                <w:sz w:val="20"/>
                <w:szCs w:val="20"/>
              </w:rPr>
              <w:t>93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(1): p. 22-9.</w:t>
            </w:r>
          </w:p>
        </w:tc>
      </w:tr>
      <w:tr w:rsidR="00A5089C" w:rsidRPr="00FB5916" w14:paraId="64001E5B" w14:textId="77777777" w:rsidTr="00F56C55">
        <w:tc>
          <w:tcPr>
            <w:tcW w:w="567" w:type="dxa"/>
          </w:tcPr>
          <w:p w14:paraId="2BCE1A74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21.</w:t>
            </w:r>
          </w:p>
        </w:tc>
        <w:tc>
          <w:tcPr>
            <w:tcW w:w="8505" w:type="dxa"/>
          </w:tcPr>
          <w:p w14:paraId="1CD9A0F2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Morioka, D., et al., </w:t>
            </w:r>
            <w:r w:rsidRPr="00FB5916">
              <w:rPr>
                <w:rFonts w:ascii="Times New Roman" w:hAnsi="Times New Roman" w:cs="Times New Roman"/>
                <w:i/>
                <w:sz w:val="20"/>
                <w:szCs w:val="20"/>
              </w:rPr>
              <w:t>Efficacy of living donor liver transplantation for patients with methylmalonic acidemia.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 Am J Transplant, 2007. </w:t>
            </w:r>
            <w:r w:rsidRPr="00FB5916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(12): p. 2782-7.</w:t>
            </w:r>
          </w:p>
        </w:tc>
      </w:tr>
      <w:tr w:rsidR="00A5089C" w:rsidRPr="00FB5916" w14:paraId="0698F390" w14:textId="77777777" w:rsidTr="00F56C55">
        <w:tc>
          <w:tcPr>
            <w:tcW w:w="567" w:type="dxa"/>
          </w:tcPr>
          <w:p w14:paraId="73997CF8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22.</w:t>
            </w:r>
          </w:p>
        </w:tc>
        <w:tc>
          <w:tcPr>
            <w:tcW w:w="8505" w:type="dxa"/>
          </w:tcPr>
          <w:p w14:paraId="625C3638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Kaplan, P., et al., </w:t>
            </w:r>
            <w:r w:rsidRPr="00FB5916">
              <w:rPr>
                <w:rFonts w:ascii="Times New Roman" w:hAnsi="Times New Roman" w:cs="Times New Roman"/>
                <w:i/>
                <w:sz w:val="20"/>
                <w:szCs w:val="20"/>
              </w:rPr>
              <w:t>Liver transplantation is not curative for methylmalonic acidopathy caused by methylmalonyl-CoA mutase deficiency.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 Molecular Genetics and Metabolism, 2006. </w:t>
            </w:r>
            <w:r w:rsidRPr="00FB5916">
              <w:rPr>
                <w:rFonts w:ascii="Times New Roman" w:hAnsi="Times New Roman" w:cs="Times New Roman"/>
                <w:b/>
                <w:sz w:val="20"/>
                <w:szCs w:val="20"/>
              </w:rPr>
              <w:t>88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(4): p. 322-326.</w:t>
            </w:r>
          </w:p>
        </w:tc>
      </w:tr>
      <w:tr w:rsidR="00A5089C" w:rsidRPr="00FB5916" w14:paraId="16ECFFC9" w14:textId="77777777" w:rsidTr="00F56C55">
        <w:tc>
          <w:tcPr>
            <w:tcW w:w="567" w:type="dxa"/>
          </w:tcPr>
          <w:p w14:paraId="34C4A066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23.</w:t>
            </w:r>
          </w:p>
        </w:tc>
        <w:tc>
          <w:tcPr>
            <w:tcW w:w="8505" w:type="dxa"/>
          </w:tcPr>
          <w:p w14:paraId="764A2EA9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Nagarajan, S., et al., </w:t>
            </w:r>
            <w:r w:rsidRPr="00FB5916">
              <w:rPr>
                <w:rFonts w:ascii="Times New Roman" w:hAnsi="Times New Roman" w:cs="Times New Roman"/>
                <w:i/>
                <w:sz w:val="20"/>
                <w:szCs w:val="20"/>
              </w:rPr>
              <w:t>Management of methylmalonic acidaemia by combined liver-kidney transplantation.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 J Inherit Metab Dis, 2005. </w:t>
            </w:r>
            <w:r w:rsidRPr="00FB5916">
              <w:rPr>
                <w:rFonts w:ascii="Times New Roman" w:hAnsi="Times New Roman" w:cs="Times New Roman"/>
                <w:b/>
                <w:sz w:val="20"/>
                <w:szCs w:val="20"/>
              </w:rPr>
              <w:t>28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(4): p. 517-24.</w:t>
            </w:r>
          </w:p>
        </w:tc>
      </w:tr>
      <w:tr w:rsidR="00A5089C" w:rsidRPr="00FB5916" w14:paraId="5D5BE906" w14:textId="77777777" w:rsidTr="00F56C55">
        <w:tc>
          <w:tcPr>
            <w:tcW w:w="567" w:type="dxa"/>
          </w:tcPr>
          <w:p w14:paraId="1D1D7533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24.</w:t>
            </w:r>
          </w:p>
        </w:tc>
        <w:tc>
          <w:tcPr>
            <w:tcW w:w="8505" w:type="dxa"/>
          </w:tcPr>
          <w:p w14:paraId="0E25DB54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Nyhan, W.L., et al., </w:t>
            </w:r>
            <w:r w:rsidRPr="00FB5916">
              <w:rPr>
                <w:rFonts w:ascii="Times New Roman" w:hAnsi="Times New Roman" w:cs="Times New Roman"/>
                <w:i/>
                <w:sz w:val="20"/>
                <w:szCs w:val="20"/>
              </w:rPr>
              <w:t>Progressive neurologic disability in methylmalonic acidemia despite transplantation of the liver.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 Eur J Pediatr, 2002. </w:t>
            </w:r>
            <w:r w:rsidRPr="00FB5916">
              <w:rPr>
                <w:rFonts w:ascii="Times New Roman" w:hAnsi="Times New Roman" w:cs="Times New Roman"/>
                <w:b/>
                <w:sz w:val="20"/>
                <w:szCs w:val="20"/>
              </w:rPr>
              <w:t>161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(7): p. 377-9.</w:t>
            </w:r>
          </w:p>
        </w:tc>
      </w:tr>
      <w:tr w:rsidR="00A5089C" w:rsidRPr="00FB5916" w14:paraId="6DA3F3F3" w14:textId="77777777" w:rsidTr="00F56C55">
        <w:tc>
          <w:tcPr>
            <w:tcW w:w="567" w:type="dxa"/>
          </w:tcPr>
          <w:p w14:paraId="2A077E45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25.</w:t>
            </w:r>
          </w:p>
        </w:tc>
        <w:tc>
          <w:tcPr>
            <w:tcW w:w="8505" w:type="dxa"/>
          </w:tcPr>
          <w:p w14:paraId="7C83F6E7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Ho, D., V. Harrison, and N. Street, </w:t>
            </w:r>
            <w:r w:rsidRPr="00FB5916">
              <w:rPr>
                <w:rFonts w:ascii="Times New Roman" w:hAnsi="Times New Roman" w:cs="Times New Roman"/>
                <w:i/>
                <w:sz w:val="20"/>
                <w:szCs w:val="20"/>
              </w:rPr>
              <w:t>Anaesthesia for liver transplantation in a patient with methylmalonic acidaemia.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 Paediatr Anaesth, 2000. </w:t>
            </w:r>
            <w:r w:rsidRPr="00FB5916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(2): p. 215-8.</w:t>
            </w:r>
          </w:p>
        </w:tc>
      </w:tr>
      <w:tr w:rsidR="00A5089C" w:rsidRPr="00FB5916" w14:paraId="4DF7EDC1" w14:textId="77777777" w:rsidTr="00F56C55">
        <w:tc>
          <w:tcPr>
            <w:tcW w:w="567" w:type="dxa"/>
          </w:tcPr>
          <w:p w14:paraId="45D2B12E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26.</w:t>
            </w:r>
          </w:p>
        </w:tc>
        <w:tc>
          <w:tcPr>
            <w:tcW w:w="8505" w:type="dxa"/>
          </w:tcPr>
          <w:p w14:paraId="3EE40DF3" w14:textId="77777777" w:rsidR="00A5089C" w:rsidRPr="00FB5916" w:rsidRDefault="00A5089C" w:rsidP="00F56C55">
            <w:pPr>
              <w:pStyle w:val="EndNoteBibliography"/>
              <w:rPr>
                <w:rFonts w:ascii="Times New Roman" w:hAnsi="Times New Roman" w:cs="Times New Roman"/>
                <w:sz w:val="20"/>
                <w:szCs w:val="20"/>
              </w:rPr>
            </w:pP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Van't Hoff, W.G., et al., </w:t>
            </w:r>
            <w:r w:rsidRPr="00FB5916">
              <w:rPr>
                <w:rFonts w:ascii="Times New Roman" w:hAnsi="Times New Roman" w:cs="Times New Roman"/>
                <w:i/>
                <w:sz w:val="20"/>
                <w:szCs w:val="20"/>
              </w:rPr>
              <w:t>Combined liver-kidney transplantation in methylmalonic acidemia.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 xml:space="preserve"> Journal of Pediatrics, 1998. </w:t>
            </w:r>
            <w:r w:rsidRPr="00FB5916">
              <w:rPr>
                <w:rFonts w:ascii="Times New Roman" w:hAnsi="Times New Roman" w:cs="Times New Roman"/>
                <w:b/>
                <w:sz w:val="20"/>
                <w:szCs w:val="20"/>
              </w:rPr>
              <w:t>132</w:t>
            </w:r>
            <w:r w:rsidRPr="00FB5916">
              <w:rPr>
                <w:rFonts w:ascii="Times New Roman" w:hAnsi="Times New Roman" w:cs="Times New Roman"/>
                <w:sz w:val="20"/>
                <w:szCs w:val="20"/>
              </w:rPr>
              <w:t>(6): p. 1043-1044.</w:t>
            </w:r>
          </w:p>
        </w:tc>
      </w:tr>
    </w:tbl>
    <w:p w14:paraId="3B68F415" w14:textId="77777777" w:rsidR="00A5089C" w:rsidRPr="00A5089C" w:rsidRDefault="00A5089C" w:rsidP="00A5089C">
      <w:pPr>
        <w:rPr>
          <w:rFonts w:asciiTheme="minorBidi" w:hAnsiTheme="minorBidi"/>
        </w:rPr>
      </w:pPr>
    </w:p>
    <w:p w14:paraId="0A312525" w14:textId="77777777" w:rsidR="007B6922" w:rsidRPr="00A5089C" w:rsidRDefault="007B6922">
      <w:pPr>
        <w:rPr>
          <w:rFonts w:asciiTheme="minorBidi" w:hAnsiTheme="minorBidi"/>
        </w:rPr>
      </w:pPr>
    </w:p>
    <w:sectPr w:rsidR="007B6922" w:rsidRPr="00A5089C" w:rsidSect="00DE5C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9E44DF"/>
    <w:multiLevelType w:val="hybridMultilevel"/>
    <w:tmpl w:val="B7F0ECE6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E3D06A7"/>
    <w:multiLevelType w:val="hybridMultilevel"/>
    <w:tmpl w:val="D5EEBF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0127982">
    <w:abstractNumId w:val="0"/>
  </w:num>
  <w:num w:numId="2" w16cid:durableId="331766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DE5C1A"/>
    <w:rsid w:val="000F7C05"/>
    <w:rsid w:val="001805A4"/>
    <w:rsid w:val="002A7A11"/>
    <w:rsid w:val="007440E6"/>
    <w:rsid w:val="007861A2"/>
    <w:rsid w:val="007B6922"/>
    <w:rsid w:val="00826405"/>
    <w:rsid w:val="00856BF1"/>
    <w:rsid w:val="00A139B3"/>
    <w:rsid w:val="00A5089C"/>
    <w:rsid w:val="00A51D2E"/>
    <w:rsid w:val="00A933E5"/>
    <w:rsid w:val="00B22314"/>
    <w:rsid w:val="00BB2252"/>
    <w:rsid w:val="00DD79C4"/>
    <w:rsid w:val="00DE5C1A"/>
    <w:rsid w:val="00E2502E"/>
    <w:rsid w:val="00FB5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A01D96"/>
  <w15:chartTrackingRefBased/>
  <w15:docId w15:val="{C34950E7-52A5-43CC-914E-33F209493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E5C1A"/>
  </w:style>
  <w:style w:type="paragraph" w:styleId="Cmsor1">
    <w:name w:val="heading 1"/>
    <w:basedOn w:val="Norml"/>
    <w:next w:val="Norml"/>
    <w:link w:val="Cmsor1Char"/>
    <w:uiPriority w:val="9"/>
    <w:qFormat/>
    <w:rsid w:val="00DE5C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E5C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E5C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E5C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E5C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E5C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E5C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E5C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E5C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E5C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E5C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E5C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E5C1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E5C1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E5C1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E5C1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E5C1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E5C1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E5C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E5C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E5C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E5C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E5C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E5C1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E5C1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E5C1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E5C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E5C1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E5C1A"/>
    <w:rPr>
      <w:b/>
      <w:bCs/>
      <w:smallCaps/>
      <w:color w:val="2F5496" w:themeColor="accent1" w:themeShade="BF"/>
      <w:spacing w:val="5"/>
    </w:rPr>
  </w:style>
  <w:style w:type="paragraph" w:styleId="Kpalrs">
    <w:name w:val="caption"/>
    <w:basedOn w:val="Norml"/>
    <w:next w:val="Norml"/>
    <w:uiPriority w:val="35"/>
    <w:unhideWhenUsed/>
    <w:qFormat/>
    <w:rsid w:val="00DE5C1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EndNoteBibliographyTitle">
    <w:name w:val="EndNote Bibliography Title"/>
    <w:basedOn w:val="Norml"/>
    <w:link w:val="EndNoteBibliographyTitleChar"/>
    <w:rsid w:val="00DE5C1A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Bekezdsalapbettpusa"/>
    <w:link w:val="EndNoteBibliographyTitle"/>
    <w:rsid w:val="00DE5C1A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l"/>
    <w:link w:val="EndNoteBibliographyChar"/>
    <w:rsid w:val="00DE5C1A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Bekezdsalapbettpusa"/>
    <w:link w:val="EndNoteBibliography"/>
    <w:rsid w:val="00DE5C1A"/>
    <w:rPr>
      <w:rFonts w:ascii="Calibri" w:hAnsi="Calibri" w:cs="Calibri"/>
      <w:noProof/>
    </w:rPr>
  </w:style>
  <w:style w:type="table" w:styleId="Rcsostblzat">
    <w:name w:val="Table Grid"/>
    <w:basedOn w:val="Normltblzat"/>
    <w:uiPriority w:val="39"/>
    <w:rsid w:val="00DE5C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953</Words>
  <Characters>5433</Characters>
  <Application>Microsoft Office Word</Application>
  <DocSecurity>0</DocSecurity>
  <Lines>45</Lines>
  <Paragraphs>12</Paragraphs>
  <ScaleCrop>false</ScaleCrop>
  <Company/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Kristof GYONGYOSI</dc:creator>
  <cp:keywords/>
  <dc:description/>
  <cp:lastModifiedBy>Kristof GYONGYOSI</cp:lastModifiedBy>
  <cp:revision>4</cp:revision>
  <dcterms:created xsi:type="dcterms:W3CDTF">2025-06-13T10:59:00Z</dcterms:created>
  <dcterms:modified xsi:type="dcterms:W3CDTF">2025-11-07T14:23:00Z</dcterms:modified>
</cp:coreProperties>
</file>