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86F7D" w14:textId="1FAF6563" w:rsidR="007A6CB2" w:rsidRPr="007A6CB2" w:rsidRDefault="007A6CB2" w:rsidP="007A6CB2">
      <w:pPr>
        <w:spacing w:before="100" w:beforeAutospacing="1" w:after="100" w:afterAutospacing="1" w:line="240" w:lineRule="auto"/>
        <w:jc w:val="both"/>
        <w:outlineLvl w:val="1"/>
        <w:rPr>
          <w:rFonts w:ascii="Times New Roman" w:eastAsia="Times New Roman" w:hAnsi="Times New Roman" w:cs="Times New Roman"/>
          <w:b/>
          <w:bCs/>
          <w:kern w:val="0"/>
          <w:sz w:val="32"/>
          <w:szCs w:val="32"/>
          <w:lang w:eastAsia="hu-HU"/>
          <w14:ligatures w14:val="none"/>
        </w:rPr>
      </w:pPr>
      <w:r w:rsidRPr="007A6CB2">
        <w:rPr>
          <w:rFonts w:ascii="Times New Roman" w:eastAsia="Times New Roman" w:hAnsi="Times New Roman" w:cs="Times New Roman"/>
          <w:b/>
          <w:bCs/>
          <w:kern w:val="0"/>
          <w:sz w:val="32"/>
          <w:szCs w:val="32"/>
          <w:lang w:eastAsia="hu-HU"/>
          <w14:ligatures w14:val="none"/>
        </w:rPr>
        <w:t>Appendix A</w:t>
      </w:r>
      <w:r w:rsidR="0011434D">
        <w:rPr>
          <w:rFonts w:ascii="Times New Roman" w:eastAsia="Times New Roman" w:hAnsi="Times New Roman" w:cs="Times New Roman"/>
          <w:b/>
          <w:bCs/>
          <w:kern w:val="0"/>
          <w:sz w:val="32"/>
          <w:szCs w:val="32"/>
          <w:lang w:eastAsia="hu-HU"/>
          <w14:ligatures w14:val="none"/>
        </w:rPr>
        <w:t xml:space="preserve">: </w:t>
      </w:r>
      <w:r w:rsidR="0011434D" w:rsidRPr="0011434D">
        <w:rPr>
          <w:rFonts w:ascii="Times New Roman" w:eastAsia="Times New Roman" w:hAnsi="Times New Roman" w:cs="Times New Roman"/>
          <w:b/>
          <w:bCs/>
          <w:kern w:val="0"/>
          <w:sz w:val="32"/>
          <w:szCs w:val="32"/>
          <w:lang w:eastAsia="hu-HU"/>
          <w14:ligatures w14:val="none"/>
        </w:rPr>
        <w:t>Study-level Classification</w:t>
      </w:r>
    </w:p>
    <w:p w14:paraId="3B72BAC5" w14:textId="1E6B7056" w:rsidR="0011434D" w:rsidRPr="0011434D" w:rsidRDefault="00162B6A" w:rsidP="007A6CB2">
      <w:pPr>
        <w:spacing w:after="120" w:line="240" w:lineRule="auto"/>
        <w:jc w:val="both"/>
        <w:outlineLvl w:val="1"/>
        <w:rPr>
          <w:rFonts w:ascii="Times New Roman" w:eastAsia="Times New Roman" w:hAnsi="Times New Roman" w:cs="Times New Roman"/>
          <w:kern w:val="0"/>
          <w:lang w:eastAsia="hu-HU"/>
          <w14:ligatures w14:val="none"/>
        </w:rPr>
      </w:pPr>
      <w:r w:rsidRPr="00162B6A">
        <w:rPr>
          <w:rFonts w:ascii="Times New Roman" w:eastAsia="Times New Roman" w:hAnsi="Times New Roman" w:cs="Times New Roman"/>
          <w:kern w:val="0"/>
          <w:lang w:eastAsia="hu-HU"/>
          <w14:ligatures w14:val="none"/>
        </w:rPr>
        <w:t>Appendix A provides a detailed summary of the reviewed studies, complementing the thematic analysis presented in Sections 2 and 3 of the main text. The table organises each publication according to the applied machine learning methodology, the dataset used, the performance indicators examined, and the fintech implications relevant to cryptocurrency trading. Unlike the high-level synthesis in the main text, the purpose of Appendix A is to ensure reproducibility and to present the methodological and application-specific differences in full detail.</w:t>
      </w:r>
    </w:p>
    <w:p w14:paraId="0739D2D3" w14:textId="7B3F0369" w:rsidR="007A6CB2" w:rsidRPr="009E0973" w:rsidRDefault="007A6CB2" w:rsidP="007A6CB2">
      <w:pPr>
        <w:spacing w:after="120" w:line="240" w:lineRule="auto"/>
        <w:jc w:val="both"/>
        <w:outlineLvl w:val="1"/>
        <w:rPr>
          <w:rFonts w:ascii="Times New Roman" w:eastAsia="Times New Roman" w:hAnsi="Times New Roman" w:cs="Times New Roman"/>
          <w:kern w:val="0"/>
          <w:lang w:eastAsia="hu-HU"/>
          <w14:ligatures w14:val="none"/>
        </w:rPr>
      </w:pPr>
      <w:r w:rsidRPr="00FB2563">
        <w:rPr>
          <w:rFonts w:ascii="Times New Roman" w:eastAsia="Times New Roman" w:hAnsi="Times New Roman" w:cs="Times New Roman"/>
          <w:b/>
          <w:bCs/>
          <w:kern w:val="0"/>
          <w:lang w:eastAsia="hu-HU"/>
          <w14:ligatures w14:val="none"/>
        </w:rPr>
        <w:t>Table 1</w:t>
      </w:r>
      <w:r>
        <w:rPr>
          <w:rFonts w:ascii="Times New Roman" w:eastAsia="Times New Roman" w:hAnsi="Times New Roman" w:cs="Times New Roman"/>
          <w:kern w:val="0"/>
          <w:lang w:eastAsia="hu-HU"/>
          <w14:ligatures w14:val="none"/>
        </w:rPr>
        <w:t xml:space="preserve">: </w:t>
      </w:r>
      <w:r w:rsidRPr="00BF1AAB">
        <w:rPr>
          <w:rFonts w:ascii="Times New Roman" w:eastAsia="Times New Roman" w:hAnsi="Times New Roman" w:cs="Times New Roman"/>
          <w:kern w:val="0"/>
          <w:lang w:eastAsia="hu-HU"/>
          <w14:ligatures w14:val="none"/>
        </w:rPr>
        <w:t>Summary Table of Reviewed Studies on ML in Cryptocurrency Trading</w:t>
      </w:r>
    </w:p>
    <w:tbl>
      <w:tblPr>
        <w:tblW w:w="0" w:type="auto"/>
        <w:tblBorders>
          <w:top w:val="single" w:sz="12" w:space="0" w:color="auto"/>
          <w:bottom w:val="single" w:sz="12" w:space="0" w:color="auto"/>
          <w:insideH w:val="single" w:sz="4" w:space="0" w:color="auto"/>
        </w:tblBorders>
        <w:tblCellMar>
          <w:left w:w="10" w:type="dxa"/>
          <w:right w:w="10" w:type="dxa"/>
        </w:tblCellMar>
        <w:tblLook w:val="04A0" w:firstRow="1" w:lastRow="0" w:firstColumn="1" w:lastColumn="0" w:noHBand="0" w:noVBand="1"/>
      </w:tblPr>
      <w:tblGrid>
        <w:gridCol w:w="1388"/>
        <w:gridCol w:w="1582"/>
        <w:gridCol w:w="1519"/>
        <w:gridCol w:w="1619"/>
        <w:gridCol w:w="1532"/>
        <w:gridCol w:w="1432"/>
      </w:tblGrid>
      <w:tr w:rsidR="007A6CB2" w:rsidRPr="009E0973" w14:paraId="1F2F6AB3" w14:textId="77777777" w:rsidTr="0011434D">
        <w:tc>
          <w:tcPr>
            <w:tcW w:w="0" w:type="auto"/>
            <w:tcBorders>
              <w:top w:val="single" w:sz="12" w:space="0" w:color="auto"/>
              <w:bottom w:val="single" w:sz="12" w:space="0" w:color="auto"/>
            </w:tcBorders>
          </w:tcPr>
          <w:p w14:paraId="17D8DA66" w14:textId="77777777" w:rsidR="007A6CB2" w:rsidRPr="009E0973" w:rsidRDefault="007A6CB2" w:rsidP="0011434D">
            <w:pPr>
              <w:rPr>
                <w:rFonts w:ascii="Times New Roman" w:hAnsi="Times New Roman" w:cs="Times New Roman"/>
                <w:b/>
                <w:bCs/>
              </w:rPr>
            </w:pPr>
            <w:r w:rsidRPr="009E0973">
              <w:rPr>
                <w:rFonts w:ascii="Times New Roman" w:hAnsi="Times New Roman" w:cs="Times New Roman"/>
                <w:b/>
                <w:bCs/>
              </w:rPr>
              <w:t>Study</w:t>
            </w:r>
          </w:p>
        </w:tc>
        <w:tc>
          <w:tcPr>
            <w:tcW w:w="0" w:type="auto"/>
            <w:tcBorders>
              <w:top w:val="single" w:sz="12" w:space="0" w:color="auto"/>
              <w:bottom w:val="single" w:sz="12" w:space="0" w:color="auto"/>
            </w:tcBorders>
          </w:tcPr>
          <w:p w14:paraId="753F2ADB" w14:textId="77777777" w:rsidR="007A6CB2" w:rsidRPr="009E0973" w:rsidRDefault="007A6CB2" w:rsidP="0011434D">
            <w:pPr>
              <w:rPr>
                <w:rFonts w:ascii="Times New Roman" w:hAnsi="Times New Roman" w:cs="Times New Roman"/>
                <w:b/>
                <w:bCs/>
              </w:rPr>
            </w:pPr>
            <w:r w:rsidRPr="009E0973">
              <w:rPr>
                <w:rFonts w:ascii="Times New Roman" w:hAnsi="Times New Roman" w:cs="Times New Roman"/>
                <w:b/>
                <w:bCs/>
              </w:rPr>
              <w:t>Predictive Accuracy</w:t>
            </w:r>
          </w:p>
        </w:tc>
        <w:tc>
          <w:tcPr>
            <w:tcW w:w="0" w:type="auto"/>
            <w:tcBorders>
              <w:top w:val="single" w:sz="12" w:space="0" w:color="auto"/>
              <w:bottom w:val="single" w:sz="12" w:space="0" w:color="auto"/>
            </w:tcBorders>
          </w:tcPr>
          <w:p w14:paraId="135C0F6B" w14:textId="77777777" w:rsidR="007A6CB2" w:rsidRPr="009E0973" w:rsidRDefault="007A6CB2" w:rsidP="0011434D">
            <w:pPr>
              <w:rPr>
                <w:rFonts w:ascii="Times New Roman" w:hAnsi="Times New Roman" w:cs="Times New Roman"/>
                <w:b/>
                <w:bCs/>
              </w:rPr>
            </w:pPr>
            <w:r w:rsidRPr="009E0973">
              <w:rPr>
                <w:rFonts w:ascii="Times New Roman" w:hAnsi="Times New Roman" w:cs="Times New Roman"/>
                <w:b/>
                <w:bCs/>
              </w:rPr>
              <w:t>Trading Performance</w:t>
            </w:r>
          </w:p>
        </w:tc>
        <w:tc>
          <w:tcPr>
            <w:tcW w:w="0" w:type="auto"/>
            <w:tcBorders>
              <w:top w:val="single" w:sz="12" w:space="0" w:color="auto"/>
              <w:bottom w:val="single" w:sz="12" w:space="0" w:color="auto"/>
            </w:tcBorders>
          </w:tcPr>
          <w:p w14:paraId="4DC83916" w14:textId="77777777" w:rsidR="007A6CB2" w:rsidRPr="009E0973" w:rsidRDefault="007A6CB2" w:rsidP="0011434D">
            <w:pPr>
              <w:rPr>
                <w:rFonts w:ascii="Times New Roman" w:hAnsi="Times New Roman" w:cs="Times New Roman"/>
                <w:b/>
                <w:bCs/>
              </w:rPr>
            </w:pPr>
            <w:r w:rsidRPr="009E0973">
              <w:rPr>
                <w:rFonts w:ascii="Times New Roman" w:hAnsi="Times New Roman" w:cs="Times New Roman"/>
                <w:b/>
                <w:bCs/>
              </w:rPr>
              <w:t>Risk Management Effectiveness</w:t>
            </w:r>
          </w:p>
        </w:tc>
        <w:tc>
          <w:tcPr>
            <w:tcW w:w="0" w:type="auto"/>
            <w:tcBorders>
              <w:top w:val="single" w:sz="12" w:space="0" w:color="auto"/>
              <w:bottom w:val="single" w:sz="12" w:space="0" w:color="auto"/>
            </w:tcBorders>
          </w:tcPr>
          <w:p w14:paraId="1542EA32" w14:textId="77777777" w:rsidR="007A6CB2" w:rsidRPr="009E0973" w:rsidRDefault="007A6CB2" w:rsidP="0011434D">
            <w:pPr>
              <w:rPr>
                <w:rFonts w:ascii="Times New Roman" w:hAnsi="Times New Roman" w:cs="Times New Roman"/>
                <w:b/>
                <w:bCs/>
              </w:rPr>
            </w:pPr>
            <w:r w:rsidRPr="009E0973">
              <w:rPr>
                <w:rFonts w:ascii="Times New Roman" w:hAnsi="Times New Roman" w:cs="Times New Roman"/>
                <w:b/>
                <w:bCs/>
              </w:rPr>
              <w:t>Algorithmic Efficiency</w:t>
            </w:r>
          </w:p>
        </w:tc>
        <w:tc>
          <w:tcPr>
            <w:tcW w:w="0" w:type="auto"/>
            <w:tcBorders>
              <w:top w:val="single" w:sz="12" w:space="0" w:color="auto"/>
              <w:bottom w:val="single" w:sz="12" w:space="0" w:color="auto"/>
            </w:tcBorders>
          </w:tcPr>
          <w:p w14:paraId="431F348A" w14:textId="77777777" w:rsidR="007A6CB2" w:rsidRPr="009E0973" w:rsidRDefault="007A6CB2" w:rsidP="0011434D">
            <w:pPr>
              <w:rPr>
                <w:rFonts w:ascii="Times New Roman" w:hAnsi="Times New Roman" w:cs="Times New Roman"/>
                <w:b/>
                <w:bCs/>
              </w:rPr>
            </w:pPr>
            <w:r w:rsidRPr="009E0973">
              <w:rPr>
                <w:rFonts w:ascii="Times New Roman" w:hAnsi="Times New Roman" w:cs="Times New Roman"/>
                <w:b/>
                <w:bCs/>
              </w:rPr>
              <w:t>Fintech Integration Impact</w:t>
            </w:r>
          </w:p>
        </w:tc>
      </w:tr>
      <w:tr w:rsidR="007A6CB2" w:rsidRPr="009E0973" w14:paraId="5E2E1E3B" w14:textId="77777777" w:rsidTr="0011434D">
        <w:tc>
          <w:tcPr>
            <w:tcW w:w="0" w:type="auto"/>
          </w:tcPr>
          <w:p w14:paraId="791D235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(Alaminos et al., 2024)</w:t>
            </w:r>
          </w:p>
        </w:tc>
        <w:tc>
          <w:tcPr>
            <w:tcW w:w="0" w:type="auto"/>
          </w:tcPr>
          <w:p w14:paraId="6DE1203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EGARCH integrated with genetic algorithms and neural networks</w:t>
            </w:r>
          </w:p>
        </w:tc>
        <w:tc>
          <w:tcPr>
            <w:tcW w:w="0" w:type="auto"/>
          </w:tcPr>
          <w:p w14:paraId="709E8C0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Adaptive genetic algorithm and quantum neural networks excel</w:t>
            </w:r>
          </w:p>
        </w:tc>
        <w:tc>
          <w:tcPr>
            <w:tcW w:w="0" w:type="auto"/>
          </w:tcPr>
          <w:p w14:paraId="0D6E56C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EGARCH enhances risk prediction for emerging cryptocurrencies</w:t>
            </w:r>
          </w:p>
        </w:tc>
        <w:tc>
          <w:tcPr>
            <w:tcW w:w="0" w:type="auto"/>
          </w:tcPr>
          <w:p w14:paraId="5D04350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Novel integration improves predictive accuracy</w:t>
            </w:r>
          </w:p>
        </w:tc>
        <w:tc>
          <w:tcPr>
            <w:tcW w:w="0" w:type="auto"/>
          </w:tcPr>
          <w:p w14:paraId="05746AB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Provides insights for risk reduction and regulatory guidance</w:t>
            </w:r>
          </w:p>
        </w:tc>
      </w:tr>
      <w:tr w:rsidR="007A6CB2" w:rsidRPr="009E0973" w14:paraId="27E1DC73" w14:textId="77777777" w:rsidTr="0011434D">
        <w:tc>
          <w:tcPr>
            <w:tcW w:w="0" w:type="auto"/>
          </w:tcPr>
          <w:p w14:paraId="2A4AA90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(Alessandretti et al., 2018)</w:t>
            </w:r>
          </w:p>
        </w:tc>
        <w:tc>
          <w:tcPr>
            <w:tcW w:w="0" w:type="auto"/>
          </w:tcPr>
          <w:p w14:paraId="0D436B7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algorithms anticipate cryptocurrency prices for abnormal profits</w:t>
            </w:r>
          </w:p>
        </w:tc>
        <w:tc>
          <w:tcPr>
            <w:tcW w:w="0" w:type="auto"/>
          </w:tcPr>
          <w:p w14:paraId="6E7E08E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Simple ML strategies outperform standard benchmarks</w:t>
            </w:r>
          </w:p>
        </w:tc>
        <w:tc>
          <w:tcPr>
            <w:tcW w:w="0" w:type="auto"/>
          </w:tcPr>
          <w:p w14:paraId="7429200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Portfolio optimization based on geometric mean and Sharpe ratio</w:t>
            </w:r>
          </w:p>
        </w:tc>
        <w:tc>
          <w:tcPr>
            <w:tcW w:w="0" w:type="auto"/>
          </w:tcPr>
          <w:p w14:paraId="68BE5B5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Parameter tuning enhances predictive accuracy</w:t>
            </w:r>
          </w:p>
        </w:tc>
        <w:tc>
          <w:tcPr>
            <w:tcW w:w="0" w:type="auto"/>
          </w:tcPr>
          <w:p w14:paraId="69C4399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Supports short-term market evolution anticipation</w:t>
            </w:r>
          </w:p>
        </w:tc>
      </w:tr>
      <w:tr w:rsidR="007A6CB2" w:rsidRPr="009E0973" w14:paraId="06316F50" w14:textId="77777777" w:rsidTr="0011434D">
        <w:tc>
          <w:tcPr>
            <w:tcW w:w="0" w:type="auto"/>
          </w:tcPr>
          <w:p w14:paraId="1ED3010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(Alibašić, 2023)</w:t>
            </w:r>
          </w:p>
        </w:tc>
        <w:tc>
          <w:tcPr>
            <w:tcW w:w="0" w:type="auto"/>
          </w:tcPr>
          <w:p w14:paraId="1FDADD1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Ethical framework for AI/ML in cryptocurrency trading via consequentialism</w:t>
            </w:r>
          </w:p>
        </w:tc>
        <w:tc>
          <w:tcPr>
            <w:tcW w:w="0" w:type="auto"/>
          </w:tcPr>
          <w:p w14:paraId="2A6128C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Emphasizes balancing AI benefits with market integrity and investor protection</w:t>
            </w:r>
          </w:p>
        </w:tc>
        <w:tc>
          <w:tcPr>
            <w:tcW w:w="0" w:type="auto"/>
          </w:tcPr>
          <w:p w14:paraId="6C67321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need for regulation to prevent misuse and unfair advantage</w:t>
            </w:r>
          </w:p>
        </w:tc>
        <w:tc>
          <w:tcPr>
            <w:tcW w:w="0" w:type="auto"/>
          </w:tcPr>
          <w:p w14:paraId="4DF877B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Discusses ethical implications and regulatory compliance</w:t>
            </w:r>
          </w:p>
        </w:tc>
        <w:tc>
          <w:tcPr>
            <w:tcW w:w="0" w:type="auto"/>
          </w:tcPr>
          <w:p w14:paraId="5016651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Provides foundational ethical guidance for fintech AI adoption</w:t>
            </w:r>
          </w:p>
        </w:tc>
      </w:tr>
      <w:tr w:rsidR="007A6CB2" w:rsidRPr="009E0973" w14:paraId="23592265" w14:textId="77777777" w:rsidTr="0011434D">
        <w:tc>
          <w:tcPr>
            <w:tcW w:w="0" w:type="auto"/>
          </w:tcPr>
          <w:p w14:paraId="318813E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(Amirzadeh et al., 2022)</w:t>
            </w:r>
          </w:p>
        </w:tc>
        <w:tc>
          <w:tcPr>
            <w:tcW w:w="0" w:type="auto"/>
          </w:tcPr>
          <w:p w14:paraId="4C6F3A9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Survey of AI applications in cryptocurrency markets</w:t>
            </w:r>
          </w:p>
        </w:tc>
        <w:tc>
          <w:tcPr>
            <w:tcW w:w="0" w:type="auto"/>
          </w:tcPr>
          <w:p w14:paraId="6228626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Reviews supervised and reinforcement learning for price prediction</w:t>
            </w:r>
          </w:p>
        </w:tc>
        <w:tc>
          <w:tcPr>
            <w:tcW w:w="0" w:type="auto"/>
          </w:tcPr>
          <w:p w14:paraId="4253698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Identifies research gaps and challenges in AI model deployment</w:t>
            </w:r>
          </w:p>
        </w:tc>
        <w:tc>
          <w:tcPr>
            <w:tcW w:w="0" w:type="auto"/>
          </w:tcPr>
          <w:p w14:paraId="15031EC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early-stage development and scalability issues</w:t>
            </w:r>
          </w:p>
        </w:tc>
        <w:tc>
          <w:tcPr>
            <w:tcW w:w="0" w:type="auto"/>
          </w:tcPr>
          <w:p w14:paraId="33C18D5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Guides future AI research directions in fintech</w:t>
            </w:r>
          </w:p>
        </w:tc>
      </w:tr>
      <w:tr w:rsidR="007A6CB2" w:rsidRPr="009E0973" w14:paraId="7A032BEC" w14:textId="77777777" w:rsidTr="0011434D">
        <w:tc>
          <w:tcPr>
            <w:tcW w:w="0" w:type="auto"/>
          </w:tcPr>
          <w:p w14:paraId="2D894EF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(Amirzadeh et al., 2023)</w:t>
            </w:r>
          </w:p>
        </w:tc>
        <w:tc>
          <w:tcPr>
            <w:tcW w:w="0" w:type="auto"/>
          </w:tcPr>
          <w:p w14:paraId="07A71E2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Reinforcement learning enhanced by causal analysis </w:t>
            </w:r>
            <w:r w:rsidRPr="009E0973">
              <w:rPr>
                <w:rFonts w:ascii="Times New Roman" w:hAnsi="Times New Roman" w:cs="Times New Roman"/>
              </w:rPr>
              <w:lastRenderedPageBreak/>
              <w:t>and Bayesian networks</w:t>
            </w:r>
          </w:p>
        </w:tc>
        <w:tc>
          <w:tcPr>
            <w:tcW w:w="0" w:type="auto"/>
          </w:tcPr>
          <w:p w14:paraId="313C1EB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Outperforms buy-and-hold with notable </w:t>
            </w:r>
            <w:r w:rsidRPr="009E0973">
              <w:rPr>
                <w:rFonts w:ascii="Times New Roman" w:hAnsi="Times New Roman" w:cs="Times New Roman"/>
              </w:rPr>
              <w:lastRenderedPageBreak/>
              <w:t>ROI on altcoins</w:t>
            </w:r>
          </w:p>
        </w:tc>
        <w:tc>
          <w:tcPr>
            <w:tcW w:w="0" w:type="auto"/>
          </w:tcPr>
          <w:p w14:paraId="6A7287C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Conservative position sizing </w:t>
            </w:r>
            <w:r w:rsidRPr="009E0973">
              <w:rPr>
                <w:rFonts w:ascii="Times New Roman" w:hAnsi="Times New Roman" w:cs="Times New Roman"/>
              </w:rPr>
              <w:lastRenderedPageBreak/>
              <w:t>for risk management</w:t>
            </w:r>
          </w:p>
        </w:tc>
        <w:tc>
          <w:tcPr>
            <w:tcW w:w="0" w:type="auto"/>
          </w:tcPr>
          <w:p w14:paraId="46CFB37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Causal feature engineering improves </w:t>
            </w:r>
            <w:r w:rsidRPr="009E0973">
              <w:rPr>
                <w:rFonts w:ascii="Times New Roman" w:hAnsi="Times New Roman" w:cs="Times New Roman"/>
              </w:rPr>
              <w:lastRenderedPageBreak/>
              <w:t>decision-making</w:t>
            </w:r>
          </w:p>
        </w:tc>
        <w:tc>
          <w:tcPr>
            <w:tcW w:w="0" w:type="auto"/>
          </w:tcPr>
          <w:p w14:paraId="29248B5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Emphasizes risk control and decision </w:t>
            </w:r>
            <w:r w:rsidRPr="009E0973">
              <w:rPr>
                <w:rFonts w:ascii="Times New Roman" w:hAnsi="Times New Roman" w:cs="Times New Roman"/>
              </w:rPr>
              <w:lastRenderedPageBreak/>
              <w:t>support in fintech</w:t>
            </w:r>
          </w:p>
        </w:tc>
      </w:tr>
      <w:tr w:rsidR="007A6CB2" w:rsidRPr="009E0973" w14:paraId="4B910FF7" w14:textId="77777777" w:rsidTr="0011434D">
        <w:tc>
          <w:tcPr>
            <w:tcW w:w="0" w:type="auto"/>
          </w:tcPr>
          <w:p w14:paraId="66B9055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(Asgari &amp; Khasteh, 202</w:t>
            </w:r>
            <w:r>
              <w:rPr>
                <w:rFonts w:ascii="Times New Roman" w:hAnsi="Times New Roman" w:cs="Times New Roman"/>
              </w:rPr>
              <w:t>1</w:t>
            </w:r>
            <w:r w:rsidRPr="009E0973">
              <w:rPr>
                <w:rFonts w:ascii="Times New Roman" w:hAnsi="Times New Roman" w:cs="Times New Roman"/>
              </w:rPr>
              <w:t>)</w:t>
            </w:r>
          </w:p>
        </w:tc>
        <w:tc>
          <w:tcPr>
            <w:tcW w:w="0" w:type="auto"/>
          </w:tcPr>
          <w:p w14:paraId="630E467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reinforcement learning with PPO, SAC, GAIL for strategy design</w:t>
            </w:r>
          </w:p>
        </w:tc>
        <w:tc>
          <w:tcPr>
            <w:tcW w:w="0" w:type="auto"/>
          </w:tcPr>
          <w:p w14:paraId="35B188F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Highest gain of 48.5% over 66 days with risk-adjusted tuning</w:t>
            </w:r>
          </w:p>
        </w:tc>
        <w:tc>
          <w:tcPr>
            <w:tcW w:w="0" w:type="auto"/>
          </w:tcPr>
          <w:p w14:paraId="76DF2CE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Hyperparameter tuning adjusts risk in generated strategies</w:t>
            </w:r>
          </w:p>
        </w:tc>
        <w:tc>
          <w:tcPr>
            <w:tcW w:w="0" w:type="auto"/>
          </w:tcPr>
          <w:p w14:paraId="6AC9E82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Gym environment facilitates algorithm testing</w:t>
            </w:r>
          </w:p>
        </w:tc>
        <w:tc>
          <w:tcPr>
            <w:tcW w:w="0" w:type="auto"/>
          </w:tcPr>
          <w:p w14:paraId="5EDC7C1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Demonstrates reinforcement learning potential in fintech</w:t>
            </w:r>
          </w:p>
        </w:tc>
      </w:tr>
      <w:tr w:rsidR="007A6CB2" w:rsidRPr="009E0973" w14:paraId="49531787" w14:textId="77777777" w:rsidTr="0011434D">
        <w:tc>
          <w:tcPr>
            <w:tcW w:w="0" w:type="auto"/>
          </w:tcPr>
          <w:p w14:paraId="171E448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(Avramelou et al., 2023)</w:t>
            </w:r>
          </w:p>
        </w:tc>
        <w:tc>
          <w:tcPr>
            <w:tcW w:w="0" w:type="auto"/>
          </w:tcPr>
          <w:p w14:paraId="7F36F78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Fine-grained sentiment dataset for deep reinforcement learning</w:t>
            </w:r>
          </w:p>
        </w:tc>
        <w:tc>
          <w:tcPr>
            <w:tcW w:w="0" w:type="auto"/>
          </w:tcPr>
          <w:p w14:paraId="7AC3011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Sentiment-aware DRL improves trading performance</w:t>
            </w:r>
          </w:p>
        </w:tc>
        <w:tc>
          <w:tcPr>
            <w:tcW w:w="0" w:type="auto"/>
          </w:tcPr>
          <w:p w14:paraId="260E6DC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Multi-modal features enhance risk-adjusted returns</w:t>
            </w:r>
          </w:p>
        </w:tc>
        <w:tc>
          <w:tcPr>
            <w:tcW w:w="0" w:type="auto"/>
          </w:tcPr>
          <w:p w14:paraId="1297619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Dataset supports minute-level trading decisions</w:t>
            </w:r>
          </w:p>
        </w:tc>
        <w:tc>
          <w:tcPr>
            <w:tcW w:w="0" w:type="auto"/>
          </w:tcPr>
          <w:p w14:paraId="5486901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transparency and data-driven fintech strategies</w:t>
            </w:r>
          </w:p>
        </w:tc>
      </w:tr>
      <w:tr w:rsidR="007A6CB2" w:rsidRPr="009E0973" w14:paraId="1C4CE358" w14:textId="77777777" w:rsidTr="0011434D">
        <w:tc>
          <w:tcPr>
            <w:tcW w:w="0" w:type="auto"/>
          </w:tcPr>
          <w:p w14:paraId="13BA66F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(Belcastro et al., 2023)</w:t>
            </w:r>
          </w:p>
        </w:tc>
        <w:tc>
          <w:tcPr>
            <w:tcW w:w="0" w:type="auto"/>
          </w:tcPr>
          <w:p w14:paraId="710CF22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Combines social media sentiment and market data with deep learning</w:t>
            </w:r>
          </w:p>
        </w:tc>
        <w:tc>
          <w:tcPr>
            <w:tcW w:w="0" w:type="auto"/>
          </w:tcPr>
          <w:p w14:paraId="18B3065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Achieved average gain of 194% without fees in trading algorithm</w:t>
            </w:r>
          </w:p>
        </w:tc>
        <w:tc>
          <w:tcPr>
            <w:tcW w:w="0" w:type="auto"/>
          </w:tcPr>
          <w:p w14:paraId="2706B30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Sentiment correlation aids in risk-aware trading decisions</w:t>
            </w:r>
          </w:p>
        </w:tc>
        <w:tc>
          <w:tcPr>
            <w:tcW w:w="0" w:type="auto"/>
          </w:tcPr>
          <w:p w14:paraId="470F370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Integrates text analytics and statistical methods</w:t>
            </w:r>
          </w:p>
        </w:tc>
        <w:tc>
          <w:tcPr>
            <w:tcW w:w="0" w:type="auto"/>
          </w:tcPr>
          <w:p w14:paraId="2DBF3B2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Demonstrates fintech innovation through social data integration</w:t>
            </w:r>
          </w:p>
        </w:tc>
      </w:tr>
      <w:tr w:rsidR="007A6CB2" w:rsidRPr="009E0973" w14:paraId="7D0E94DA" w14:textId="77777777" w:rsidTr="0011434D">
        <w:tc>
          <w:tcPr>
            <w:tcW w:w="0" w:type="auto"/>
          </w:tcPr>
          <w:p w14:paraId="4CBA65D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w:t>
            </w:r>
            <w:r>
              <w:rPr>
                <w:rFonts w:ascii="Times New Roman" w:hAnsi="Times New Roman" w:cs="Times New Roman"/>
              </w:rPr>
              <w:t>Bellocca et al</w:t>
            </w:r>
            <w:r w:rsidRPr="009E0973">
              <w:rPr>
                <w:rFonts w:ascii="Times New Roman" w:hAnsi="Times New Roman" w:cs="Times New Roman"/>
              </w:rPr>
              <w:t>., 2022)</w:t>
            </w:r>
          </w:p>
        </w:tc>
        <w:tc>
          <w:tcPr>
            <w:tcW w:w="0" w:type="auto"/>
          </w:tcPr>
          <w:p w14:paraId="25E1856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models leverage momentum effect for cryptocurrency trading</w:t>
            </w:r>
          </w:p>
        </w:tc>
        <w:tc>
          <w:tcPr>
            <w:tcW w:w="0" w:type="auto"/>
          </w:tcPr>
          <w:p w14:paraId="57C899C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Predict short-term volatility reducing false signals and increasing ROI</w:t>
            </w:r>
          </w:p>
        </w:tc>
        <w:tc>
          <w:tcPr>
            <w:tcW w:w="0" w:type="auto"/>
          </w:tcPr>
          <w:p w14:paraId="45BFAEA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Momentum detection aids in risk reduction</w:t>
            </w:r>
          </w:p>
        </w:tc>
        <w:tc>
          <w:tcPr>
            <w:tcW w:w="0" w:type="auto"/>
          </w:tcPr>
          <w:p w14:paraId="659BE3D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models outperform rule-based momentum strategies</w:t>
            </w:r>
          </w:p>
        </w:tc>
        <w:tc>
          <w:tcPr>
            <w:tcW w:w="0" w:type="auto"/>
          </w:tcPr>
          <w:p w14:paraId="2881225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Enhances trading signal accuracy in volatile markets</w:t>
            </w:r>
          </w:p>
        </w:tc>
      </w:tr>
      <w:tr w:rsidR="007A6CB2" w:rsidRPr="009E0973" w14:paraId="136090C7" w14:textId="77777777" w:rsidTr="0011434D">
        <w:tc>
          <w:tcPr>
            <w:tcW w:w="0" w:type="auto"/>
          </w:tcPr>
          <w:p w14:paraId="3371731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(Betancourt &amp; Chen, 2021)</w:t>
            </w:r>
          </w:p>
        </w:tc>
        <w:tc>
          <w:tcPr>
            <w:tcW w:w="0" w:type="auto"/>
          </w:tcPr>
          <w:p w14:paraId="2258476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Self-attention networks with actor-critic DRL for trading</w:t>
            </w:r>
          </w:p>
        </w:tc>
        <w:tc>
          <w:tcPr>
            <w:tcW w:w="0" w:type="auto"/>
          </w:tcPr>
          <w:p w14:paraId="2FB7969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Higher daily profits and advantages over baseline methods</w:t>
            </w:r>
          </w:p>
        </w:tc>
        <w:tc>
          <w:tcPr>
            <w:tcW w:w="0" w:type="auto"/>
          </w:tcPr>
          <w:p w14:paraId="3119728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Considers transaction fees for realistic risk assessment</w:t>
            </w:r>
          </w:p>
        </w:tc>
        <w:tc>
          <w:tcPr>
            <w:tcW w:w="0" w:type="auto"/>
          </w:tcPr>
          <w:p w14:paraId="384B840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Attention mechanism processes long sequences efficiently</w:t>
            </w:r>
          </w:p>
        </w:tc>
        <w:tc>
          <w:tcPr>
            <w:tcW w:w="0" w:type="auto"/>
          </w:tcPr>
          <w:p w14:paraId="4415CCD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Improves decision-making transparency in fintech</w:t>
            </w:r>
          </w:p>
        </w:tc>
      </w:tr>
      <w:tr w:rsidR="007A6CB2" w:rsidRPr="009E0973" w14:paraId="17C595D5" w14:textId="77777777" w:rsidTr="0011434D">
        <w:tc>
          <w:tcPr>
            <w:tcW w:w="0" w:type="auto"/>
          </w:tcPr>
          <w:p w14:paraId="7A9EE40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(Bouteska et al., 2024)</w:t>
            </w:r>
          </w:p>
        </w:tc>
        <w:tc>
          <w:tcPr>
            <w:tcW w:w="0" w:type="auto"/>
          </w:tcPr>
          <w:p w14:paraId="3C9DDFA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Comparative analysis of ensemble and deep learning forecasting</w:t>
            </w:r>
          </w:p>
        </w:tc>
        <w:tc>
          <w:tcPr>
            <w:tcW w:w="0" w:type="auto"/>
          </w:tcPr>
          <w:p w14:paraId="0F9A6CC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GRU, SRNN, and LightGBM outperform benchmarks in price prediction</w:t>
            </w:r>
          </w:p>
        </w:tc>
        <w:tc>
          <w:tcPr>
            <w:tcW w:w="0" w:type="auto"/>
          </w:tcPr>
          <w:p w14:paraId="324BD6F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Models guide investment decisions under volatility</w:t>
            </w:r>
          </w:p>
        </w:tc>
        <w:tc>
          <w:tcPr>
            <w:tcW w:w="0" w:type="auto"/>
          </w:tcPr>
          <w:p w14:paraId="2282EFA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Ensemble methods balance accuracy and computational load</w:t>
            </w:r>
          </w:p>
        </w:tc>
        <w:tc>
          <w:tcPr>
            <w:tcW w:w="0" w:type="auto"/>
          </w:tcPr>
          <w:p w14:paraId="1430309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Supports practical trading applications in fintech</w:t>
            </w:r>
          </w:p>
        </w:tc>
      </w:tr>
      <w:tr w:rsidR="007A6CB2" w:rsidRPr="009E0973" w14:paraId="1C5F2861" w14:textId="77777777" w:rsidTr="0011434D">
        <w:tc>
          <w:tcPr>
            <w:tcW w:w="0" w:type="auto"/>
          </w:tcPr>
          <w:p w14:paraId="1211D8F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(Bu &amp; Cho, 2018)</w:t>
            </w:r>
          </w:p>
        </w:tc>
        <w:tc>
          <w:tcPr>
            <w:tcW w:w="0" w:type="auto"/>
          </w:tcPr>
          <w:p w14:paraId="51BCFAE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Deep Boltzmann Machine with </w:t>
            </w:r>
            <w:r w:rsidRPr="009E0973">
              <w:rPr>
                <w:rFonts w:ascii="Times New Roman" w:hAnsi="Times New Roman" w:cs="Times New Roman"/>
              </w:rPr>
              <w:lastRenderedPageBreak/>
              <w:t>double Q-network for trading</w:t>
            </w:r>
          </w:p>
        </w:tc>
        <w:tc>
          <w:tcPr>
            <w:tcW w:w="0" w:type="auto"/>
          </w:tcPr>
          <w:p w14:paraId="59F2703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Achieved 2,686% profit outperforming </w:t>
            </w:r>
            <w:r w:rsidRPr="009E0973">
              <w:rPr>
                <w:rFonts w:ascii="Times New Roman" w:hAnsi="Times New Roman" w:cs="Times New Roman"/>
              </w:rPr>
              <w:lastRenderedPageBreak/>
              <w:t>conventional models</w:t>
            </w:r>
          </w:p>
        </w:tc>
        <w:tc>
          <w:tcPr>
            <w:tcW w:w="0" w:type="auto"/>
          </w:tcPr>
          <w:p w14:paraId="44C706C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Robust during significant </w:t>
            </w:r>
            <w:r w:rsidRPr="009E0973">
              <w:rPr>
                <w:rFonts w:ascii="Times New Roman" w:hAnsi="Times New Roman" w:cs="Times New Roman"/>
              </w:rPr>
              <w:lastRenderedPageBreak/>
              <w:t>market downturns</w:t>
            </w:r>
          </w:p>
        </w:tc>
        <w:tc>
          <w:tcPr>
            <w:tcW w:w="0" w:type="auto"/>
          </w:tcPr>
          <w:p w14:paraId="225CE21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Unsupervised pre-training enhances Q-</w:t>
            </w:r>
            <w:r w:rsidRPr="009E0973">
              <w:rPr>
                <w:rFonts w:ascii="Times New Roman" w:hAnsi="Times New Roman" w:cs="Times New Roman"/>
              </w:rPr>
              <w:lastRenderedPageBreak/>
              <w:t>function reliability</w:t>
            </w:r>
          </w:p>
        </w:tc>
        <w:tc>
          <w:tcPr>
            <w:tcW w:w="0" w:type="auto"/>
          </w:tcPr>
          <w:p w14:paraId="605AF46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Improves reliability of reinforcement </w:t>
            </w:r>
            <w:r w:rsidRPr="009E0973">
              <w:rPr>
                <w:rFonts w:ascii="Times New Roman" w:hAnsi="Times New Roman" w:cs="Times New Roman"/>
              </w:rPr>
              <w:lastRenderedPageBreak/>
              <w:t>learning in fintech</w:t>
            </w:r>
          </w:p>
        </w:tc>
      </w:tr>
      <w:tr w:rsidR="007A6CB2" w:rsidRPr="009E0973" w14:paraId="0340F64D" w14:textId="77777777" w:rsidTr="0011434D">
        <w:tc>
          <w:tcPr>
            <w:tcW w:w="0" w:type="auto"/>
          </w:tcPr>
          <w:p w14:paraId="099CC89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(Chen, 2022)</w:t>
            </w:r>
          </w:p>
        </w:tc>
        <w:tc>
          <w:tcPr>
            <w:tcW w:w="0" w:type="auto"/>
          </w:tcPr>
          <w:p w14:paraId="5EC8EB6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ML-assisted pairs trading combining stocks and cryptocurrencies</w:t>
            </w:r>
          </w:p>
        </w:tc>
        <w:tc>
          <w:tcPr>
            <w:tcW w:w="0" w:type="auto"/>
          </w:tcPr>
          <w:p w14:paraId="5CFC9DD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Outperforms state-of-the-art methods in prediction and returns</w:t>
            </w:r>
          </w:p>
        </w:tc>
        <w:tc>
          <w:tcPr>
            <w:tcW w:w="0" w:type="auto"/>
          </w:tcPr>
          <w:p w14:paraId="624155B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Pairs trading hedges risk amid market uncertainty</w:t>
            </w:r>
          </w:p>
        </w:tc>
        <w:tc>
          <w:tcPr>
            <w:tcW w:w="0" w:type="auto"/>
          </w:tcPr>
          <w:p w14:paraId="7F82484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models improve asset pair selection and strategy</w:t>
            </w:r>
          </w:p>
        </w:tc>
        <w:tc>
          <w:tcPr>
            <w:tcW w:w="0" w:type="auto"/>
          </w:tcPr>
          <w:p w14:paraId="441C0D8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Integrates cross-asset strategies in fintech</w:t>
            </w:r>
          </w:p>
        </w:tc>
      </w:tr>
      <w:tr w:rsidR="007A6CB2" w:rsidRPr="009E0973" w14:paraId="2F601CCE" w14:textId="77777777" w:rsidTr="0011434D">
        <w:tc>
          <w:tcPr>
            <w:tcW w:w="0" w:type="auto"/>
          </w:tcPr>
          <w:p w14:paraId="6E35A92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(Felizardo et al., 2022)</w:t>
            </w:r>
          </w:p>
        </w:tc>
        <w:tc>
          <w:tcPr>
            <w:tcW w:w="0" w:type="auto"/>
          </w:tcPr>
          <w:p w14:paraId="1BA764C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Supervised learning vs reinforcement learning for asset trading</w:t>
            </w:r>
          </w:p>
        </w:tc>
        <w:tc>
          <w:tcPr>
            <w:tcW w:w="0" w:type="auto"/>
          </w:tcPr>
          <w:p w14:paraId="7FD24A2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ResNet-LSTM actor outperforms classical reinforcement learning methods</w:t>
            </w:r>
          </w:p>
        </w:tc>
        <w:tc>
          <w:tcPr>
            <w:tcW w:w="0" w:type="auto"/>
          </w:tcPr>
          <w:p w14:paraId="4173EA4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Supervised learning achieves better overall trading performance</w:t>
            </w:r>
          </w:p>
        </w:tc>
        <w:tc>
          <w:tcPr>
            <w:tcW w:w="0" w:type="auto"/>
          </w:tcPr>
          <w:p w14:paraId="16EE6DB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learning feature extraction improves efficiency</w:t>
            </w:r>
          </w:p>
        </w:tc>
        <w:tc>
          <w:tcPr>
            <w:tcW w:w="0" w:type="auto"/>
          </w:tcPr>
          <w:p w14:paraId="53F3145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Suggests supervised learning advantages in fintech trading</w:t>
            </w:r>
          </w:p>
        </w:tc>
      </w:tr>
      <w:tr w:rsidR="007A6CB2" w:rsidRPr="009E0973" w14:paraId="7FBEA942" w14:textId="77777777" w:rsidTr="0011434D">
        <w:tc>
          <w:tcPr>
            <w:tcW w:w="0" w:type="auto"/>
          </w:tcPr>
          <w:p w14:paraId="153DE47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(Fischer et al., 2019)</w:t>
            </w:r>
          </w:p>
        </w:tc>
        <w:tc>
          <w:tcPr>
            <w:tcW w:w="0" w:type="auto"/>
          </w:tcPr>
          <w:p w14:paraId="0271F2E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Random forest-based statistical arbitrage in cryptocurrency markets</w:t>
            </w:r>
          </w:p>
        </w:tc>
        <w:tc>
          <w:tcPr>
            <w:tcW w:w="0" w:type="auto"/>
          </w:tcPr>
          <w:p w14:paraId="6880940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Statistically significant returns after transaction costs</w:t>
            </w:r>
          </w:p>
        </w:tc>
        <w:tc>
          <w:tcPr>
            <w:tcW w:w="0" w:type="auto"/>
          </w:tcPr>
          <w:p w14:paraId="27BBEA6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Strategy exploits short-term price movements for risk control</w:t>
            </w:r>
          </w:p>
        </w:tc>
        <w:tc>
          <w:tcPr>
            <w:tcW w:w="0" w:type="auto"/>
          </w:tcPr>
          <w:p w14:paraId="6F1B2BD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High-frequency trading with large trade volumes</w:t>
            </w:r>
          </w:p>
        </w:tc>
        <w:tc>
          <w:tcPr>
            <w:tcW w:w="0" w:type="auto"/>
          </w:tcPr>
          <w:p w14:paraId="006D64B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Challenges market efficiency assumptions in fintech</w:t>
            </w:r>
          </w:p>
        </w:tc>
      </w:tr>
      <w:tr w:rsidR="007A6CB2" w:rsidRPr="009E0973" w14:paraId="73A48E12" w14:textId="77777777" w:rsidTr="0011434D">
        <w:tc>
          <w:tcPr>
            <w:tcW w:w="0" w:type="auto"/>
          </w:tcPr>
          <w:p w14:paraId="507039D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(Hafid et al., 2024)</w:t>
            </w:r>
          </w:p>
        </w:tc>
        <w:tc>
          <w:tcPr>
            <w:tcW w:w="0" w:type="auto"/>
          </w:tcPr>
          <w:p w14:paraId="7C67016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Classification models with enhanced technical indicators</w:t>
            </w:r>
          </w:p>
        </w:tc>
        <w:tc>
          <w:tcPr>
            <w:tcW w:w="0" w:type="auto"/>
          </w:tcPr>
          <w:p w14:paraId="16AED87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Buy/sell signal accuracy over 92% for Bitcoin</w:t>
            </w:r>
          </w:p>
        </w:tc>
        <w:tc>
          <w:tcPr>
            <w:tcW w:w="0" w:type="auto"/>
          </w:tcPr>
          <w:p w14:paraId="4CB4133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Technical indicators aid in risk reduction</w:t>
            </w:r>
          </w:p>
        </w:tc>
        <w:tc>
          <w:tcPr>
            <w:tcW w:w="0" w:type="auto"/>
          </w:tcPr>
          <w:p w14:paraId="3353179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Efficient classification model for trend prediction</w:t>
            </w:r>
          </w:p>
        </w:tc>
        <w:tc>
          <w:tcPr>
            <w:tcW w:w="0" w:type="auto"/>
          </w:tcPr>
          <w:p w14:paraId="15BC4B6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Supports informed decision-making, limited fintech integration</w:t>
            </w:r>
          </w:p>
        </w:tc>
      </w:tr>
      <w:tr w:rsidR="007A6CB2" w:rsidRPr="009E0973" w14:paraId="6820EDA1" w14:textId="77777777" w:rsidTr="0011434D">
        <w:tc>
          <w:tcPr>
            <w:tcW w:w="0" w:type="auto"/>
          </w:tcPr>
          <w:p w14:paraId="0AEB2D7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(Hou, 2025)</w:t>
            </w:r>
          </w:p>
        </w:tc>
        <w:tc>
          <w:tcPr>
            <w:tcW w:w="0" w:type="auto"/>
          </w:tcPr>
          <w:p w14:paraId="7B3C21D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robots for virtual currency secondary market trading</w:t>
            </w:r>
          </w:p>
        </w:tc>
        <w:tc>
          <w:tcPr>
            <w:tcW w:w="0" w:type="auto"/>
          </w:tcPr>
          <w:p w14:paraId="4CEB3FB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improves decision support, execution speed, and risk assessment</w:t>
            </w:r>
          </w:p>
        </w:tc>
        <w:tc>
          <w:tcPr>
            <w:tcW w:w="0" w:type="auto"/>
          </w:tcPr>
          <w:p w14:paraId="77F8778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robots enhance market response and investment returns</w:t>
            </w:r>
          </w:p>
        </w:tc>
        <w:tc>
          <w:tcPr>
            <w:tcW w:w="0" w:type="auto"/>
          </w:tcPr>
          <w:p w14:paraId="120EF97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Real-time analysis and automatic execution improve efficiency</w:t>
            </w:r>
          </w:p>
        </w:tc>
        <w:tc>
          <w:tcPr>
            <w:tcW w:w="0" w:type="auto"/>
          </w:tcPr>
          <w:p w14:paraId="63845E4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Demonstrates practical AI applications in fintech trading</w:t>
            </w:r>
          </w:p>
        </w:tc>
      </w:tr>
      <w:tr w:rsidR="007A6CB2" w:rsidRPr="009E0973" w14:paraId="5575D97A" w14:textId="77777777" w:rsidTr="0011434D">
        <w:tc>
          <w:tcPr>
            <w:tcW w:w="0" w:type="auto"/>
          </w:tcPr>
          <w:p w14:paraId="524929A8" w14:textId="77777777" w:rsidR="007A6CB2" w:rsidRPr="009E0973" w:rsidRDefault="007A6CB2" w:rsidP="0011434D">
            <w:pPr>
              <w:rPr>
                <w:rFonts w:ascii="Times New Roman" w:hAnsi="Times New Roman" w:cs="Times New Roman"/>
              </w:rPr>
            </w:pPr>
            <w:r>
              <w:rPr>
                <w:rFonts w:ascii="Times New Roman" w:hAnsi="Times New Roman" w:cs="Times New Roman"/>
              </w:rPr>
              <w:t>(</w:t>
            </w:r>
            <w:r w:rsidRPr="009E0973">
              <w:rPr>
                <w:rFonts w:ascii="Times New Roman" w:hAnsi="Times New Roman" w:cs="Times New Roman"/>
              </w:rPr>
              <w:t>Huang, 2024)</w:t>
            </w:r>
          </w:p>
        </w:tc>
        <w:tc>
          <w:tcPr>
            <w:tcW w:w="0" w:type="auto"/>
          </w:tcPr>
          <w:p w14:paraId="5BCFE8A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Comparative accuracy of linear regression, decision trees, neural networks</w:t>
            </w:r>
          </w:p>
        </w:tc>
        <w:tc>
          <w:tcPr>
            <w:tcW w:w="0" w:type="auto"/>
          </w:tcPr>
          <w:p w14:paraId="521D013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Dynamic portfolio optimization outperforms traditional methods</w:t>
            </w:r>
          </w:p>
        </w:tc>
        <w:tc>
          <w:tcPr>
            <w:tcW w:w="0" w:type="auto"/>
          </w:tcPr>
          <w:p w14:paraId="3DC598A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Integrated VaR and Sharpe Ratio for risk assessment</w:t>
            </w:r>
          </w:p>
        </w:tc>
        <w:tc>
          <w:tcPr>
            <w:tcW w:w="0" w:type="auto"/>
          </w:tcPr>
          <w:p w14:paraId="607E963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Efficient backtesting and cross-validation framework</w:t>
            </w:r>
          </w:p>
        </w:tc>
        <w:tc>
          <w:tcPr>
            <w:tcW w:w="0" w:type="auto"/>
          </w:tcPr>
          <w:p w14:paraId="73566BE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ML’s potential to revolutionize investment strategies</w:t>
            </w:r>
          </w:p>
        </w:tc>
      </w:tr>
      <w:tr w:rsidR="007A6CB2" w:rsidRPr="009E0973" w14:paraId="111E820C" w14:textId="77777777" w:rsidTr="0011434D">
        <w:tc>
          <w:tcPr>
            <w:tcW w:w="0" w:type="auto"/>
          </w:tcPr>
          <w:p w14:paraId="2524FA7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(Jabbar &amp; Jalil, 2024)</w:t>
            </w:r>
          </w:p>
        </w:tc>
        <w:tc>
          <w:tcPr>
            <w:tcW w:w="0" w:type="auto"/>
          </w:tcPr>
          <w:p w14:paraId="16A92BE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Evaluation of 41 ML models including Random Forest and SGD</w:t>
            </w:r>
          </w:p>
        </w:tc>
        <w:tc>
          <w:tcPr>
            <w:tcW w:w="0" w:type="auto"/>
          </w:tcPr>
          <w:p w14:paraId="7305144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Random Forest and SGD models excel in profit and risk management</w:t>
            </w:r>
          </w:p>
        </w:tc>
        <w:tc>
          <w:tcPr>
            <w:tcW w:w="0" w:type="auto"/>
          </w:tcPr>
          <w:p w14:paraId="24E6E05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Backtesting confirms robustness under volatile conditions</w:t>
            </w:r>
          </w:p>
        </w:tc>
        <w:tc>
          <w:tcPr>
            <w:tcW w:w="0" w:type="auto"/>
          </w:tcPr>
          <w:p w14:paraId="48389A6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Extensive model comparison with practical applicability</w:t>
            </w:r>
          </w:p>
        </w:tc>
        <w:tc>
          <w:tcPr>
            <w:tcW w:w="0" w:type="auto"/>
          </w:tcPr>
          <w:p w14:paraId="3E8861D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Addresses practical trading strategy development, less on fintech impact</w:t>
            </w:r>
          </w:p>
        </w:tc>
      </w:tr>
      <w:tr w:rsidR="007A6CB2" w:rsidRPr="009E0973" w14:paraId="4E8C02E3" w14:textId="77777777" w:rsidTr="0011434D">
        <w:tc>
          <w:tcPr>
            <w:tcW w:w="0" w:type="auto"/>
          </w:tcPr>
          <w:p w14:paraId="5A6FD36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(Kang et al., 2024)</w:t>
            </w:r>
          </w:p>
        </w:tc>
        <w:tc>
          <w:tcPr>
            <w:tcW w:w="0" w:type="auto"/>
          </w:tcPr>
          <w:p w14:paraId="0F0D4C5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Advantage Actor-Critic reinforcement learning for asset allocation</w:t>
            </w:r>
          </w:p>
        </w:tc>
        <w:tc>
          <w:tcPr>
            <w:tcW w:w="0" w:type="auto"/>
          </w:tcPr>
          <w:p w14:paraId="0C35809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Effective balance of risk and return in volatile markets</w:t>
            </w:r>
          </w:p>
        </w:tc>
        <w:tc>
          <w:tcPr>
            <w:tcW w:w="0" w:type="auto"/>
          </w:tcPr>
          <w:p w14:paraId="7B93E1E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Reward function tuning for risk management</w:t>
            </w:r>
          </w:p>
        </w:tc>
        <w:tc>
          <w:tcPr>
            <w:tcW w:w="0" w:type="auto"/>
          </w:tcPr>
          <w:p w14:paraId="734F013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Reinforcement learning suitable for 24/7 markets</w:t>
            </w:r>
          </w:p>
        </w:tc>
        <w:tc>
          <w:tcPr>
            <w:tcW w:w="0" w:type="auto"/>
          </w:tcPr>
          <w:p w14:paraId="38EF473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Addresses portfolio management and risk in fintech context</w:t>
            </w:r>
          </w:p>
        </w:tc>
      </w:tr>
      <w:tr w:rsidR="007A6CB2" w:rsidRPr="009E0973" w14:paraId="77D1432E" w14:textId="77777777" w:rsidTr="0011434D">
        <w:tc>
          <w:tcPr>
            <w:tcW w:w="0" w:type="auto"/>
          </w:tcPr>
          <w:p w14:paraId="6C57AC9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(Koker &amp; Koutmos, 2020)</w:t>
            </w:r>
          </w:p>
        </w:tc>
        <w:tc>
          <w:tcPr>
            <w:tcW w:w="0" w:type="auto"/>
          </w:tcPr>
          <w:p w14:paraId="7A85B6F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Reinforcement ML for active trading on major cryptocurrencies</w:t>
            </w:r>
          </w:p>
        </w:tc>
        <w:tc>
          <w:tcPr>
            <w:tcW w:w="0" w:type="auto"/>
          </w:tcPr>
          <w:p w14:paraId="76C8D08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Model yields enhanced risk-adjusted returns over buy-and-hold</w:t>
            </w:r>
          </w:p>
        </w:tc>
        <w:tc>
          <w:tcPr>
            <w:tcW w:w="0" w:type="auto"/>
          </w:tcPr>
          <w:p w14:paraId="10F5EC0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Reduces downside risk accounting for transaction costs</w:t>
            </w:r>
          </w:p>
        </w:tc>
        <w:tc>
          <w:tcPr>
            <w:tcW w:w="0" w:type="auto"/>
          </w:tcPr>
          <w:p w14:paraId="456C4F3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Calibrated model adapts to real-world portfolio management</w:t>
            </w:r>
          </w:p>
        </w:tc>
        <w:tc>
          <w:tcPr>
            <w:tcW w:w="0" w:type="auto"/>
          </w:tcPr>
          <w:p w14:paraId="6727AAD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Demonstrates practical reinforcement learning in fintech</w:t>
            </w:r>
          </w:p>
        </w:tc>
      </w:tr>
      <w:tr w:rsidR="007A6CB2" w:rsidRPr="009E0973" w14:paraId="46A65D0A" w14:textId="77777777" w:rsidTr="0011434D">
        <w:tc>
          <w:tcPr>
            <w:tcW w:w="0" w:type="auto"/>
          </w:tcPr>
          <w:p w14:paraId="320B367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(Kouloumpris &amp; Vlahavas, 2023)</w:t>
            </w:r>
          </w:p>
        </w:tc>
        <w:tc>
          <w:tcPr>
            <w:tcW w:w="0" w:type="auto"/>
          </w:tcPr>
          <w:p w14:paraId="73347B4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reinforcement learning combined with rule-based safety mechanisms</w:t>
            </w:r>
          </w:p>
        </w:tc>
        <w:tc>
          <w:tcPr>
            <w:tcW w:w="0" w:type="auto"/>
          </w:tcPr>
          <w:p w14:paraId="3F69E75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Maximizes profit and minimizes risk in cryptocurrency trading</w:t>
            </w:r>
          </w:p>
        </w:tc>
        <w:tc>
          <w:tcPr>
            <w:tcW w:w="0" w:type="auto"/>
          </w:tcPr>
          <w:p w14:paraId="5CDC2C4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Rule-based constraints reduce trading noise and risk</w:t>
            </w:r>
          </w:p>
        </w:tc>
        <w:tc>
          <w:tcPr>
            <w:tcW w:w="0" w:type="auto"/>
          </w:tcPr>
          <w:p w14:paraId="059C54F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Hybrid approach balances exploration and exploitation</w:t>
            </w:r>
          </w:p>
        </w:tc>
        <w:tc>
          <w:tcPr>
            <w:tcW w:w="0" w:type="auto"/>
          </w:tcPr>
          <w:p w14:paraId="5973B2F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Incorporates risk-aware mechanisms, limited regulatory focus</w:t>
            </w:r>
          </w:p>
        </w:tc>
      </w:tr>
      <w:tr w:rsidR="007A6CB2" w:rsidRPr="009E0973" w14:paraId="4C0F7B0B" w14:textId="77777777" w:rsidTr="0011434D">
        <w:tc>
          <w:tcPr>
            <w:tcW w:w="0" w:type="auto"/>
          </w:tcPr>
          <w:p w14:paraId="774C2D4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(Kumari et al., 2024)</w:t>
            </w:r>
          </w:p>
        </w:tc>
        <w:tc>
          <w:tcPr>
            <w:tcW w:w="0" w:type="auto"/>
          </w:tcPr>
          <w:p w14:paraId="40713B0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impacts on pricing, fraud detection, risk mitigation, and compliance</w:t>
            </w:r>
          </w:p>
        </w:tc>
        <w:tc>
          <w:tcPr>
            <w:tcW w:w="0" w:type="auto"/>
          </w:tcPr>
          <w:p w14:paraId="52F1834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enhances pricing strategies and fraud detection</w:t>
            </w:r>
          </w:p>
        </w:tc>
        <w:tc>
          <w:tcPr>
            <w:tcW w:w="0" w:type="auto"/>
          </w:tcPr>
          <w:p w14:paraId="16464CE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assists in risk management and regulatory compliance</w:t>
            </w:r>
          </w:p>
        </w:tc>
        <w:tc>
          <w:tcPr>
            <w:tcW w:w="0" w:type="auto"/>
          </w:tcPr>
          <w:p w14:paraId="22011B6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Improves data processing efficiency</w:t>
            </w:r>
          </w:p>
        </w:tc>
        <w:tc>
          <w:tcPr>
            <w:tcW w:w="0" w:type="auto"/>
          </w:tcPr>
          <w:p w14:paraId="1F84FDF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Discusses broad fintech implications including regulation</w:t>
            </w:r>
          </w:p>
        </w:tc>
      </w:tr>
      <w:tr w:rsidR="007A6CB2" w:rsidRPr="009E0973" w14:paraId="12C9A2E6" w14:textId="77777777" w:rsidTr="0011434D">
        <w:tc>
          <w:tcPr>
            <w:tcW w:w="0" w:type="auto"/>
          </w:tcPr>
          <w:p w14:paraId="08F0231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(Kumlungmak, </w:t>
            </w:r>
            <w:r>
              <w:rPr>
                <w:rFonts w:ascii="Times New Roman" w:hAnsi="Times New Roman" w:cs="Times New Roman"/>
              </w:rPr>
              <w:t>2024</w:t>
            </w:r>
            <w:r w:rsidRPr="009E0973">
              <w:rPr>
                <w:rFonts w:ascii="Times New Roman" w:hAnsi="Times New Roman" w:cs="Times New Roman"/>
              </w:rPr>
              <w:t>)</w:t>
            </w:r>
          </w:p>
        </w:tc>
        <w:tc>
          <w:tcPr>
            <w:tcW w:w="0" w:type="auto"/>
          </w:tcPr>
          <w:p w14:paraId="7F7E4DB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Multi-agent proximal policy optimization for cryptocurrency trading</w:t>
            </w:r>
          </w:p>
        </w:tc>
        <w:tc>
          <w:tcPr>
            <w:tcW w:w="0" w:type="auto"/>
          </w:tcPr>
          <w:p w14:paraId="2B78601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Superior cumulative returns, especially in bearish markets</w:t>
            </w:r>
          </w:p>
        </w:tc>
        <w:tc>
          <w:tcPr>
            <w:tcW w:w="0" w:type="auto"/>
          </w:tcPr>
          <w:p w14:paraId="440A25F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Progressive penalty mechanism mitigates consecutive losses</w:t>
            </w:r>
          </w:p>
        </w:tc>
        <w:tc>
          <w:tcPr>
            <w:tcW w:w="0" w:type="auto"/>
          </w:tcPr>
          <w:p w14:paraId="545E907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Collaborative multi-agent scheme enhances scalability</w:t>
            </w:r>
          </w:p>
        </w:tc>
        <w:tc>
          <w:tcPr>
            <w:tcW w:w="0" w:type="auto"/>
          </w:tcPr>
          <w:p w14:paraId="4AD970C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multi-agent reinforcement learning in fintech</w:t>
            </w:r>
          </w:p>
        </w:tc>
      </w:tr>
      <w:tr w:rsidR="007A6CB2" w:rsidRPr="009E0973" w14:paraId="5B69B9F1" w14:textId="77777777" w:rsidTr="0011434D">
        <w:tc>
          <w:tcPr>
            <w:tcW w:w="0" w:type="auto"/>
          </w:tcPr>
          <w:p w14:paraId="5C7B020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(Lam &amp; Makarov, 2023)</w:t>
            </w:r>
          </w:p>
        </w:tc>
        <w:tc>
          <w:tcPr>
            <w:tcW w:w="0" w:type="auto"/>
          </w:tcPr>
          <w:p w14:paraId="7609DAC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Rainbow DQN with CNN for pair trading in cryptocurrencies</w:t>
            </w:r>
          </w:p>
        </w:tc>
        <w:tc>
          <w:tcPr>
            <w:tcW w:w="0" w:type="auto"/>
          </w:tcPr>
          <w:p w14:paraId="7319DC8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Outperforms RSI and correlation strategies</w:t>
            </w:r>
            <w:r>
              <w:rPr>
                <w:rFonts w:ascii="Times New Roman" w:hAnsi="Times New Roman" w:cs="Times New Roman"/>
              </w:rPr>
              <w:t>,</w:t>
            </w:r>
            <w:r w:rsidRPr="009E0973">
              <w:rPr>
                <w:rFonts w:ascii="Times New Roman" w:hAnsi="Times New Roman" w:cs="Times New Roman"/>
              </w:rPr>
              <w:t xml:space="preserve"> but not profitable post fees</w:t>
            </w:r>
          </w:p>
        </w:tc>
        <w:tc>
          <w:tcPr>
            <w:tcW w:w="0" w:type="auto"/>
          </w:tcPr>
          <w:p w14:paraId="422E0CB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CNN extracts features from candlestick images for decisions</w:t>
            </w:r>
          </w:p>
        </w:tc>
        <w:tc>
          <w:tcPr>
            <w:tcW w:w="0" w:type="auto"/>
          </w:tcPr>
          <w:p w14:paraId="7BAADB6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Computationally intensive with limited profitability</w:t>
            </w:r>
          </w:p>
        </w:tc>
        <w:tc>
          <w:tcPr>
            <w:tcW w:w="0" w:type="auto"/>
          </w:tcPr>
          <w:p w14:paraId="64B052E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challenges in high-frequency fintech trading</w:t>
            </w:r>
          </w:p>
        </w:tc>
      </w:tr>
      <w:tr w:rsidR="007A6CB2" w:rsidRPr="009E0973" w14:paraId="0A9BF71A" w14:textId="77777777" w:rsidTr="0011434D">
        <w:tc>
          <w:tcPr>
            <w:tcW w:w="0" w:type="auto"/>
          </w:tcPr>
          <w:p w14:paraId="020F31B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(Leung et al., 2023)</w:t>
            </w:r>
          </w:p>
        </w:tc>
        <w:tc>
          <w:tcPr>
            <w:tcW w:w="0" w:type="auto"/>
          </w:tcPr>
          <w:p w14:paraId="1BF2E0D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Social media sentiment analysis for trading signal generation</w:t>
            </w:r>
          </w:p>
        </w:tc>
        <w:tc>
          <w:tcPr>
            <w:tcW w:w="0" w:type="auto"/>
          </w:tcPr>
          <w:p w14:paraId="4FA799A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Reliable short- and long-term trading signals from tweets</w:t>
            </w:r>
          </w:p>
        </w:tc>
        <w:tc>
          <w:tcPr>
            <w:tcW w:w="0" w:type="auto"/>
          </w:tcPr>
          <w:p w14:paraId="6BBD8EF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Sentiment scores incorporated for risk-informed decisions</w:t>
            </w:r>
          </w:p>
        </w:tc>
        <w:tc>
          <w:tcPr>
            <w:tcW w:w="0" w:type="auto"/>
          </w:tcPr>
          <w:p w14:paraId="6221FBD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Real-time price visualization supports efficiency</w:t>
            </w:r>
          </w:p>
        </w:tc>
        <w:tc>
          <w:tcPr>
            <w:tcW w:w="0" w:type="auto"/>
          </w:tcPr>
          <w:p w14:paraId="4CC7087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Enhances financial literacy and fintech accessibility</w:t>
            </w:r>
          </w:p>
        </w:tc>
      </w:tr>
      <w:tr w:rsidR="007A6CB2" w:rsidRPr="009E0973" w14:paraId="76ABF90E" w14:textId="77777777" w:rsidTr="0011434D">
        <w:tc>
          <w:tcPr>
            <w:tcW w:w="0" w:type="auto"/>
          </w:tcPr>
          <w:p w14:paraId="1C63535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(Li et al., </w:t>
            </w:r>
            <w:r>
              <w:rPr>
                <w:rFonts w:ascii="Times New Roman" w:hAnsi="Times New Roman" w:cs="Times New Roman"/>
              </w:rPr>
              <w:t>2024</w:t>
            </w:r>
            <w:r w:rsidRPr="009E0973">
              <w:rPr>
                <w:rFonts w:ascii="Times New Roman" w:hAnsi="Times New Roman" w:cs="Times New Roman"/>
              </w:rPr>
              <w:t>)</w:t>
            </w:r>
          </w:p>
        </w:tc>
        <w:tc>
          <w:tcPr>
            <w:tcW w:w="0" w:type="auto"/>
          </w:tcPr>
          <w:p w14:paraId="2980577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analysis of cryptocurrency return prediction with SHAP</w:t>
            </w:r>
          </w:p>
        </w:tc>
        <w:tc>
          <w:tcPr>
            <w:tcW w:w="0" w:type="auto"/>
          </w:tcPr>
          <w:p w14:paraId="3BA75E0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Tree models outperform neural networks in predictability</w:t>
            </w:r>
          </w:p>
        </w:tc>
        <w:tc>
          <w:tcPr>
            <w:tcW w:w="0" w:type="auto"/>
          </w:tcPr>
          <w:p w14:paraId="1ECFBD9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Portfolios based on neural networks achieve </w:t>
            </w:r>
            <w:r>
              <w:rPr>
                <w:rFonts w:ascii="Times New Roman" w:hAnsi="Times New Roman" w:cs="Times New Roman"/>
              </w:rPr>
              <w:t xml:space="preserve">the </w:t>
            </w:r>
            <w:r w:rsidRPr="009E0973">
              <w:rPr>
                <w:rFonts w:ascii="Times New Roman" w:hAnsi="Times New Roman" w:cs="Times New Roman"/>
              </w:rPr>
              <w:t>highest cumulative returns</w:t>
            </w:r>
          </w:p>
        </w:tc>
        <w:tc>
          <w:tcPr>
            <w:tcW w:w="0" w:type="auto"/>
          </w:tcPr>
          <w:p w14:paraId="22A90B6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SHAP method identifies key predictive factors</w:t>
            </w:r>
          </w:p>
        </w:tc>
        <w:tc>
          <w:tcPr>
            <w:tcW w:w="0" w:type="auto"/>
          </w:tcPr>
          <w:p w14:paraId="4A27DF3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Provides interpretability and practical guidance in fintech</w:t>
            </w:r>
          </w:p>
        </w:tc>
      </w:tr>
      <w:tr w:rsidR="007A6CB2" w:rsidRPr="009E0973" w14:paraId="04241274" w14:textId="77777777" w:rsidTr="0011434D">
        <w:tc>
          <w:tcPr>
            <w:tcW w:w="0" w:type="auto"/>
            <w:tcBorders>
              <w:top w:val="single" w:sz="12" w:space="0" w:color="auto"/>
            </w:tcBorders>
          </w:tcPr>
          <w:p w14:paraId="3E7E7C6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(Lu et al., 2024)</w:t>
            </w:r>
          </w:p>
        </w:tc>
        <w:tc>
          <w:tcPr>
            <w:tcW w:w="0" w:type="auto"/>
            <w:tcBorders>
              <w:top w:val="single" w:sz="12" w:space="0" w:color="auto"/>
            </w:tcBorders>
          </w:tcPr>
          <w:p w14:paraId="15767D7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 accuracy via genetic algorithm and neural network hybrid</w:t>
            </w:r>
          </w:p>
        </w:tc>
        <w:tc>
          <w:tcPr>
            <w:tcW w:w="0" w:type="auto"/>
            <w:tcBorders>
              <w:top w:val="single" w:sz="12" w:space="0" w:color="auto"/>
            </w:tcBorders>
          </w:tcPr>
          <w:p w14:paraId="7DB80B1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Achieved 19.33% and 7.13% profit outperforming benchmarks</w:t>
            </w:r>
          </w:p>
        </w:tc>
        <w:tc>
          <w:tcPr>
            <w:tcW w:w="0" w:type="auto"/>
            <w:tcBorders>
              <w:top w:val="single" w:sz="12" w:space="0" w:color="auto"/>
            </w:tcBorders>
          </w:tcPr>
          <w:p w14:paraId="188EF29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Robust across bullish and bearish phases</w:t>
            </w:r>
          </w:p>
        </w:tc>
        <w:tc>
          <w:tcPr>
            <w:tcW w:w="0" w:type="auto"/>
            <w:tcBorders>
              <w:top w:val="single" w:sz="12" w:space="0" w:color="auto"/>
            </w:tcBorders>
          </w:tcPr>
          <w:p w14:paraId="3EFD2DF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Genetic algorithm optimizes model parameters efficiently</w:t>
            </w:r>
          </w:p>
        </w:tc>
        <w:tc>
          <w:tcPr>
            <w:tcW w:w="0" w:type="auto"/>
            <w:tcBorders>
              <w:top w:val="single" w:sz="12" w:space="0" w:color="auto"/>
            </w:tcBorders>
          </w:tcPr>
          <w:p w14:paraId="11DA70B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Limited discussion on regulatory or ethical aspects</w:t>
            </w:r>
          </w:p>
        </w:tc>
      </w:tr>
      <w:tr w:rsidR="007A6CB2" w:rsidRPr="009E0973" w14:paraId="24A3F410" w14:textId="77777777" w:rsidTr="0011434D">
        <w:tc>
          <w:tcPr>
            <w:tcW w:w="0" w:type="auto"/>
          </w:tcPr>
          <w:p w14:paraId="76E48F0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(Lua et al., 2025)</w:t>
            </w:r>
          </w:p>
        </w:tc>
        <w:tc>
          <w:tcPr>
            <w:tcW w:w="0" w:type="auto"/>
          </w:tcPr>
          <w:p w14:paraId="3950FEA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Random Forest, LSTM, Bi-LSTM models with smart contract integration</w:t>
            </w:r>
          </w:p>
        </w:tc>
        <w:tc>
          <w:tcPr>
            <w:tcW w:w="0" w:type="auto"/>
          </w:tcPr>
          <w:p w14:paraId="73461C2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LSTM model achieved 488.74% ROI outperforming benchmarks</w:t>
            </w:r>
          </w:p>
        </w:tc>
        <w:tc>
          <w:tcPr>
            <w:tcW w:w="0" w:type="auto"/>
          </w:tcPr>
          <w:p w14:paraId="63B36CB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Real-time risk assessment via smart contracts</w:t>
            </w:r>
          </w:p>
        </w:tc>
        <w:tc>
          <w:tcPr>
            <w:tcW w:w="0" w:type="auto"/>
          </w:tcPr>
          <w:p w14:paraId="755FAE0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Integration with blockchain enhances efficiency</w:t>
            </w:r>
          </w:p>
        </w:tc>
        <w:tc>
          <w:tcPr>
            <w:tcW w:w="0" w:type="auto"/>
          </w:tcPr>
          <w:p w14:paraId="72A4502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Strong fintech integration with transparency and security focus</w:t>
            </w:r>
          </w:p>
        </w:tc>
      </w:tr>
      <w:tr w:rsidR="007A6CB2" w:rsidRPr="009E0973" w14:paraId="0F39AE5C" w14:textId="77777777" w:rsidTr="0011434D">
        <w:tc>
          <w:tcPr>
            <w:tcW w:w="0" w:type="auto"/>
          </w:tcPr>
          <w:p w14:paraId="40D6C21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(Lucarelli &amp; Borrotti, 2019)</w:t>
            </w:r>
          </w:p>
        </w:tc>
        <w:tc>
          <w:tcPr>
            <w:tcW w:w="0" w:type="auto"/>
          </w:tcPr>
          <w:p w14:paraId="09E0894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reinforcement learning with Double and Dueling DQN for Bitcoin</w:t>
            </w:r>
          </w:p>
        </w:tc>
        <w:tc>
          <w:tcPr>
            <w:tcW w:w="0" w:type="auto"/>
          </w:tcPr>
          <w:p w14:paraId="05FF46F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Sharpe ratio reward function yields most profitable trading</w:t>
            </w:r>
          </w:p>
        </w:tc>
        <w:tc>
          <w:tcPr>
            <w:tcW w:w="0" w:type="auto"/>
          </w:tcPr>
          <w:p w14:paraId="2D52CB0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Compares reward functions for risk-adjusted performance</w:t>
            </w:r>
          </w:p>
        </w:tc>
        <w:tc>
          <w:tcPr>
            <w:tcW w:w="0" w:type="auto"/>
          </w:tcPr>
          <w:p w14:paraId="5C4375B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Q-learning networks suitable for long-term trading</w:t>
            </w:r>
          </w:p>
        </w:tc>
        <w:tc>
          <w:tcPr>
            <w:tcW w:w="0" w:type="auto"/>
          </w:tcPr>
          <w:p w14:paraId="2308448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reward design in fintech trading algorithms</w:t>
            </w:r>
          </w:p>
        </w:tc>
      </w:tr>
      <w:tr w:rsidR="007A6CB2" w:rsidRPr="009E0973" w14:paraId="45FE472B" w14:textId="77777777" w:rsidTr="0011434D">
        <w:tc>
          <w:tcPr>
            <w:tcW w:w="0" w:type="auto"/>
          </w:tcPr>
          <w:p w14:paraId="32E2C58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(Lucarelli et al., 2020)</w:t>
            </w:r>
          </w:p>
        </w:tc>
        <w:tc>
          <w:tcPr>
            <w:tcW w:w="0" w:type="auto"/>
          </w:tcPr>
          <w:p w14:paraId="40C1B30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Deep Q-learning framework for cryptocurrency </w:t>
            </w:r>
            <w:r w:rsidRPr="009E0973">
              <w:rPr>
                <w:rFonts w:ascii="Times New Roman" w:hAnsi="Times New Roman" w:cs="Times New Roman"/>
              </w:rPr>
              <w:lastRenderedPageBreak/>
              <w:t>portfolio management</w:t>
            </w:r>
          </w:p>
        </w:tc>
        <w:tc>
          <w:tcPr>
            <w:tcW w:w="0" w:type="auto"/>
          </w:tcPr>
          <w:p w14:paraId="61FDD03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Promising approach for dynamic </w:t>
            </w:r>
            <w:r w:rsidRPr="009E0973">
              <w:rPr>
                <w:rFonts w:ascii="Times New Roman" w:hAnsi="Times New Roman" w:cs="Times New Roman"/>
              </w:rPr>
              <w:lastRenderedPageBreak/>
              <w:t>portfolio optimization</w:t>
            </w:r>
          </w:p>
        </w:tc>
        <w:tc>
          <w:tcPr>
            <w:tcW w:w="0" w:type="auto"/>
          </w:tcPr>
          <w:p w14:paraId="612A6C9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Balances return maximization </w:t>
            </w:r>
            <w:r w:rsidRPr="009E0973">
              <w:rPr>
                <w:rFonts w:ascii="Times New Roman" w:hAnsi="Times New Roman" w:cs="Times New Roman"/>
              </w:rPr>
              <w:lastRenderedPageBreak/>
              <w:t>and risk minimization</w:t>
            </w:r>
          </w:p>
        </w:tc>
        <w:tc>
          <w:tcPr>
            <w:tcW w:w="0" w:type="auto"/>
          </w:tcPr>
          <w:p w14:paraId="3394615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Local and global agents improve </w:t>
            </w:r>
            <w:r w:rsidRPr="009E0973">
              <w:rPr>
                <w:rFonts w:ascii="Times New Roman" w:hAnsi="Times New Roman" w:cs="Times New Roman"/>
              </w:rPr>
              <w:lastRenderedPageBreak/>
              <w:t>computational efficiency</w:t>
            </w:r>
          </w:p>
        </w:tc>
        <w:tc>
          <w:tcPr>
            <w:tcW w:w="0" w:type="auto"/>
          </w:tcPr>
          <w:p w14:paraId="5E678FA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Advances reinforcement learning in fintech </w:t>
            </w:r>
            <w:r w:rsidRPr="009E0973">
              <w:rPr>
                <w:rFonts w:ascii="Times New Roman" w:hAnsi="Times New Roman" w:cs="Times New Roman"/>
              </w:rPr>
              <w:lastRenderedPageBreak/>
              <w:t>portfolio management</w:t>
            </w:r>
          </w:p>
        </w:tc>
      </w:tr>
      <w:tr w:rsidR="007A6CB2" w:rsidRPr="009E0973" w14:paraId="23B8C84D" w14:textId="77777777" w:rsidTr="0011434D">
        <w:tc>
          <w:tcPr>
            <w:tcW w:w="0" w:type="auto"/>
          </w:tcPr>
          <w:p w14:paraId="46FD062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(Majidi et al., 2022)</w:t>
            </w:r>
          </w:p>
        </w:tc>
        <w:tc>
          <w:tcPr>
            <w:tcW w:w="0" w:type="auto"/>
          </w:tcPr>
          <w:p w14:paraId="73E0DAB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Twin-Delayed DDPG for continuous action space trading</w:t>
            </w:r>
          </w:p>
        </w:tc>
        <w:tc>
          <w:tcPr>
            <w:tcW w:w="0" w:type="auto"/>
          </w:tcPr>
          <w:p w14:paraId="1434215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Continuous action space improves return and Sharpe ratio</w:t>
            </w:r>
          </w:p>
        </w:tc>
        <w:tc>
          <w:tcPr>
            <w:tcW w:w="0" w:type="auto"/>
          </w:tcPr>
          <w:p w14:paraId="2EF08FC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Algorithm adapts position size for risk management</w:t>
            </w:r>
          </w:p>
        </w:tc>
        <w:tc>
          <w:tcPr>
            <w:tcW w:w="0" w:type="auto"/>
          </w:tcPr>
          <w:p w14:paraId="5DC8987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Suitable for real-time stock and cryptocurrency markets</w:t>
            </w:r>
          </w:p>
        </w:tc>
        <w:tc>
          <w:tcPr>
            <w:tcW w:w="0" w:type="auto"/>
          </w:tcPr>
          <w:p w14:paraId="738DD88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Enhances algorithmic trading flexibility in fintech</w:t>
            </w:r>
          </w:p>
        </w:tc>
      </w:tr>
      <w:tr w:rsidR="007A6CB2" w:rsidRPr="009E0973" w14:paraId="56A05037" w14:textId="77777777" w:rsidTr="0011434D">
        <w:tc>
          <w:tcPr>
            <w:tcW w:w="0" w:type="auto"/>
          </w:tcPr>
          <w:p w14:paraId="02E9053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(Mandych et al., 2023)</w:t>
            </w:r>
          </w:p>
        </w:tc>
        <w:tc>
          <w:tcPr>
            <w:tcW w:w="0" w:type="auto"/>
          </w:tcPr>
          <w:p w14:paraId="407A079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integration in blockchain for trend prediction and fraud detection</w:t>
            </w:r>
          </w:p>
        </w:tc>
        <w:tc>
          <w:tcPr>
            <w:tcW w:w="0" w:type="auto"/>
          </w:tcPr>
          <w:p w14:paraId="2482FCD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optimizes trading strategies and reduces costs</w:t>
            </w:r>
          </w:p>
        </w:tc>
        <w:tc>
          <w:tcPr>
            <w:tcW w:w="0" w:type="auto"/>
          </w:tcPr>
          <w:p w14:paraId="50297BD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aids in risk management and fraud prevention</w:t>
            </w:r>
          </w:p>
        </w:tc>
        <w:tc>
          <w:tcPr>
            <w:tcW w:w="0" w:type="auto"/>
          </w:tcPr>
          <w:p w14:paraId="6280135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Emphasizes efficiency and security improvements</w:t>
            </w:r>
          </w:p>
        </w:tc>
        <w:tc>
          <w:tcPr>
            <w:tcW w:w="0" w:type="auto"/>
          </w:tcPr>
          <w:p w14:paraId="6672A13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Advocates responsible AI adoption and regulatory compliance</w:t>
            </w:r>
          </w:p>
        </w:tc>
      </w:tr>
      <w:tr w:rsidR="007A6CB2" w:rsidRPr="009E0973" w14:paraId="0F18A850" w14:textId="77777777" w:rsidTr="0011434D">
        <w:tc>
          <w:tcPr>
            <w:tcW w:w="0" w:type="auto"/>
          </w:tcPr>
          <w:p w14:paraId="5F322A8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(Mikhaiylova &amp; Sabirova, 2024)</w:t>
            </w:r>
          </w:p>
        </w:tc>
        <w:tc>
          <w:tcPr>
            <w:tcW w:w="0" w:type="auto"/>
          </w:tcPr>
          <w:p w14:paraId="2295F04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Classification models for buy/sell signals using technical analysis</w:t>
            </w:r>
          </w:p>
        </w:tc>
        <w:tc>
          <w:tcPr>
            <w:tcW w:w="0" w:type="auto"/>
          </w:tcPr>
          <w:p w14:paraId="6D30BED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Demonstrated effectiveness of ML in modern trading strategies</w:t>
            </w:r>
          </w:p>
        </w:tc>
        <w:tc>
          <w:tcPr>
            <w:tcW w:w="0" w:type="auto"/>
          </w:tcPr>
          <w:p w14:paraId="02155A0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Risk control via moving averages and classification</w:t>
            </w:r>
          </w:p>
        </w:tc>
        <w:tc>
          <w:tcPr>
            <w:tcW w:w="0" w:type="auto"/>
          </w:tcPr>
          <w:p w14:paraId="082A986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Moderate computational requirements</w:t>
            </w:r>
          </w:p>
        </w:tc>
        <w:tc>
          <w:tcPr>
            <w:tcW w:w="0" w:type="auto"/>
          </w:tcPr>
          <w:p w14:paraId="6526730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Focus on trading strategy development, minimal fintech context</w:t>
            </w:r>
          </w:p>
        </w:tc>
      </w:tr>
      <w:tr w:rsidR="007A6CB2" w:rsidRPr="009E0973" w14:paraId="135B12AE" w14:textId="77777777" w:rsidTr="0011434D">
        <w:tc>
          <w:tcPr>
            <w:tcW w:w="0" w:type="auto"/>
          </w:tcPr>
          <w:p w14:paraId="3FFDAD2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(Okasová &amp; Košťál, 2024)</w:t>
            </w:r>
          </w:p>
        </w:tc>
        <w:tc>
          <w:tcPr>
            <w:tcW w:w="0" w:type="auto"/>
          </w:tcPr>
          <w:p w14:paraId="01E86B7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models predict arbitrage opportunities in cryptocurrency exchanges</w:t>
            </w:r>
          </w:p>
        </w:tc>
        <w:tc>
          <w:tcPr>
            <w:tcW w:w="0" w:type="auto"/>
          </w:tcPr>
          <w:p w14:paraId="4C6F73D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Random Forest effective in predicting arbitrage during low volatility</w:t>
            </w:r>
          </w:p>
        </w:tc>
        <w:tc>
          <w:tcPr>
            <w:tcW w:w="0" w:type="auto"/>
          </w:tcPr>
          <w:p w14:paraId="6ABC077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Mixed profitability due to market timing and noise</w:t>
            </w:r>
          </w:p>
        </w:tc>
        <w:tc>
          <w:tcPr>
            <w:tcW w:w="0" w:type="auto"/>
          </w:tcPr>
          <w:p w14:paraId="4A77B44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Real-time prediction supports algorithmic trading bots</w:t>
            </w:r>
          </w:p>
        </w:tc>
        <w:tc>
          <w:tcPr>
            <w:tcW w:w="0" w:type="auto"/>
          </w:tcPr>
          <w:p w14:paraId="6D4BE34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operational challenges in fintech arbitrage</w:t>
            </w:r>
          </w:p>
        </w:tc>
      </w:tr>
      <w:tr w:rsidR="007A6CB2" w:rsidRPr="009E0973" w14:paraId="5874FABB" w14:textId="77777777" w:rsidTr="0011434D">
        <w:tc>
          <w:tcPr>
            <w:tcW w:w="0" w:type="auto"/>
          </w:tcPr>
          <w:p w14:paraId="27E868A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(Otabek &amp; Choi, 2024)</w:t>
            </w:r>
          </w:p>
        </w:tc>
        <w:tc>
          <w:tcPr>
            <w:tcW w:w="0" w:type="auto"/>
          </w:tcPr>
          <w:p w14:paraId="1A04183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Multi-level deep Q-network with sentiment analysis and novel reward</w:t>
            </w:r>
          </w:p>
        </w:tc>
        <w:tc>
          <w:tcPr>
            <w:tcW w:w="0" w:type="auto"/>
          </w:tcPr>
          <w:p w14:paraId="2A22341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29.93% investment value increase with high Sharpe Ratio</w:t>
            </w:r>
          </w:p>
        </w:tc>
        <w:tc>
          <w:tcPr>
            <w:tcW w:w="0" w:type="auto"/>
          </w:tcPr>
          <w:p w14:paraId="7D348FE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Reward function balances profit and risk</w:t>
            </w:r>
          </w:p>
        </w:tc>
        <w:tc>
          <w:tcPr>
            <w:tcW w:w="0" w:type="auto"/>
          </w:tcPr>
          <w:p w14:paraId="6482347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reinforcement learning with preprocessing pipeline</w:t>
            </w:r>
          </w:p>
        </w:tc>
        <w:tc>
          <w:tcPr>
            <w:tcW w:w="0" w:type="auto"/>
          </w:tcPr>
          <w:p w14:paraId="72238A1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in reinforcement learning for trading robustness</w:t>
            </w:r>
          </w:p>
        </w:tc>
      </w:tr>
      <w:tr w:rsidR="007A6CB2" w:rsidRPr="009E0973" w14:paraId="14613B51" w14:textId="77777777" w:rsidTr="0011434D">
        <w:tc>
          <w:tcPr>
            <w:tcW w:w="0" w:type="auto"/>
          </w:tcPr>
          <w:p w14:paraId="1AC3AD4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(Pang et al., 20</w:t>
            </w:r>
            <w:r>
              <w:rPr>
                <w:rFonts w:ascii="Times New Roman" w:hAnsi="Times New Roman" w:cs="Times New Roman"/>
              </w:rPr>
              <w:t>19</w:t>
            </w:r>
            <w:r w:rsidRPr="009E0973">
              <w:rPr>
                <w:rFonts w:ascii="Times New Roman" w:hAnsi="Times New Roman" w:cs="Times New Roman"/>
              </w:rPr>
              <w:t>)</w:t>
            </w:r>
          </w:p>
        </w:tc>
        <w:tc>
          <w:tcPr>
            <w:tcW w:w="0" w:type="auto"/>
          </w:tcPr>
          <w:p w14:paraId="5FDB525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models integrating social sentiment for Bitcoin price prediction</w:t>
            </w:r>
          </w:p>
        </w:tc>
        <w:tc>
          <w:tcPr>
            <w:tcW w:w="0" w:type="auto"/>
          </w:tcPr>
          <w:p w14:paraId="7BF37DE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Sentiment data models capture non</w:t>
            </w:r>
            <w:r>
              <w:rPr>
                <w:rFonts w:ascii="Times New Roman" w:hAnsi="Times New Roman" w:cs="Times New Roman"/>
              </w:rPr>
              <w:t>-</w:t>
            </w:r>
            <w:r w:rsidRPr="009E0973">
              <w:rPr>
                <w:rFonts w:ascii="Times New Roman" w:hAnsi="Times New Roman" w:cs="Times New Roman"/>
              </w:rPr>
              <w:t>linear relationships better than technical indicators</w:t>
            </w:r>
          </w:p>
        </w:tc>
        <w:tc>
          <w:tcPr>
            <w:tcW w:w="0" w:type="auto"/>
          </w:tcPr>
          <w:p w14:paraId="4731984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Neural networks provide robust and accurate price forecasts</w:t>
            </w:r>
          </w:p>
        </w:tc>
        <w:tc>
          <w:tcPr>
            <w:tcW w:w="0" w:type="auto"/>
          </w:tcPr>
          <w:p w14:paraId="54ACA13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Incorporates multi-source data for improved efficiency</w:t>
            </w:r>
          </w:p>
        </w:tc>
        <w:tc>
          <w:tcPr>
            <w:tcW w:w="0" w:type="auto"/>
          </w:tcPr>
          <w:p w14:paraId="7DB142E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sentiment analysis in fintech trading</w:t>
            </w:r>
          </w:p>
        </w:tc>
      </w:tr>
      <w:tr w:rsidR="007A6CB2" w:rsidRPr="009E0973" w14:paraId="750C7BE6" w14:textId="77777777" w:rsidTr="0011434D">
        <w:tc>
          <w:tcPr>
            <w:tcW w:w="0" w:type="auto"/>
          </w:tcPr>
          <w:p w14:paraId="712D555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(Park &amp; Seo, 2022)</w:t>
            </w:r>
          </w:p>
        </w:tc>
        <w:tc>
          <w:tcPr>
            <w:tcW w:w="0" w:type="auto"/>
          </w:tcPr>
          <w:p w14:paraId="732FA5F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Deep learning model </w:t>
            </w:r>
            <w:r w:rsidRPr="009E0973">
              <w:rPr>
                <w:rFonts w:ascii="Times New Roman" w:hAnsi="Times New Roman" w:cs="Times New Roman"/>
              </w:rPr>
              <w:lastRenderedPageBreak/>
              <w:t>recommending buy/sell/wait actions</w:t>
            </w:r>
          </w:p>
        </w:tc>
        <w:tc>
          <w:tcPr>
            <w:tcW w:w="0" w:type="auto"/>
          </w:tcPr>
          <w:p w14:paraId="05FE2FB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13%-21% improvement </w:t>
            </w:r>
            <w:r w:rsidRPr="009E0973">
              <w:rPr>
                <w:rFonts w:ascii="Times New Roman" w:hAnsi="Times New Roman" w:cs="Times New Roman"/>
              </w:rPr>
              <w:lastRenderedPageBreak/>
              <w:t>over existing price prediction methods</w:t>
            </w:r>
          </w:p>
        </w:tc>
        <w:tc>
          <w:tcPr>
            <w:tcW w:w="0" w:type="auto"/>
          </w:tcPr>
          <w:p w14:paraId="03799AF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Action recommendatio</w:t>
            </w:r>
            <w:r w:rsidRPr="009E0973">
              <w:rPr>
                <w:rFonts w:ascii="Times New Roman" w:hAnsi="Times New Roman" w:cs="Times New Roman"/>
              </w:rPr>
              <w:lastRenderedPageBreak/>
              <w:t>ns support risk-aware trading</w:t>
            </w:r>
          </w:p>
        </w:tc>
        <w:tc>
          <w:tcPr>
            <w:tcW w:w="0" w:type="auto"/>
          </w:tcPr>
          <w:p w14:paraId="6B3A7F2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Deep learning facilitates </w:t>
            </w:r>
            <w:r w:rsidRPr="009E0973">
              <w:rPr>
                <w:rFonts w:ascii="Times New Roman" w:hAnsi="Times New Roman" w:cs="Times New Roman"/>
              </w:rPr>
              <w:lastRenderedPageBreak/>
              <w:t>decision-making efficiency</w:t>
            </w:r>
          </w:p>
        </w:tc>
        <w:tc>
          <w:tcPr>
            <w:tcW w:w="0" w:type="auto"/>
          </w:tcPr>
          <w:p w14:paraId="3E2D907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Focus on client decision </w:t>
            </w:r>
            <w:r w:rsidRPr="009E0973">
              <w:rPr>
                <w:rFonts w:ascii="Times New Roman" w:hAnsi="Times New Roman" w:cs="Times New Roman"/>
              </w:rPr>
              <w:lastRenderedPageBreak/>
              <w:t>support within fintech context</w:t>
            </w:r>
          </w:p>
        </w:tc>
      </w:tr>
      <w:tr w:rsidR="007A6CB2" w:rsidRPr="009E0973" w14:paraId="1546D925" w14:textId="77777777" w:rsidTr="0011434D">
        <w:tc>
          <w:tcPr>
            <w:tcW w:w="0" w:type="auto"/>
          </w:tcPr>
          <w:p w14:paraId="7AFA0FC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(Pasupuleti, 2024)</w:t>
            </w:r>
          </w:p>
        </w:tc>
        <w:tc>
          <w:tcPr>
            <w:tcW w:w="0" w:type="auto"/>
          </w:tcPr>
          <w:p w14:paraId="663B39D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integration with blockchain for security and innovative trading</w:t>
            </w:r>
          </w:p>
        </w:tc>
        <w:tc>
          <w:tcPr>
            <w:tcW w:w="0" w:type="auto"/>
          </w:tcPr>
          <w:p w14:paraId="092738D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AI-driven fintech services reshape customer experience</w:t>
            </w:r>
          </w:p>
        </w:tc>
        <w:tc>
          <w:tcPr>
            <w:tcW w:w="0" w:type="auto"/>
          </w:tcPr>
          <w:p w14:paraId="40BC3F0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supports regulatory compliance and risk management</w:t>
            </w:r>
          </w:p>
        </w:tc>
        <w:tc>
          <w:tcPr>
            <w:tcW w:w="0" w:type="auto"/>
          </w:tcPr>
          <w:p w14:paraId="10CA24B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streamlines processes and enhances transparency</w:t>
            </w:r>
          </w:p>
        </w:tc>
        <w:tc>
          <w:tcPr>
            <w:tcW w:w="0" w:type="auto"/>
          </w:tcPr>
          <w:p w14:paraId="35EE628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Comprehensive fintech impact including ethical considerations</w:t>
            </w:r>
          </w:p>
        </w:tc>
      </w:tr>
      <w:tr w:rsidR="007A6CB2" w:rsidRPr="009E0973" w14:paraId="5883A677" w14:textId="77777777" w:rsidTr="0011434D">
        <w:tc>
          <w:tcPr>
            <w:tcW w:w="0" w:type="auto"/>
          </w:tcPr>
          <w:p w14:paraId="5A051CD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(Peng et al., 2022)</w:t>
            </w:r>
          </w:p>
        </w:tc>
        <w:tc>
          <w:tcPr>
            <w:tcW w:w="0" w:type="auto"/>
          </w:tcPr>
          <w:p w14:paraId="113000A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Proximal policy optimization in automated trading system</w:t>
            </w:r>
          </w:p>
        </w:tc>
        <w:tc>
          <w:tcPr>
            <w:tcW w:w="0" w:type="auto"/>
          </w:tcPr>
          <w:p w14:paraId="7995E85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Outperforms buy-and-hold and similar models in returns</w:t>
            </w:r>
          </w:p>
        </w:tc>
        <w:tc>
          <w:tcPr>
            <w:tcW w:w="0" w:type="auto"/>
          </w:tcPr>
          <w:p w14:paraId="07007F5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Reduces emotional bias and improves risk-adjusted returns</w:t>
            </w:r>
          </w:p>
        </w:tc>
        <w:tc>
          <w:tcPr>
            <w:tcW w:w="0" w:type="auto"/>
          </w:tcPr>
          <w:p w14:paraId="39213B8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Stable and robust automated trading implementation</w:t>
            </w:r>
          </w:p>
        </w:tc>
        <w:tc>
          <w:tcPr>
            <w:tcW w:w="0" w:type="auto"/>
          </w:tcPr>
          <w:p w14:paraId="4AF5F34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Emphasizes automation and behavioral finance in fintech</w:t>
            </w:r>
          </w:p>
        </w:tc>
      </w:tr>
      <w:tr w:rsidR="007A6CB2" w:rsidRPr="009E0973" w14:paraId="74E632EE" w14:textId="77777777" w:rsidTr="0011434D">
        <w:tc>
          <w:tcPr>
            <w:tcW w:w="0" w:type="auto"/>
          </w:tcPr>
          <w:p w14:paraId="4D9606B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(Qing et al., 2022</w:t>
            </w:r>
            <w:r>
              <w:rPr>
                <w:rFonts w:ascii="Times New Roman" w:hAnsi="Times New Roman" w:cs="Times New Roman"/>
              </w:rPr>
              <w:t>a</w:t>
            </w:r>
            <w:r w:rsidRPr="009E0973">
              <w:rPr>
                <w:rFonts w:ascii="Times New Roman" w:hAnsi="Times New Roman" w:cs="Times New Roman"/>
              </w:rPr>
              <w:t>)</w:t>
            </w:r>
          </w:p>
        </w:tc>
        <w:tc>
          <w:tcPr>
            <w:tcW w:w="0" w:type="auto"/>
          </w:tcPr>
          <w:p w14:paraId="0F8D3C8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learning-based trading strategies for cryptocurrency profitability</w:t>
            </w:r>
          </w:p>
        </w:tc>
        <w:tc>
          <w:tcPr>
            <w:tcW w:w="0" w:type="auto"/>
          </w:tcPr>
          <w:p w14:paraId="3857E5E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Combines stock prediction models with deep learning for returns</w:t>
            </w:r>
          </w:p>
        </w:tc>
        <w:tc>
          <w:tcPr>
            <w:tcW w:w="0" w:type="auto"/>
          </w:tcPr>
          <w:p w14:paraId="1F1BA71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Trading strategies improve profitability under volatile conditions</w:t>
            </w:r>
          </w:p>
        </w:tc>
        <w:tc>
          <w:tcPr>
            <w:tcW w:w="0" w:type="auto"/>
          </w:tcPr>
          <w:p w14:paraId="02E6AEF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learning models enhance prediction robustness</w:t>
            </w:r>
          </w:p>
        </w:tc>
        <w:tc>
          <w:tcPr>
            <w:tcW w:w="0" w:type="auto"/>
          </w:tcPr>
          <w:p w14:paraId="66D42D9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Focus on profitability enhancement in fintech context</w:t>
            </w:r>
          </w:p>
        </w:tc>
      </w:tr>
      <w:tr w:rsidR="007A6CB2" w:rsidRPr="009E0973" w14:paraId="7CD471B0" w14:textId="77777777" w:rsidTr="0011434D">
        <w:tc>
          <w:tcPr>
            <w:tcW w:w="0" w:type="auto"/>
          </w:tcPr>
          <w:p w14:paraId="3E3CB7F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(Qing et al., 2022</w:t>
            </w:r>
            <w:r>
              <w:rPr>
                <w:rFonts w:ascii="Times New Roman" w:hAnsi="Times New Roman" w:cs="Times New Roman"/>
              </w:rPr>
              <w:t>b</w:t>
            </w:r>
            <w:r w:rsidRPr="009E0973">
              <w:rPr>
                <w:rFonts w:ascii="Times New Roman" w:hAnsi="Times New Roman" w:cs="Times New Roman"/>
              </w:rPr>
              <w:t>)</w:t>
            </w:r>
          </w:p>
        </w:tc>
        <w:tc>
          <w:tcPr>
            <w:tcW w:w="0" w:type="auto"/>
          </w:tcPr>
          <w:p w14:paraId="3A6A60F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AutoEncoder-based multi-factor deep learning for portfolio construction</w:t>
            </w:r>
          </w:p>
        </w:tc>
        <w:tc>
          <w:tcPr>
            <w:tcW w:w="0" w:type="auto"/>
          </w:tcPr>
          <w:p w14:paraId="1E169C3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Outperforms single-factor models in cumulative returns and Sharpe Ratio</w:t>
            </w:r>
          </w:p>
        </w:tc>
        <w:tc>
          <w:tcPr>
            <w:tcW w:w="0" w:type="auto"/>
          </w:tcPr>
          <w:p w14:paraId="6474354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Multi-factor model improves risk-adjusted portfolio performance</w:t>
            </w:r>
          </w:p>
        </w:tc>
        <w:tc>
          <w:tcPr>
            <w:tcW w:w="0" w:type="auto"/>
          </w:tcPr>
          <w:p w14:paraId="592C1D2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Handles high-dimensional data efficiently</w:t>
            </w:r>
          </w:p>
        </w:tc>
        <w:tc>
          <w:tcPr>
            <w:tcW w:w="0" w:type="auto"/>
          </w:tcPr>
          <w:p w14:paraId="0C67953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portfolio optimization in fintech</w:t>
            </w:r>
          </w:p>
        </w:tc>
      </w:tr>
      <w:tr w:rsidR="007A6CB2" w:rsidRPr="009E0973" w14:paraId="7DAEBFBE" w14:textId="77777777" w:rsidTr="0011434D">
        <w:tc>
          <w:tcPr>
            <w:tcW w:w="0" w:type="auto"/>
          </w:tcPr>
          <w:p w14:paraId="7D1A5FC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(Ramkumar, 2021)</w:t>
            </w:r>
          </w:p>
        </w:tc>
        <w:tc>
          <w:tcPr>
            <w:tcW w:w="0" w:type="auto"/>
          </w:tcPr>
          <w:p w14:paraId="77DA26D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ARIMA, CNN, LSTM for multivariate cryptocurrency portfolio prediction</w:t>
            </w:r>
          </w:p>
        </w:tc>
        <w:tc>
          <w:tcPr>
            <w:tcW w:w="0" w:type="auto"/>
          </w:tcPr>
          <w:p w14:paraId="0711118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Cointegrated pair portfolios outperform with maximized annualized returns</w:t>
            </w:r>
          </w:p>
        </w:tc>
        <w:tc>
          <w:tcPr>
            <w:tcW w:w="0" w:type="auto"/>
          </w:tcPr>
          <w:p w14:paraId="34DB030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Portfolio construction incorporates risk parity and Kelly criterion</w:t>
            </w:r>
          </w:p>
        </w:tc>
        <w:tc>
          <w:tcPr>
            <w:tcW w:w="0" w:type="auto"/>
          </w:tcPr>
          <w:p w14:paraId="5110BF5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Combines statistical and deep learning methods</w:t>
            </w:r>
          </w:p>
        </w:tc>
        <w:tc>
          <w:tcPr>
            <w:tcW w:w="0" w:type="auto"/>
          </w:tcPr>
          <w:p w14:paraId="0A8A7B7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Enhances portfolio management in fintech</w:t>
            </w:r>
          </w:p>
        </w:tc>
      </w:tr>
      <w:tr w:rsidR="007A6CB2" w:rsidRPr="009E0973" w14:paraId="5CA7B51B" w14:textId="77777777" w:rsidTr="0011434D">
        <w:tc>
          <w:tcPr>
            <w:tcW w:w="0" w:type="auto"/>
          </w:tcPr>
          <w:p w14:paraId="33FEDB7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(Sanju et al., </w:t>
            </w:r>
            <w:r>
              <w:rPr>
                <w:rFonts w:ascii="Times New Roman" w:hAnsi="Times New Roman" w:cs="Times New Roman"/>
              </w:rPr>
              <w:t>2023</w:t>
            </w:r>
            <w:r w:rsidRPr="009E0973">
              <w:rPr>
                <w:rFonts w:ascii="Times New Roman" w:hAnsi="Times New Roman" w:cs="Times New Roman"/>
              </w:rPr>
              <w:t>)</w:t>
            </w:r>
          </w:p>
        </w:tc>
        <w:tc>
          <w:tcPr>
            <w:tcW w:w="0" w:type="auto"/>
          </w:tcPr>
          <w:p w14:paraId="5336B01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Transformer and LSTM models with social media </w:t>
            </w:r>
            <w:r w:rsidRPr="009E0973">
              <w:rPr>
                <w:rFonts w:ascii="Times New Roman" w:hAnsi="Times New Roman" w:cs="Times New Roman"/>
              </w:rPr>
              <w:lastRenderedPageBreak/>
              <w:t>sentiment for trading</w:t>
            </w:r>
          </w:p>
        </w:tc>
        <w:tc>
          <w:tcPr>
            <w:tcW w:w="0" w:type="auto"/>
          </w:tcPr>
          <w:p w14:paraId="740F056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Improved prediction precision via temporal and </w:t>
            </w:r>
            <w:r w:rsidRPr="009E0973">
              <w:rPr>
                <w:rFonts w:ascii="Times New Roman" w:hAnsi="Times New Roman" w:cs="Times New Roman"/>
              </w:rPr>
              <w:lastRenderedPageBreak/>
              <w:t>sentiment features</w:t>
            </w:r>
          </w:p>
        </w:tc>
        <w:tc>
          <w:tcPr>
            <w:tcW w:w="0" w:type="auto"/>
          </w:tcPr>
          <w:p w14:paraId="7F4E209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Automated systems enable personalized </w:t>
            </w:r>
            <w:r w:rsidRPr="009E0973">
              <w:rPr>
                <w:rFonts w:ascii="Times New Roman" w:hAnsi="Times New Roman" w:cs="Times New Roman"/>
              </w:rPr>
              <w:lastRenderedPageBreak/>
              <w:t>and adaptive trading</w:t>
            </w:r>
          </w:p>
        </w:tc>
        <w:tc>
          <w:tcPr>
            <w:tcW w:w="0" w:type="auto"/>
          </w:tcPr>
          <w:p w14:paraId="734556A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Integration of advanced NLP enhances </w:t>
            </w:r>
            <w:r w:rsidRPr="009E0973">
              <w:rPr>
                <w:rFonts w:ascii="Times New Roman" w:hAnsi="Times New Roman" w:cs="Times New Roman"/>
              </w:rPr>
              <w:lastRenderedPageBreak/>
              <w:t>fintech capabilities</w:t>
            </w:r>
          </w:p>
        </w:tc>
        <w:tc>
          <w:tcPr>
            <w:tcW w:w="0" w:type="auto"/>
          </w:tcPr>
          <w:p w14:paraId="461988F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Highlights technology-methodology </w:t>
            </w:r>
            <w:r w:rsidRPr="009E0973">
              <w:rPr>
                <w:rFonts w:ascii="Times New Roman" w:hAnsi="Times New Roman" w:cs="Times New Roman"/>
              </w:rPr>
              <w:lastRenderedPageBreak/>
              <w:t>synergy in fintech</w:t>
            </w:r>
          </w:p>
        </w:tc>
      </w:tr>
      <w:tr w:rsidR="007A6CB2" w:rsidRPr="009E0973" w14:paraId="2C6E0688" w14:textId="77777777" w:rsidTr="0011434D">
        <w:tc>
          <w:tcPr>
            <w:tcW w:w="0" w:type="auto"/>
          </w:tcPr>
          <w:p w14:paraId="28DBBD0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(Sattarov et al., 2020)</w:t>
            </w:r>
          </w:p>
        </w:tc>
        <w:tc>
          <w:tcPr>
            <w:tcW w:w="0" w:type="auto"/>
          </w:tcPr>
          <w:p w14:paraId="10F0795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reinforcement learning for trading action recommendation</w:t>
            </w:r>
          </w:p>
        </w:tc>
        <w:tc>
          <w:tcPr>
            <w:tcW w:w="0" w:type="auto"/>
          </w:tcPr>
          <w:p w14:paraId="746AA08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Achieved 14.4% to 74% net profits on various cryptocurrencies</w:t>
            </w:r>
          </w:p>
        </w:tc>
        <w:tc>
          <w:tcPr>
            <w:tcW w:w="0" w:type="auto"/>
          </w:tcPr>
          <w:p w14:paraId="399CD97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DRL observes historical data for real-time action decisions</w:t>
            </w:r>
          </w:p>
        </w:tc>
        <w:tc>
          <w:tcPr>
            <w:tcW w:w="0" w:type="auto"/>
          </w:tcPr>
          <w:p w14:paraId="514FB1A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Application tested on multiple cryptocurrencies</w:t>
            </w:r>
          </w:p>
        </w:tc>
        <w:tc>
          <w:tcPr>
            <w:tcW w:w="0" w:type="auto"/>
          </w:tcPr>
          <w:p w14:paraId="795E299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Demonstrates DRL effectiveness in fintech trading</w:t>
            </w:r>
          </w:p>
        </w:tc>
      </w:tr>
      <w:tr w:rsidR="007A6CB2" w:rsidRPr="009E0973" w14:paraId="7D0949DF" w14:textId="77777777" w:rsidTr="0011434D">
        <w:tc>
          <w:tcPr>
            <w:tcW w:w="0" w:type="auto"/>
          </w:tcPr>
          <w:p w14:paraId="13FD5B5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(Sebastião &amp; Godinho, 2021)</w:t>
            </w:r>
          </w:p>
        </w:tc>
        <w:tc>
          <w:tcPr>
            <w:tcW w:w="0" w:type="auto"/>
          </w:tcPr>
          <w:p w14:paraId="79A4BF9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ML predictability and profitability under changing market conditions</w:t>
            </w:r>
          </w:p>
        </w:tc>
        <w:tc>
          <w:tcPr>
            <w:tcW w:w="0" w:type="auto"/>
          </w:tcPr>
          <w:p w14:paraId="4057C2A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Ensemble models achieve positive returns and Sharpe ratios in bear markets</w:t>
            </w:r>
          </w:p>
        </w:tc>
        <w:tc>
          <w:tcPr>
            <w:tcW w:w="0" w:type="auto"/>
          </w:tcPr>
          <w:p w14:paraId="01D43C3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Models robust to market regime changes for risk control</w:t>
            </w:r>
          </w:p>
        </w:tc>
        <w:tc>
          <w:tcPr>
            <w:tcW w:w="0" w:type="auto"/>
          </w:tcPr>
          <w:p w14:paraId="4615F95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Extensive validation with rolling-window forecasts</w:t>
            </w:r>
          </w:p>
        </w:tc>
        <w:tc>
          <w:tcPr>
            <w:tcW w:w="0" w:type="auto"/>
          </w:tcPr>
          <w:p w14:paraId="540C759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Supports adaptive trading strategies in fintech</w:t>
            </w:r>
          </w:p>
        </w:tc>
      </w:tr>
      <w:tr w:rsidR="007A6CB2" w:rsidRPr="009E0973" w14:paraId="3328EBDD" w14:textId="77777777" w:rsidTr="0011434D">
        <w:tc>
          <w:tcPr>
            <w:tcW w:w="0" w:type="auto"/>
          </w:tcPr>
          <w:p w14:paraId="6863EC8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(Singh et al., 2022)</w:t>
            </w:r>
          </w:p>
        </w:tc>
        <w:tc>
          <w:tcPr>
            <w:tcW w:w="0" w:type="auto"/>
          </w:tcPr>
          <w:p w14:paraId="5C76662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LSTM-based high-frequency algorithmic trading for Bitcoin and Ethereum</w:t>
            </w:r>
          </w:p>
        </w:tc>
        <w:tc>
          <w:tcPr>
            <w:tcW w:w="0" w:type="auto"/>
          </w:tcPr>
          <w:p w14:paraId="45393E2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Positive backtesting returns on hourly and minute data</w:t>
            </w:r>
          </w:p>
        </w:tc>
        <w:tc>
          <w:tcPr>
            <w:tcW w:w="0" w:type="auto"/>
          </w:tcPr>
          <w:p w14:paraId="40125E8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Trading algorithm uses network forecasts for risk-aware decisions</w:t>
            </w:r>
          </w:p>
        </w:tc>
        <w:tc>
          <w:tcPr>
            <w:tcW w:w="0" w:type="auto"/>
          </w:tcPr>
          <w:p w14:paraId="1BC0F3E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Fuzzy intervals quantify algorithmic returns</w:t>
            </w:r>
          </w:p>
        </w:tc>
        <w:tc>
          <w:tcPr>
            <w:tcW w:w="0" w:type="auto"/>
          </w:tcPr>
          <w:p w14:paraId="545A9C3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Demonstrates LSTM efficacy in high-frequency fintech trading</w:t>
            </w:r>
          </w:p>
        </w:tc>
      </w:tr>
      <w:tr w:rsidR="007A6CB2" w:rsidRPr="009E0973" w14:paraId="552F096B" w14:textId="77777777" w:rsidTr="0011434D">
        <w:tc>
          <w:tcPr>
            <w:tcW w:w="0" w:type="auto"/>
          </w:tcPr>
          <w:p w14:paraId="43ED41F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(Ślepaczuk &amp; Zenkova, 2019)</w:t>
            </w:r>
          </w:p>
        </w:tc>
        <w:tc>
          <w:tcPr>
            <w:tcW w:w="0" w:type="auto"/>
          </w:tcPr>
          <w:p w14:paraId="00099CC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SVM-based algorithmic trading strategy for cryptocurrency portfolios</w:t>
            </w:r>
          </w:p>
        </w:tc>
        <w:tc>
          <w:tcPr>
            <w:tcW w:w="0" w:type="auto"/>
          </w:tcPr>
          <w:p w14:paraId="0BCFEFD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SVM portfolio outperforms benchmarks on risk-weighted gain metrics</w:t>
            </w:r>
          </w:p>
        </w:tc>
        <w:tc>
          <w:tcPr>
            <w:tcW w:w="0" w:type="auto"/>
          </w:tcPr>
          <w:p w14:paraId="4330960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Sensitivity analysis on SVM parameters for risk control</w:t>
            </w:r>
          </w:p>
        </w:tc>
        <w:tc>
          <w:tcPr>
            <w:tcW w:w="0" w:type="auto"/>
          </w:tcPr>
          <w:p w14:paraId="39F91F6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Non</w:t>
            </w:r>
            <w:r>
              <w:rPr>
                <w:rFonts w:ascii="Times New Roman" w:hAnsi="Times New Roman" w:cs="Times New Roman"/>
              </w:rPr>
              <w:t>-</w:t>
            </w:r>
            <w:r w:rsidRPr="009E0973">
              <w:rPr>
                <w:rFonts w:ascii="Times New Roman" w:hAnsi="Times New Roman" w:cs="Times New Roman"/>
              </w:rPr>
              <w:t>linear SVM enhances classification accuracy</w:t>
            </w:r>
          </w:p>
        </w:tc>
        <w:tc>
          <w:tcPr>
            <w:tcW w:w="0" w:type="auto"/>
          </w:tcPr>
          <w:p w14:paraId="25374A6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Addresses robustness and risk in fintech trading</w:t>
            </w:r>
          </w:p>
        </w:tc>
      </w:tr>
      <w:tr w:rsidR="007A6CB2" w:rsidRPr="009E0973" w14:paraId="25A0E4D3" w14:textId="77777777" w:rsidTr="0011434D">
        <w:tc>
          <w:tcPr>
            <w:tcW w:w="0" w:type="auto"/>
          </w:tcPr>
          <w:p w14:paraId="0889353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(Song, 2025)</w:t>
            </w:r>
          </w:p>
        </w:tc>
        <w:tc>
          <w:tcPr>
            <w:tcW w:w="0" w:type="auto"/>
          </w:tcPr>
          <w:p w14:paraId="12CAAB8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Extreme Gradient Boosting and LSTM for Bitcoin and other cryptocurrencies</w:t>
            </w:r>
          </w:p>
        </w:tc>
        <w:tc>
          <w:tcPr>
            <w:tcW w:w="0" w:type="auto"/>
          </w:tcPr>
          <w:p w14:paraId="04228D1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Improved portfolio returns via price prediction and optimization</w:t>
            </w:r>
          </w:p>
        </w:tc>
        <w:tc>
          <w:tcPr>
            <w:tcW w:w="0" w:type="auto"/>
          </w:tcPr>
          <w:p w14:paraId="3C8B96A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Monte Carlo simulation for risk-adjusted portfolio allocation</w:t>
            </w:r>
          </w:p>
        </w:tc>
        <w:tc>
          <w:tcPr>
            <w:tcW w:w="0" w:type="auto"/>
          </w:tcPr>
          <w:p w14:paraId="521F62B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Computationally intensive but scalable for multiple assets</w:t>
            </w:r>
          </w:p>
        </w:tc>
        <w:tc>
          <w:tcPr>
            <w:tcW w:w="0" w:type="auto"/>
          </w:tcPr>
          <w:p w14:paraId="191A6BA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Discusses portfolio optimization within fintech frameworks</w:t>
            </w:r>
          </w:p>
        </w:tc>
      </w:tr>
      <w:tr w:rsidR="007A6CB2" w:rsidRPr="009E0973" w14:paraId="2CC27D7B" w14:textId="77777777" w:rsidTr="0011434D">
        <w:tc>
          <w:tcPr>
            <w:tcW w:w="0" w:type="auto"/>
          </w:tcPr>
          <w:p w14:paraId="28772F7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(Srivastava &amp; Sikroria, 2024)</w:t>
            </w:r>
          </w:p>
        </w:tc>
        <w:tc>
          <w:tcPr>
            <w:tcW w:w="0" w:type="auto"/>
          </w:tcPr>
          <w:p w14:paraId="7F65E17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AI models including ML, DL, NLP for predictive accuracy and </w:t>
            </w:r>
            <w:r w:rsidRPr="009E0973">
              <w:rPr>
                <w:rFonts w:ascii="Times New Roman" w:hAnsi="Times New Roman" w:cs="Times New Roman"/>
              </w:rPr>
              <w:lastRenderedPageBreak/>
              <w:t>market efficiency</w:t>
            </w:r>
          </w:p>
        </w:tc>
        <w:tc>
          <w:tcPr>
            <w:tcW w:w="0" w:type="auto"/>
          </w:tcPr>
          <w:p w14:paraId="02888E1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AI improves trade execution and reduces transaction costs</w:t>
            </w:r>
          </w:p>
        </w:tc>
        <w:tc>
          <w:tcPr>
            <w:tcW w:w="0" w:type="auto"/>
          </w:tcPr>
          <w:p w14:paraId="4BC0EBB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Addresses risks of overfitting and data biases</w:t>
            </w:r>
          </w:p>
        </w:tc>
        <w:tc>
          <w:tcPr>
            <w:tcW w:w="0" w:type="auto"/>
          </w:tcPr>
          <w:p w14:paraId="43209F8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Enhances market liquidity and latency reduction</w:t>
            </w:r>
          </w:p>
        </w:tc>
        <w:tc>
          <w:tcPr>
            <w:tcW w:w="0" w:type="auto"/>
          </w:tcPr>
          <w:p w14:paraId="559413A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ethical and regulatory challenges in fintech</w:t>
            </w:r>
          </w:p>
        </w:tc>
      </w:tr>
      <w:tr w:rsidR="007A6CB2" w:rsidRPr="009E0973" w14:paraId="03FC490C" w14:textId="77777777" w:rsidTr="0011434D">
        <w:tc>
          <w:tcPr>
            <w:tcW w:w="0" w:type="auto"/>
          </w:tcPr>
          <w:p w14:paraId="3C5497A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w:t>
            </w:r>
            <w:r w:rsidRPr="007B08BF">
              <w:rPr>
                <w:rFonts w:ascii="Times New Roman" w:hAnsi="Times New Roman" w:cs="Times New Roman"/>
              </w:rPr>
              <w:t xml:space="preserve">Sruthi </w:t>
            </w:r>
            <w:r>
              <w:rPr>
                <w:rFonts w:ascii="Times New Roman" w:hAnsi="Times New Roman" w:cs="Times New Roman"/>
              </w:rPr>
              <w:t>&amp;</w:t>
            </w:r>
            <w:r w:rsidRPr="007B08BF">
              <w:rPr>
                <w:rFonts w:ascii="Times New Roman" w:hAnsi="Times New Roman" w:cs="Times New Roman"/>
              </w:rPr>
              <w:t xml:space="preserve"> Shahithabanu</w:t>
            </w:r>
            <w:r>
              <w:rPr>
                <w:rFonts w:ascii="Times New Roman" w:hAnsi="Times New Roman" w:cs="Times New Roman"/>
              </w:rPr>
              <w:t>,</w:t>
            </w:r>
            <w:r w:rsidRPr="009E0973">
              <w:rPr>
                <w:rFonts w:ascii="Times New Roman" w:hAnsi="Times New Roman" w:cs="Times New Roman"/>
              </w:rPr>
              <w:t xml:space="preserve"> 2024)</w:t>
            </w:r>
          </w:p>
        </w:tc>
        <w:tc>
          <w:tcPr>
            <w:tcW w:w="0" w:type="auto"/>
          </w:tcPr>
          <w:p w14:paraId="144B7FF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Diverse AI models including regression, neural networks, reinforcement learning</w:t>
            </w:r>
          </w:p>
        </w:tc>
        <w:tc>
          <w:tcPr>
            <w:tcW w:w="0" w:type="auto"/>
          </w:tcPr>
          <w:p w14:paraId="2F7928C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AI optimizes trading strategies and market trend analysis</w:t>
            </w:r>
          </w:p>
        </w:tc>
        <w:tc>
          <w:tcPr>
            <w:tcW w:w="0" w:type="auto"/>
          </w:tcPr>
          <w:p w14:paraId="561F4D4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Sentiment and volatility prediction improve risk control</w:t>
            </w:r>
          </w:p>
        </w:tc>
        <w:tc>
          <w:tcPr>
            <w:tcW w:w="0" w:type="auto"/>
          </w:tcPr>
          <w:p w14:paraId="09E3E8CC"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Integration of NLP for sentiment analysis</w:t>
            </w:r>
          </w:p>
        </w:tc>
        <w:tc>
          <w:tcPr>
            <w:tcW w:w="0" w:type="auto"/>
          </w:tcPr>
          <w:p w14:paraId="07668B5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Highlights AI’s role in decision-making and risk mitigation</w:t>
            </w:r>
          </w:p>
        </w:tc>
      </w:tr>
      <w:tr w:rsidR="007A6CB2" w:rsidRPr="009E0973" w14:paraId="24780142" w14:textId="77777777" w:rsidTr="0011434D">
        <w:tc>
          <w:tcPr>
            <w:tcW w:w="0" w:type="auto"/>
          </w:tcPr>
          <w:p w14:paraId="008B0CE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 2024)</w:t>
            </w:r>
          </w:p>
        </w:tc>
        <w:tc>
          <w:tcPr>
            <w:tcW w:w="0" w:type="auto"/>
          </w:tcPr>
          <w:p w14:paraId="717BC972"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Adaptive LSTM with swarm optimization for parameter tuning</w:t>
            </w:r>
          </w:p>
        </w:tc>
        <w:tc>
          <w:tcPr>
            <w:tcW w:w="0" w:type="auto"/>
          </w:tcPr>
          <w:p w14:paraId="34EC031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Balanced profit and risk with real-time adaptive trading</w:t>
            </w:r>
          </w:p>
        </w:tc>
        <w:tc>
          <w:tcPr>
            <w:tcW w:w="0" w:type="auto"/>
          </w:tcPr>
          <w:p w14:paraId="5D3F654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Self-adaptive algorithm controls risk dynamically</w:t>
            </w:r>
          </w:p>
        </w:tc>
        <w:tc>
          <w:tcPr>
            <w:tcW w:w="0" w:type="auto"/>
          </w:tcPr>
          <w:p w14:paraId="641DC33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Online self-adaptive trading algorithm suitable for real-time</w:t>
            </w:r>
          </w:p>
        </w:tc>
        <w:tc>
          <w:tcPr>
            <w:tcW w:w="0" w:type="auto"/>
          </w:tcPr>
          <w:p w14:paraId="64D6EE1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Focus on automated trading adaptability, less on compliance</w:t>
            </w:r>
          </w:p>
        </w:tc>
      </w:tr>
      <w:tr w:rsidR="007A6CB2" w:rsidRPr="009E0973" w14:paraId="34192C84" w14:textId="77777777" w:rsidTr="0011434D">
        <w:tc>
          <w:tcPr>
            <w:tcW w:w="0" w:type="auto"/>
          </w:tcPr>
          <w:p w14:paraId="2AD4F6D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(Tanwar &amp; Raboaca, 2022)</w:t>
            </w:r>
          </w:p>
        </w:tc>
        <w:tc>
          <w:tcPr>
            <w:tcW w:w="0" w:type="auto"/>
          </w:tcPr>
          <w:p w14:paraId="470ED3A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Stochastic neural networks combined with mean reversion strategies</w:t>
            </w:r>
          </w:p>
        </w:tc>
        <w:tc>
          <w:tcPr>
            <w:tcW w:w="0" w:type="auto"/>
          </w:tcPr>
          <w:p w14:paraId="1EDB5C7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Trading algorithms outperform buy-and-hold in stability and returns</w:t>
            </w:r>
          </w:p>
        </w:tc>
        <w:tc>
          <w:tcPr>
            <w:tcW w:w="0" w:type="auto"/>
          </w:tcPr>
          <w:p w14:paraId="6076A85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Incorporates social sentiment for risk-aware trading</w:t>
            </w:r>
          </w:p>
        </w:tc>
        <w:tc>
          <w:tcPr>
            <w:tcW w:w="0" w:type="auto"/>
          </w:tcPr>
          <w:p w14:paraId="4325793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Hybrid models capture market volatility effectively</w:t>
            </w:r>
          </w:p>
        </w:tc>
        <w:tc>
          <w:tcPr>
            <w:tcW w:w="0" w:type="auto"/>
          </w:tcPr>
          <w:p w14:paraId="0FA7D16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Advances neural network applications in fintech trading</w:t>
            </w:r>
          </w:p>
        </w:tc>
      </w:tr>
      <w:tr w:rsidR="007A6CB2" w:rsidRPr="009E0973" w14:paraId="7CCA2EE3" w14:textId="77777777" w:rsidTr="0011434D">
        <w:tc>
          <w:tcPr>
            <w:tcW w:w="0" w:type="auto"/>
          </w:tcPr>
          <w:p w14:paraId="44CDA47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(Toleti et al., 2024)</w:t>
            </w:r>
          </w:p>
        </w:tc>
        <w:tc>
          <w:tcPr>
            <w:tcW w:w="0" w:type="auto"/>
          </w:tcPr>
          <w:p w14:paraId="202B1AE9"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Fusion of LSTM, Bi-LSTM, ARIMA, Prophet, and HMM with 98% R2 score</w:t>
            </w:r>
          </w:p>
        </w:tc>
        <w:tc>
          <w:tcPr>
            <w:tcW w:w="0" w:type="auto"/>
          </w:tcPr>
          <w:p w14:paraId="30B4208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Robust BTC trading strategy with high accuracy and Sharpe Ratio</w:t>
            </w:r>
          </w:p>
        </w:tc>
        <w:tc>
          <w:tcPr>
            <w:tcW w:w="0" w:type="auto"/>
          </w:tcPr>
          <w:p w14:paraId="0950CA9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HMM enhances risk-aware forecasting</w:t>
            </w:r>
          </w:p>
        </w:tc>
        <w:tc>
          <w:tcPr>
            <w:tcW w:w="0" w:type="auto"/>
          </w:tcPr>
          <w:p w14:paraId="7B79AE4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Complex hybrid model with moderate efficiency</w:t>
            </w:r>
          </w:p>
        </w:tc>
        <w:tc>
          <w:tcPr>
            <w:tcW w:w="0" w:type="auto"/>
          </w:tcPr>
          <w:p w14:paraId="061F609E"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Limited explicit discussion on regulatory or ethical issues</w:t>
            </w:r>
          </w:p>
        </w:tc>
      </w:tr>
      <w:tr w:rsidR="007A6CB2" w:rsidRPr="009E0973" w14:paraId="0947DF6C" w14:textId="77777777" w:rsidTr="0011434D">
        <w:tc>
          <w:tcPr>
            <w:tcW w:w="0" w:type="auto"/>
          </w:tcPr>
          <w:p w14:paraId="7375C21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(Viéitez et al., 2024)</w:t>
            </w:r>
          </w:p>
        </w:tc>
        <w:tc>
          <w:tcPr>
            <w:tcW w:w="0" w:type="auto"/>
          </w:tcPr>
          <w:p w14:paraId="07A3972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GRU, LSTM, and SVM models with sentiment analysis for Ethereum</w:t>
            </w:r>
          </w:p>
        </w:tc>
        <w:tc>
          <w:tcPr>
            <w:tcW w:w="0" w:type="auto"/>
          </w:tcPr>
          <w:p w14:paraId="29EA0F2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Profit factor up to 5.16 with knowledge-based strategies</w:t>
            </w:r>
          </w:p>
        </w:tc>
        <w:tc>
          <w:tcPr>
            <w:tcW w:w="0" w:type="auto"/>
          </w:tcPr>
          <w:p w14:paraId="135330AB"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Sentiment analysis showed limited risk mitigation impact</w:t>
            </w:r>
          </w:p>
        </w:tc>
        <w:tc>
          <w:tcPr>
            <w:tcW w:w="0" w:type="auto"/>
          </w:tcPr>
          <w:p w14:paraId="797ED520"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Moderate computational demand with deep learning models</w:t>
            </w:r>
          </w:p>
        </w:tc>
        <w:tc>
          <w:tcPr>
            <w:tcW w:w="0" w:type="auto"/>
          </w:tcPr>
          <w:p w14:paraId="11C337FF"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Emphasizes knowledge-based investment, limited fintech integration</w:t>
            </w:r>
          </w:p>
        </w:tc>
      </w:tr>
      <w:tr w:rsidR="007A6CB2" w:rsidRPr="009E0973" w14:paraId="376295A1" w14:textId="77777777" w:rsidTr="0011434D">
        <w:tc>
          <w:tcPr>
            <w:tcW w:w="0" w:type="auto"/>
          </w:tcPr>
          <w:p w14:paraId="2552E50A"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(Żbikowski, 2016)</w:t>
            </w:r>
          </w:p>
        </w:tc>
        <w:tc>
          <w:tcPr>
            <w:tcW w:w="0" w:type="auto"/>
          </w:tcPr>
          <w:p w14:paraId="782969F3"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Comparison of technical analysis and </w:t>
            </w:r>
            <w:r w:rsidRPr="009E0973">
              <w:rPr>
                <w:rFonts w:ascii="Times New Roman" w:hAnsi="Times New Roman" w:cs="Times New Roman"/>
              </w:rPr>
              <w:lastRenderedPageBreak/>
              <w:t>ML for Bitcoin trading</w:t>
            </w:r>
          </w:p>
        </w:tc>
        <w:tc>
          <w:tcPr>
            <w:tcW w:w="0" w:type="auto"/>
          </w:tcPr>
          <w:p w14:paraId="67D28DC1"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ML models show promising performance over simple </w:t>
            </w:r>
            <w:r w:rsidRPr="009E0973">
              <w:rPr>
                <w:rFonts w:ascii="Times New Roman" w:hAnsi="Times New Roman" w:cs="Times New Roman"/>
              </w:rPr>
              <w:lastRenderedPageBreak/>
              <w:t>technical methods</w:t>
            </w:r>
          </w:p>
        </w:tc>
        <w:tc>
          <w:tcPr>
            <w:tcW w:w="0" w:type="auto"/>
          </w:tcPr>
          <w:p w14:paraId="1395165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 xml:space="preserve">Early investigation into ML for </w:t>
            </w:r>
            <w:r w:rsidRPr="009E0973">
              <w:rPr>
                <w:rFonts w:ascii="Times New Roman" w:hAnsi="Times New Roman" w:cs="Times New Roman"/>
              </w:rPr>
              <w:lastRenderedPageBreak/>
              <w:t>Bitcoin trading strategies</w:t>
            </w:r>
          </w:p>
        </w:tc>
        <w:tc>
          <w:tcPr>
            <w:tcW w:w="0" w:type="auto"/>
          </w:tcPr>
          <w:p w14:paraId="59867FF6"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Computationally feasible with room for improvement</w:t>
            </w:r>
          </w:p>
        </w:tc>
        <w:tc>
          <w:tcPr>
            <w:tcW w:w="0" w:type="auto"/>
          </w:tcPr>
          <w:p w14:paraId="17E7EC5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 xml:space="preserve">Pioneering work in ML application to </w:t>
            </w:r>
            <w:r w:rsidRPr="009E0973">
              <w:rPr>
                <w:rFonts w:ascii="Times New Roman" w:hAnsi="Times New Roman" w:cs="Times New Roman"/>
              </w:rPr>
              <w:lastRenderedPageBreak/>
              <w:t>cryptocurrency trading</w:t>
            </w:r>
          </w:p>
        </w:tc>
      </w:tr>
      <w:tr w:rsidR="007A6CB2" w:rsidRPr="009E0973" w14:paraId="6638D2B3" w14:textId="77777777" w:rsidTr="0011434D">
        <w:tc>
          <w:tcPr>
            <w:tcW w:w="0" w:type="auto"/>
          </w:tcPr>
          <w:p w14:paraId="5C131B07"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lastRenderedPageBreak/>
              <w:t>(Zhao et al., 2024)</w:t>
            </w:r>
          </w:p>
        </w:tc>
        <w:tc>
          <w:tcPr>
            <w:tcW w:w="0" w:type="auto"/>
          </w:tcPr>
          <w:p w14:paraId="6400B7B4"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Deep reinforcement learning with LSTM for trend forecasting and risk</w:t>
            </w:r>
          </w:p>
        </w:tc>
        <w:tc>
          <w:tcPr>
            <w:tcW w:w="0" w:type="auto"/>
          </w:tcPr>
          <w:p w14:paraId="0A945E45"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High practical value in price trend prediction and risk management</w:t>
            </w:r>
          </w:p>
        </w:tc>
        <w:tc>
          <w:tcPr>
            <w:tcW w:w="0" w:type="auto"/>
          </w:tcPr>
          <w:p w14:paraId="78F1236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Combines technical indicators and sentiment for risk control</w:t>
            </w:r>
          </w:p>
        </w:tc>
        <w:tc>
          <w:tcPr>
            <w:tcW w:w="0" w:type="auto"/>
          </w:tcPr>
          <w:p w14:paraId="55E90CCD"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Integrated DRL and ML models optimize trading</w:t>
            </w:r>
          </w:p>
        </w:tc>
        <w:tc>
          <w:tcPr>
            <w:tcW w:w="0" w:type="auto"/>
          </w:tcPr>
          <w:p w14:paraId="689CE638" w14:textId="77777777" w:rsidR="007A6CB2" w:rsidRPr="009E0973" w:rsidRDefault="007A6CB2" w:rsidP="0011434D">
            <w:pPr>
              <w:rPr>
                <w:rFonts w:ascii="Times New Roman" w:hAnsi="Times New Roman" w:cs="Times New Roman"/>
              </w:rPr>
            </w:pPr>
            <w:r w:rsidRPr="009E0973">
              <w:rPr>
                <w:rFonts w:ascii="Times New Roman" w:hAnsi="Times New Roman" w:cs="Times New Roman"/>
              </w:rPr>
              <w:t>Suggests future improvements for fintech adaptability</w:t>
            </w:r>
          </w:p>
        </w:tc>
      </w:tr>
    </w:tbl>
    <w:p w14:paraId="2CF80D7F" w14:textId="77777777" w:rsidR="007A6CB2" w:rsidRPr="00FB2563" w:rsidRDefault="007A6CB2" w:rsidP="007A6CB2">
      <w:pPr>
        <w:spacing w:after="120"/>
        <w:jc w:val="both"/>
        <w:rPr>
          <w:rFonts w:ascii="Times New Roman" w:hAnsi="Times New Roman" w:cs="Times New Roman"/>
          <w:i/>
          <w:iCs/>
        </w:rPr>
      </w:pPr>
      <w:r w:rsidRPr="00FB2563">
        <w:rPr>
          <w:rStyle w:val="Kiemels2"/>
          <w:rFonts w:ascii="Times New Roman" w:hAnsi="Times New Roman" w:cs="Times New Roman"/>
          <w:b w:val="0"/>
          <w:bCs w:val="0"/>
          <w:i/>
          <w:iCs/>
        </w:rPr>
        <w:t>Source:</w:t>
      </w:r>
      <w:r w:rsidRPr="00FB2563">
        <w:rPr>
          <w:rFonts w:ascii="Times New Roman" w:hAnsi="Times New Roman" w:cs="Times New Roman"/>
          <w:i/>
          <w:iCs/>
        </w:rPr>
        <w:t xml:space="preserve"> Author’s own editing based on reviewed articles</w:t>
      </w:r>
    </w:p>
    <w:p w14:paraId="048217DC" w14:textId="3C96CB9F" w:rsidR="001C19EA" w:rsidRDefault="001C19EA">
      <w:r>
        <w:br w:type="page"/>
      </w:r>
    </w:p>
    <w:p w14:paraId="000E5EE5" w14:textId="00C063B3" w:rsidR="007A6CB2" w:rsidRPr="00162B6A" w:rsidRDefault="001C19EA" w:rsidP="00162B6A">
      <w:pPr>
        <w:spacing w:before="100" w:beforeAutospacing="1" w:after="100" w:afterAutospacing="1" w:line="240" w:lineRule="auto"/>
        <w:jc w:val="both"/>
        <w:outlineLvl w:val="1"/>
        <w:rPr>
          <w:rFonts w:ascii="Times New Roman" w:eastAsia="Times New Roman" w:hAnsi="Times New Roman" w:cs="Times New Roman"/>
          <w:b/>
          <w:bCs/>
          <w:kern w:val="0"/>
          <w:sz w:val="32"/>
          <w:szCs w:val="32"/>
          <w:lang w:eastAsia="hu-HU"/>
          <w14:ligatures w14:val="none"/>
        </w:rPr>
      </w:pPr>
      <w:r w:rsidRPr="00162B6A">
        <w:rPr>
          <w:rFonts w:ascii="Times New Roman" w:eastAsia="Times New Roman" w:hAnsi="Times New Roman" w:cs="Times New Roman"/>
          <w:b/>
          <w:bCs/>
          <w:kern w:val="0"/>
          <w:sz w:val="32"/>
          <w:szCs w:val="32"/>
          <w:lang w:eastAsia="hu-HU"/>
          <w14:ligatures w14:val="none"/>
        </w:rPr>
        <w:lastRenderedPageBreak/>
        <w:t>A</w:t>
      </w:r>
      <w:r w:rsidR="00162B6A">
        <w:rPr>
          <w:rFonts w:ascii="Times New Roman" w:eastAsia="Times New Roman" w:hAnsi="Times New Roman" w:cs="Times New Roman"/>
          <w:b/>
          <w:bCs/>
          <w:kern w:val="0"/>
          <w:sz w:val="32"/>
          <w:szCs w:val="32"/>
          <w:lang w:eastAsia="hu-HU"/>
          <w14:ligatures w14:val="none"/>
        </w:rPr>
        <w:t>ppendix</w:t>
      </w:r>
      <w:r w:rsidRPr="00162B6A">
        <w:rPr>
          <w:rFonts w:ascii="Times New Roman" w:eastAsia="Times New Roman" w:hAnsi="Times New Roman" w:cs="Times New Roman"/>
          <w:b/>
          <w:bCs/>
          <w:kern w:val="0"/>
          <w:sz w:val="32"/>
          <w:szCs w:val="32"/>
          <w:lang w:eastAsia="hu-HU"/>
          <w14:ligatures w14:val="none"/>
        </w:rPr>
        <w:t xml:space="preserve"> B</w:t>
      </w:r>
      <w:r w:rsidR="0011434D" w:rsidRPr="00162B6A">
        <w:rPr>
          <w:rFonts w:ascii="Times New Roman" w:eastAsia="Times New Roman" w:hAnsi="Times New Roman" w:cs="Times New Roman"/>
          <w:b/>
          <w:bCs/>
          <w:kern w:val="0"/>
          <w:sz w:val="32"/>
          <w:szCs w:val="32"/>
          <w:lang w:eastAsia="hu-HU"/>
          <w14:ligatures w14:val="none"/>
        </w:rPr>
        <w:t>: Temporal Evolution</w:t>
      </w:r>
    </w:p>
    <w:p w14:paraId="30080E85" w14:textId="2BA8FF28" w:rsidR="0011434D" w:rsidRPr="00162B6A" w:rsidRDefault="00162B6A" w:rsidP="00162B6A">
      <w:pPr>
        <w:spacing w:after="120" w:line="240" w:lineRule="auto"/>
        <w:jc w:val="both"/>
        <w:outlineLvl w:val="1"/>
        <w:rPr>
          <w:rFonts w:ascii="Times New Roman" w:eastAsia="Times New Roman" w:hAnsi="Times New Roman" w:cs="Times New Roman"/>
          <w:kern w:val="0"/>
          <w:lang w:eastAsia="hu-HU"/>
          <w14:ligatures w14:val="none"/>
        </w:rPr>
      </w:pPr>
      <w:r w:rsidRPr="00162B6A">
        <w:rPr>
          <w:rFonts w:ascii="Times New Roman" w:eastAsia="Times New Roman" w:hAnsi="Times New Roman" w:cs="Times New Roman"/>
          <w:kern w:val="0"/>
          <w:lang w:eastAsia="hu-HU"/>
          <w14:ligatures w14:val="none"/>
        </w:rPr>
        <w:t>Appendix B presents the detailed chronological progression of cryptocurrency trading models. While the shortened Table 2 in the main text summarises the key research directions, Appendix B provides the full contextual narrative, methodological shifts, and illustrative examples associated with these trends. Its purpose is to offer a clear and interpretable account of how the field evolved between 2016 and 2025, and how the application of machine learning methods has changed over time, thereby supporting the analytical framework presented in the main text.</w:t>
      </w:r>
    </w:p>
    <w:p w14:paraId="35DD83F0" w14:textId="77777777" w:rsidR="001C19EA" w:rsidRDefault="001C19EA" w:rsidP="001C19EA">
      <w:pPr>
        <w:spacing w:after="120"/>
        <w:jc w:val="both"/>
        <w:rPr>
          <w:rFonts w:ascii="Times New Roman" w:hAnsi="Times New Roman" w:cs="Times New Roman"/>
        </w:rPr>
      </w:pPr>
      <w:r w:rsidRPr="00BF1AAB">
        <w:rPr>
          <w:rFonts w:ascii="Times New Roman" w:hAnsi="Times New Roman" w:cs="Times New Roman"/>
          <w:b/>
          <w:bCs/>
        </w:rPr>
        <w:t xml:space="preserve">Table </w:t>
      </w:r>
      <w:r>
        <w:rPr>
          <w:rFonts w:ascii="Times New Roman" w:hAnsi="Times New Roman" w:cs="Times New Roman"/>
          <w:b/>
          <w:bCs/>
        </w:rPr>
        <w:t>2</w:t>
      </w:r>
      <w:r w:rsidRPr="00BF1AAB">
        <w:rPr>
          <w:rFonts w:ascii="Times New Roman" w:hAnsi="Times New Roman" w:cs="Times New Roman"/>
          <w:b/>
          <w:bCs/>
        </w:rPr>
        <w:t>.</w:t>
      </w:r>
      <w:r w:rsidRPr="00BF1AAB">
        <w:rPr>
          <w:rFonts w:ascii="Times New Roman" w:hAnsi="Times New Roman" w:cs="Times New Roman"/>
        </w:rPr>
        <w:t xml:space="preserve"> Chronological Evolution of ML Applications in Cryptocurrency Trading (2016–2025)</w:t>
      </w:r>
    </w:p>
    <w:tbl>
      <w:tblPr>
        <w:tblW w:w="0" w:type="auto"/>
        <w:tblBorders>
          <w:top w:val="single" w:sz="12" w:space="0" w:color="auto"/>
          <w:bottom w:val="single" w:sz="12" w:space="0" w:color="auto"/>
          <w:insideH w:val="single" w:sz="4" w:space="0" w:color="auto"/>
        </w:tblBorders>
        <w:tblCellMar>
          <w:left w:w="10" w:type="dxa"/>
          <w:right w:w="10" w:type="dxa"/>
        </w:tblCellMar>
        <w:tblLook w:val="04A0" w:firstRow="1" w:lastRow="0" w:firstColumn="1" w:lastColumn="0" w:noHBand="0" w:noVBand="1"/>
      </w:tblPr>
      <w:tblGrid>
        <w:gridCol w:w="661"/>
        <w:gridCol w:w="2447"/>
        <w:gridCol w:w="5964"/>
      </w:tblGrid>
      <w:tr w:rsidR="001C19EA" w:rsidRPr="00BF1AAB" w14:paraId="135F3462" w14:textId="77777777" w:rsidTr="0011434D">
        <w:tc>
          <w:tcPr>
            <w:tcW w:w="0" w:type="auto"/>
            <w:tcBorders>
              <w:top w:val="single" w:sz="12" w:space="0" w:color="auto"/>
              <w:bottom w:val="single" w:sz="12" w:space="0" w:color="auto"/>
            </w:tcBorders>
          </w:tcPr>
          <w:p w14:paraId="0E1B5393" w14:textId="77777777" w:rsidR="001C19EA" w:rsidRPr="00BF1AAB" w:rsidRDefault="001C19EA" w:rsidP="0011434D">
            <w:pPr>
              <w:rPr>
                <w:rFonts w:ascii="Times New Roman" w:hAnsi="Times New Roman" w:cs="Times New Roman"/>
                <w:b/>
                <w:bCs/>
              </w:rPr>
            </w:pPr>
            <w:r w:rsidRPr="00BF1AAB">
              <w:rPr>
                <w:rFonts w:ascii="Times New Roman" w:hAnsi="Times New Roman" w:cs="Times New Roman"/>
                <w:b/>
                <w:bCs/>
              </w:rPr>
              <w:t>Year</w:t>
            </w:r>
            <w:r>
              <w:rPr>
                <w:rFonts w:ascii="Times New Roman" w:hAnsi="Times New Roman" w:cs="Times New Roman"/>
                <w:b/>
                <w:bCs/>
              </w:rPr>
              <w:t>s</w:t>
            </w:r>
            <w:r w:rsidRPr="00BF1AAB">
              <w:rPr>
                <w:rFonts w:ascii="Times New Roman" w:hAnsi="Times New Roman" w:cs="Times New Roman"/>
                <w:b/>
                <w:bCs/>
              </w:rPr>
              <w:t xml:space="preserve"> </w:t>
            </w:r>
          </w:p>
        </w:tc>
        <w:tc>
          <w:tcPr>
            <w:tcW w:w="0" w:type="auto"/>
            <w:tcBorders>
              <w:top w:val="single" w:sz="12" w:space="0" w:color="auto"/>
              <w:bottom w:val="single" w:sz="12" w:space="0" w:color="auto"/>
            </w:tcBorders>
          </w:tcPr>
          <w:p w14:paraId="4961E985" w14:textId="77777777" w:rsidR="001C19EA" w:rsidRPr="00BF1AAB" w:rsidRDefault="001C19EA" w:rsidP="0011434D">
            <w:pPr>
              <w:rPr>
                <w:rFonts w:ascii="Times New Roman" w:hAnsi="Times New Roman" w:cs="Times New Roman"/>
                <w:b/>
                <w:bCs/>
              </w:rPr>
            </w:pPr>
            <w:r w:rsidRPr="00BF1AAB">
              <w:rPr>
                <w:rFonts w:ascii="Times New Roman" w:hAnsi="Times New Roman" w:cs="Times New Roman"/>
                <w:b/>
                <w:bCs/>
              </w:rPr>
              <w:t>Research Direction</w:t>
            </w:r>
          </w:p>
        </w:tc>
        <w:tc>
          <w:tcPr>
            <w:tcW w:w="0" w:type="auto"/>
            <w:tcBorders>
              <w:top w:val="single" w:sz="12" w:space="0" w:color="auto"/>
              <w:bottom w:val="single" w:sz="12" w:space="0" w:color="auto"/>
            </w:tcBorders>
          </w:tcPr>
          <w:p w14:paraId="4C487938" w14:textId="77777777" w:rsidR="001C19EA" w:rsidRPr="00BF1AAB" w:rsidRDefault="001C19EA" w:rsidP="0011434D">
            <w:pPr>
              <w:rPr>
                <w:rFonts w:ascii="Times New Roman" w:hAnsi="Times New Roman" w:cs="Times New Roman"/>
                <w:b/>
                <w:bCs/>
              </w:rPr>
            </w:pPr>
            <w:r w:rsidRPr="00BF1AAB">
              <w:rPr>
                <w:rFonts w:ascii="Times New Roman" w:hAnsi="Times New Roman" w:cs="Times New Roman"/>
                <w:b/>
                <w:bCs/>
              </w:rPr>
              <w:t>Description</w:t>
            </w:r>
          </w:p>
        </w:tc>
      </w:tr>
      <w:tr w:rsidR="001C19EA" w:rsidRPr="00BF1AAB" w14:paraId="0E1276FA" w14:textId="77777777" w:rsidTr="0011434D">
        <w:tc>
          <w:tcPr>
            <w:tcW w:w="0" w:type="auto"/>
            <w:tcBorders>
              <w:top w:val="single" w:sz="12" w:space="0" w:color="auto"/>
            </w:tcBorders>
          </w:tcPr>
          <w:p w14:paraId="466961AD"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2016</w:t>
            </w:r>
            <w:r>
              <w:rPr>
                <w:rFonts w:ascii="Times New Roman" w:hAnsi="Times New Roman" w:cs="Times New Roman"/>
              </w:rPr>
              <w:t>-</w:t>
            </w:r>
            <w:r w:rsidRPr="00BF1AAB">
              <w:rPr>
                <w:rFonts w:ascii="Times New Roman" w:hAnsi="Times New Roman" w:cs="Times New Roman"/>
              </w:rPr>
              <w:t>2018</w:t>
            </w:r>
          </w:p>
        </w:tc>
        <w:tc>
          <w:tcPr>
            <w:tcW w:w="0" w:type="auto"/>
            <w:tcBorders>
              <w:top w:val="single" w:sz="12" w:space="0" w:color="auto"/>
            </w:tcBorders>
          </w:tcPr>
          <w:p w14:paraId="53D50E07"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Early Machine Learning Applications in Cryptocurrency Trading</w:t>
            </w:r>
          </w:p>
        </w:tc>
        <w:tc>
          <w:tcPr>
            <w:tcW w:w="0" w:type="auto"/>
            <w:tcBorders>
              <w:top w:val="single" w:sz="12" w:space="0" w:color="auto"/>
            </w:tcBorders>
          </w:tcPr>
          <w:p w14:paraId="2F87F6C4"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Initial studies applied fundamental machine learning techniques such as support vector machines and neural networks for price prediction and trading signal generation. Research focused on exploiting market inefficiencies and developing algorithmic trading strategies that outperform traditional benchmarks, with preliminary insights into market sentiment and social media data integration.</w:t>
            </w:r>
          </w:p>
        </w:tc>
      </w:tr>
      <w:tr w:rsidR="001C19EA" w:rsidRPr="00BF1AAB" w14:paraId="7241D99E" w14:textId="77777777" w:rsidTr="0011434D">
        <w:tc>
          <w:tcPr>
            <w:tcW w:w="0" w:type="auto"/>
          </w:tcPr>
          <w:p w14:paraId="756B0A04"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2019</w:t>
            </w:r>
            <w:r>
              <w:rPr>
                <w:rFonts w:ascii="Times New Roman" w:hAnsi="Times New Roman" w:cs="Times New Roman"/>
              </w:rPr>
              <w:t>-</w:t>
            </w:r>
            <w:r w:rsidRPr="00BF1AAB">
              <w:rPr>
                <w:rFonts w:ascii="Times New Roman" w:hAnsi="Times New Roman" w:cs="Times New Roman"/>
              </w:rPr>
              <w:t>2020</w:t>
            </w:r>
          </w:p>
        </w:tc>
        <w:tc>
          <w:tcPr>
            <w:tcW w:w="0" w:type="auto"/>
          </w:tcPr>
          <w:p w14:paraId="266C3A4F"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Emergence of Deep Reinforcement Learning and Portfolio Optimization</w:t>
            </w:r>
          </w:p>
        </w:tc>
        <w:tc>
          <w:tcPr>
            <w:tcW w:w="0" w:type="auto"/>
          </w:tcPr>
          <w:p w14:paraId="2105B01C"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Research introduced deep reinforcement learning methods and advanced portfolio management frameworks to enhance profitability and risk-adjusted returns in cryptocurrency trading. Studies explored Q-learning variants and actor-critic models, integrating technical indicators and sentiment analysis to improve trading decisions and strategy robustness.</w:t>
            </w:r>
          </w:p>
        </w:tc>
      </w:tr>
      <w:tr w:rsidR="001C19EA" w:rsidRPr="00BF1AAB" w14:paraId="4A5C85AB" w14:textId="77777777" w:rsidTr="0011434D">
        <w:tc>
          <w:tcPr>
            <w:tcW w:w="0" w:type="auto"/>
          </w:tcPr>
          <w:p w14:paraId="63466C1F"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2021</w:t>
            </w:r>
            <w:r>
              <w:rPr>
                <w:rFonts w:ascii="Times New Roman" w:hAnsi="Times New Roman" w:cs="Times New Roman"/>
              </w:rPr>
              <w:t>-</w:t>
            </w:r>
            <w:r w:rsidRPr="00BF1AAB">
              <w:rPr>
                <w:rFonts w:ascii="Times New Roman" w:hAnsi="Times New Roman" w:cs="Times New Roman"/>
              </w:rPr>
              <w:t>2022</w:t>
            </w:r>
          </w:p>
        </w:tc>
        <w:tc>
          <w:tcPr>
            <w:tcW w:w="0" w:type="auto"/>
          </w:tcPr>
          <w:p w14:paraId="1FAEC67E"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Advancement of Hybrid and Deep Learning Models for Automated Trading</w:t>
            </w:r>
          </w:p>
        </w:tc>
        <w:tc>
          <w:tcPr>
            <w:tcW w:w="0" w:type="auto"/>
          </w:tcPr>
          <w:p w14:paraId="0F019277"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Focus shifted toward combining deep learning architectures like LSTM, CNN, and self-attention networks with reinforcement learning to develop adaptive and high-frequency trading algorithms. Emphasis was placed on improving predictive accuracy, managing market risks, and leveraging multi-factor models alongside social sentiment for enhanced trading performance.</w:t>
            </w:r>
          </w:p>
        </w:tc>
      </w:tr>
      <w:tr w:rsidR="001C19EA" w:rsidRPr="00BF1AAB" w14:paraId="3CBC8543" w14:textId="77777777" w:rsidTr="0011434D">
        <w:tc>
          <w:tcPr>
            <w:tcW w:w="0" w:type="auto"/>
          </w:tcPr>
          <w:p w14:paraId="5A80D1ED"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2023</w:t>
            </w:r>
          </w:p>
        </w:tc>
        <w:tc>
          <w:tcPr>
            <w:tcW w:w="0" w:type="auto"/>
          </w:tcPr>
          <w:p w14:paraId="1B026504"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Integration of Causal Analysis, Ethical Frameworks, and Sentiment-Aware Models</w:t>
            </w:r>
          </w:p>
        </w:tc>
        <w:tc>
          <w:tcPr>
            <w:tcW w:w="0" w:type="auto"/>
          </w:tcPr>
          <w:p w14:paraId="45E9FDDB"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Research expanded to include causal analysis frameworks to empower reinforcement learning agents and the ethical implications of AI and ML use in cryptocurrency trading. Sentiment-aware deep reinforcement learning models and safety mechanisms were proposed to mitigate risk and improve decision-making under volatile market conditions. Ethical considerations and regulatory compliance became central themes alongside technical innovations.</w:t>
            </w:r>
          </w:p>
        </w:tc>
      </w:tr>
      <w:tr w:rsidR="001C19EA" w:rsidRPr="00BF1AAB" w14:paraId="2AD48F96" w14:textId="77777777" w:rsidTr="0011434D">
        <w:tc>
          <w:tcPr>
            <w:tcW w:w="0" w:type="auto"/>
          </w:tcPr>
          <w:p w14:paraId="275138DA"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lastRenderedPageBreak/>
              <w:t>2024</w:t>
            </w:r>
          </w:p>
        </w:tc>
        <w:tc>
          <w:tcPr>
            <w:tcW w:w="0" w:type="auto"/>
          </w:tcPr>
          <w:p w14:paraId="71FED10B"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Optimization of Machine Learning Frameworks and Fintech Innovations</w:t>
            </w:r>
          </w:p>
        </w:tc>
        <w:tc>
          <w:tcPr>
            <w:tcW w:w="0" w:type="auto"/>
          </w:tcPr>
          <w:p w14:paraId="57A688A2"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Studies emphasized the optimization of genetic algorithms, hybrid models, and multi-agent reinforcement learning approaches to address market volatility and arbitrage opportunities. The integration of smart contracts and blockchain oracles with ML models facilitated transparent and automated portfolio management. Research also benchmarked different ML algorithms for their effectiveness in volatility prediction, risk adjustment, and profitability across diverse cryptocurrencies.</w:t>
            </w:r>
          </w:p>
        </w:tc>
      </w:tr>
      <w:tr w:rsidR="001C19EA" w:rsidRPr="00BF1AAB" w14:paraId="03448427" w14:textId="77777777" w:rsidTr="0011434D">
        <w:tc>
          <w:tcPr>
            <w:tcW w:w="0" w:type="auto"/>
          </w:tcPr>
          <w:p w14:paraId="37953413"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2025</w:t>
            </w:r>
          </w:p>
        </w:tc>
        <w:tc>
          <w:tcPr>
            <w:tcW w:w="0" w:type="auto"/>
          </w:tcPr>
          <w:p w14:paraId="71FB9AC9"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Deployment of Advanced ML Systems in Real-World Trading Environments</w:t>
            </w:r>
          </w:p>
        </w:tc>
        <w:tc>
          <w:tcPr>
            <w:tcW w:w="0" w:type="auto"/>
          </w:tcPr>
          <w:p w14:paraId="5C6E01B6" w14:textId="77777777" w:rsidR="001C19EA" w:rsidRPr="00BF1AAB" w:rsidRDefault="001C19EA" w:rsidP="0011434D">
            <w:pPr>
              <w:rPr>
                <w:rFonts w:ascii="Times New Roman" w:hAnsi="Times New Roman" w:cs="Times New Roman"/>
              </w:rPr>
            </w:pPr>
            <w:r w:rsidRPr="00BF1AAB">
              <w:rPr>
                <w:rFonts w:ascii="Times New Roman" w:hAnsi="Times New Roman" w:cs="Times New Roman"/>
              </w:rPr>
              <w:t xml:space="preserve">The latest research demonstrated </w:t>
            </w:r>
            <w:r>
              <w:rPr>
                <w:rFonts w:ascii="Times New Roman" w:hAnsi="Times New Roman" w:cs="Times New Roman"/>
              </w:rPr>
              <w:t xml:space="preserve">that </w:t>
            </w:r>
            <w:r w:rsidRPr="00BF1AAB">
              <w:rPr>
                <w:rFonts w:ascii="Times New Roman" w:hAnsi="Times New Roman" w:cs="Times New Roman"/>
              </w:rPr>
              <w:t>the deployment of ML-powered decentralized applications and trading bots achiev</w:t>
            </w:r>
            <w:r>
              <w:rPr>
                <w:rFonts w:ascii="Times New Roman" w:hAnsi="Times New Roman" w:cs="Times New Roman"/>
              </w:rPr>
              <w:t>es</w:t>
            </w:r>
            <w:r w:rsidRPr="00BF1AAB">
              <w:rPr>
                <w:rFonts w:ascii="Times New Roman" w:hAnsi="Times New Roman" w:cs="Times New Roman"/>
              </w:rPr>
              <w:t xml:space="preserve"> substantial returns on investment. Emphasis was placed on practical implementations of LSTM, gradient boosting, and reinforcement learning models within secure and trust-free fintech infrastructures, highlighting scalability, transparency, and adaptability in real-time cryptocurrency trading.</w:t>
            </w:r>
          </w:p>
        </w:tc>
      </w:tr>
    </w:tbl>
    <w:p w14:paraId="768E8842" w14:textId="77777777" w:rsidR="001C19EA" w:rsidRPr="0008207C" w:rsidRDefault="001C19EA" w:rsidP="001C19EA">
      <w:pPr>
        <w:spacing w:after="120"/>
        <w:jc w:val="both"/>
        <w:rPr>
          <w:rFonts w:ascii="Times New Roman" w:hAnsi="Times New Roman" w:cs="Times New Roman"/>
        </w:rPr>
      </w:pPr>
      <w:r w:rsidRPr="0008207C">
        <w:rPr>
          <w:rStyle w:val="Kiemels2"/>
          <w:rFonts w:ascii="Times New Roman" w:hAnsi="Times New Roman" w:cs="Times New Roman"/>
          <w:b w:val="0"/>
          <w:bCs w:val="0"/>
        </w:rPr>
        <w:t>Source:</w:t>
      </w:r>
      <w:r w:rsidRPr="0008207C">
        <w:rPr>
          <w:rFonts w:ascii="Times New Roman" w:hAnsi="Times New Roman" w:cs="Times New Roman"/>
        </w:rPr>
        <w:t xml:space="preserve"> Author’s own editing based on </w:t>
      </w:r>
      <w:r>
        <w:rPr>
          <w:rFonts w:ascii="Times New Roman" w:hAnsi="Times New Roman" w:cs="Times New Roman"/>
        </w:rPr>
        <w:t>reviewed articles</w:t>
      </w:r>
    </w:p>
    <w:p w14:paraId="60A505D4" w14:textId="554CB85F" w:rsidR="002E4C3C" w:rsidRDefault="002E4C3C">
      <w:r>
        <w:br w:type="page"/>
      </w:r>
    </w:p>
    <w:p w14:paraId="7B49E6DB" w14:textId="176B6531" w:rsidR="001C19EA" w:rsidRPr="00162B6A" w:rsidRDefault="002E4C3C" w:rsidP="00162B6A">
      <w:pPr>
        <w:spacing w:before="100" w:beforeAutospacing="1" w:after="100" w:afterAutospacing="1" w:line="240" w:lineRule="auto"/>
        <w:jc w:val="both"/>
        <w:outlineLvl w:val="1"/>
        <w:rPr>
          <w:rFonts w:ascii="Times New Roman" w:eastAsia="Times New Roman" w:hAnsi="Times New Roman" w:cs="Times New Roman"/>
          <w:b/>
          <w:bCs/>
          <w:kern w:val="0"/>
          <w:sz w:val="32"/>
          <w:szCs w:val="32"/>
          <w:lang w:eastAsia="hu-HU"/>
          <w14:ligatures w14:val="none"/>
        </w:rPr>
      </w:pPr>
      <w:r w:rsidRPr="00162B6A">
        <w:rPr>
          <w:rFonts w:ascii="Times New Roman" w:eastAsia="Times New Roman" w:hAnsi="Times New Roman" w:cs="Times New Roman"/>
          <w:b/>
          <w:bCs/>
          <w:kern w:val="0"/>
          <w:sz w:val="32"/>
          <w:szCs w:val="32"/>
          <w:lang w:eastAsia="hu-HU"/>
          <w14:ligatures w14:val="none"/>
        </w:rPr>
        <w:lastRenderedPageBreak/>
        <w:t>A</w:t>
      </w:r>
      <w:r w:rsidR="00162B6A">
        <w:rPr>
          <w:rFonts w:ascii="Times New Roman" w:eastAsia="Times New Roman" w:hAnsi="Times New Roman" w:cs="Times New Roman"/>
          <w:b/>
          <w:bCs/>
          <w:kern w:val="0"/>
          <w:sz w:val="32"/>
          <w:szCs w:val="32"/>
          <w:lang w:eastAsia="hu-HU"/>
          <w14:ligatures w14:val="none"/>
        </w:rPr>
        <w:t>ppendix</w:t>
      </w:r>
      <w:r w:rsidRPr="00162B6A">
        <w:rPr>
          <w:rFonts w:ascii="Times New Roman" w:eastAsia="Times New Roman" w:hAnsi="Times New Roman" w:cs="Times New Roman"/>
          <w:b/>
          <w:bCs/>
          <w:kern w:val="0"/>
          <w:sz w:val="32"/>
          <w:szCs w:val="32"/>
          <w:lang w:eastAsia="hu-HU"/>
          <w14:ligatures w14:val="none"/>
        </w:rPr>
        <w:t xml:space="preserve"> C</w:t>
      </w:r>
      <w:r w:rsidR="0011434D" w:rsidRPr="00162B6A">
        <w:rPr>
          <w:rFonts w:ascii="Times New Roman" w:eastAsia="Times New Roman" w:hAnsi="Times New Roman" w:cs="Times New Roman"/>
          <w:b/>
          <w:bCs/>
          <w:kern w:val="0"/>
          <w:sz w:val="32"/>
          <w:szCs w:val="32"/>
          <w:lang w:eastAsia="hu-HU"/>
          <w14:ligatures w14:val="none"/>
        </w:rPr>
        <w:t>: Extended Thematic Table</w:t>
      </w:r>
    </w:p>
    <w:p w14:paraId="3F138834" w14:textId="6D45FC85" w:rsidR="0011434D" w:rsidRPr="00162B6A" w:rsidRDefault="00162B6A" w:rsidP="00162B6A">
      <w:pPr>
        <w:spacing w:after="120" w:line="240" w:lineRule="auto"/>
        <w:jc w:val="both"/>
        <w:outlineLvl w:val="1"/>
        <w:rPr>
          <w:rFonts w:ascii="Times New Roman" w:eastAsia="Times New Roman" w:hAnsi="Times New Roman" w:cs="Times New Roman"/>
          <w:kern w:val="0"/>
          <w:lang w:eastAsia="hu-HU"/>
          <w14:ligatures w14:val="none"/>
        </w:rPr>
      </w:pPr>
      <w:r w:rsidRPr="00162B6A">
        <w:rPr>
          <w:rFonts w:ascii="Times New Roman" w:eastAsia="Times New Roman" w:hAnsi="Times New Roman" w:cs="Times New Roman"/>
          <w:kern w:val="0"/>
          <w:lang w:eastAsia="hu-HU"/>
          <w14:ligatures w14:val="none"/>
        </w:rPr>
        <w:t>Appendix C provides a detailed thematic overview of machine learning approaches applied to cryptocurrency trading. While the summary Table 3 in the main text presents the main thematic directions in a concise form, this appendix offers extended explanations, illustrative examples, and references associated with each thematic category. The purpose of the thematic structure is to reveal the methodological logic and application contexts underlying the different research directions.</w:t>
      </w:r>
    </w:p>
    <w:p w14:paraId="720D8634" w14:textId="38087FDC" w:rsidR="002E4C3C" w:rsidRPr="00BF1AAB" w:rsidRDefault="002E4C3C" w:rsidP="002E4C3C">
      <w:pPr>
        <w:spacing w:after="120" w:line="240" w:lineRule="auto"/>
        <w:jc w:val="both"/>
        <w:outlineLvl w:val="1"/>
        <w:rPr>
          <w:rFonts w:ascii="Times New Roman" w:eastAsia="Times New Roman" w:hAnsi="Times New Roman" w:cs="Times New Roman"/>
          <w:kern w:val="0"/>
          <w:lang w:eastAsia="hu-HU"/>
          <w14:ligatures w14:val="none"/>
        </w:rPr>
      </w:pPr>
      <w:r w:rsidRPr="00BF1AAB">
        <w:rPr>
          <w:rFonts w:ascii="Times New Roman" w:eastAsia="Times New Roman" w:hAnsi="Times New Roman" w:cs="Times New Roman"/>
          <w:b/>
          <w:bCs/>
          <w:kern w:val="0"/>
          <w:lang w:eastAsia="hu-HU"/>
          <w14:ligatures w14:val="none"/>
        </w:rPr>
        <w:t>Table 3</w:t>
      </w:r>
      <w:r w:rsidRPr="00BF1AAB">
        <w:rPr>
          <w:rFonts w:ascii="Times New Roman" w:eastAsia="Times New Roman" w:hAnsi="Times New Roman" w:cs="Times New Roman"/>
          <w:kern w:val="0"/>
          <w:lang w:eastAsia="hu-HU"/>
          <w14:ligatures w14:val="none"/>
        </w:rPr>
        <w:t xml:space="preserve">. </w:t>
      </w:r>
      <w:r w:rsidR="0011434D" w:rsidRPr="0011434D">
        <w:rPr>
          <w:rFonts w:ascii="Times New Roman" w:eastAsia="Times New Roman" w:hAnsi="Times New Roman" w:cs="Times New Roman"/>
          <w:kern w:val="0"/>
          <w:lang w:eastAsia="hu-HU"/>
          <w14:ligatures w14:val="none"/>
        </w:rPr>
        <w:t>Detailed thematic classification of ML approaches used in cryptocurrency trading</w:t>
      </w:r>
      <w:r>
        <w:rPr>
          <w:rFonts w:ascii="Times New Roman" w:eastAsia="Times New Roman" w:hAnsi="Times New Roman" w:cs="Times New Roman"/>
          <w:kern w:val="0"/>
          <w:lang w:eastAsia="hu-HU"/>
          <w14:ligatures w14:val="none"/>
        </w:rPr>
        <w:t xml:space="preserve"> (n=57 papers)</w:t>
      </w:r>
    </w:p>
    <w:tbl>
      <w:tblPr>
        <w:tblW w:w="0" w:type="auto"/>
        <w:tblBorders>
          <w:top w:val="single" w:sz="12" w:space="0" w:color="auto"/>
          <w:bottom w:val="single" w:sz="12" w:space="0" w:color="auto"/>
          <w:insideH w:val="single" w:sz="4" w:space="0" w:color="auto"/>
        </w:tblBorders>
        <w:tblCellMar>
          <w:left w:w="10" w:type="dxa"/>
          <w:right w:w="10" w:type="dxa"/>
        </w:tblCellMar>
        <w:tblLook w:val="04A0" w:firstRow="1" w:lastRow="0" w:firstColumn="1" w:lastColumn="0" w:noHBand="0" w:noVBand="1"/>
      </w:tblPr>
      <w:tblGrid>
        <w:gridCol w:w="1527"/>
        <w:gridCol w:w="899"/>
        <w:gridCol w:w="6646"/>
      </w:tblGrid>
      <w:tr w:rsidR="002E4C3C" w:rsidRPr="00BF1AAB" w14:paraId="4DBBDB2E" w14:textId="77777777" w:rsidTr="0011434D">
        <w:tc>
          <w:tcPr>
            <w:tcW w:w="0" w:type="auto"/>
            <w:tcBorders>
              <w:top w:val="single" w:sz="12" w:space="0" w:color="auto"/>
              <w:bottom w:val="single" w:sz="12" w:space="0" w:color="auto"/>
            </w:tcBorders>
          </w:tcPr>
          <w:p w14:paraId="0BE25E92" w14:textId="77777777" w:rsidR="002E4C3C" w:rsidRPr="00BF1AAB" w:rsidRDefault="002E4C3C" w:rsidP="0011434D">
            <w:pPr>
              <w:rPr>
                <w:rFonts w:ascii="Times New Roman" w:hAnsi="Times New Roman" w:cs="Times New Roman"/>
                <w:b/>
                <w:bCs/>
              </w:rPr>
            </w:pPr>
            <w:r w:rsidRPr="00BF1AAB">
              <w:rPr>
                <w:rFonts w:ascii="Times New Roman" w:hAnsi="Times New Roman" w:cs="Times New Roman"/>
                <w:b/>
                <w:bCs/>
              </w:rPr>
              <w:t>Theme</w:t>
            </w:r>
          </w:p>
        </w:tc>
        <w:tc>
          <w:tcPr>
            <w:tcW w:w="952" w:type="dxa"/>
            <w:tcBorders>
              <w:top w:val="single" w:sz="12" w:space="0" w:color="auto"/>
              <w:bottom w:val="single" w:sz="12" w:space="0" w:color="auto"/>
            </w:tcBorders>
          </w:tcPr>
          <w:p w14:paraId="0652CD40" w14:textId="77777777" w:rsidR="002E4C3C" w:rsidRPr="00BF1AAB" w:rsidRDefault="002E4C3C" w:rsidP="0011434D">
            <w:pPr>
              <w:rPr>
                <w:rFonts w:ascii="Times New Roman" w:hAnsi="Times New Roman" w:cs="Times New Roman"/>
                <w:b/>
                <w:bCs/>
              </w:rPr>
            </w:pPr>
            <w:r w:rsidRPr="00BF1AAB">
              <w:rPr>
                <w:rFonts w:ascii="Times New Roman" w:hAnsi="Times New Roman" w:cs="Times New Roman"/>
                <w:b/>
                <w:bCs/>
              </w:rPr>
              <w:t>Appears In</w:t>
            </w:r>
          </w:p>
        </w:tc>
        <w:tc>
          <w:tcPr>
            <w:tcW w:w="6593" w:type="dxa"/>
            <w:tcBorders>
              <w:top w:val="single" w:sz="12" w:space="0" w:color="auto"/>
              <w:bottom w:val="single" w:sz="12" w:space="0" w:color="auto"/>
            </w:tcBorders>
          </w:tcPr>
          <w:p w14:paraId="3198CB4B" w14:textId="77777777" w:rsidR="002E4C3C" w:rsidRPr="00BF1AAB" w:rsidRDefault="002E4C3C" w:rsidP="0011434D">
            <w:pPr>
              <w:rPr>
                <w:rFonts w:ascii="Times New Roman" w:hAnsi="Times New Roman" w:cs="Times New Roman"/>
                <w:b/>
                <w:bCs/>
              </w:rPr>
            </w:pPr>
            <w:r w:rsidRPr="00BF1AAB">
              <w:rPr>
                <w:rFonts w:ascii="Times New Roman" w:hAnsi="Times New Roman" w:cs="Times New Roman"/>
                <w:b/>
                <w:bCs/>
              </w:rPr>
              <w:t>Theme Description</w:t>
            </w:r>
          </w:p>
        </w:tc>
      </w:tr>
      <w:tr w:rsidR="002E4C3C" w:rsidRPr="00BF1AAB" w14:paraId="4A4A25C0" w14:textId="77777777" w:rsidTr="0011434D">
        <w:tc>
          <w:tcPr>
            <w:tcW w:w="0" w:type="auto"/>
            <w:tcBorders>
              <w:top w:val="single" w:sz="12" w:space="0" w:color="auto"/>
            </w:tcBorders>
          </w:tcPr>
          <w:p w14:paraId="3AD452DF"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Machine Learning Models for Price Prediction and Trading Performance</w:t>
            </w:r>
          </w:p>
        </w:tc>
        <w:tc>
          <w:tcPr>
            <w:tcW w:w="0" w:type="auto"/>
            <w:tcBorders>
              <w:top w:val="single" w:sz="12" w:space="0" w:color="auto"/>
            </w:tcBorders>
          </w:tcPr>
          <w:p w14:paraId="7E7C02B5"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4</w:t>
            </w:r>
            <w:r>
              <w:rPr>
                <w:rFonts w:ascii="Times New Roman" w:hAnsi="Times New Roman" w:cs="Times New Roman"/>
              </w:rPr>
              <w:t>3</w:t>
            </w:r>
            <w:r w:rsidRPr="00BF1AAB">
              <w:rPr>
                <w:rFonts w:ascii="Times New Roman" w:hAnsi="Times New Roman" w:cs="Times New Roman"/>
              </w:rPr>
              <w:t xml:space="preserve"> Papers</w:t>
            </w:r>
          </w:p>
        </w:tc>
        <w:tc>
          <w:tcPr>
            <w:tcW w:w="0" w:type="auto"/>
            <w:tcBorders>
              <w:top w:val="single" w:sz="12" w:space="0" w:color="auto"/>
            </w:tcBorders>
          </w:tcPr>
          <w:p w14:paraId="7680E7D1"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Extensive research focuses on employing machine learning models such as neural networks (LSTM, GRU), random forests, support vector machines, and ensemble methods to predict cryptocurrency prices and inform trading strategies. These models have demonstrated improved predictive accuracy and profitability over traditional benchmarks across various cryptocurrencies under diverse market conditions (Lu et al., 2024</w:t>
            </w:r>
            <w:r>
              <w:rPr>
                <w:rFonts w:ascii="Times New Roman" w:hAnsi="Times New Roman" w:cs="Times New Roman"/>
              </w:rPr>
              <w:t xml:space="preserve">; </w:t>
            </w:r>
            <w:r w:rsidRPr="00BF1AAB">
              <w:rPr>
                <w:rFonts w:ascii="Times New Roman" w:hAnsi="Times New Roman" w:cs="Times New Roman"/>
              </w:rPr>
              <w:t>Huang, 2024</w:t>
            </w:r>
            <w:r>
              <w:rPr>
                <w:rFonts w:ascii="Times New Roman" w:hAnsi="Times New Roman" w:cs="Times New Roman"/>
              </w:rPr>
              <w:t xml:space="preserve">; </w:t>
            </w:r>
            <w:r w:rsidRPr="00BF1AAB">
              <w:rPr>
                <w:rFonts w:ascii="Times New Roman" w:hAnsi="Times New Roman" w:cs="Times New Roman"/>
              </w:rPr>
              <w:t>Viéitez et al., 2024</w:t>
            </w:r>
            <w:r>
              <w:rPr>
                <w:rFonts w:ascii="Times New Roman" w:hAnsi="Times New Roman" w:cs="Times New Roman"/>
              </w:rPr>
              <w:t xml:space="preserve">; </w:t>
            </w:r>
            <w:r w:rsidRPr="00BF1AAB">
              <w:rPr>
                <w:rFonts w:ascii="Times New Roman" w:hAnsi="Times New Roman" w:cs="Times New Roman"/>
              </w:rPr>
              <w:t>Song, 2025</w:t>
            </w:r>
            <w:r>
              <w:rPr>
                <w:rFonts w:ascii="Times New Roman" w:hAnsi="Times New Roman" w:cs="Times New Roman"/>
              </w:rPr>
              <w:t xml:space="preserve">; </w:t>
            </w:r>
            <w:r w:rsidRPr="00BF1AAB">
              <w:rPr>
                <w:rFonts w:ascii="Times New Roman" w:hAnsi="Times New Roman" w:cs="Times New Roman"/>
              </w:rPr>
              <w:t>Jabbar &amp; Jalil, 2024</w:t>
            </w:r>
            <w:r>
              <w:rPr>
                <w:rFonts w:ascii="Times New Roman" w:hAnsi="Times New Roman" w:cs="Times New Roman"/>
              </w:rPr>
              <w:t xml:space="preserve">; </w:t>
            </w:r>
            <w:r w:rsidRPr="00BF1AAB">
              <w:rPr>
                <w:rFonts w:ascii="Times New Roman" w:hAnsi="Times New Roman" w:cs="Times New Roman"/>
              </w:rPr>
              <w:t>Hafid et al., 2024</w:t>
            </w:r>
            <w:r>
              <w:rPr>
                <w:rFonts w:ascii="Times New Roman" w:hAnsi="Times New Roman" w:cs="Times New Roman"/>
              </w:rPr>
              <w:t xml:space="preserve">; </w:t>
            </w:r>
            <w:r w:rsidRPr="00BF1AAB">
              <w:rPr>
                <w:rFonts w:ascii="Times New Roman" w:hAnsi="Times New Roman" w:cs="Times New Roman"/>
              </w:rPr>
              <w:t>Park &amp; Seo, 2022</w:t>
            </w:r>
            <w:r>
              <w:rPr>
                <w:rFonts w:ascii="Times New Roman" w:hAnsi="Times New Roman" w:cs="Times New Roman"/>
              </w:rPr>
              <w:t xml:space="preserve">; </w:t>
            </w:r>
            <w:r w:rsidRPr="00BF1AAB">
              <w:rPr>
                <w:rFonts w:ascii="Times New Roman" w:hAnsi="Times New Roman" w:cs="Times New Roman"/>
              </w:rPr>
              <w:t>Bouteska et al., 2024</w:t>
            </w:r>
            <w:r>
              <w:rPr>
                <w:rFonts w:ascii="Times New Roman" w:hAnsi="Times New Roman" w:cs="Times New Roman"/>
              </w:rPr>
              <w:t xml:space="preserve">; </w:t>
            </w:r>
            <w:r w:rsidRPr="00BF1AAB">
              <w:rPr>
                <w:rFonts w:ascii="Times New Roman" w:hAnsi="Times New Roman" w:cs="Times New Roman"/>
              </w:rPr>
              <w:t>Sebastião &amp; Godinho, 2021</w:t>
            </w:r>
            <w:r>
              <w:rPr>
                <w:rFonts w:ascii="Times New Roman" w:hAnsi="Times New Roman" w:cs="Times New Roman"/>
              </w:rPr>
              <w:t xml:space="preserve">; </w:t>
            </w:r>
            <w:r w:rsidRPr="00BF1AAB">
              <w:rPr>
                <w:rFonts w:ascii="Times New Roman" w:hAnsi="Times New Roman" w:cs="Times New Roman"/>
              </w:rPr>
              <w:t>Singh et al., 2022</w:t>
            </w:r>
            <w:r>
              <w:rPr>
                <w:rFonts w:ascii="Times New Roman" w:hAnsi="Times New Roman" w:cs="Times New Roman"/>
              </w:rPr>
              <w:t xml:space="preserve">; </w:t>
            </w:r>
            <w:r w:rsidRPr="00BF1AAB">
              <w:rPr>
                <w:rFonts w:ascii="Times New Roman" w:hAnsi="Times New Roman" w:cs="Times New Roman"/>
              </w:rPr>
              <w:t xml:space="preserve">Li et al., </w:t>
            </w:r>
            <w:r>
              <w:rPr>
                <w:rFonts w:ascii="Times New Roman" w:hAnsi="Times New Roman" w:cs="Times New Roman"/>
              </w:rPr>
              <w:t>2024</w:t>
            </w:r>
            <w:r w:rsidRPr="00BF1AAB">
              <w:rPr>
                <w:rFonts w:ascii="Times New Roman" w:hAnsi="Times New Roman" w:cs="Times New Roman"/>
              </w:rPr>
              <w:t>).</w:t>
            </w:r>
          </w:p>
        </w:tc>
      </w:tr>
      <w:tr w:rsidR="002E4C3C" w:rsidRPr="00BF1AAB" w14:paraId="616E52B7" w14:textId="77777777" w:rsidTr="0011434D">
        <w:tc>
          <w:tcPr>
            <w:tcW w:w="0" w:type="auto"/>
          </w:tcPr>
          <w:p w14:paraId="19971516"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Reinforcement Learning for Algorithmic Trading and Portfolio Optimization</w:t>
            </w:r>
          </w:p>
        </w:tc>
        <w:tc>
          <w:tcPr>
            <w:tcW w:w="0" w:type="auto"/>
          </w:tcPr>
          <w:p w14:paraId="5410BAC4"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24 Papers</w:t>
            </w:r>
          </w:p>
        </w:tc>
        <w:tc>
          <w:tcPr>
            <w:tcW w:w="0" w:type="auto"/>
          </w:tcPr>
          <w:p w14:paraId="20D9DFE0"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Reinforcement learning (RL) techniques, including Deep Q-networks, Advantage Actor-Critic, Proximal Policy Optimization, and multi-agent frameworks, are widely applied to develop adaptive trading strategies that optimize asset allocation and manage risk. Studies show RL's capability to handle dynamic market environments and improve returns while balancing risk, especially in volatile cryptocurrency markets (Kang et al., 2024</w:t>
            </w:r>
            <w:r>
              <w:rPr>
                <w:rFonts w:ascii="Times New Roman" w:hAnsi="Times New Roman" w:cs="Times New Roman"/>
              </w:rPr>
              <w:t xml:space="preserve">; </w:t>
            </w:r>
            <w:r w:rsidRPr="00BF1AAB">
              <w:rPr>
                <w:rFonts w:ascii="Times New Roman" w:hAnsi="Times New Roman" w:cs="Times New Roman"/>
              </w:rPr>
              <w:t>Otabek &amp; Choi, 2024</w:t>
            </w:r>
            <w:r>
              <w:rPr>
                <w:rFonts w:ascii="Times New Roman" w:hAnsi="Times New Roman" w:cs="Times New Roman"/>
              </w:rPr>
              <w:t xml:space="preserve">; </w:t>
            </w:r>
            <w:r w:rsidRPr="00BF1AAB">
              <w:rPr>
                <w:rFonts w:ascii="Times New Roman" w:hAnsi="Times New Roman" w:cs="Times New Roman"/>
              </w:rPr>
              <w:t>Kouloumpris &amp; Vlahavas, 2023</w:t>
            </w:r>
            <w:r>
              <w:rPr>
                <w:rFonts w:ascii="Times New Roman" w:hAnsi="Times New Roman" w:cs="Times New Roman"/>
              </w:rPr>
              <w:t xml:space="preserve">; </w:t>
            </w:r>
            <w:r w:rsidRPr="00BF1AAB">
              <w:rPr>
                <w:rFonts w:ascii="Times New Roman" w:hAnsi="Times New Roman" w:cs="Times New Roman"/>
              </w:rPr>
              <w:t>Amirzadeh et al., 2023</w:t>
            </w:r>
            <w:r>
              <w:rPr>
                <w:rFonts w:ascii="Times New Roman" w:hAnsi="Times New Roman" w:cs="Times New Roman"/>
              </w:rPr>
              <w:t xml:space="preserve">; </w:t>
            </w:r>
            <w:r w:rsidRPr="00BF1AAB">
              <w:rPr>
                <w:rFonts w:ascii="Times New Roman" w:hAnsi="Times New Roman" w:cs="Times New Roman"/>
              </w:rPr>
              <w:t>Zhao et al., 2024</w:t>
            </w:r>
            <w:r>
              <w:rPr>
                <w:rFonts w:ascii="Times New Roman" w:hAnsi="Times New Roman" w:cs="Times New Roman"/>
              </w:rPr>
              <w:t xml:space="preserve">; </w:t>
            </w:r>
            <w:r w:rsidRPr="00BF1AAB">
              <w:rPr>
                <w:rFonts w:ascii="Times New Roman" w:hAnsi="Times New Roman" w:cs="Times New Roman"/>
              </w:rPr>
              <w:t>Peng et al., 2022</w:t>
            </w:r>
            <w:r>
              <w:rPr>
                <w:rFonts w:ascii="Times New Roman" w:hAnsi="Times New Roman" w:cs="Times New Roman"/>
              </w:rPr>
              <w:t xml:space="preserve">; </w:t>
            </w:r>
            <w:r w:rsidRPr="00BF1AAB">
              <w:rPr>
                <w:rFonts w:ascii="Times New Roman" w:hAnsi="Times New Roman" w:cs="Times New Roman"/>
              </w:rPr>
              <w:t>Asgari &amp; Khasteh, 202</w:t>
            </w:r>
            <w:r>
              <w:rPr>
                <w:rFonts w:ascii="Times New Roman" w:hAnsi="Times New Roman" w:cs="Times New Roman"/>
              </w:rPr>
              <w:t xml:space="preserve">1; </w:t>
            </w:r>
            <w:r w:rsidRPr="00BF1AAB">
              <w:rPr>
                <w:rFonts w:ascii="Times New Roman" w:hAnsi="Times New Roman" w:cs="Times New Roman"/>
              </w:rPr>
              <w:t>Felizardo et al., 2022</w:t>
            </w:r>
            <w:r>
              <w:rPr>
                <w:rFonts w:ascii="Times New Roman" w:hAnsi="Times New Roman" w:cs="Times New Roman"/>
              </w:rPr>
              <w:t xml:space="preserve">; </w:t>
            </w:r>
            <w:r w:rsidRPr="00BF1AAB">
              <w:rPr>
                <w:rFonts w:ascii="Times New Roman" w:hAnsi="Times New Roman" w:cs="Times New Roman"/>
              </w:rPr>
              <w:t>Betancourt &amp; Chen, 2021</w:t>
            </w:r>
            <w:r>
              <w:rPr>
                <w:rFonts w:ascii="Times New Roman" w:hAnsi="Times New Roman" w:cs="Times New Roman"/>
              </w:rPr>
              <w:t xml:space="preserve">; </w:t>
            </w:r>
            <w:r w:rsidRPr="00BF1AAB">
              <w:rPr>
                <w:rFonts w:ascii="Times New Roman" w:hAnsi="Times New Roman" w:cs="Times New Roman"/>
              </w:rPr>
              <w:t>Lucarelli et al., 2020</w:t>
            </w:r>
            <w:r>
              <w:rPr>
                <w:rFonts w:ascii="Times New Roman" w:hAnsi="Times New Roman" w:cs="Times New Roman"/>
              </w:rPr>
              <w:t xml:space="preserve">; </w:t>
            </w:r>
            <w:r w:rsidRPr="00BF1AAB">
              <w:rPr>
                <w:rFonts w:ascii="Times New Roman" w:hAnsi="Times New Roman" w:cs="Times New Roman"/>
              </w:rPr>
              <w:t>Bu &amp; Cho, 2018</w:t>
            </w:r>
            <w:r>
              <w:rPr>
                <w:rFonts w:ascii="Times New Roman" w:hAnsi="Times New Roman" w:cs="Times New Roman"/>
              </w:rPr>
              <w:t xml:space="preserve">; </w:t>
            </w:r>
            <w:r w:rsidRPr="00BF1AAB">
              <w:rPr>
                <w:rFonts w:ascii="Times New Roman" w:hAnsi="Times New Roman" w:cs="Times New Roman"/>
              </w:rPr>
              <w:t>Lucarelli &amp; Borrotti, 2019</w:t>
            </w:r>
            <w:r>
              <w:rPr>
                <w:rFonts w:ascii="Times New Roman" w:hAnsi="Times New Roman" w:cs="Times New Roman"/>
              </w:rPr>
              <w:t xml:space="preserve">; </w:t>
            </w:r>
            <w:r w:rsidRPr="00BF1AAB">
              <w:rPr>
                <w:rFonts w:ascii="Times New Roman" w:hAnsi="Times New Roman" w:cs="Times New Roman"/>
              </w:rPr>
              <w:t>Sattarov et al., 2020</w:t>
            </w:r>
            <w:r>
              <w:rPr>
                <w:rFonts w:ascii="Times New Roman" w:hAnsi="Times New Roman" w:cs="Times New Roman"/>
              </w:rPr>
              <w:t xml:space="preserve">; </w:t>
            </w:r>
            <w:r w:rsidRPr="00BF1AAB">
              <w:rPr>
                <w:rFonts w:ascii="Times New Roman" w:hAnsi="Times New Roman" w:cs="Times New Roman"/>
              </w:rPr>
              <w:t xml:space="preserve">Kumlungmak, </w:t>
            </w:r>
            <w:r>
              <w:rPr>
                <w:rFonts w:ascii="Times New Roman" w:hAnsi="Times New Roman" w:cs="Times New Roman"/>
              </w:rPr>
              <w:t>2024</w:t>
            </w:r>
            <w:r w:rsidRPr="00BF1AAB">
              <w:rPr>
                <w:rFonts w:ascii="Times New Roman" w:hAnsi="Times New Roman" w:cs="Times New Roman"/>
              </w:rPr>
              <w:t>).</w:t>
            </w:r>
          </w:p>
        </w:tc>
      </w:tr>
      <w:tr w:rsidR="002E4C3C" w:rsidRPr="00BF1AAB" w14:paraId="239FAA2E" w14:textId="77777777" w:rsidTr="0011434D">
        <w:tc>
          <w:tcPr>
            <w:tcW w:w="0" w:type="auto"/>
          </w:tcPr>
          <w:p w14:paraId="6068151D"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Risk Management and Volatility Mitigation Using Machine Learning</w:t>
            </w:r>
          </w:p>
        </w:tc>
        <w:tc>
          <w:tcPr>
            <w:tcW w:w="0" w:type="auto"/>
          </w:tcPr>
          <w:p w14:paraId="13FEE330"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23 Papers</w:t>
            </w:r>
          </w:p>
        </w:tc>
        <w:tc>
          <w:tcPr>
            <w:tcW w:w="0" w:type="auto"/>
          </w:tcPr>
          <w:p w14:paraId="345E6043"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Addressing cryptocurrency market volatility and associated risks is a key focus, with machine learning enabling advanced risk mitigation techniques such as EGARCH integration, stochastic neural networks, hybrid models, and portfolio optimization frameworks that incorporate risk-adjusted metrics like Sharpe ratio and Value at Risk. These approaches enhance trading robustness and stability (Lu et al., 2024</w:t>
            </w:r>
            <w:r>
              <w:rPr>
                <w:rFonts w:ascii="Times New Roman" w:hAnsi="Times New Roman" w:cs="Times New Roman"/>
              </w:rPr>
              <w:t xml:space="preserve">; </w:t>
            </w:r>
            <w:r w:rsidRPr="00BF1AAB">
              <w:rPr>
                <w:rFonts w:ascii="Times New Roman" w:hAnsi="Times New Roman" w:cs="Times New Roman"/>
              </w:rPr>
              <w:t>Song, 2025</w:t>
            </w:r>
            <w:r>
              <w:rPr>
                <w:rFonts w:ascii="Times New Roman" w:hAnsi="Times New Roman" w:cs="Times New Roman"/>
              </w:rPr>
              <w:t xml:space="preserve">; </w:t>
            </w:r>
            <w:r w:rsidRPr="00BF1AAB">
              <w:rPr>
                <w:rFonts w:ascii="Times New Roman" w:hAnsi="Times New Roman" w:cs="Times New Roman"/>
              </w:rPr>
              <w:t>Kouloumpris &amp; Vlahavas, 2023</w:t>
            </w:r>
            <w:r>
              <w:rPr>
                <w:rFonts w:ascii="Times New Roman" w:hAnsi="Times New Roman" w:cs="Times New Roman"/>
              </w:rPr>
              <w:t xml:space="preserve">; </w:t>
            </w:r>
            <w:r w:rsidRPr="00BF1AAB">
              <w:rPr>
                <w:rFonts w:ascii="Times New Roman" w:hAnsi="Times New Roman" w:cs="Times New Roman"/>
              </w:rPr>
              <w:t xml:space="preserve">Zhao et </w:t>
            </w:r>
            <w:r w:rsidRPr="00BF1AAB">
              <w:rPr>
                <w:rFonts w:ascii="Times New Roman" w:hAnsi="Times New Roman" w:cs="Times New Roman"/>
              </w:rPr>
              <w:lastRenderedPageBreak/>
              <w:t>al., 2024</w:t>
            </w:r>
            <w:r>
              <w:rPr>
                <w:rFonts w:ascii="Times New Roman" w:hAnsi="Times New Roman" w:cs="Times New Roman"/>
              </w:rPr>
              <w:t xml:space="preserve">; </w:t>
            </w:r>
            <w:r w:rsidRPr="00BF1AAB">
              <w:rPr>
                <w:rFonts w:ascii="Times New Roman" w:hAnsi="Times New Roman" w:cs="Times New Roman"/>
              </w:rPr>
              <w:t>Tanwar &amp; Raboaca, 2022</w:t>
            </w:r>
            <w:r>
              <w:rPr>
                <w:rFonts w:ascii="Times New Roman" w:hAnsi="Times New Roman" w:cs="Times New Roman"/>
              </w:rPr>
              <w:t xml:space="preserve">; </w:t>
            </w:r>
            <w:r w:rsidRPr="00BF1AAB">
              <w:rPr>
                <w:rFonts w:ascii="Times New Roman" w:hAnsi="Times New Roman" w:cs="Times New Roman"/>
              </w:rPr>
              <w:t>Alaminos et al., 2024</w:t>
            </w:r>
            <w:r>
              <w:rPr>
                <w:rFonts w:ascii="Times New Roman" w:hAnsi="Times New Roman" w:cs="Times New Roman"/>
              </w:rPr>
              <w:t xml:space="preserve">; </w:t>
            </w:r>
            <w:r w:rsidRPr="00BF1AAB">
              <w:rPr>
                <w:rFonts w:ascii="Times New Roman" w:hAnsi="Times New Roman" w:cs="Times New Roman"/>
              </w:rPr>
              <w:t>Chen, 2022</w:t>
            </w:r>
            <w:r>
              <w:rPr>
                <w:rFonts w:ascii="Times New Roman" w:hAnsi="Times New Roman" w:cs="Times New Roman"/>
              </w:rPr>
              <w:t xml:space="preserve">; </w:t>
            </w:r>
            <w:r w:rsidRPr="00BF1AAB">
              <w:rPr>
                <w:rFonts w:ascii="Times New Roman" w:hAnsi="Times New Roman" w:cs="Times New Roman"/>
              </w:rPr>
              <w:t>Koker &amp; Koutmos, 2020).</w:t>
            </w:r>
          </w:p>
        </w:tc>
      </w:tr>
      <w:tr w:rsidR="002E4C3C" w:rsidRPr="00BF1AAB" w14:paraId="6E6E0D35" w14:textId="77777777" w:rsidTr="0011434D">
        <w:tc>
          <w:tcPr>
            <w:tcW w:w="0" w:type="auto"/>
          </w:tcPr>
          <w:p w14:paraId="3F507742"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lastRenderedPageBreak/>
              <w:t>Integration of Sentiment Analysis and External Data Sources</w:t>
            </w:r>
          </w:p>
        </w:tc>
        <w:tc>
          <w:tcPr>
            <w:tcW w:w="0" w:type="auto"/>
          </w:tcPr>
          <w:p w14:paraId="0CFC02EF"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14 Papers</w:t>
            </w:r>
          </w:p>
        </w:tc>
        <w:tc>
          <w:tcPr>
            <w:tcW w:w="0" w:type="auto"/>
          </w:tcPr>
          <w:p w14:paraId="3B094A24"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Several studies incorporate sentiment analysis from social media and market indicators to enhance price prediction models. The integration of natural language processing and sentiment scoring improves understanding of market dynamics and contributes to more informed trading decisions, although the impact varies across models and cryptocurrencies (Viéitez et al., 2024</w:t>
            </w:r>
            <w:r>
              <w:rPr>
                <w:rFonts w:ascii="Times New Roman" w:hAnsi="Times New Roman" w:cs="Times New Roman"/>
              </w:rPr>
              <w:t xml:space="preserve">; </w:t>
            </w:r>
            <w:r w:rsidRPr="00BF1AAB">
              <w:rPr>
                <w:rFonts w:ascii="Times New Roman" w:hAnsi="Times New Roman" w:cs="Times New Roman"/>
              </w:rPr>
              <w:t>Belcastro et al., 2023</w:t>
            </w:r>
            <w:r>
              <w:rPr>
                <w:rFonts w:ascii="Times New Roman" w:hAnsi="Times New Roman" w:cs="Times New Roman"/>
              </w:rPr>
              <w:t xml:space="preserve">; </w:t>
            </w:r>
            <w:r w:rsidRPr="00BF1AAB">
              <w:rPr>
                <w:rFonts w:ascii="Times New Roman" w:hAnsi="Times New Roman" w:cs="Times New Roman"/>
              </w:rPr>
              <w:t>Avramelou et al., 2023</w:t>
            </w:r>
            <w:r>
              <w:rPr>
                <w:rFonts w:ascii="Times New Roman" w:hAnsi="Times New Roman" w:cs="Times New Roman"/>
              </w:rPr>
              <w:t xml:space="preserve">; </w:t>
            </w:r>
            <w:r w:rsidRPr="00BF1AAB">
              <w:rPr>
                <w:rFonts w:ascii="Times New Roman" w:hAnsi="Times New Roman" w:cs="Times New Roman"/>
              </w:rPr>
              <w:t>Leung et al., 2023</w:t>
            </w:r>
            <w:r>
              <w:rPr>
                <w:rFonts w:ascii="Times New Roman" w:hAnsi="Times New Roman" w:cs="Times New Roman"/>
              </w:rPr>
              <w:t xml:space="preserve">; </w:t>
            </w:r>
            <w:r w:rsidRPr="00BF1AAB">
              <w:rPr>
                <w:rFonts w:ascii="Times New Roman" w:hAnsi="Times New Roman" w:cs="Times New Roman"/>
              </w:rPr>
              <w:t>Pang et al., 2019).</w:t>
            </w:r>
          </w:p>
        </w:tc>
      </w:tr>
      <w:tr w:rsidR="002E4C3C" w:rsidRPr="00BF1AAB" w14:paraId="5164E366" w14:textId="77777777" w:rsidTr="0011434D">
        <w:tc>
          <w:tcPr>
            <w:tcW w:w="0" w:type="auto"/>
          </w:tcPr>
          <w:p w14:paraId="0EFDAB0F"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Ethical, Regulatory, and Operational Implications of AI in Cryptocurrency Trading</w:t>
            </w:r>
          </w:p>
        </w:tc>
        <w:tc>
          <w:tcPr>
            <w:tcW w:w="0" w:type="auto"/>
          </w:tcPr>
          <w:p w14:paraId="34981B38"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9 Papers</w:t>
            </w:r>
          </w:p>
        </w:tc>
        <w:tc>
          <w:tcPr>
            <w:tcW w:w="0" w:type="auto"/>
          </w:tcPr>
          <w:p w14:paraId="4A58F2BC"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Emerging literature explores ethical frameworks and regulatory challenges posed by AI and machine learning in cryptocurrency trading, emphasizing the need for responsible AI deployment, transparency, market integrity, investor protection, and novel regulatory approaches tailored to digital assets’ unique characteristics (Kumari et al., 2024</w:t>
            </w:r>
            <w:r>
              <w:rPr>
                <w:rFonts w:ascii="Times New Roman" w:hAnsi="Times New Roman" w:cs="Times New Roman"/>
              </w:rPr>
              <w:t xml:space="preserve">; </w:t>
            </w:r>
            <w:r w:rsidRPr="00BF1AAB">
              <w:rPr>
                <w:rFonts w:ascii="Times New Roman" w:hAnsi="Times New Roman" w:cs="Times New Roman"/>
              </w:rPr>
              <w:t>Srivastava &amp; Sikroria, 2024</w:t>
            </w:r>
            <w:r>
              <w:rPr>
                <w:rFonts w:ascii="Times New Roman" w:hAnsi="Times New Roman" w:cs="Times New Roman"/>
              </w:rPr>
              <w:t xml:space="preserve">; </w:t>
            </w:r>
            <w:r w:rsidRPr="00BF1AAB">
              <w:rPr>
                <w:rFonts w:ascii="Times New Roman" w:hAnsi="Times New Roman" w:cs="Times New Roman"/>
              </w:rPr>
              <w:t>Pasupuleti, 2024</w:t>
            </w:r>
            <w:r>
              <w:rPr>
                <w:rFonts w:ascii="Times New Roman" w:hAnsi="Times New Roman" w:cs="Times New Roman"/>
              </w:rPr>
              <w:t xml:space="preserve">; </w:t>
            </w:r>
            <w:r w:rsidRPr="00BF1AAB">
              <w:rPr>
                <w:rFonts w:ascii="Times New Roman" w:hAnsi="Times New Roman" w:cs="Times New Roman"/>
              </w:rPr>
              <w:t>Mandych et al., 2023</w:t>
            </w:r>
            <w:r>
              <w:rPr>
                <w:rFonts w:ascii="Times New Roman" w:hAnsi="Times New Roman" w:cs="Times New Roman"/>
              </w:rPr>
              <w:t xml:space="preserve">; </w:t>
            </w:r>
            <w:r w:rsidRPr="00BF1AAB">
              <w:rPr>
                <w:rFonts w:ascii="Times New Roman" w:hAnsi="Times New Roman" w:cs="Times New Roman"/>
              </w:rPr>
              <w:t>Alibašić, 2023).</w:t>
            </w:r>
          </w:p>
        </w:tc>
      </w:tr>
      <w:tr w:rsidR="002E4C3C" w:rsidRPr="00BF1AAB" w14:paraId="276B6B8B" w14:textId="77777777" w:rsidTr="0011434D">
        <w:tc>
          <w:tcPr>
            <w:tcW w:w="0" w:type="auto"/>
          </w:tcPr>
          <w:p w14:paraId="26749660"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Hybrid and Ensemble Methodologies for Enhanced Trading Strategies</w:t>
            </w:r>
          </w:p>
        </w:tc>
        <w:tc>
          <w:tcPr>
            <w:tcW w:w="0" w:type="auto"/>
          </w:tcPr>
          <w:p w14:paraId="61B99DF1"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12 Papers</w:t>
            </w:r>
          </w:p>
        </w:tc>
        <w:tc>
          <w:tcPr>
            <w:tcW w:w="0" w:type="auto"/>
          </w:tcPr>
          <w:p w14:paraId="28ED01D1"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Hybrid models combining deep learning architectures (e.g., CNN-LSTM, LSTM-GRU) and ensemble learning methods have been proposed to leverage complementary strengths of different algorithms, improving predictive performance and trading profitability in volatile cryptocurrency markets (Park &amp; Seo, 2022</w:t>
            </w:r>
            <w:r>
              <w:rPr>
                <w:rFonts w:ascii="Times New Roman" w:hAnsi="Times New Roman" w:cs="Times New Roman"/>
              </w:rPr>
              <w:t xml:space="preserve">; </w:t>
            </w:r>
            <w:r w:rsidRPr="00BF1AAB">
              <w:rPr>
                <w:rFonts w:ascii="Times New Roman" w:hAnsi="Times New Roman" w:cs="Times New Roman"/>
              </w:rPr>
              <w:t>Bouteska et al., 2024</w:t>
            </w:r>
            <w:r>
              <w:rPr>
                <w:rFonts w:ascii="Times New Roman" w:hAnsi="Times New Roman" w:cs="Times New Roman"/>
              </w:rPr>
              <w:t>; Bellocca et al</w:t>
            </w:r>
            <w:r w:rsidRPr="00BF1AAB">
              <w:rPr>
                <w:rFonts w:ascii="Times New Roman" w:hAnsi="Times New Roman" w:cs="Times New Roman"/>
              </w:rPr>
              <w:t>., 2022</w:t>
            </w:r>
            <w:r>
              <w:rPr>
                <w:rFonts w:ascii="Times New Roman" w:hAnsi="Times New Roman" w:cs="Times New Roman"/>
              </w:rPr>
              <w:t xml:space="preserve">; </w:t>
            </w:r>
            <w:r w:rsidRPr="00BF1AAB">
              <w:rPr>
                <w:rFonts w:ascii="Times New Roman" w:hAnsi="Times New Roman" w:cs="Times New Roman"/>
              </w:rPr>
              <w:t>Qing et al., 2022</w:t>
            </w:r>
            <w:r>
              <w:rPr>
                <w:rFonts w:ascii="Times New Roman" w:hAnsi="Times New Roman" w:cs="Times New Roman"/>
              </w:rPr>
              <w:t>a</w:t>
            </w:r>
            <w:r w:rsidRPr="00BF1AAB">
              <w:rPr>
                <w:rFonts w:ascii="Times New Roman" w:hAnsi="Times New Roman" w:cs="Times New Roman"/>
              </w:rPr>
              <w:t>).</w:t>
            </w:r>
          </w:p>
        </w:tc>
      </w:tr>
      <w:tr w:rsidR="002E4C3C" w:rsidRPr="00BF1AAB" w14:paraId="549DB8CE" w14:textId="77777777" w:rsidTr="0011434D">
        <w:tc>
          <w:tcPr>
            <w:tcW w:w="0" w:type="auto"/>
          </w:tcPr>
          <w:p w14:paraId="5F098B4F"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Automated Trading Systems and Decentralized Finance Integration</w:t>
            </w:r>
          </w:p>
        </w:tc>
        <w:tc>
          <w:tcPr>
            <w:tcW w:w="0" w:type="auto"/>
          </w:tcPr>
          <w:p w14:paraId="0C325169"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8</w:t>
            </w:r>
            <w:r>
              <w:rPr>
                <w:rFonts w:ascii="Times New Roman" w:hAnsi="Times New Roman" w:cs="Times New Roman"/>
              </w:rPr>
              <w:t xml:space="preserve"> </w:t>
            </w:r>
            <w:r w:rsidRPr="00BF1AAB">
              <w:rPr>
                <w:rFonts w:ascii="Times New Roman" w:hAnsi="Times New Roman" w:cs="Times New Roman"/>
              </w:rPr>
              <w:t>Papers</w:t>
            </w:r>
          </w:p>
        </w:tc>
        <w:tc>
          <w:tcPr>
            <w:tcW w:w="0" w:type="auto"/>
          </w:tcPr>
          <w:p w14:paraId="0169D85A"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Research includes blockchain and smart contract integration with machine learning-based trading systems, enhancing transparency, automation, and security in cryptocurrency trading. These systems reduce barriers for investors and enable decentralized portfolio management (Lua et al., 2025</w:t>
            </w:r>
            <w:r>
              <w:rPr>
                <w:rFonts w:ascii="Times New Roman" w:hAnsi="Times New Roman" w:cs="Times New Roman"/>
              </w:rPr>
              <w:t xml:space="preserve">; </w:t>
            </w:r>
            <w:r w:rsidRPr="00BF1AAB">
              <w:rPr>
                <w:rFonts w:ascii="Times New Roman" w:hAnsi="Times New Roman" w:cs="Times New Roman"/>
              </w:rPr>
              <w:t>Mandych et al., 2023</w:t>
            </w:r>
            <w:r>
              <w:rPr>
                <w:rFonts w:ascii="Times New Roman" w:hAnsi="Times New Roman" w:cs="Times New Roman"/>
              </w:rPr>
              <w:t xml:space="preserve">; </w:t>
            </w:r>
            <w:r w:rsidRPr="00BF1AAB">
              <w:rPr>
                <w:rFonts w:ascii="Times New Roman" w:hAnsi="Times New Roman" w:cs="Times New Roman"/>
              </w:rPr>
              <w:t>Hou, 2025).</w:t>
            </w:r>
          </w:p>
        </w:tc>
      </w:tr>
      <w:tr w:rsidR="002E4C3C" w:rsidRPr="00BF1AAB" w14:paraId="06C45BD0" w14:textId="77777777" w:rsidTr="0011434D">
        <w:tc>
          <w:tcPr>
            <w:tcW w:w="0" w:type="auto"/>
          </w:tcPr>
          <w:p w14:paraId="41C794F2"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Arbitrage Detection and Statistical Trading Techniques Using Machine Learning</w:t>
            </w:r>
          </w:p>
        </w:tc>
        <w:tc>
          <w:tcPr>
            <w:tcW w:w="0" w:type="auto"/>
          </w:tcPr>
          <w:p w14:paraId="20A9F29D"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4</w:t>
            </w:r>
            <w:r>
              <w:rPr>
                <w:rFonts w:ascii="Times New Roman" w:hAnsi="Times New Roman" w:cs="Times New Roman"/>
              </w:rPr>
              <w:t xml:space="preserve"> </w:t>
            </w:r>
            <w:r w:rsidRPr="00BF1AAB">
              <w:rPr>
                <w:rFonts w:ascii="Times New Roman" w:hAnsi="Times New Roman" w:cs="Times New Roman"/>
              </w:rPr>
              <w:t>Papers</w:t>
            </w:r>
          </w:p>
        </w:tc>
        <w:tc>
          <w:tcPr>
            <w:tcW w:w="0" w:type="auto"/>
          </w:tcPr>
          <w:p w14:paraId="32CD3DB0" w14:textId="77777777" w:rsidR="002E4C3C" w:rsidRPr="00BF1AAB" w:rsidRDefault="002E4C3C" w:rsidP="0011434D">
            <w:pPr>
              <w:rPr>
                <w:rFonts w:ascii="Times New Roman" w:hAnsi="Times New Roman" w:cs="Times New Roman"/>
              </w:rPr>
            </w:pPr>
            <w:r w:rsidRPr="00BF1AAB">
              <w:rPr>
                <w:rFonts w:ascii="Times New Roman" w:hAnsi="Times New Roman" w:cs="Times New Roman"/>
              </w:rPr>
              <w:t>Machine learning models are utilized to identify arbitrage opportunities and apply statistical arbitrage trading strategies in cryptocurrency markets, offering potential for riskless profits but facing challenges due to rapid market changes (Okasová &amp; Košťál, 2024</w:t>
            </w:r>
            <w:r>
              <w:rPr>
                <w:rFonts w:ascii="Times New Roman" w:hAnsi="Times New Roman" w:cs="Times New Roman"/>
              </w:rPr>
              <w:t xml:space="preserve">; </w:t>
            </w:r>
            <w:r w:rsidRPr="00BF1AAB">
              <w:rPr>
                <w:rFonts w:ascii="Times New Roman" w:hAnsi="Times New Roman" w:cs="Times New Roman"/>
              </w:rPr>
              <w:t>Fischer et al., 2019).</w:t>
            </w:r>
          </w:p>
        </w:tc>
      </w:tr>
    </w:tbl>
    <w:p w14:paraId="3602E9FE" w14:textId="77777777" w:rsidR="002E4C3C" w:rsidRPr="0008207C" w:rsidRDefault="002E4C3C" w:rsidP="002E4C3C">
      <w:pPr>
        <w:spacing w:after="120"/>
        <w:jc w:val="both"/>
        <w:rPr>
          <w:rFonts w:ascii="Times New Roman" w:hAnsi="Times New Roman" w:cs="Times New Roman"/>
        </w:rPr>
      </w:pPr>
      <w:r w:rsidRPr="0008207C">
        <w:rPr>
          <w:rStyle w:val="Kiemels2"/>
          <w:rFonts w:ascii="Times New Roman" w:hAnsi="Times New Roman" w:cs="Times New Roman"/>
          <w:b w:val="0"/>
          <w:bCs w:val="0"/>
        </w:rPr>
        <w:t>Source:</w:t>
      </w:r>
      <w:r w:rsidRPr="0008207C">
        <w:rPr>
          <w:rFonts w:ascii="Times New Roman" w:hAnsi="Times New Roman" w:cs="Times New Roman"/>
        </w:rPr>
        <w:t xml:space="preserve"> Author’s own editing based on </w:t>
      </w:r>
      <w:r>
        <w:rPr>
          <w:rFonts w:ascii="Times New Roman" w:hAnsi="Times New Roman" w:cs="Times New Roman"/>
        </w:rPr>
        <w:t>reviewed articles</w:t>
      </w:r>
    </w:p>
    <w:p w14:paraId="29EC8741" w14:textId="12A6F526" w:rsidR="0011434D" w:rsidRDefault="0011434D">
      <w:r>
        <w:br w:type="page"/>
      </w:r>
    </w:p>
    <w:p w14:paraId="2A1764A2" w14:textId="53F9BBE8" w:rsidR="002E4C3C" w:rsidRPr="00162B6A" w:rsidRDefault="0011434D" w:rsidP="00162B6A">
      <w:pPr>
        <w:spacing w:before="100" w:beforeAutospacing="1" w:after="100" w:afterAutospacing="1" w:line="240" w:lineRule="auto"/>
        <w:jc w:val="both"/>
        <w:outlineLvl w:val="1"/>
        <w:rPr>
          <w:rFonts w:ascii="Times New Roman" w:eastAsia="Times New Roman" w:hAnsi="Times New Roman" w:cs="Times New Roman"/>
          <w:b/>
          <w:bCs/>
          <w:kern w:val="0"/>
          <w:sz w:val="32"/>
          <w:szCs w:val="32"/>
          <w:lang w:eastAsia="hu-HU"/>
          <w14:ligatures w14:val="none"/>
        </w:rPr>
      </w:pPr>
      <w:r w:rsidRPr="00162B6A">
        <w:rPr>
          <w:rFonts w:ascii="Times New Roman" w:eastAsia="Times New Roman" w:hAnsi="Times New Roman" w:cs="Times New Roman"/>
          <w:b/>
          <w:bCs/>
          <w:kern w:val="0"/>
          <w:sz w:val="32"/>
          <w:szCs w:val="32"/>
          <w:lang w:eastAsia="hu-HU"/>
          <w14:ligatures w14:val="none"/>
        </w:rPr>
        <w:lastRenderedPageBreak/>
        <w:t>A</w:t>
      </w:r>
      <w:r w:rsidR="00162B6A">
        <w:rPr>
          <w:rFonts w:ascii="Times New Roman" w:eastAsia="Times New Roman" w:hAnsi="Times New Roman" w:cs="Times New Roman"/>
          <w:b/>
          <w:bCs/>
          <w:kern w:val="0"/>
          <w:sz w:val="32"/>
          <w:szCs w:val="32"/>
          <w:lang w:eastAsia="hu-HU"/>
          <w14:ligatures w14:val="none"/>
        </w:rPr>
        <w:t>ppendix</w:t>
      </w:r>
      <w:r w:rsidRPr="00162B6A">
        <w:rPr>
          <w:rFonts w:ascii="Times New Roman" w:eastAsia="Times New Roman" w:hAnsi="Times New Roman" w:cs="Times New Roman"/>
          <w:b/>
          <w:bCs/>
          <w:kern w:val="0"/>
          <w:sz w:val="32"/>
          <w:szCs w:val="32"/>
          <w:lang w:eastAsia="hu-HU"/>
          <w14:ligatures w14:val="none"/>
        </w:rPr>
        <w:t xml:space="preserve"> D: Extended Strength/Weakness Matrix</w:t>
      </w:r>
    </w:p>
    <w:p w14:paraId="5D8D249D" w14:textId="40FFDBCF" w:rsidR="0011434D" w:rsidRDefault="00162B6A" w:rsidP="0011434D">
      <w:pPr>
        <w:jc w:val="both"/>
      </w:pPr>
      <w:r w:rsidRPr="00162B6A">
        <w:t>Appendix D contains the full, original version of Table 4, which presents the methodological, algorithmic, and application-specific strengths and limitations of the reviewed studies in complete detail. While the condensed table in the main text summarises the core aspects, the appendix expands each cell with examples, specific study references, and practical implementations. The purpose of this extended version is to maintain transparency and reproducibility without compromising the readability of the main text.</w:t>
      </w:r>
    </w:p>
    <w:p w14:paraId="772414A7" w14:textId="6B1B0702" w:rsidR="0011434D" w:rsidRPr="00BF1AAB" w:rsidRDefault="0011434D" w:rsidP="0011434D">
      <w:pPr>
        <w:spacing w:after="120" w:line="240" w:lineRule="auto"/>
        <w:jc w:val="both"/>
        <w:outlineLvl w:val="1"/>
        <w:rPr>
          <w:rFonts w:ascii="Times New Roman" w:eastAsia="Times New Roman" w:hAnsi="Times New Roman" w:cs="Times New Roman"/>
          <w:kern w:val="0"/>
          <w:lang w:eastAsia="hu-HU"/>
          <w14:ligatures w14:val="none"/>
        </w:rPr>
      </w:pPr>
      <w:r w:rsidRPr="00BF1AAB">
        <w:rPr>
          <w:rFonts w:ascii="Times New Roman" w:eastAsia="Times New Roman" w:hAnsi="Times New Roman" w:cs="Times New Roman"/>
          <w:b/>
          <w:bCs/>
          <w:kern w:val="0"/>
          <w:lang w:eastAsia="hu-HU"/>
          <w14:ligatures w14:val="none"/>
        </w:rPr>
        <w:t xml:space="preserve">Table </w:t>
      </w:r>
      <w:r>
        <w:rPr>
          <w:rFonts w:ascii="Times New Roman" w:eastAsia="Times New Roman" w:hAnsi="Times New Roman" w:cs="Times New Roman"/>
          <w:b/>
          <w:bCs/>
          <w:kern w:val="0"/>
          <w:lang w:eastAsia="hu-HU"/>
          <w14:ligatures w14:val="none"/>
        </w:rPr>
        <w:t>4</w:t>
      </w:r>
      <w:r w:rsidRPr="00BF1AAB">
        <w:rPr>
          <w:rFonts w:ascii="Times New Roman" w:eastAsia="Times New Roman" w:hAnsi="Times New Roman" w:cs="Times New Roman"/>
          <w:b/>
          <w:bCs/>
          <w:kern w:val="0"/>
          <w:lang w:eastAsia="hu-HU"/>
          <w14:ligatures w14:val="none"/>
        </w:rPr>
        <w:t>.</w:t>
      </w:r>
      <w:r w:rsidRPr="00BF1AAB">
        <w:rPr>
          <w:rFonts w:ascii="Times New Roman" w:eastAsia="Times New Roman" w:hAnsi="Times New Roman" w:cs="Times New Roman"/>
          <w:kern w:val="0"/>
          <w:lang w:eastAsia="hu-HU"/>
          <w14:ligatures w14:val="none"/>
        </w:rPr>
        <w:t xml:space="preserve"> </w:t>
      </w:r>
      <w:r w:rsidRPr="0011434D">
        <w:rPr>
          <w:rFonts w:ascii="Times New Roman" w:eastAsia="Times New Roman" w:hAnsi="Times New Roman" w:cs="Times New Roman"/>
          <w:kern w:val="0"/>
          <w:lang w:eastAsia="hu-HU"/>
          <w14:ligatures w14:val="none"/>
        </w:rPr>
        <w:t>Comparative Matrix of Strengths and Weaknesses in Reviewed Studies on Machine Learning for Cryptocurrency Trading</w:t>
      </w:r>
    </w:p>
    <w:tbl>
      <w:tblPr>
        <w:tblW w:w="0" w:type="auto"/>
        <w:tblBorders>
          <w:top w:val="single" w:sz="12" w:space="0" w:color="auto"/>
          <w:bottom w:val="single" w:sz="12" w:space="0" w:color="auto"/>
          <w:insideH w:val="single" w:sz="4" w:space="0" w:color="auto"/>
        </w:tblBorders>
        <w:tblCellMar>
          <w:left w:w="10" w:type="dxa"/>
          <w:right w:w="10" w:type="dxa"/>
        </w:tblCellMar>
        <w:tblLook w:val="04A0" w:firstRow="1" w:lastRow="0" w:firstColumn="1" w:lastColumn="0" w:noHBand="0" w:noVBand="1"/>
      </w:tblPr>
      <w:tblGrid>
        <w:gridCol w:w="1777"/>
        <w:gridCol w:w="3576"/>
        <w:gridCol w:w="3719"/>
      </w:tblGrid>
      <w:tr w:rsidR="0011434D" w:rsidRPr="00BF1AAB" w14:paraId="6944919A" w14:textId="77777777" w:rsidTr="0011434D">
        <w:tc>
          <w:tcPr>
            <w:tcW w:w="0" w:type="auto"/>
            <w:tcBorders>
              <w:top w:val="single" w:sz="12" w:space="0" w:color="auto"/>
              <w:bottom w:val="single" w:sz="12" w:space="0" w:color="auto"/>
            </w:tcBorders>
          </w:tcPr>
          <w:p w14:paraId="3E393BF6" w14:textId="77777777" w:rsidR="0011434D" w:rsidRPr="00BF1AAB" w:rsidRDefault="0011434D" w:rsidP="0011434D">
            <w:pPr>
              <w:rPr>
                <w:rFonts w:ascii="Times New Roman" w:hAnsi="Times New Roman" w:cs="Times New Roman"/>
                <w:b/>
                <w:bCs/>
              </w:rPr>
            </w:pPr>
            <w:r w:rsidRPr="00BF1AAB">
              <w:rPr>
                <w:rFonts w:ascii="Times New Roman" w:hAnsi="Times New Roman" w:cs="Times New Roman"/>
                <w:b/>
                <w:bCs/>
              </w:rPr>
              <w:t>Aspect</w:t>
            </w:r>
          </w:p>
        </w:tc>
        <w:tc>
          <w:tcPr>
            <w:tcW w:w="0" w:type="auto"/>
            <w:tcBorders>
              <w:top w:val="single" w:sz="12" w:space="0" w:color="auto"/>
              <w:bottom w:val="single" w:sz="12" w:space="0" w:color="auto"/>
            </w:tcBorders>
          </w:tcPr>
          <w:p w14:paraId="34BE186C" w14:textId="77777777" w:rsidR="0011434D" w:rsidRPr="00BF1AAB" w:rsidRDefault="0011434D" w:rsidP="0011434D">
            <w:pPr>
              <w:rPr>
                <w:rFonts w:ascii="Times New Roman" w:hAnsi="Times New Roman" w:cs="Times New Roman"/>
                <w:b/>
                <w:bCs/>
              </w:rPr>
            </w:pPr>
            <w:r w:rsidRPr="00BF1AAB">
              <w:rPr>
                <w:rFonts w:ascii="Times New Roman" w:hAnsi="Times New Roman" w:cs="Times New Roman"/>
                <w:b/>
                <w:bCs/>
              </w:rPr>
              <w:t>Strengths</w:t>
            </w:r>
          </w:p>
        </w:tc>
        <w:tc>
          <w:tcPr>
            <w:tcW w:w="0" w:type="auto"/>
            <w:tcBorders>
              <w:top w:val="single" w:sz="12" w:space="0" w:color="auto"/>
              <w:bottom w:val="single" w:sz="12" w:space="0" w:color="auto"/>
            </w:tcBorders>
          </w:tcPr>
          <w:p w14:paraId="7BBBA8B8" w14:textId="77777777" w:rsidR="0011434D" w:rsidRPr="00BF1AAB" w:rsidRDefault="0011434D" w:rsidP="0011434D">
            <w:pPr>
              <w:rPr>
                <w:rFonts w:ascii="Times New Roman" w:hAnsi="Times New Roman" w:cs="Times New Roman"/>
                <w:b/>
                <w:bCs/>
              </w:rPr>
            </w:pPr>
            <w:r w:rsidRPr="00BF1AAB">
              <w:rPr>
                <w:rFonts w:ascii="Times New Roman" w:hAnsi="Times New Roman" w:cs="Times New Roman"/>
                <w:b/>
                <w:bCs/>
              </w:rPr>
              <w:t>Weaknesses</w:t>
            </w:r>
          </w:p>
        </w:tc>
      </w:tr>
      <w:tr w:rsidR="0011434D" w:rsidRPr="00BF1AAB" w14:paraId="735B0734" w14:textId="77777777" w:rsidTr="0011434D">
        <w:tc>
          <w:tcPr>
            <w:tcW w:w="0" w:type="auto"/>
            <w:tcBorders>
              <w:top w:val="single" w:sz="12" w:space="0" w:color="auto"/>
            </w:tcBorders>
          </w:tcPr>
          <w:p w14:paraId="0692BD68"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Methodological Approaches</w:t>
            </w:r>
          </w:p>
        </w:tc>
        <w:tc>
          <w:tcPr>
            <w:tcW w:w="0" w:type="auto"/>
            <w:tcBorders>
              <w:top w:val="single" w:sz="12" w:space="0" w:color="auto"/>
            </w:tcBorders>
          </w:tcPr>
          <w:p w14:paraId="4678E6F1"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The literature employs a broad spectrum of ML techniques, including neural networks, reinforcement learning, genetic algorithms, and ensemble methods, demonstrating adaptability to complex market dynamics and non-linear patterns (Lu et al., 2024</w:t>
            </w:r>
            <w:r>
              <w:rPr>
                <w:rFonts w:ascii="Times New Roman" w:hAnsi="Times New Roman" w:cs="Times New Roman"/>
              </w:rPr>
              <w:t xml:space="preserve">; </w:t>
            </w:r>
            <w:r w:rsidRPr="00BF1AAB">
              <w:rPr>
                <w:rFonts w:ascii="Times New Roman" w:hAnsi="Times New Roman" w:cs="Times New Roman"/>
              </w:rPr>
              <w:t>Su, 2024</w:t>
            </w:r>
            <w:r>
              <w:rPr>
                <w:rFonts w:ascii="Times New Roman" w:hAnsi="Times New Roman" w:cs="Times New Roman"/>
              </w:rPr>
              <w:t xml:space="preserve">; </w:t>
            </w:r>
            <w:r w:rsidRPr="00BF1AAB">
              <w:rPr>
                <w:rFonts w:ascii="Times New Roman" w:hAnsi="Times New Roman" w:cs="Times New Roman"/>
              </w:rPr>
              <w:t>Song, 2025</w:t>
            </w:r>
            <w:r>
              <w:rPr>
                <w:rFonts w:ascii="Times New Roman" w:hAnsi="Times New Roman" w:cs="Times New Roman"/>
              </w:rPr>
              <w:t xml:space="preserve">; </w:t>
            </w:r>
            <w:r w:rsidRPr="00BF1AAB">
              <w:rPr>
                <w:rFonts w:ascii="Times New Roman" w:hAnsi="Times New Roman" w:cs="Times New Roman"/>
              </w:rPr>
              <w:t>Otabek &amp; Choi, 2024). Rigorous backtesting, cross-validation, and real-world trading simulations enhance the credibility of findings (Huang, 2024</w:t>
            </w:r>
            <w:r>
              <w:rPr>
                <w:rFonts w:ascii="Times New Roman" w:hAnsi="Times New Roman" w:cs="Times New Roman"/>
              </w:rPr>
              <w:t xml:space="preserve">; </w:t>
            </w:r>
            <w:r w:rsidRPr="00BF1AAB">
              <w:rPr>
                <w:rFonts w:ascii="Times New Roman" w:hAnsi="Times New Roman" w:cs="Times New Roman"/>
              </w:rPr>
              <w:t>Jabbar &amp; Jalil, 2024</w:t>
            </w:r>
            <w:r>
              <w:rPr>
                <w:rFonts w:ascii="Times New Roman" w:hAnsi="Times New Roman" w:cs="Times New Roman"/>
              </w:rPr>
              <w:t xml:space="preserve">; </w:t>
            </w:r>
            <w:r w:rsidRPr="00BF1AAB">
              <w:rPr>
                <w:rFonts w:ascii="Times New Roman" w:hAnsi="Times New Roman" w:cs="Times New Roman"/>
              </w:rPr>
              <w:t>Sattarov et al., 2020). The integration of hybrid models, such as combining deep learning with Hidden Markov Models or causal analysis, further strengthens predictive capabilities (Toleti et al., 2024</w:t>
            </w:r>
            <w:r>
              <w:rPr>
                <w:rFonts w:ascii="Times New Roman" w:hAnsi="Times New Roman" w:cs="Times New Roman"/>
              </w:rPr>
              <w:t xml:space="preserve">; </w:t>
            </w:r>
            <w:r w:rsidRPr="00BF1AAB">
              <w:rPr>
                <w:rFonts w:ascii="Times New Roman" w:hAnsi="Times New Roman" w:cs="Times New Roman"/>
              </w:rPr>
              <w:t>Amirzadeh et al., 2023).</w:t>
            </w:r>
          </w:p>
        </w:tc>
        <w:tc>
          <w:tcPr>
            <w:tcW w:w="0" w:type="auto"/>
            <w:tcBorders>
              <w:top w:val="single" w:sz="12" w:space="0" w:color="auto"/>
            </w:tcBorders>
          </w:tcPr>
          <w:p w14:paraId="2740932E"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Despite methodological diversity, many studies rely heavily on historical data with limited temporal scope, which may not capture evolving market regimes or rare events (Viéitez et al., 2024</w:t>
            </w:r>
            <w:r>
              <w:rPr>
                <w:rFonts w:ascii="Times New Roman" w:hAnsi="Times New Roman" w:cs="Times New Roman"/>
              </w:rPr>
              <w:t xml:space="preserve">; </w:t>
            </w:r>
            <w:r w:rsidRPr="00BF1AAB">
              <w:rPr>
                <w:rFonts w:ascii="Times New Roman" w:hAnsi="Times New Roman" w:cs="Times New Roman"/>
              </w:rPr>
              <w:t>Belcastro et al., 2023). Some models exhibit overfitting risks due to high parameterization and insufficient out-of-sample validation (Srivastava &amp; Sikroria, 2024</w:t>
            </w:r>
            <w:r>
              <w:rPr>
                <w:rFonts w:ascii="Times New Roman" w:hAnsi="Times New Roman" w:cs="Times New Roman"/>
              </w:rPr>
              <w:t xml:space="preserve">; </w:t>
            </w:r>
            <w:r w:rsidRPr="00BF1AAB">
              <w:rPr>
                <w:rFonts w:ascii="Times New Roman" w:hAnsi="Times New Roman" w:cs="Times New Roman"/>
              </w:rPr>
              <w:t xml:space="preserve">Sebastião &amp; Godinho, 2021). The heterogeneity in data preprocessing and feature selection complicates direct comparison and replication </w:t>
            </w:r>
            <w:r>
              <w:rPr>
                <w:rFonts w:ascii="Times New Roman" w:hAnsi="Times New Roman" w:cs="Times New Roman"/>
              </w:rPr>
              <w:t>(</w:t>
            </w:r>
            <w:r w:rsidRPr="007B08BF">
              <w:rPr>
                <w:rFonts w:ascii="Times New Roman" w:hAnsi="Times New Roman" w:cs="Times New Roman"/>
              </w:rPr>
              <w:t xml:space="preserve">Sruthi </w:t>
            </w:r>
            <w:r>
              <w:rPr>
                <w:rFonts w:ascii="Times New Roman" w:hAnsi="Times New Roman" w:cs="Times New Roman"/>
              </w:rPr>
              <w:t xml:space="preserve">&amp; </w:t>
            </w:r>
            <w:r w:rsidRPr="007B08BF">
              <w:rPr>
                <w:rFonts w:ascii="Times New Roman" w:hAnsi="Times New Roman" w:cs="Times New Roman"/>
              </w:rPr>
              <w:t>Shahithabanu</w:t>
            </w:r>
            <w:r>
              <w:rPr>
                <w:rFonts w:ascii="Times New Roman" w:hAnsi="Times New Roman" w:cs="Times New Roman"/>
              </w:rPr>
              <w:t>,</w:t>
            </w:r>
            <w:r w:rsidRPr="00BF1AAB">
              <w:rPr>
                <w:rFonts w:ascii="Times New Roman" w:hAnsi="Times New Roman" w:cs="Times New Roman"/>
              </w:rPr>
              <w:t xml:space="preserve"> 2024</w:t>
            </w:r>
            <w:r>
              <w:rPr>
                <w:rFonts w:ascii="Times New Roman" w:hAnsi="Times New Roman" w:cs="Times New Roman"/>
              </w:rPr>
              <w:t xml:space="preserve">; </w:t>
            </w:r>
            <w:r w:rsidRPr="00BF1AAB">
              <w:rPr>
                <w:rFonts w:ascii="Times New Roman" w:hAnsi="Times New Roman" w:cs="Times New Roman"/>
              </w:rPr>
              <w:t>Sebastião &amp; Godinho, 2021). Moreover, few studies address the impact of transaction costs and slippage comprehensively (Lam &amp; Makarov, 2023).</w:t>
            </w:r>
          </w:p>
        </w:tc>
      </w:tr>
      <w:tr w:rsidR="0011434D" w:rsidRPr="00BF1AAB" w14:paraId="1BCB6343" w14:textId="77777777" w:rsidTr="0011434D">
        <w:tc>
          <w:tcPr>
            <w:tcW w:w="0" w:type="auto"/>
          </w:tcPr>
          <w:p w14:paraId="06303846"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Algorithmic Performance and Predictive Accuracy</w:t>
            </w:r>
          </w:p>
        </w:tc>
        <w:tc>
          <w:tcPr>
            <w:tcW w:w="0" w:type="auto"/>
          </w:tcPr>
          <w:p w14:paraId="02EB9BF1"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ML models, particularly LSTM, GRU, Random Forest, and reinforcement learning algorithms like PPO and DDPG, consistently outperform traditional benchmarks such as buy-and-hold strategies, achieving significant returns and improved Sharpe ratios (Lu et al., 2024</w:t>
            </w:r>
            <w:r>
              <w:rPr>
                <w:rFonts w:ascii="Times New Roman" w:hAnsi="Times New Roman" w:cs="Times New Roman"/>
              </w:rPr>
              <w:t xml:space="preserve">; </w:t>
            </w:r>
            <w:r w:rsidRPr="00BF1AAB">
              <w:rPr>
                <w:rFonts w:ascii="Times New Roman" w:hAnsi="Times New Roman" w:cs="Times New Roman"/>
              </w:rPr>
              <w:t>Lua et al., 2025</w:t>
            </w:r>
            <w:r>
              <w:rPr>
                <w:rFonts w:ascii="Times New Roman" w:hAnsi="Times New Roman" w:cs="Times New Roman"/>
              </w:rPr>
              <w:t xml:space="preserve">; </w:t>
            </w:r>
            <w:r w:rsidRPr="00BF1AAB">
              <w:rPr>
                <w:rFonts w:ascii="Times New Roman" w:hAnsi="Times New Roman" w:cs="Times New Roman"/>
              </w:rPr>
              <w:t xml:space="preserve">Kang et al., </w:t>
            </w:r>
            <w:r w:rsidRPr="00BF1AAB">
              <w:rPr>
                <w:rFonts w:ascii="Times New Roman" w:hAnsi="Times New Roman" w:cs="Times New Roman"/>
              </w:rPr>
              <w:lastRenderedPageBreak/>
              <w:t>2024</w:t>
            </w:r>
            <w:r>
              <w:rPr>
                <w:rFonts w:ascii="Times New Roman" w:hAnsi="Times New Roman" w:cs="Times New Roman"/>
              </w:rPr>
              <w:t xml:space="preserve">; </w:t>
            </w:r>
            <w:r w:rsidRPr="00BF1AAB">
              <w:rPr>
                <w:rFonts w:ascii="Times New Roman" w:hAnsi="Times New Roman" w:cs="Times New Roman"/>
              </w:rPr>
              <w:t>Otabek &amp; Choi, 2024</w:t>
            </w:r>
            <w:r>
              <w:rPr>
                <w:rFonts w:ascii="Times New Roman" w:hAnsi="Times New Roman" w:cs="Times New Roman"/>
              </w:rPr>
              <w:t xml:space="preserve">; </w:t>
            </w:r>
            <w:r w:rsidRPr="00BF1AAB">
              <w:rPr>
                <w:rFonts w:ascii="Times New Roman" w:hAnsi="Times New Roman" w:cs="Times New Roman"/>
              </w:rPr>
              <w:t>Lucarelli &amp; Borrotti, 2019). The use of sentiment analysis and social media data enhances prediction robustness in some cases (Viéitez et al., 2024</w:t>
            </w:r>
            <w:r>
              <w:rPr>
                <w:rFonts w:ascii="Times New Roman" w:hAnsi="Times New Roman" w:cs="Times New Roman"/>
              </w:rPr>
              <w:t xml:space="preserve">; </w:t>
            </w:r>
            <w:r w:rsidRPr="00BF1AAB">
              <w:rPr>
                <w:rFonts w:ascii="Times New Roman" w:hAnsi="Times New Roman" w:cs="Times New Roman"/>
              </w:rPr>
              <w:t>Belcastro et al., 2023</w:t>
            </w:r>
            <w:r>
              <w:rPr>
                <w:rFonts w:ascii="Times New Roman" w:hAnsi="Times New Roman" w:cs="Times New Roman"/>
              </w:rPr>
              <w:t xml:space="preserve">; </w:t>
            </w:r>
            <w:r w:rsidRPr="00BF1AAB">
              <w:rPr>
                <w:rFonts w:ascii="Times New Roman" w:hAnsi="Times New Roman" w:cs="Times New Roman"/>
              </w:rPr>
              <w:t>Avramelou et al., 2023). Reinforcement learning frameworks demonstrate adaptability to market volatility and dynamic portfolio optimization (Kang et al., 2024</w:t>
            </w:r>
            <w:r>
              <w:rPr>
                <w:rFonts w:ascii="Times New Roman" w:hAnsi="Times New Roman" w:cs="Times New Roman"/>
              </w:rPr>
              <w:t xml:space="preserve">; </w:t>
            </w:r>
            <w:r w:rsidRPr="00BF1AAB">
              <w:rPr>
                <w:rFonts w:ascii="Times New Roman" w:hAnsi="Times New Roman" w:cs="Times New Roman"/>
              </w:rPr>
              <w:t>Zhao et al., 2024</w:t>
            </w:r>
            <w:r>
              <w:rPr>
                <w:rFonts w:ascii="Times New Roman" w:hAnsi="Times New Roman" w:cs="Times New Roman"/>
              </w:rPr>
              <w:t xml:space="preserve">; </w:t>
            </w:r>
            <w:r w:rsidRPr="00BF1AAB">
              <w:rPr>
                <w:rFonts w:ascii="Times New Roman" w:hAnsi="Times New Roman" w:cs="Times New Roman"/>
              </w:rPr>
              <w:t xml:space="preserve">Kumlungmak, </w:t>
            </w:r>
            <w:r>
              <w:rPr>
                <w:rFonts w:ascii="Times New Roman" w:hAnsi="Times New Roman" w:cs="Times New Roman"/>
              </w:rPr>
              <w:t>2024</w:t>
            </w:r>
            <w:r w:rsidRPr="00BF1AAB">
              <w:rPr>
                <w:rFonts w:ascii="Times New Roman" w:hAnsi="Times New Roman" w:cs="Times New Roman"/>
              </w:rPr>
              <w:t>).</w:t>
            </w:r>
          </w:p>
        </w:tc>
        <w:tc>
          <w:tcPr>
            <w:tcW w:w="0" w:type="auto"/>
          </w:tcPr>
          <w:p w14:paraId="23CA1D1B"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lastRenderedPageBreak/>
              <w:t>Performance gains are often context-specific, with some models showing diminished effectiveness during extreme market conditions or bearish phases (Sebastião &amp; Godinho, 2021</w:t>
            </w:r>
            <w:r>
              <w:rPr>
                <w:rFonts w:ascii="Times New Roman" w:hAnsi="Times New Roman" w:cs="Times New Roman"/>
              </w:rPr>
              <w:t xml:space="preserve">; </w:t>
            </w:r>
            <w:r w:rsidRPr="00BF1AAB">
              <w:rPr>
                <w:rFonts w:ascii="Times New Roman" w:hAnsi="Times New Roman" w:cs="Times New Roman"/>
              </w:rPr>
              <w:t xml:space="preserve">Kumlungmak, </w:t>
            </w:r>
            <w:r>
              <w:rPr>
                <w:rFonts w:ascii="Times New Roman" w:hAnsi="Times New Roman" w:cs="Times New Roman"/>
              </w:rPr>
              <w:t>2024</w:t>
            </w:r>
            <w:r w:rsidRPr="00BF1AAB">
              <w:rPr>
                <w:rFonts w:ascii="Times New Roman" w:hAnsi="Times New Roman" w:cs="Times New Roman"/>
              </w:rPr>
              <w:t xml:space="preserve">). Sentiment analysis integration yields mixed results, with limited incremental benefit in certain studies (Viéitez et </w:t>
            </w:r>
            <w:r w:rsidRPr="00BF1AAB">
              <w:rPr>
                <w:rFonts w:ascii="Times New Roman" w:hAnsi="Times New Roman" w:cs="Times New Roman"/>
              </w:rPr>
              <w:lastRenderedPageBreak/>
              <w:t>al., 2024). The computational complexity and training time of deep models may hinder real-time applicability (Huang, 2024</w:t>
            </w:r>
            <w:r>
              <w:rPr>
                <w:rFonts w:ascii="Times New Roman" w:hAnsi="Times New Roman" w:cs="Times New Roman"/>
              </w:rPr>
              <w:t xml:space="preserve">; </w:t>
            </w:r>
            <w:r w:rsidRPr="00BF1AAB">
              <w:rPr>
                <w:rFonts w:ascii="Times New Roman" w:hAnsi="Times New Roman" w:cs="Times New Roman"/>
              </w:rPr>
              <w:t>Lam &amp; Makarov, 2023). Additionally, the lack of standardized evaluation metrics and inconsistent reporting of risk-adjusted returns limit comprehensive assessment (Jabbar &amp; Jalil, 2024</w:t>
            </w:r>
            <w:r>
              <w:rPr>
                <w:rFonts w:ascii="Times New Roman" w:hAnsi="Times New Roman" w:cs="Times New Roman"/>
              </w:rPr>
              <w:t xml:space="preserve">; </w:t>
            </w:r>
            <w:r w:rsidRPr="00BF1AAB">
              <w:rPr>
                <w:rFonts w:ascii="Times New Roman" w:hAnsi="Times New Roman" w:cs="Times New Roman"/>
              </w:rPr>
              <w:t>Srivastava &amp; Sikroria, 2024).</w:t>
            </w:r>
          </w:p>
        </w:tc>
      </w:tr>
      <w:tr w:rsidR="0011434D" w:rsidRPr="00BF1AAB" w14:paraId="67B2BC62" w14:textId="77777777" w:rsidTr="0011434D">
        <w:tc>
          <w:tcPr>
            <w:tcW w:w="0" w:type="auto"/>
          </w:tcPr>
          <w:p w14:paraId="64ABD2A3"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lastRenderedPageBreak/>
              <w:t>Risk Management and Volatility Handling</w:t>
            </w:r>
          </w:p>
        </w:tc>
        <w:tc>
          <w:tcPr>
            <w:tcW w:w="0" w:type="auto"/>
          </w:tcPr>
          <w:p w14:paraId="2EBC9421"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Several studies incorporate risk-adjusted metrics such as Sharpe ratio, Value at Risk (VaR), and drawdown controls, demonstrating ML’s capacity to balance profitability with risk mitigation (Huang, 2024</w:t>
            </w:r>
            <w:r>
              <w:rPr>
                <w:rFonts w:ascii="Times New Roman" w:hAnsi="Times New Roman" w:cs="Times New Roman"/>
              </w:rPr>
              <w:t xml:space="preserve">; </w:t>
            </w:r>
            <w:r w:rsidRPr="00BF1AAB">
              <w:rPr>
                <w:rFonts w:ascii="Times New Roman" w:hAnsi="Times New Roman" w:cs="Times New Roman"/>
              </w:rPr>
              <w:t>Kang et al., 2024</w:t>
            </w:r>
            <w:r>
              <w:rPr>
                <w:rFonts w:ascii="Times New Roman" w:hAnsi="Times New Roman" w:cs="Times New Roman"/>
              </w:rPr>
              <w:t xml:space="preserve">; </w:t>
            </w:r>
            <w:r w:rsidRPr="00BF1AAB">
              <w:rPr>
                <w:rFonts w:ascii="Times New Roman" w:hAnsi="Times New Roman" w:cs="Times New Roman"/>
              </w:rPr>
              <w:t>Zhao et al., 2024</w:t>
            </w:r>
            <w:r>
              <w:rPr>
                <w:rFonts w:ascii="Times New Roman" w:hAnsi="Times New Roman" w:cs="Times New Roman"/>
              </w:rPr>
              <w:t xml:space="preserve">; </w:t>
            </w:r>
            <w:r w:rsidRPr="00BF1AAB">
              <w:rPr>
                <w:rFonts w:ascii="Times New Roman" w:hAnsi="Times New Roman" w:cs="Times New Roman"/>
              </w:rPr>
              <w:t>Koker &amp; Koutmos, 2020). Hybrid approaches combining technical indicators with ML models improve robustness against market noise and volatility (Lu et al., 2024) (Kouloumpris &amp; Vlahavas, 2023) (Alaminos et al., 2024). Reinforcement learning agents are designed with reward functions and safety mechanisms to reduce exposure during uncertain periods (Kouloumpris &amp; Vlahavas, 2023).</w:t>
            </w:r>
          </w:p>
        </w:tc>
        <w:tc>
          <w:tcPr>
            <w:tcW w:w="0" w:type="auto"/>
          </w:tcPr>
          <w:p w14:paraId="138B7275"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Risk management strategies are often heuristic or model-specific, lacking universal frameworks applicable across different cryptocurrencies or market conditions (Kouloumpris &amp; Vlahavas, 2023</w:t>
            </w:r>
            <w:r>
              <w:rPr>
                <w:rFonts w:ascii="Times New Roman" w:hAnsi="Times New Roman" w:cs="Times New Roman"/>
              </w:rPr>
              <w:t xml:space="preserve">; </w:t>
            </w:r>
            <w:r w:rsidRPr="00BF1AAB">
              <w:rPr>
                <w:rFonts w:ascii="Times New Roman" w:hAnsi="Times New Roman" w:cs="Times New Roman"/>
              </w:rPr>
              <w:t xml:space="preserve">Kumlungmak, </w:t>
            </w:r>
            <w:r>
              <w:rPr>
                <w:rFonts w:ascii="Times New Roman" w:hAnsi="Times New Roman" w:cs="Times New Roman"/>
              </w:rPr>
              <w:t>2024</w:t>
            </w:r>
            <w:r w:rsidRPr="00BF1AAB">
              <w:rPr>
                <w:rFonts w:ascii="Times New Roman" w:hAnsi="Times New Roman" w:cs="Times New Roman"/>
              </w:rPr>
              <w:t>). Some reinforcement learning models prioritize profit maximization at the expense of risk awareness, leading to potential overexposure (Kouloumpris &amp; Vlahavas, 2023</w:t>
            </w:r>
            <w:r>
              <w:rPr>
                <w:rFonts w:ascii="Times New Roman" w:hAnsi="Times New Roman" w:cs="Times New Roman"/>
              </w:rPr>
              <w:t xml:space="preserve">; </w:t>
            </w:r>
            <w:r w:rsidRPr="00BF1AAB">
              <w:rPr>
                <w:rFonts w:ascii="Times New Roman" w:hAnsi="Times New Roman" w:cs="Times New Roman"/>
              </w:rPr>
              <w:t>Asgari &amp; Khasteh, 202</w:t>
            </w:r>
            <w:r>
              <w:rPr>
                <w:rFonts w:ascii="Times New Roman" w:hAnsi="Times New Roman" w:cs="Times New Roman"/>
              </w:rPr>
              <w:t>1</w:t>
            </w:r>
            <w:r w:rsidRPr="00BF1AAB">
              <w:rPr>
                <w:rFonts w:ascii="Times New Roman" w:hAnsi="Times New Roman" w:cs="Times New Roman"/>
              </w:rPr>
              <w:t>). The challenge of modeling extreme tail risks and sudden market shocks remains insufficiently addressed (Alaminos et al., 2024). Furthermore, the impact of leverage and liquidity constraints is rarely considered (Fischer et al., 2019).</w:t>
            </w:r>
          </w:p>
        </w:tc>
      </w:tr>
      <w:tr w:rsidR="0011434D" w:rsidRPr="00BF1AAB" w14:paraId="2CB158F2" w14:textId="77777777" w:rsidTr="0011434D">
        <w:tc>
          <w:tcPr>
            <w:tcW w:w="0" w:type="auto"/>
          </w:tcPr>
          <w:p w14:paraId="4EF1D930"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Integration within Fintech Infrastructure</w:t>
            </w:r>
          </w:p>
        </w:tc>
        <w:tc>
          <w:tcPr>
            <w:tcW w:w="0" w:type="auto"/>
          </w:tcPr>
          <w:p w14:paraId="2F25DB42"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The integration of ML models with blockchain technologies, smart contracts, and decentralized applications (dApps) enhances transparency, automation, and accessibility in cryptocurrency trading (Lua et al., 2025) (Pasupuleti, 2024</w:t>
            </w:r>
            <w:r>
              <w:rPr>
                <w:rFonts w:ascii="Times New Roman" w:hAnsi="Times New Roman" w:cs="Times New Roman"/>
              </w:rPr>
              <w:t xml:space="preserve">; </w:t>
            </w:r>
            <w:r w:rsidRPr="00BF1AAB">
              <w:rPr>
                <w:rFonts w:ascii="Times New Roman" w:hAnsi="Times New Roman" w:cs="Times New Roman"/>
              </w:rPr>
              <w:t xml:space="preserve">Mandych et al., 2023). Studies highlight the </w:t>
            </w:r>
            <w:r w:rsidRPr="00BF1AAB">
              <w:rPr>
                <w:rFonts w:ascii="Times New Roman" w:hAnsi="Times New Roman" w:cs="Times New Roman"/>
              </w:rPr>
              <w:lastRenderedPageBreak/>
              <w:t>potential for ML-driven portfolio management systems to reduce barriers for retail investors and improve operational efficiency (Lua et al., 2025</w:t>
            </w:r>
            <w:r>
              <w:rPr>
                <w:rFonts w:ascii="Times New Roman" w:hAnsi="Times New Roman" w:cs="Times New Roman"/>
              </w:rPr>
              <w:t xml:space="preserve">; </w:t>
            </w:r>
            <w:r w:rsidRPr="00BF1AAB">
              <w:rPr>
                <w:rFonts w:ascii="Times New Roman" w:hAnsi="Times New Roman" w:cs="Times New Roman"/>
              </w:rPr>
              <w:t>Ramkumar, 2021). The use of oracles and on-chain verification mechanisms supports real-time, trustless trading environments (Lua et al., 2025).</w:t>
            </w:r>
          </w:p>
        </w:tc>
        <w:tc>
          <w:tcPr>
            <w:tcW w:w="0" w:type="auto"/>
          </w:tcPr>
          <w:p w14:paraId="5A593E21"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lastRenderedPageBreak/>
              <w:t xml:space="preserve">Practical deployment challenges include scalability, latency, and security vulnerabilities inherent in blockchain-based systems (Mandych et al., 2023). The complexity of integrating ML predictions with decentralized finance (DeFi) protocols is underexplored (Pasupuleti, 2024). Many studies remain theoretical or </w:t>
            </w:r>
            <w:r w:rsidRPr="00BF1AAB">
              <w:rPr>
                <w:rFonts w:ascii="Times New Roman" w:hAnsi="Times New Roman" w:cs="Times New Roman"/>
              </w:rPr>
              <w:lastRenderedPageBreak/>
              <w:t>simulation-based without full implementation in live fintech ecosystems</w:t>
            </w:r>
            <w:r>
              <w:rPr>
                <w:rFonts w:ascii="Times New Roman" w:hAnsi="Times New Roman" w:cs="Times New Roman"/>
              </w:rPr>
              <w:t xml:space="preserve"> (</w:t>
            </w:r>
            <w:r w:rsidRPr="007B08BF">
              <w:rPr>
                <w:rFonts w:ascii="Times New Roman" w:hAnsi="Times New Roman" w:cs="Times New Roman"/>
              </w:rPr>
              <w:t xml:space="preserve">Sruthi </w:t>
            </w:r>
            <w:r>
              <w:rPr>
                <w:rFonts w:ascii="Times New Roman" w:hAnsi="Times New Roman" w:cs="Times New Roman"/>
              </w:rPr>
              <w:t>&amp;</w:t>
            </w:r>
            <w:r w:rsidRPr="007B08BF">
              <w:rPr>
                <w:rFonts w:ascii="Times New Roman" w:hAnsi="Times New Roman" w:cs="Times New Roman"/>
              </w:rPr>
              <w:t xml:space="preserve"> Shahithabanu</w:t>
            </w:r>
            <w:r>
              <w:rPr>
                <w:rFonts w:ascii="Times New Roman" w:hAnsi="Times New Roman" w:cs="Times New Roman"/>
              </w:rPr>
              <w:t>,</w:t>
            </w:r>
            <w:r w:rsidRPr="00BF1AAB">
              <w:rPr>
                <w:rFonts w:ascii="Times New Roman" w:hAnsi="Times New Roman" w:cs="Times New Roman"/>
              </w:rPr>
              <w:t xml:space="preserve"> 2024</w:t>
            </w:r>
            <w:r>
              <w:rPr>
                <w:rFonts w:ascii="Times New Roman" w:hAnsi="Times New Roman" w:cs="Times New Roman"/>
              </w:rPr>
              <w:t xml:space="preserve">; </w:t>
            </w:r>
            <w:r w:rsidRPr="00BF1AAB">
              <w:rPr>
                <w:rFonts w:ascii="Times New Roman" w:hAnsi="Times New Roman" w:cs="Times New Roman"/>
              </w:rPr>
              <w:t>Hou, 2025). Additionally, interoperability issues between ML models and existing financial infrastructures pose barriers (Pasupuleti, 2024).</w:t>
            </w:r>
          </w:p>
        </w:tc>
      </w:tr>
      <w:tr w:rsidR="0011434D" w:rsidRPr="00BF1AAB" w14:paraId="6F3454E7" w14:textId="77777777" w:rsidTr="0011434D">
        <w:tc>
          <w:tcPr>
            <w:tcW w:w="0" w:type="auto"/>
          </w:tcPr>
          <w:p w14:paraId="2AAE1767"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lastRenderedPageBreak/>
              <w:t>Ethical, Regulatory, and Operational Considerations</w:t>
            </w:r>
          </w:p>
        </w:tc>
        <w:tc>
          <w:tcPr>
            <w:tcW w:w="0" w:type="auto"/>
          </w:tcPr>
          <w:p w14:paraId="73C49BF0"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Emerging research acknowledges the ethical implications of AI and ML in cryptocurrency trading, emphasizing the need for responsible frameworks to ensure market integrity and investor protection (Alibašić, 2023). Discussions include the risks of algorithmic biases, market manipulation, and the necessity for adaptive regulatory approaches tailored to digital assets (Srivastava &amp; Sikroria, 2024</w:t>
            </w:r>
            <w:r>
              <w:rPr>
                <w:rFonts w:ascii="Times New Roman" w:hAnsi="Times New Roman" w:cs="Times New Roman"/>
              </w:rPr>
              <w:t xml:space="preserve">; </w:t>
            </w:r>
            <w:r w:rsidRPr="00BF1AAB">
              <w:rPr>
                <w:rFonts w:ascii="Times New Roman" w:hAnsi="Times New Roman" w:cs="Times New Roman"/>
              </w:rPr>
              <w:t>Mandych et al., 2023</w:t>
            </w:r>
            <w:r>
              <w:rPr>
                <w:rFonts w:ascii="Times New Roman" w:hAnsi="Times New Roman" w:cs="Times New Roman"/>
              </w:rPr>
              <w:t xml:space="preserve">; </w:t>
            </w:r>
            <w:r w:rsidRPr="00BF1AAB">
              <w:rPr>
                <w:rFonts w:ascii="Times New Roman" w:hAnsi="Times New Roman" w:cs="Times New Roman"/>
              </w:rPr>
              <w:t>Alibašić, 2023). The potential for AI to enhance compliance through RegTech applications is recognized (Pasupuleti, 2024).</w:t>
            </w:r>
          </w:p>
        </w:tc>
        <w:tc>
          <w:tcPr>
            <w:tcW w:w="0" w:type="auto"/>
          </w:tcPr>
          <w:p w14:paraId="589F3801"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 xml:space="preserve">Ethical and regulatory aspects are insufficiently addressed in most empirical studies, with limited operational guidelines or frameworks proposed </w:t>
            </w:r>
            <w:r>
              <w:rPr>
                <w:rFonts w:ascii="Times New Roman" w:hAnsi="Times New Roman" w:cs="Times New Roman"/>
              </w:rPr>
              <w:t>(</w:t>
            </w:r>
            <w:r w:rsidRPr="007B08BF">
              <w:rPr>
                <w:rFonts w:ascii="Times New Roman" w:hAnsi="Times New Roman" w:cs="Times New Roman"/>
              </w:rPr>
              <w:t xml:space="preserve">Sruthi </w:t>
            </w:r>
            <w:r>
              <w:rPr>
                <w:rFonts w:ascii="Times New Roman" w:hAnsi="Times New Roman" w:cs="Times New Roman"/>
              </w:rPr>
              <w:t xml:space="preserve">&amp; </w:t>
            </w:r>
            <w:r w:rsidRPr="007B08BF">
              <w:rPr>
                <w:rFonts w:ascii="Times New Roman" w:hAnsi="Times New Roman" w:cs="Times New Roman"/>
              </w:rPr>
              <w:t>Shahithabanu</w:t>
            </w:r>
            <w:r>
              <w:rPr>
                <w:rFonts w:ascii="Times New Roman" w:hAnsi="Times New Roman" w:cs="Times New Roman"/>
              </w:rPr>
              <w:t>,</w:t>
            </w:r>
            <w:r w:rsidRPr="00BF1AAB">
              <w:rPr>
                <w:rFonts w:ascii="Times New Roman" w:hAnsi="Times New Roman" w:cs="Times New Roman"/>
              </w:rPr>
              <w:t xml:space="preserve"> 2024</w:t>
            </w:r>
            <w:r>
              <w:rPr>
                <w:rFonts w:ascii="Times New Roman" w:hAnsi="Times New Roman" w:cs="Times New Roman"/>
              </w:rPr>
              <w:t xml:space="preserve">; </w:t>
            </w:r>
            <w:r w:rsidRPr="00BF1AAB">
              <w:rPr>
                <w:rFonts w:ascii="Times New Roman" w:hAnsi="Times New Roman" w:cs="Times New Roman"/>
              </w:rPr>
              <w:t>Alibašić, 2023). The fast-paced evolution of ML-driven trading outstrips current regulatory capacities, raising concerns about transparency and accountability (Srivastava &amp; Sikroria, 2024</w:t>
            </w:r>
            <w:r>
              <w:rPr>
                <w:rFonts w:ascii="Times New Roman" w:hAnsi="Times New Roman" w:cs="Times New Roman"/>
              </w:rPr>
              <w:t xml:space="preserve">; </w:t>
            </w:r>
            <w:r w:rsidRPr="00BF1AAB">
              <w:rPr>
                <w:rFonts w:ascii="Times New Roman" w:hAnsi="Times New Roman" w:cs="Times New Roman"/>
              </w:rPr>
              <w:t>Mandych et al., 2023). Operational challenges such as model interpretability, data privacy, and systemic risks remain largely unexplored (Alibašić, 2023). The literature lacks consensus on best practices for balancing innovation with ethical constraints (Alibašić, 2023).</w:t>
            </w:r>
          </w:p>
        </w:tc>
      </w:tr>
      <w:tr w:rsidR="0011434D" w:rsidRPr="00BF1AAB" w14:paraId="32F50CB3" w14:textId="77777777" w:rsidTr="0011434D">
        <w:tc>
          <w:tcPr>
            <w:tcW w:w="0" w:type="auto"/>
          </w:tcPr>
          <w:p w14:paraId="45AA1A41"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Data Quality and Feature Engineering</w:t>
            </w:r>
          </w:p>
        </w:tc>
        <w:tc>
          <w:tcPr>
            <w:tcW w:w="0" w:type="auto"/>
          </w:tcPr>
          <w:p w14:paraId="29BDFEAA"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Studies leverage diverse data sources, including technical indicators, market prices, social media sentiment, and blockchain metrics, enriching model inputs and enhancing predictive power (Viéitez et al., 2024</w:t>
            </w:r>
            <w:r>
              <w:rPr>
                <w:rFonts w:ascii="Times New Roman" w:hAnsi="Times New Roman" w:cs="Times New Roman"/>
              </w:rPr>
              <w:t xml:space="preserve">; </w:t>
            </w:r>
            <w:r w:rsidRPr="00BF1AAB">
              <w:rPr>
                <w:rFonts w:ascii="Times New Roman" w:hAnsi="Times New Roman" w:cs="Times New Roman"/>
              </w:rPr>
              <w:t>Belcastro et al., 2023</w:t>
            </w:r>
            <w:r>
              <w:rPr>
                <w:rFonts w:ascii="Times New Roman" w:hAnsi="Times New Roman" w:cs="Times New Roman"/>
              </w:rPr>
              <w:t xml:space="preserve">; </w:t>
            </w:r>
            <w:r w:rsidRPr="00BF1AAB">
              <w:rPr>
                <w:rFonts w:ascii="Times New Roman" w:hAnsi="Times New Roman" w:cs="Times New Roman"/>
              </w:rPr>
              <w:t>Avramelou et al., 2023</w:t>
            </w:r>
            <w:r>
              <w:rPr>
                <w:rFonts w:ascii="Times New Roman" w:hAnsi="Times New Roman" w:cs="Times New Roman"/>
              </w:rPr>
              <w:t xml:space="preserve">; </w:t>
            </w:r>
            <w:r w:rsidRPr="00BF1AAB">
              <w:rPr>
                <w:rFonts w:ascii="Times New Roman" w:hAnsi="Times New Roman" w:cs="Times New Roman"/>
              </w:rPr>
              <w:t xml:space="preserve">Li et al., </w:t>
            </w:r>
            <w:r>
              <w:rPr>
                <w:rFonts w:ascii="Times New Roman" w:hAnsi="Times New Roman" w:cs="Times New Roman"/>
              </w:rPr>
              <w:t>2024</w:t>
            </w:r>
            <w:r w:rsidRPr="00BF1AAB">
              <w:rPr>
                <w:rFonts w:ascii="Times New Roman" w:hAnsi="Times New Roman" w:cs="Times New Roman"/>
              </w:rPr>
              <w:t>). Advanced feature selection and causal analysis improve model interpretability and relevance (Amirzadeh et al., 2023</w:t>
            </w:r>
            <w:r>
              <w:rPr>
                <w:rFonts w:ascii="Times New Roman" w:hAnsi="Times New Roman" w:cs="Times New Roman"/>
              </w:rPr>
              <w:t xml:space="preserve">; </w:t>
            </w:r>
            <w:r w:rsidRPr="00BF1AAB">
              <w:rPr>
                <w:rFonts w:ascii="Times New Roman" w:hAnsi="Times New Roman" w:cs="Times New Roman"/>
              </w:rPr>
              <w:t xml:space="preserve">Li et al., </w:t>
            </w:r>
            <w:r>
              <w:rPr>
                <w:rFonts w:ascii="Times New Roman" w:hAnsi="Times New Roman" w:cs="Times New Roman"/>
              </w:rPr>
              <w:t>2024</w:t>
            </w:r>
            <w:r w:rsidRPr="00BF1AAB">
              <w:rPr>
                <w:rFonts w:ascii="Times New Roman" w:hAnsi="Times New Roman" w:cs="Times New Roman"/>
              </w:rPr>
              <w:t>).</w:t>
            </w:r>
          </w:p>
        </w:tc>
        <w:tc>
          <w:tcPr>
            <w:tcW w:w="0" w:type="auto"/>
          </w:tcPr>
          <w:p w14:paraId="78DF8B6F"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Data limitations include short historical records, especially for newer cryptocurrencies, leading to potential biases and reduced model generalizability (Park &amp; Seo, 2022</w:t>
            </w:r>
            <w:r>
              <w:rPr>
                <w:rFonts w:ascii="Times New Roman" w:hAnsi="Times New Roman" w:cs="Times New Roman"/>
              </w:rPr>
              <w:t xml:space="preserve">; </w:t>
            </w:r>
            <w:r w:rsidRPr="00BF1AAB">
              <w:rPr>
                <w:rFonts w:ascii="Times New Roman" w:hAnsi="Times New Roman" w:cs="Times New Roman"/>
              </w:rPr>
              <w:t>Alaminos et al., 2024). The noisy and unstructured nature of social media data challenges sentiment analysis accuracy (Viéitez et al., 2024</w:t>
            </w:r>
            <w:r>
              <w:rPr>
                <w:rFonts w:ascii="Times New Roman" w:hAnsi="Times New Roman" w:cs="Times New Roman"/>
              </w:rPr>
              <w:t xml:space="preserve">; </w:t>
            </w:r>
            <w:r w:rsidRPr="00BF1AAB">
              <w:rPr>
                <w:rFonts w:ascii="Times New Roman" w:hAnsi="Times New Roman" w:cs="Times New Roman"/>
              </w:rPr>
              <w:t>Leung et al., 2023). Inconsistent data preprocessing and lack of standardized datasets hinder reproducibility and benchmarking (</w:t>
            </w:r>
            <w:r w:rsidRPr="007B08BF">
              <w:rPr>
                <w:rFonts w:ascii="Times New Roman" w:hAnsi="Times New Roman" w:cs="Times New Roman"/>
              </w:rPr>
              <w:t xml:space="preserve">Sruthi </w:t>
            </w:r>
            <w:r>
              <w:rPr>
                <w:rFonts w:ascii="Times New Roman" w:hAnsi="Times New Roman" w:cs="Times New Roman"/>
              </w:rPr>
              <w:t xml:space="preserve">&amp; </w:t>
            </w:r>
            <w:r w:rsidRPr="007B08BF">
              <w:rPr>
                <w:rFonts w:ascii="Times New Roman" w:hAnsi="Times New Roman" w:cs="Times New Roman"/>
              </w:rPr>
              <w:t>Shahithabanu</w:t>
            </w:r>
            <w:r>
              <w:rPr>
                <w:rFonts w:ascii="Times New Roman" w:hAnsi="Times New Roman" w:cs="Times New Roman"/>
              </w:rPr>
              <w:t>,</w:t>
            </w:r>
            <w:r w:rsidRPr="00BF1AAB">
              <w:rPr>
                <w:rFonts w:ascii="Times New Roman" w:hAnsi="Times New Roman" w:cs="Times New Roman"/>
              </w:rPr>
              <w:t xml:space="preserve"> 2024</w:t>
            </w:r>
            <w:r>
              <w:rPr>
                <w:rFonts w:ascii="Times New Roman" w:hAnsi="Times New Roman" w:cs="Times New Roman"/>
              </w:rPr>
              <w:t xml:space="preserve">; </w:t>
            </w:r>
            <w:r w:rsidRPr="00BF1AAB">
              <w:rPr>
                <w:rFonts w:ascii="Times New Roman" w:hAnsi="Times New Roman" w:cs="Times New Roman"/>
              </w:rPr>
              <w:lastRenderedPageBreak/>
              <w:t>Avramelou et al., 2023). The impact of data latency and real-time availability on model performance is rarely discussed (Lua et al., 2025).</w:t>
            </w:r>
          </w:p>
        </w:tc>
      </w:tr>
      <w:tr w:rsidR="0011434D" w:rsidRPr="00BF1AAB" w14:paraId="47F46E89" w14:textId="77777777" w:rsidTr="0011434D">
        <w:tc>
          <w:tcPr>
            <w:tcW w:w="0" w:type="auto"/>
          </w:tcPr>
          <w:p w14:paraId="7DF4EDBD"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lastRenderedPageBreak/>
              <w:t>Comparative Evaluation of ML Algorithms</w:t>
            </w:r>
          </w:p>
        </w:tc>
        <w:tc>
          <w:tcPr>
            <w:tcW w:w="0" w:type="auto"/>
          </w:tcPr>
          <w:p w14:paraId="38516D23"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 xml:space="preserve">Comprehensive comparisons reveal that ensemble methods and deep learning architectures often outperform simpler models, with tree-based models like Random Forest excelling in return predictability (Jabbar &amp; Jalil, 2024) (Bouteska et al., 2024) (Li et al., </w:t>
            </w:r>
            <w:r>
              <w:rPr>
                <w:rFonts w:ascii="Times New Roman" w:hAnsi="Times New Roman" w:cs="Times New Roman"/>
              </w:rPr>
              <w:t>2024</w:t>
            </w:r>
            <w:r w:rsidRPr="00BF1AAB">
              <w:rPr>
                <w:rFonts w:ascii="Times New Roman" w:hAnsi="Times New Roman" w:cs="Times New Roman"/>
              </w:rPr>
              <w:t>). Reinforcement learning approaches show promise in dynamic strategy adaptation and portfolio management (Kang et al., 2024</w:t>
            </w:r>
            <w:r>
              <w:rPr>
                <w:rFonts w:ascii="Times New Roman" w:hAnsi="Times New Roman" w:cs="Times New Roman"/>
              </w:rPr>
              <w:t xml:space="preserve">; </w:t>
            </w:r>
            <w:r w:rsidRPr="00BF1AAB">
              <w:rPr>
                <w:rFonts w:ascii="Times New Roman" w:hAnsi="Times New Roman" w:cs="Times New Roman"/>
              </w:rPr>
              <w:t>Otabek &amp; Choi, 2024</w:t>
            </w:r>
            <w:r>
              <w:rPr>
                <w:rFonts w:ascii="Times New Roman" w:hAnsi="Times New Roman" w:cs="Times New Roman"/>
              </w:rPr>
              <w:t xml:space="preserve">; </w:t>
            </w:r>
            <w:r w:rsidRPr="00BF1AAB">
              <w:rPr>
                <w:rFonts w:ascii="Times New Roman" w:hAnsi="Times New Roman" w:cs="Times New Roman"/>
              </w:rPr>
              <w:t xml:space="preserve">Kumlungmak, </w:t>
            </w:r>
            <w:r>
              <w:rPr>
                <w:rFonts w:ascii="Times New Roman" w:hAnsi="Times New Roman" w:cs="Times New Roman"/>
              </w:rPr>
              <w:t>2024</w:t>
            </w:r>
            <w:r w:rsidRPr="00BF1AAB">
              <w:rPr>
                <w:rFonts w:ascii="Times New Roman" w:hAnsi="Times New Roman" w:cs="Times New Roman"/>
              </w:rPr>
              <w:t>). Hybrid models combining multiple ML techniques achieve superior results (Toleti et al., 2024</w:t>
            </w:r>
            <w:r>
              <w:rPr>
                <w:rFonts w:ascii="Times New Roman" w:hAnsi="Times New Roman" w:cs="Times New Roman"/>
              </w:rPr>
              <w:t xml:space="preserve">; </w:t>
            </w:r>
            <w:r w:rsidRPr="00BF1AAB">
              <w:rPr>
                <w:rFonts w:ascii="Times New Roman" w:hAnsi="Times New Roman" w:cs="Times New Roman"/>
              </w:rPr>
              <w:t>Amirzadeh et al., 2023).</w:t>
            </w:r>
          </w:p>
        </w:tc>
        <w:tc>
          <w:tcPr>
            <w:tcW w:w="0" w:type="auto"/>
          </w:tcPr>
          <w:p w14:paraId="26D4ACC3" w14:textId="77777777" w:rsidR="0011434D" w:rsidRPr="00BF1AAB" w:rsidRDefault="0011434D" w:rsidP="0011434D">
            <w:pPr>
              <w:rPr>
                <w:rFonts w:ascii="Times New Roman" w:hAnsi="Times New Roman" w:cs="Times New Roman"/>
              </w:rPr>
            </w:pPr>
            <w:r w:rsidRPr="00BF1AAB">
              <w:rPr>
                <w:rFonts w:ascii="Times New Roman" w:hAnsi="Times New Roman" w:cs="Times New Roman"/>
              </w:rPr>
              <w:t>Comparative studies are limited by inconsistent experimental setups, varying datasets, and differing evaluation metrics, complicating definitive conclusions (Jabbar &amp; Jalil, 2024) (Bouteska et al., 2024). Some algorithms require extensive hyperparameter tuning and computational resources, limiting practical deployment (Huang, 2024</w:t>
            </w:r>
            <w:r>
              <w:rPr>
                <w:rFonts w:ascii="Times New Roman" w:hAnsi="Times New Roman" w:cs="Times New Roman"/>
              </w:rPr>
              <w:t xml:space="preserve">; </w:t>
            </w:r>
            <w:r w:rsidRPr="00BF1AAB">
              <w:rPr>
                <w:rFonts w:ascii="Times New Roman" w:hAnsi="Times New Roman" w:cs="Times New Roman"/>
              </w:rPr>
              <w:t>Srivastava &amp; Sikroria, 2024). The trade-offs between model complexity, interpretability, and real-time applicability are insufficiently explored (Felizardo et al., 2022</w:t>
            </w:r>
            <w:r>
              <w:rPr>
                <w:rFonts w:ascii="Times New Roman" w:hAnsi="Times New Roman" w:cs="Times New Roman"/>
              </w:rPr>
              <w:t xml:space="preserve">; </w:t>
            </w:r>
            <w:r w:rsidRPr="00BF1AAB">
              <w:rPr>
                <w:rFonts w:ascii="Times New Roman" w:hAnsi="Times New Roman" w:cs="Times New Roman"/>
              </w:rPr>
              <w:t>Lam &amp; Makarov, 2023). Few studies address the robustness of algorithms across diverse market regimes (Sebastião &amp; Godinho, 2021).</w:t>
            </w:r>
          </w:p>
        </w:tc>
      </w:tr>
    </w:tbl>
    <w:p w14:paraId="0741525E" w14:textId="77777777" w:rsidR="0011434D" w:rsidRPr="0042119A" w:rsidRDefault="0011434D" w:rsidP="0011434D">
      <w:pPr>
        <w:spacing w:after="120"/>
        <w:jc w:val="both"/>
        <w:rPr>
          <w:rFonts w:ascii="Times New Roman" w:hAnsi="Times New Roman" w:cs="Times New Roman"/>
          <w:i/>
          <w:iCs/>
        </w:rPr>
      </w:pPr>
      <w:r w:rsidRPr="0042119A">
        <w:rPr>
          <w:rStyle w:val="Kiemels2"/>
          <w:rFonts w:ascii="Times New Roman" w:hAnsi="Times New Roman" w:cs="Times New Roman"/>
          <w:b w:val="0"/>
          <w:bCs w:val="0"/>
          <w:i/>
          <w:iCs/>
        </w:rPr>
        <w:t>Source:</w:t>
      </w:r>
      <w:r w:rsidRPr="0042119A">
        <w:rPr>
          <w:rFonts w:ascii="Times New Roman" w:hAnsi="Times New Roman" w:cs="Times New Roman"/>
          <w:i/>
          <w:iCs/>
        </w:rPr>
        <w:t xml:space="preserve"> Author’s own editing based on reviewed articles</w:t>
      </w:r>
    </w:p>
    <w:p w14:paraId="47F40301" w14:textId="6DA3AB84" w:rsidR="000A6EE4" w:rsidRDefault="000A6EE4">
      <w:r>
        <w:br w:type="page"/>
      </w:r>
    </w:p>
    <w:p w14:paraId="3AF7C6C9" w14:textId="31B1AC11" w:rsidR="0011434D" w:rsidRPr="000A6EE4" w:rsidRDefault="000A6EE4" w:rsidP="000A6EE4">
      <w:pPr>
        <w:spacing w:before="100" w:beforeAutospacing="1" w:after="100" w:afterAutospacing="1" w:line="240" w:lineRule="auto"/>
        <w:jc w:val="both"/>
        <w:outlineLvl w:val="1"/>
        <w:rPr>
          <w:rFonts w:ascii="Times New Roman" w:eastAsia="Times New Roman" w:hAnsi="Times New Roman" w:cs="Times New Roman"/>
          <w:b/>
          <w:bCs/>
          <w:kern w:val="0"/>
          <w:sz w:val="32"/>
          <w:szCs w:val="32"/>
          <w:lang w:eastAsia="hu-HU"/>
          <w14:ligatures w14:val="none"/>
        </w:rPr>
      </w:pPr>
      <w:r w:rsidRPr="000A6EE4">
        <w:rPr>
          <w:rFonts w:ascii="Times New Roman" w:eastAsia="Times New Roman" w:hAnsi="Times New Roman" w:cs="Times New Roman"/>
          <w:b/>
          <w:bCs/>
          <w:kern w:val="0"/>
          <w:sz w:val="32"/>
          <w:szCs w:val="32"/>
          <w:lang w:eastAsia="hu-HU"/>
          <w14:ligatures w14:val="none"/>
        </w:rPr>
        <w:lastRenderedPageBreak/>
        <w:t>References</w:t>
      </w:r>
    </w:p>
    <w:p w14:paraId="2523FD7A" w14:textId="77777777" w:rsidR="000A6EE4" w:rsidRDefault="000A6EE4" w:rsidP="000A6EE4">
      <w:pPr>
        <w:jc w:val="both"/>
        <w:rPr>
          <w:rFonts w:ascii="Times New Roman" w:hAnsi="Times New Roman" w:cs="Times New Roman"/>
        </w:rPr>
      </w:pPr>
      <w:r w:rsidRPr="00BF1AAB">
        <w:rPr>
          <w:rFonts w:ascii="Times New Roman" w:hAnsi="Times New Roman" w:cs="Times New Roman"/>
        </w:rPr>
        <w:t>Alaminos, D., Salas, M. B., &amp; Callejón-Gil, Á. M. (2024). Managing extreme cryptocurrency volatility in algorithmic trading: EGARCH via genetic algorithms and neural networks.</w:t>
      </w:r>
      <w:r>
        <w:rPr>
          <w:rFonts w:ascii="Times New Roman" w:hAnsi="Times New Roman" w:cs="Times New Roman"/>
        </w:rPr>
        <w:t xml:space="preserve"> </w:t>
      </w:r>
      <w:r w:rsidRPr="00BF1AAB">
        <w:rPr>
          <w:rFonts w:ascii="Times New Roman" w:hAnsi="Times New Roman" w:cs="Times New Roman"/>
          <w:i/>
          <w:iCs/>
        </w:rPr>
        <w:t>Quantitative Finance and Economics</w:t>
      </w:r>
      <w:r w:rsidRPr="00BF1AAB">
        <w:rPr>
          <w:rFonts w:ascii="Times New Roman" w:hAnsi="Times New Roman" w:cs="Times New Roman"/>
        </w:rPr>
        <w:t>.</w:t>
      </w:r>
      <w:r>
        <w:rPr>
          <w:rFonts w:ascii="Times New Roman" w:hAnsi="Times New Roman" w:cs="Times New Roman"/>
        </w:rPr>
        <w:t xml:space="preserve"> 8(1) pp 153-209.</w:t>
      </w:r>
      <w:r w:rsidRPr="00BF1AAB">
        <w:rPr>
          <w:rFonts w:ascii="Times New Roman" w:hAnsi="Times New Roman" w:cs="Times New Roman"/>
        </w:rPr>
        <w:t xml:space="preserve"> </w:t>
      </w:r>
      <w:hyperlink r:id="rId4" w:history="1">
        <w:r w:rsidRPr="009D0021">
          <w:rPr>
            <w:rStyle w:val="Hiperhivatkozs"/>
            <w:rFonts w:ascii="Times New Roman" w:hAnsi="Times New Roman" w:cs="Times New Roman"/>
          </w:rPr>
          <w:t>https://doi.org/10.3934/qfe.2024007</w:t>
        </w:r>
      </w:hyperlink>
    </w:p>
    <w:p w14:paraId="177A19E1" w14:textId="77777777" w:rsidR="000A6EE4" w:rsidRDefault="000A6EE4" w:rsidP="000A6EE4">
      <w:pPr>
        <w:jc w:val="both"/>
        <w:rPr>
          <w:rFonts w:ascii="Times New Roman" w:hAnsi="Times New Roman" w:cs="Times New Roman"/>
        </w:rPr>
      </w:pPr>
      <w:r w:rsidRPr="00BF1AAB">
        <w:rPr>
          <w:rFonts w:ascii="Times New Roman" w:hAnsi="Times New Roman" w:cs="Times New Roman"/>
        </w:rPr>
        <w:t>Amirzadeh, R., Nazari, A., &amp; Thiruvady, D. R. (2022). Applying Artificial Intelligence in Cryptocurrency Markets: A Survey.</w:t>
      </w:r>
      <w:r>
        <w:rPr>
          <w:rFonts w:ascii="Times New Roman" w:hAnsi="Times New Roman" w:cs="Times New Roman"/>
        </w:rPr>
        <w:t xml:space="preserve"> </w:t>
      </w:r>
      <w:r w:rsidRPr="00BF1AAB">
        <w:rPr>
          <w:rFonts w:ascii="Times New Roman" w:hAnsi="Times New Roman" w:cs="Times New Roman"/>
          <w:i/>
          <w:iCs/>
        </w:rPr>
        <w:t>Algorithms</w:t>
      </w:r>
      <w:r w:rsidRPr="00BF1AAB">
        <w:rPr>
          <w:rFonts w:ascii="Times New Roman" w:hAnsi="Times New Roman" w:cs="Times New Roman"/>
        </w:rPr>
        <w:t>.</w:t>
      </w:r>
      <w:r>
        <w:rPr>
          <w:rFonts w:ascii="Times New Roman" w:hAnsi="Times New Roman" w:cs="Times New Roman"/>
        </w:rPr>
        <w:t xml:space="preserve"> 15(11), 428. </w:t>
      </w:r>
      <w:hyperlink r:id="rId5" w:history="1">
        <w:r w:rsidRPr="009D0021">
          <w:rPr>
            <w:rStyle w:val="Hiperhivatkozs"/>
            <w:rFonts w:ascii="Times New Roman" w:hAnsi="Times New Roman" w:cs="Times New Roman"/>
          </w:rPr>
          <w:t>https://doi.org/10.3390/a15110428</w:t>
        </w:r>
      </w:hyperlink>
    </w:p>
    <w:p w14:paraId="6D339877" w14:textId="77777777" w:rsidR="000A6EE4" w:rsidRDefault="000A6EE4" w:rsidP="000A6EE4">
      <w:pPr>
        <w:jc w:val="both"/>
        <w:rPr>
          <w:rFonts w:ascii="Times New Roman" w:hAnsi="Times New Roman" w:cs="Times New Roman"/>
        </w:rPr>
      </w:pPr>
      <w:r w:rsidRPr="00BF1AAB">
        <w:rPr>
          <w:rFonts w:ascii="Times New Roman" w:hAnsi="Times New Roman" w:cs="Times New Roman"/>
        </w:rPr>
        <w:t>Bu, S. J., &amp; Cho, S.</w:t>
      </w:r>
      <w:r>
        <w:rPr>
          <w:rFonts w:ascii="Times New Roman" w:hAnsi="Times New Roman" w:cs="Times New Roman"/>
        </w:rPr>
        <w:t xml:space="preserve"> </w:t>
      </w:r>
      <w:r w:rsidRPr="00BF1AAB">
        <w:rPr>
          <w:rFonts w:ascii="Times New Roman" w:hAnsi="Times New Roman" w:cs="Times New Roman"/>
        </w:rPr>
        <w:t>B. (2018).</w:t>
      </w:r>
      <w:r>
        <w:rPr>
          <w:rFonts w:ascii="Times New Roman" w:hAnsi="Times New Roman" w:cs="Times New Roman"/>
        </w:rPr>
        <w:t xml:space="preserve"> </w:t>
      </w:r>
      <w:r w:rsidRPr="007B08BF">
        <w:rPr>
          <w:rFonts w:ascii="Times New Roman" w:hAnsi="Times New Roman" w:cs="Times New Roman"/>
        </w:rPr>
        <w:t>Learning Optimal Q-Function Using Deep Boltzmann Machine for Reliable Trading of Cryptocurrency</w:t>
      </w:r>
      <w:r w:rsidRPr="00BF1AAB">
        <w:rPr>
          <w:rFonts w:ascii="Times New Roman" w:hAnsi="Times New Roman" w:cs="Times New Roman"/>
        </w:rPr>
        <w:t>.</w:t>
      </w:r>
      <w:r>
        <w:rPr>
          <w:rFonts w:ascii="Times New Roman" w:hAnsi="Times New Roman" w:cs="Times New Roman"/>
        </w:rPr>
        <w:t xml:space="preserve"> </w:t>
      </w:r>
      <w:r w:rsidRPr="007B08BF">
        <w:rPr>
          <w:rFonts w:ascii="Times New Roman" w:hAnsi="Times New Roman" w:cs="Times New Roman"/>
        </w:rPr>
        <w:t>In: Yin, H., Camacho, D., Novais, P., Tallón-Ballesteros, A. (eds) Intelligent Data Engineering and Automated Learning – IDEAL 2018. IDEAL 2018. Lecture Notes in Computer Science(), vol 11314. Springer, Cham.</w:t>
      </w:r>
      <w:r w:rsidRPr="00BF1AAB">
        <w:rPr>
          <w:rFonts w:ascii="Times New Roman" w:hAnsi="Times New Roman" w:cs="Times New Roman"/>
        </w:rPr>
        <w:t xml:space="preserve"> </w:t>
      </w:r>
      <w:hyperlink r:id="rId6" w:history="1">
        <w:r w:rsidRPr="009D0021">
          <w:rPr>
            <w:rStyle w:val="Hiperhivatkozs"/>
            <w:rFonts w:ascii="Times New Roman" w:hAnsi="Times New Roman" w:cs="Times New Roman"/>
          </w:rPr>
          <w:t>https://doi.org/10.1007/978-3-030-03493-1_49</w:t>
        </w:r>
      </w:hyperlink>
    </w:p>
    <w:p w14:paraId="3E2ED635" w14:textId="77777777" w:rsidR="000A6EE4" w:rsidRDefault="000A6EE4" w:rsidP="000A6EE4">
      <w:pPr>
        <w:jc w:val="both"/>
        <w:rPr>
          <w:rFonts w:ascii="Times New Roman" w:hAnsi="Times New Roman" w:cs="Times New Roman"/>
        </w:rPr>
      </w:pPr>
      <w:r w:rsidRPr="00BF1AAB">
        <w:rPr>
          <w:rFonts w:ascii="Times New Roman" w:hAnsi="Times New Roman" w:cs="Times New Roman"/>
        </w:rPr>
        <w:t>Chen, Z. (2022).</w:t>
      </w:r>
      <w:r>
        <w:rPr>
          <w:rFonts w:ascii="Times New Roman" w:hAnsi="Times New Roman" w:cs="Times New Roman"/>
        </w:rPr>
        <w:t xml:space="preserve"> </w:t>
      </w:r>
      <w:r w:rsidRPr="007B08BF">
        <w:rPr>
          <w:rFonts w:ascii="Times New Roman" w:hAnsi="Times New Roman" w:cs="Times New Roman"/>
        </w:rPr>
        <w:t>A Novel Machine Learning-assisted Pairs Trading Approach for Trading Risk Reduction.</w:t>
      </w:r>
      <w:r>
        <w:rPr>
          <w:rFonts w:ascii="Times New Roman" w:hAnsi="Times New Roman" w:cs="Times New Roman"/>
        </w:rPr>
        <w:t xml:space="preserve"> </w:t>
      </w:r>
      <w:r w:rsidRPr="007B08BF">
        <w:rPr>
          <w:rFonts w:ascii="Times New Roman" w:hAnsi="Times New Roman" w:cs="Times New Roman"/>
          <w:i/>
          <w:iCs/>
        </w:rPr>
        <w:t>2022 IEEE 1st Global Emerging Technology Blockchain Forum: Blockchain &amp; Beyond (iGETblockchain</w:t>
      </w:r>
      <w:r w:rsidRPr="007B08BF">
        <w:rPr>
          <w:rFonts w:ascii="Times New Roman" w:hAnsi="Times New Roman" w:cs="Times New Roman"/>
        </w:rPr>
        <w:t>), Irvine, CA, USA, 2022, 1-6</w:t>
      </w:r>
      <w:r w:rsidRPr="00BF1AAB">
        <w:rPr>
          <w:rFonts w:ascii="Times New Roman" w:hAnsi="Times New Roman" w:cs="Times New Roman"/>
        </w:rPr>
        <w:t xml:space="preserve"> </w:t>
      </w:r>
      <w:hyperlink r:id="rId7" w:history="1">
        <w:r w:rsidRPr="009D0021">
          <w:rPr>
            <w:rStyle w:val="Hiperhivatkozs"/>
            <w:rFonts w:ascii="Times New Roman" w:hAnsi="Times New Roman" w:cs="Times New Roman"/>
          </w:rPr>
          <w:t>https://doi.org/10.1109/iGETblockchain56591.2022.10087166</w:t>
        </w:r>
      </w:hyperlink>
    </w:p>
    <w:p w14:paraId="72A9AB1C" w14:textId="77777777" w:rsidR="000A6EE4" w:rsidRPr="00BF1AAB" w:rsidRDefault="000A6EE4" w:rsidP="000A6EE4">
      <w:pPr>
        <w:jc w:val="both"/>
        <w:rPr>
          <w:rFonts w:ascii="Times New Roman" w:hAnsi="Times New Roman" w:cs="Times New Roman"/>
        </w:rPr>
      </w:pPr>
      <w:r w:rsidRPr="00BF1AAB">
        <w:rPr>
          <w:rFonts w:ascii="Times New Roman" w:hAnsi="Times New Roman" w:cs="Times New Roman"/>
        </w:rPr>
        <w:t>Felizardo, L., Paiva, F. C. L., Graves, C. de V., Matsumoto, E. Y., Costa, A. H. R., Del-Moral-Hernandez, E., &amp; Brandimarte, P. (2022). Outperforming algorithmic trading reinforcement learning systems: A supervised approach to the cryptocurrency market.</w:t>
      </w:r>
      <w:r>
        <w:rPr>
          <w:rFonts w:ascii="Times New Roman" w:hAnsi="Times New Roman" w:cs="Times New Roman"/>
        </w:rPr>
        <w:t xml:space="preserve"> </w:t>
      </w:r>
      <w:r w:rsidRPr="00BF1AAB">
        <w:rPr>
          <w:rFonts w:ascii="Times New Roman" w:hAnsi="Times New Roman" w:cs="Times New Roman"/>
          <w:i/>
          <w:iCs/>
        </w:rPr>
        <w:t>Expert Systems with Applications</w:t>
      </w:r>
      <w:r w:rsidRPr="00BF1AAB">
        <w:rPr>
          <w:rFonts w:ascii="Times New Roman" w:hAnsi="Times New Roman" w:cs="Times New Roman"/>
        </w:rPr>
        <w:t>.</w:t>
      </w:r>
      <w:r>
        <w:rPr>
          <w:rFonts w:ascii="Times New Roman" w:hAnsi="Times New Roman" w:cs="Times New Roman"/>
        </w:rPr>
        <w:t xml:space="preserve"> 202.</w:t>
      </w:r>
      <w:r w:rsidRPr="00BF1AAB">
        <w:rPr>
          <w:rFonts w:ascii="Times New Roman" w:hAnsi="Times New Roman" w:cs="Times New Roman"/>
        </w:rPr>
        <w:t xml:space="preserve"> </w:t>
      </w:r>
      <w:hyperlink r:id="rId8" w:history="1">
        <w:r w:rsidRPr="009D0021">
          <w:rPr>
            <w:rStyle w:val="Hiperhivatkozs"/>
            <w:rFonts w:ascii="Times New Roman" w:hAnsi="Times New Roman" w:cs="Times New Roman"/>
          </w:rPr>
          <w:t>https://doi.org/10.1016/j.eswa.2022.117259</w:t>
        </w:r>
      </w:hyperlink>
    </w:p>
    <w:p w14:paraId="01D87E26" w14:textId="77777777" w:rsidR="000A6EE4" w:rsidRDefault="000A6EE4" w:rsidP="000A6EE4">
      <w:pPr>
        <w:jc w:val="both"/>
        <w:rPr>
          <w:rFonts w:ascii="Times New Roman" w:hAnsi="Times New Roman" w:cs="Times New Roman"/>
        </w:rPr>
      </w:pPr>
      <w:r w:rsidRPr="00BF1AAB">
        <w:rPr>
          <w:rFonts w:ascii="Times New Roman" w:hAnsi="Times New Roman" w:cs="Times New Roman"/>
        </w:rPr>
        <w:t>Fischer, T. G., Krauss, C., &amp; Deinert, A. (2019).</w:t>
      </w:r>
      <w:r>
        <w:rPr>
          <w:rFonts w:ascii="Times New Roman" w:hAnsi="Times New Roman" w:cs="Times New Roman"/>
        </w:rPr>
        <w:t xml:space="preserve"> </w:t>
      </w:r>
      <w:r w:rsidRPr="007B08BF">
        <w:rPr>
          <w:rFonts w:ascii="Times New Roman" w:hAnsi="Times New Roman" w:cs="Times New Roman"/>
        </w:rPr>
        <w:t>Statistical Arbitrage in Cryptocurrency Markets</w:t>
      </w:r>
      <w:r w:rsidRPr="00BF1AAB">
        <w:rPr>
          <w:rFonts w:ascii="Times New Roman" w:hAnsi="Times New Roman" w:cs="Times New Roman"/>
        </w:rPr>
        <w:t>.</w:t>
      </w:r>
      <w:r>
        <w:rPr>
          <w:rFonts w:ascii="Times New Roman" w:hAnsi="Times New Roman" w:cs="Times New Roman"/>
        </w:rPr>
        <w:t xml:space="preserve"> </w:t>
      </w:r>
      <w:r w:rsidRPr="009D24EE">
        <w:rPr>
          <w:rFonts w:ascii="Times New Roman" w:hAnsi="Times New Roman" w:cs="Times New Roman"/>
          <w:i/>
          <w:iCs/>
        </w:rPr>
        <w:t>J. Risk Financial Manag.</w:t>
      </w:r>
      <w:r w:rsidRPr="007B08BF">
        <w:rPr>
          <w:rFonts w:ascii="Times New Roman" w:hAnsi="Times New Roman" w:cs="Times New Roman"/>
        </w:rPr>
        <w:t xml:space="preserve"> 12(1), 31</w:t>
      </w:r>
      <w:r>
        <w:rPr>
          <w:rFonts w:ascii="Times New Roman" w:hAnsi="Times New Roman" w:cs="Times New Roman"/>
        </w:rPr>
        <w:t>.</w:t>
      </w:r>
      <w:r w:rsidRPr="00BF1AAB">
        <w:rPr>
          <w:rFonts w:ascii="Times New Roman" w:hAnsi="Times New Roman" w:cs="Times New Roman"/>
        </w:rPr>
        <w:t xml:space="preserve"> </w:t>
      </w:r>
      <w:hyperlink r:id="rId9" w:history="1">
        <w:r w:rsidRPr="009D0021">
          <w:rPr>
            <w:rStyle w:val="Hiperhivatkozs"/>
            <w:rFonts w:ascii="Times New Roman" w:hAnsi="Times New Roman" w:cs="Times New Roman"/>
          </w:rPr>
          <w:t>https://doi.org/10.3390/JRFM12010031</w:t>
        </w:r>
      </w:hyperlink>
    </w:p>
    <w:p w14:paraId="6F450406" w14:textId="77777777" w:rsidR="000A6EE4" w:rsidRDefault="000A6EE4" w:rsidP="000A6EE4">
      <w:pPr>
        <w:jc w:val="both"/>
        <w:rPr>
          <w:rFonts w:ascii="Times New Roman" w:hAnsi="Times New Roman" w:cs="Times New Roman"/>
        </w:rPr>
      </w:pPr>
      <w:r w:rsidRPr="00BF1AAB">
        <w:rPr>
          <w:rFonts w:ascii="Times New Roman" w:hAnsi="Times New Roman" w:cs="Times New Roman"/>
        </w:rPr>
        <w:t>Hafid, A., Rahouti, M., Kong, L., Ebrahim, M., &amp; Serhani, M. A. (2024).</w:t>
      </w:r>
      <w:r>
        <w:rPr>
          <w:rFonts w:ascii="Times New Roman" w:hAnsi="Times New Roman" w:cs="Times New Roman"/>
        </w:rPr>
        <w:t xml:space="preserve"> </w:t>
      </w:r>
      <w:r w:rsidRPr="009D24EE">
        <w:rPr>
          <w:rFonts w:ascii="Times New Roman" w:hAnsi="Times New Roman" w:cs="Times New Roman"/>
        </w:rPr>
        <w:t>Predicting Bitcoin Market Trends with Enhanced Technical Indicator Integration and Classification Models</w:t>
      </w:r>
      <w:r w:rsidRPr="00BF1AAB">
        <w:rPr>
          <w:rFonts w:ascii="Times New Roman" w:hAnsi="Times New Roman" w:cs="Times New Roman"/>
        </w:rPr>
        <w:t xml:space="preserve">. </w:t>
      </w:r>
      <w:r w:rsidRPr="00BF1AAB">
        <w:rPr>
          <w:rFonts w:ascii="Times New Roman" w:hAnsi="Times New Roman" w:cs="Times New Roman"/>
          <w:i/>
          <w:iCs/>
        </w:rPr>
        <w:t>arXiv:</w:t>
      </w:r>
      <w:r>
        <w:rPr>
          <w:rFonts w:ascii="Times New Roman" w:hAnsi="Times New Roman" w:cs="Times New Roman"/>
          <w:i/>
          <w:iCs/>
        </w:rPr>
        <w:t xml:space="preserve"> Machine Learning.</w:t>
      </w:r>
      <w:r>
        <w:rPr>
          <w:rFonts w:ascii="Times New Roman" w:hAnsi="Times New Roman" w:cs="Times New Roman"/>
        </w:rPr>
        <w:t xml:space="preserve"> </w:t>
      </w:r>
      <w:hyperlink r:id="rId10" w:history="1">
        <w:r w:rsidRPr="009D0021">
          <w:rPr>
            <w:rStyle w:val="Hiperhivatkozs"/>
            <w:rFonts w:ascii="Times New Roman" w:hAnsi="Times New Roman" w:cs="Times New Roman"/>
          </w:rPr>
          <w:t>https://doi.org/10.48550/arxiv.2410.06935</w:t>
        </w:r>
      </w:hyperlink>
    </w:p>
    <w:p w14:paraId="4C80F645" w14:textId="77777777" w:rsidR="000A6EE4" w:rsidRDefault="000A6EE4" w:rsidP="000A6EE4">
      <w:pPr>
        <w:jc w:val="both"/>
        <w:rPr>
          <w:rFonts w:ascii="Times New Roman" w:hAnsi="Times New Roman" w:cs="Times New Roman"/>
        </w:rPr>
      </w:pPr>
      <w:r w:rsidRPr="00BF1AAB">
        <w:rPr>
          <w:rFonts w:ascii="Times New Roman" w:hAnsi="Times New Roman" w:cs="Times New Roman"/>
        </w:rPr>
        <w:t>Koker, T. E., &amp; Koutmos, D. (2020).</w:t>
      </w:r>
      <w:r>
        <w:rPr>
          <w:rFonts w:ascii="Times New Roman" w:hAnsi="Times New Roman" w:cs="Times New Roman"/>
        </w:rPr>
        <w:t xml:space="preserve"> </w:t>
      </w:r>
      <w:r w:rsidRPr="009D24EE">
        <w:rPr>
          <w:rFonts w:ascii="Times New Roman" w:hAnsi="Times New Roman" w:cs="Times New Roman"/>
        </w:rPr>
        <w:t>Cryptocurrency Trading Using Machine Learning.</w:t>
      </w:r>
      <w:r w:rsidRPr="00BF1AAB">
        <w:rPr>
          <w:rFonts w:ascii="Times New Roman" w:hAnsi="Times New Roman" w:cs="Times New Roman"/>
        </w:rPr>
        <w:t xml:space="preserve"> </w:t>
      </w:r>
      <w:r w:rsidRPr="009D24EE">
        <w:rPr>
          <w:rFonts w:ascii="Times New Roman" w:hAnsi="Times New Roman" w:cs="Times New Roman"/>
          <w:i/>
          <w:iCs/>
        </w:rPr>
        <w:t>J. Risk Financial Manag.</w:t>
      </w:r>
      <w:r>
        <w:rPr>
          <w:rFonts w:ascii="Times New Roman" w:hAnsi="Times New Roman" w:cs="Times New Roman"/>
        </w:rPr>
        <w:t>, 13(8).</w:t>
      </w:r>
      <w:r w:rsidRPr="009D24EE">
        <w:rPr>
          <w:rFonts w:ascii="Times New Roman" w:hAnsi="Times New Roman" w:cs="Times New Roman"/>
        </w:rPr>
        <w:t xml:space="preserve"> </w:t>
      </w:r>
      <w:hyperlink r:id="rId11" w:history="1">
        <w:r w:rsidRPr="009D0021">
          <w:rPr>
            <w:rStyle w:val="Hiperhivatkozs"/>
            <w:rFonts w:ascii="Times New Roman" w:hAnsi="Times New Roman" w:cs="Times New Roman"/>
          </w:rPr>
          <w:t>https://doi.org/10.3390/JRFM13080178</w:t>
        </w:r>
      </w:hyperlink>
    </w:p>
    <w:p w14:paraId="0046CDB3" w14:textId="77777777" w:rsidR="000A6EE4" w:rsidRDefault="000A6EE4" w:rsidP="000A6EE4">
      <w:pPr>
        <w:jc w:val="both"/>
        <w:rPr>
          <w:rFonts w:ascii="Times New Roman" w:hAnsi="Times New Roman" w:cs="Times New Roman"/>
        </w:rPr>
      </w:pPr>
      <w:r w:rsidRPr="00BF1AAB">
        <w:rPr>
          <w:rFonts w:ascii="Times New Roman" w:hAnsi="Times New Roman" w:cs="Times New Roman"/>
        </w:rPr>
        <w:t>Lam, K. Y., &amp; Makarov, I. (2023).</w:t>
      </w:r>
      <w:r>
        <w:rPr>
          <w:rFonts w:ascii="Times New Roman" w:hAnsi="Times New Roman" w:cs="Times New Roman"/>
        </w:rPr>
        <w:t xml:space="preserve"> </w:t>
      </w:r>
      <w:r w:rsidRPr="009D24EE">
        <w:rPr>
          <w:rFonts w:ascii="Times New Roman" w:hAnsi="Times New Roman" w:cs="Times New Roman"/>
        </w:rPr>
        <w:t>Financial Trading via Reinforcement Learning and Convolutional Neural Networks.</w:t>
      </w:r>
      <w:r>
        <w:rPr>
          <w:rFonts w:ascii="Times New Roman" w:hAnsi="Times New Roman" w:cs="Times New Roman"/>
        </w:rPr>
        <w:t xml:space="preserve"> </w:t>
      </w:r>
      <w:r w:rsidRPr="009D24EE">
        <w:rPr>
          <w:rFonts w:ascii="Times New Roman" w:hAnsi="Times New Roman" w:cs="Times New Roman"/>
          <w:i/>
          <w:iCs/>
        </w:rPr>
        <w:t>2023 IEEE 21st Jubilee International Symposium on Intelligent Systems and Informatics (SISY)</w:t>
      </w:r>
      <w:r>
        <w:rPr>
          <w:rFonts w:ascii="Times New Roman" w:hAnsi="Times New Roman" w:cs="Times New Roman"/>
          <w:i/>
          <w:iCs/>
        </w:rPr>
        <w:t>.</w:t>
      </w:r>
      <w:r w:rsidRPr="00BF1AAB">
        <w:rPr>
          <w:rFonts w:ascii="Times New Roman" w:hAnsi="Times New Roman" w:cs="Times New Roman"/>
        </w:rPr>
        <w:t xml:space="preserve"> </w:t>
      </w:r>
      <w:hyperlink r:id="rId12" w:history="1">
        <w:r w:rsidRPr="009D0021">
          <w:rPr>
            <w:rStyle w:val="Hiperhivatkozs"/>
            <w:rFonts w:ascii="Times New Roman" w:hAnsi="Times New Roman" w:cs="Times New Roman"/>
          </w:rPr>
          <w:t>https://doi.org/10.1109/sisy60376.2023.10417967</w:t>
        </w:r>
      </w:hyperlink>
    </w:p>
    <w:p w14:paraId="15E3EADC" w14:textId="77777777" w:rsidR="000A6EE4" w:rsidRDefault="000A6EE4" w:rsidP="000A6EE4">
      <w:pPr>
        <w:jc w:val="both"/>
        <w:rPr>
          <w:rFonts w:ascii="Times New Roman" w:hAnsi="Times New Roman" w:cs="Times New Roman"/>
        </w:rPr>
      </w:pPr>
      <w:r w:rsidRPr="00BF1AAB">
        <w:rPr>
          <w:rFonts w:ascii="Times New Roman" w:hAnsi="Times New Roman" w:cs="Times New Roman"/>
        </w:rPr>
        <w:t>Li, X., Liu, Y., &amp; Liu, Z. (</w:t>
      </w:r>
      <w:r>
        <w:rPr>
          <w:rFonts w:ascii="Times New Roman" w:hAnsi="Times New Roman" w:cs="Times New Roman"/>
        </w:rPr>
        <w:t>2024</w:t>
      </w:r>
      <w:r w:rsidRPr="00BF1AAB">
        <w:rPr>
          <w:rFonts w:ascii="Times New Roman" w:hAnsi="Times New Roman" w:cs="Times New Roman"/>
        </w:rPr>
        <w:t>). Cryptocurrency return prediction: A machine learning analysis.</w:t>
      </w:r>
      <w:r>
        <w:rPr>
          <w:rFonts w:ascii="Times New Roman" w:hAnsi="Times New Roman" w:cs="Times New Roman"/>
        </w:rPr>
        <w:t xml:space="preserve"> </w:t>
      </w:r>
      <w:r w:rsidRPr="00BF1AAB">
        <w:rPr>
          <w:rFonts w:ascii="Times New Roman" w:hAnsi="Times New Roman" w:cs="Times New Roman"/>
          <w:i/>
          <w:iCs/>
        </w:rPr>
        <w:t>Social Science Research Network</w:t>
      </w:r>
      <w:r w:rsidRPr="00BF1AAB">
        <w:rPr>
          <w:rFonts w:ascii="Times New Roman" w:hAnsi="Times New Roman" w:cs="Times New Roman"/>
        </w:rPr>
        <w:t xml:space="preserve">. </w:t>
      </w:r>
      <w:hyperlink r:id="rId13" w:history="1">
        <w:r w:rsidRPr="009D0021">
          <w:rPr>
            <w:rStyle w:val="Hiperhivatkozs"/>
            <w:rFonts w:ascii="Times New Roman" w:hAnsi="Times New Roman" w:cs="Times New Roman"/>
          </w:rPr>
          <w:t>https://doi.org/10.2139/ssrn.4703167</w:t>
        </w:r>
      </w:hyperlink>
    </w:p>
    <w:p w14:paraId="6B54A685" w14:textId="77777777" w:rsidR="000A6EE4" w:rsidRDefault="000A6EE4" w:rsidP="000A6EE4">
      <w:pPr>
        <w:jc w:val="both"/>
        <w:rPr>
          <w:rFonts w:ascii="Times New Roman" w:hAnsi="Times New Roman" w:cs="Times New Roman"/>
        </w:rPr>
      </w:pPr>
      <w:r w:rsidRPr="00BF1AAB">
        <w:rPr>
          <w:rFonts w:ascii="Times New Roman" w:hAnsi="Times New Roman" w:cs="Times New Roman"/>
        </w:rPr>
        <w:t>Majidi, N., Shamsi, M., &amp; Marvasti, F. (2022). Algorithmic Trading Using Continuous Action Space Deep Reinforcement Learning.</w:t>
      </w:r>
      <w:r>
        <w:rPr>
          <w:rFonts w:ascii="Times New Roman" w:hAnsi="Times New Roman" w:cs="Times New Roman"/>
        </w:rPr>
        <w:t xml:space="preserve"> </w:t>
      </w:r>
      <w:r w:rsidRPr="009D24EE">
        <w:rPr>
          <w:rFonts w:ascii="Times New Roman" w:hAnsi="Times New Roman" w:cs="Times New Roman"/>
          <w:i/>
          <w:iCs/>
        </w:rPr>
        <w:t>arXiv: Machine Learning</w:t>
      </w:r>
      <w:r w:rsidRPr="00BF1AAB">
        <w:rPr>
          <w:rFonts w:ascii="Times New Roman" w:hAnsi="Times New Roman" w:cs="Times New Roman"/>
        </w:rPr>
        <w:t xml:space="preserve">. </w:t>
      </w:r>
      <w:hyperlink r:id="rId14" w:history="1">
        <w:r w:rsidRPr="009D0021">
          <w:rPr>
            <w:rStyle w:val="Hiperhivatkozs"/>
            <w:rFonts w:ascii="Times New Roman" w:hAnsi="Times New Roman" w:cs="Times New Roman"/>
          </w:rPr>
          <w:t>https://doi.org/10.48550/arXiv.2210.03469</w:t>
        </w:r>
      </w:hyperlink>
    </w:p>
    <w:p w14:paraId="560209E4" w14:textId="77777777" w:rsidR="000A6EE4" w:rsidRDefault="000A6EE4" w:rsidP="000A6EE4">
      <w:pPr>
        <w:jc w:val="both"/>
        <w:rPr>
          <w:rFonts w:ascii="Times New Roman" w:hAnsi="Times New Roman" w:cs="Times New Roman"/>
        </w:rPr>
      </w:pPr>
      <w:r w:rsidRPr="00BF1AAB">
        <w:rPr>
          <w:rFonts w:ascii="Times New Roman" w:hAnsi="Times New Roman" w:cs="Times New Roman"/>
        </w:rPr>
        <w:lastRenderedPageBreak/>
        <w:t>Mikhaiylova, S. S., &amp; Sabirova, S. A. (2024). Development of a cryptocurrency trading strategy using machine learning methods.</w:t>
      </w:r>
      <w:r>
        <w:rPr>
          <w:rFonts w:ascii="Times New Roman" w:hAnsi="Times New Roman" w:cs="Times New Roman"/>
        </w:rPr>
        <w:t xml:space="preserve"> </w:t>
      </w:r>
      <w:r w:rsidRPr="00BF1AAB">
        <w:rPr>
          <w:rFonts w:ascii="Times New Roman" w:hAnsi="Times New Roman" w:cs="Times New Roman"/>
          <w:i/>
          <w:iCs/>
        </w:rPr>
        <w:t>Computational Nanotechnology</w:t>
      </w:r>
      <w:r w:rsidRPr="00BF1AAB">
        <w:rPr>
          <w:rFonts w:ascii="Times New Roman" w:hAnsi="Times New Roman" w:cs="Times New Roman"/>
        </w:rPr>
        <w:t xml:space="preserve">. </w:t>
      </w:r>
      <w:r>
        <w:rPr>
          <w:rFonts w:ascii="Times New Roman" w:hAnsi="Times New Roman" w:cs="Times New Roman"/>
        </w:rPr>
        <w:t xml:space="preserve">11(2). 11-21. </w:t>
      </w:r>
      <w:hyperlink r:id="rId15" w:history="1">
        <w:r w:rsidRPr="009D0021">
          <w:rPr>
            <w:rStyle w:val="Hiperhivatkozs"/>
            <w:rFonts w:ascii="Times New Roman" w:hAnsi="Times New Roman" w:cs="Times New Roman"/>
          </w:rPr>
          <w:t>https://doi.org/10.33693/2313-223x-2024-11-2-11-21</w:t>
        </w:r>
      </w:hyperlink>
    </w:p>
    <w:p w14:paraId="7B79FC97" w14:textId="77777777" w:rsidR="000A6EE4" w:rsidRDefault="000A6EE4" w:rsidP="000A6EE4">
      <w:pPr>
        <w:jc w:val="both"/>
        <w:rPr>
          <w:rFonts w:ascii="Times New Roman" w:hAnsi="Times New Roman" w:cs="Times New Roman"/>
        </w:rPr>
      </w:pPr>
      <w:r w:rsidRPr="00BF1AAB">
        <w:rPr>
          <w:rFonts w:ascii="Times New Roman" w:hAnsi="Times New Roman" w:cs="Times New Roman"/>
        </w:rPr>
        <w:t>Park, J., &amp; Seo, Y.-S. (2022). A Deep Learning-Based Action Recommendation Model for Cryptocurrency Profit Maximization.</w:t>
      </w:r>
      <w:r>
        <w:rPr>
          <w:rFonts w:ascii="Times New Roman" w:hAnsi="Times New Roman" w:cs="Times New Roman"/>
        </w:rPr>
        <w:t xml:space="preserve"> </w:t>
      </w:r>
      <w:r w:rsidRPr="00BF1AAB">
        <w:rPr>
          <w:rFonts w:ascii="Times New Roman" w:hAnsi="Times New Roman" w:cs="Times New Roman"/>
          <w:i/>
          <w:iCs/>
        </w:rPr>
        <w:t>Electronics</w:t>
      </w:r>
      <w:r w:rsidRPr="00BF1AAB">
        <w:rPr>
          <w:rFonts w:ascii="Times New Roman" w:hAnsi="Times New Roman" w:cs="Times New Roman"/>
        </w:rPr>
        <w:t>.</w:t>
      </w:r>
      <w:r>
        <w:rPr>
          <w:rFonts w:ascii="Times New Roman" w:hAnsi="Times New Roman" w:cs="Times New Roman"/>
        </w:rPr>
        <w:t xml:space="preserve"> </w:t>
      </w:r>
      <w:r w:rsidRPr="00751300">
        <w:rPr>
          <w:rFonts w:ascii="Times New Roman" w:hAnsi="Times New Roman" w:cs="Times New Roman"/>
        </w:rPr>
        <w:t>11(9), 1466</w:t>
      </w:r>
      <w:r>
        <w:rPr>
          <w:rFonts w:ascii="Times New Roman" w:hAnsi="Times New Roman" w:cs="Times New Roman"/>
        </w:rPr>
        <w:t>.</w:t>
      </w:r>
      <w:r w:rsidRPr="00BF1AAB">
        <w:rPr>
          <w:rFonts w:ascii="Times New Roman" w:hAnsi="Times New Roman" w:cs="Times New Roman"/>
        </w:rPr>
        <w:t xml:space="preserve"> </w:t>
      </w:r>
      <w:hyperlink r:id="rId16" w:history="1">
        <w:r w:rsidRPr="009D0021">
          <w:rPr>
            <w:rStyle w:val="Hiperhivatkozs"/>
            <w:rFonts w:ascii="Times New Roman" w:hAnsi="Times New Roman" w:cs="Times New Roman"/>
          </w:rPr>
          <w:t>https://doi.org/10.3390/electronics11091466</w:t>
        </w:r>
      </w:hyperlink>
    </w:p>
    <w:p w14:paraId="10BB829B" w14:textId="77777777" w:rsidR="000A6EE4" w:rsidRDefault="000A6EE4" w:rsidP="000A6EE4">
      <w:pPr>
        <w:jc w:val="both"/>
        <w:rPr>
          <w:rFonts w:ascii="Times New Roman" w:hAnsi="Times New Roman" w:cs="Times New Roman"/>
        </w:rPr>
      </w:pPr>
      <w:r w:rsidRPr="00BF1AAB">
        <w:rPr>
          <w:rFonts w:ascii="Times New Roman" w:hAnsi="Times New Roman" w:cs="Times New Roman"/>
        </w:rPr>
        <w:t>Peng, A., Ang, S. L., &amp; Lim, C. Y. (2022). Automated Cryptocurrency Trading Bot Implementing DRL.</w:t>
      </w:r>
      <w:r>
        <w:rPr>
          <w:rFonts w:ascii="Times New Roman" w:hAnsi="Times New Roman" w:cs="Times New Roman"/>
        </w:rPr>
        <w:t xml:space="preserve"> </w:t>
      </w:r>
      <w:r w:rsidRPr="00BF1AAB">
        <w:rPr>
          <w:rFonts w:ascii="Times New Roman" w:hAnsi="Times New Roman" w:cs="Times New Roman"/>
          <w:i/>
          <w:iCs/>
        </w:rPr>
        <w:t>Pertanika Journal of Science and Technology</w:t>
      </w:r>
      <w:r w:rsidRPr="00BF1AAB">
        <w:rPr>
          <w:rFonts w:ascii="Times New Roman" w:hAnsi="Times New Roman" w:cs="Times New Roman"/>
        </w:rPr>
        <w:t>.</w:t>
      </w:r>
      <w:r>
        <w:rPr>
          <w:rFonts w:ascii="Times New Roman" w:hAnsi="Times New Roman" w:cs="Times New Roman"/>
        </w:rPr>
        <w:t xml:space="preserve"> 30(4).</w:t>
      </w:r>
      <w:r w:rsidRPr="00BF1AAB">
        <w:rPr>
          <w:rFonts w:ascii="Times New Roman" w:hAnsi="Times New Roman" w:cs="Times New Roman"/>
        </w:rPr>
        <w:t xml:space="preserve"> </w:t>
      </w:r>
      <w:hyperlink r:id="rId17" w:history="1">
        <w:r w:rsidRPr="009D0021">
          <w:rPr>
            <w:rStyle w:val="Hiperhivatkozs"/>
            <w:rFonts w:ascii="Times New Roman" w:hAnsi="Times New Roman" w:cs="Times New Roman"/>
          </w:rPr>
          <w:t>https://doi.org/10.47836/pjst.30.4.22</w:t>
        </w:r>
      </w:hyperlink>
    </w:p>
    <w:p w14:paraId="3C144C2E" w14:textId="77777777" w:rsidR="000A6EE4" w:rsidRDefault="000A6EE4" w:rsidP="000A6EE4">
      <w:pPr>
        <w:jc w:val="both"/>
        <w:rPr>
          <w:rFonts w:ascii="Times New Roman" w:hAnsi="Times New Roman" w:cs="Times New Roman"/>
        </w:rPr>
      </w:pPr>
      <w:r w:rsidRPr="00BF1AAB">
        <w:rPr>
          <w:rFonts w:ascii="Times New Roman" w:hAnsi="Times New Roman" w:cs="Times New Roman"/>
        </w:rPr>
        <w:t>Qing, Y., Kong, Y., Sun, J., &amp; Lin, J. (2022</w:t>
      </w:r>
      <w:r>
        <w:rPr>
          <w:rFonts w:ascii="Times New Roman" w:hAnsi="Times New Roman" w:cs="Times New Roman"/>
        </w:rPr>
        <w:t>a</w:t>
      </w:r>
      <w:r w:rsidRPr="00BF1AAB">
        <w:rPr>
          <w:rFonts w:ascii="Times New Roman" w:hAnsi="Times New Roman" w:cs="Times New Roman"/>
        </w:rPr>
        <w:t>).</w:t>
      </w:r>
      <w:r>
        <w:rPr>
          <w:rFonts w:ascii="Times New Roman" w:hAnsi="Times New Roman" w:cs="Times New Roman"/>
        </w:rPr>
        <w:t xml:space="preserve"> </w:t>
      </w:r>
      <w:r w:rsidRPr="00751300">
        <w:rPr>
          <w:rFonts w:ascii="Times New Roman" w:hAnsi="Times New Roman" w:cs="Times New Roman"/>
        </w:rPr>
        <w:t>Cryptocurrency Trading Strategies and Profitability Based on Deep Learning Algorithms.</w:t>
      </w:r>
      <w:r>
        <w:rPr>
          <w:rFonts w:ascii="Times New Roman" w:hAnsi="Times New Roman" w:cs="Times New Roman"/>
        </w:rPr>
        <w:t xml:space="preserve"> </w:t>
      </w:r>
      <w:r w:rsidRPr="00751300">
        <w:rPr>
          <w:rFonts w:ascii="Times New Roman" w:hAnsi="Times New Roman" w:cs="Times New Roman"/>
          <w:i/>
          <w:iCs/>
        </w:rPr>
        <w:t>4th International Conference on Applied Machine Learning (ICAML)</w:t>
      </w:r>
      <w:r>
        <w:rPr>
          <w:rFonts w:ascii="Times New Roman" w:hAnsi="Times New Roman" w:cs="Times New Roman"/>
          <w:i/>
          <w:iCs/>
        </w:rPr>
        <w:t>.</w:t>
      </w:r>
      <w:r w:rsidRPr="00BF1AAB">
        <w:rPr>
          <w:rFonts w:ascii="Times New Roman" w:hAnsi="Times New Roman" w:cs="Times New Roman"/>
        </w:rPr>
        <w:t xml:space="preserve"> </w:t>
      </w:r>
      <w:hyperlink r:id="rId18" w:history="1">
        <w:r w:rsidRPr="009D0021">
          <w:rPr>
            <w:rStyle w:val="Hiperhivatkozs"/>
            <w:rFonts w:ascii="Times New Roman" w:hAnsi="Times New Roman" w:cs="Times New Roman"/>
          </w:rPr>
          <w:t>https://doi.org/10.1109/ICAML57167.2022.00079</w:t>
        </w:r>
      </w:hyperlink>
    </w:p>
    <w:p w14:paraId="71BB5BAC" w14:textId="77777777" w:rsidR="000A6EE4" w:rsidRDefault="000A6EE4" w:rsidP="000A6EE4">
      <w:pPr>
        <w:jc w:val="both"/>
        <w:rPr>
          <w:rFonts w:ascii="Times New Roman" w:hAnsi="Times New Roman" w:cs="Times New Roman"/>
        </w:rPr>
      </w:pPr>
      <w:r w:rsidRPr="00BF1AAB">
        <w:rPr>
          <w:rFonts w:ascii="Times New Roman" w:hAnsi="Times New Roman" w:cs="Times New Roman"/>
        </w:rPr>
        <w:t>Qing, Y., Sun, J., Kong, Y., &amp; Lin, J. (2022</w:t>
      </w:r>
      <w:r>
        <w:rPr>
          <w:rFonts w:ascii="Times New Roman" w:hAnsi="Times New Roman" w:cs="Times New Roman"/>
        </w:rPr>
        <w:t>b</w:t>
      </w:r>
      <w:r w:rsidRPr="00BF1AAB">
        <w:rPr>
          <w:rFonts w:ascii="Times New Roman" w:hAnsi="Times New Roman" w:cs="Times New Roman"/>
        </w:rPr>
        <w:t>). Fundamental Multi-factor Deep-learning Strategy For Cryptocurrency Trading.</w:t>
      </w:r>
      <w:r>
        <w:rPr>
          <w:rFonts w:ascii="Times New Roman" w:hAnsi="Times New Roman" w:cs="Times New Roman"/>
        </w:rPr>
        <w:t xml:space="preserve"> </w:t>
      </w:r>
      <w:r w:rsidRPr="00ED4C2C">
        <w:rPr>
          <w:rFonts w:ascii="Times New Roman" w:hAnsi="Times New Roman" w:cs="Times New Roman"/>
          <w:i/>
          <w:iCs/>
        </w:rPr>
        <w:t>IEEE 20th International Conference on Industrial Informatics (INDIN)</w:t>
      </w:r>
      <w:r w:rsidRPr="00BF1AAB">
        <w:rPr>
          <w:rFonts w:ascii="Times New Roman" w:hAnsi="Times New Roman" w:cs="Times New Roman"/>
        </w:rPr>
        <w:t xml:space="preserve">. </w:t>
      </w:r>
      <w:hyperlink r:id="rId19" w:history="1">
        <w:r w:rsidRPr="009D0021">
          <w:rPr>
            <w:rStyle w:val="Hiperhivatkozs"/>
            <w:rFonts w:ascii="Times New Roman" w:hAnsi="Times New Roman" w:cs="Times New Roman"/>
          </w:rPr>
          <w:t>https://doi.org/10.1109/INDIN51773.2022.9976116</w:t>
        </w:r>
      </w:hyperlink>
    </w:p>
    <w:p w14:paraId="19A76F9F" w14:textId="77777777" w:rsidR="000A6EE4" w:rsidRDefault="000A6EE4" w:rsidP="000A6EE4">
      <w:pPr>
        <w:jc w:val="both"/>
        <w:rPr>
          <w:rFonts w:ascii="Times New Roman" w:hAnsi="Times New Roman" w:cs="Times New Roman"/>
        </w:rPr>
      </w:pPr>
      <w:r w:rsidRPr="00BF1AAB">
        <w:rPr>
          <w:rFonts w:ascii="Times New Roman" w:hAnsi="Times New Roman" w:cs="Times New Roman"/>
        </w:rPr>
        <w:t>Sanju, T., Liyanage, H., Bandara, K., Kandakkulama, D., Silva, D. D., &amp; Perera, J. (</w:t>
      </w:r>
      <w:r>
        <w:rPr>
          <w:rFonts w:ascii="Times New Roman" w:hAnsi="Times New Roman" w:cs="Times New Roman"/>
        </w:rPr>
        <w:t>2023</w:t>
      </w:r>
      <w:r w:rsidRPr="00BF1AAB">
        <w:rPr>
          <w:rFonts w:ascii="Times New Roman" w:hAnsi="Times New Roman" w:cs="Times New Roman"/>
        </w:rPr>
        <w:t>). Stock-Crypto-App – Recommendation System for Stock and Cryptocurrency Market Using Cutting Edge Machine Learning Technology.</w:t>
      </w:r>
      <w:r>
        <w:rPr>
          <w:rFonts w:ascii="Times New Roman" w:hAnsi="Times New Roman" w:cs="Times New Roman"/>
        </w:rPr>
        <w:t xml:space="preserve"> </w:t>
      </w:r>
      <w:r w:rsidRPr="00BF1AAB">
        <w:rPr>
          <w:rFonts w:ascii="Times New Roman" w:hAnsi="Times New Roman" w:cs="Times New Roman"/>
          <w:i/>
          <w:iCs/>
        </w:rPr>
        <w:t>International Research Journal of Innovations in Engineering and Technology</w:t>
      </w:r>
      <w:r w:rsidRPr="00BF1AAB">
        <w:rPr>
          <w:rFonts w:ascii="Times New Roman" w:hAnsi="Times New Roman" w:cs="Times New Roman"/>
        </w:rPr>
        <w:t>.</w:t>
      </w:r>
      <w:r>
        <w:rPr>
          <w:rFonts w:ascii="Times New Roman" w:hAnsi="Times New Roman" w:cs="Times New Roman"/>
        </w:rPr>
        <w:t xml:space="preserve"> 7(9). 110-117.</w:t>
      </w:r>
      <w:r w:rsidRPr="00BF1AAB">
        <w:rPr>
          <w:rFonts w:ascii="Times New Roman" w:hAnsi="Times New Roman" w:cs="Times New Roman"/>
        </w:rPr>
        <w:t xml:space="preserve"> </w:t>
      </w:r>
      <w:hyperlink r:id="rId20" w:history="1">
        <w:r w:rsidRPr="009D0021">
          <w:rPr>
            <w:rStyle w:val="Hiperhivatkozs"/>
            <w:rFonts w:ascii="Times New Roman" w:hAnsi="Times New Roman" w:cs="Times New Roman"/>
          </w:rPr>
          <w:t>https://doi.org/10.47001/irjiet/2023.709012</w:t>
        </w:r>
      </w:hyperlink>
    </w:p>
    <w:p w14:paraId="2FBBC004" w14:textId="77777777" w:rsidR="000A6EE4" w:rsidRDefault="000A6EE4" w:rsidP="000A6EE4">
      <w:pPr>
        <w:jc w:val="both"/>
        <w:rPr>
          <w:rFonts w:ascii="Times New Roman" w:hAnsi="Times New Roman" w:cs="Times New Roman"/>
        </w:rPr>
      </w:pPr>
      <w:r w:rsidRPr="00BF1AAB">
        <w:rPr>
          <w:rFonts w:ascii="Times New Roman" w:hAnsi="Times New Roman" w:cs="Times New Roman"/>
        </w:rPr>
        <w:t>Sattarov, O., Muminov, A., Lee, C. W., Kang, H. K., Oh, R., Ahn, J., Oh, H. J., &amp; Jeon, H. S. (2020). Recommending cryptocurrency trading points with deep reinforcement learning approach.</w:t>
      </w:r>
      <w:r>
        <w:rPr>
          <w:rFonts w:ascii="Times New Roman" w:hAnsi="Times New Roman" w:cs="Times New Roman"/>
        </w:rPr>
        <w:t xml:space="preserve"> </w:t>
      </w:r>
      <w:r w:rsidRPr="00BF1AAB">
        <w:rPr>
          <w:rFonts w:ascii="Times New Roman" w:hAnsi="Times New Roman" w:cs="Times New Roman"/>
          <w:i/>
          <w:iCs/>
        </w:rPr>
        <w:t>Applied Sciences</w:t>
      </w:r>
      <w:r w:rsidRPr="00BF1AAB">
        <w:rPr>
          <w:rFonts w:ascii="Times New Roman" w:hAnsi="Times New Roman" w:cs="Times New Roman"/>
        </w:rPr>
        <w:t>.</w:t>
      </w:r>
      <w:r>
        <w:rPr>
          <w:rFonts w:ascii="Times New Roman" w:hAnsi="Times New Roman" w:cs="Times New Roman"/>
        </w:rPr>
        <w:t xml:space="preserve"> </w:t>
      </w:r>
      <w:r w:rsidRPr="00ED4C2C">
        <w:rPr>
          <w:rFonts w:ascii="Times New Roman" w:hAnsi="Times New Roman" w:cs="Times New Roman"/>
        </w:rPr>
        <w:t>10(4), 1506</w:t>
      </w:r>
      <w:r>
        <w:rPr>
          <w:rFonts w:ascii="Times New Roman" w:hAnsi="Times New Roman" w:cs="Times New Roman"/>
        </w:rPr>
        <w:t>.</w:t>
      </w:r>
      <w:r w:rsidRPr="00BF1AAB">
        <w:rPr>
          <w:rFonts w:ascii="Times New Roman" w:hAnsi="Times New Roman" w:cs="Times New Roman"/>
        </w:rPr>
        <w:t xml:space="preserve"> </w:t>
      </w:r>
      <w:hyperlink r:id="rId21" w:history="1">
        <w:r w:rsidRPr="009D0021">
          <w:rPr>
            <w:rStyle w:val="Hiperhivatkozs"/>
            <w:rFonts w:ascii="Times New Roman" w:hAnsi="Times New Roman" w:cs="Times New Roman"/>
          </w:rPr>
          <w:t>https://doi.org/10.3390/APP10041506</w:t>
        </w:r>
      </w:hyperlink>
    </w:p>
    <w:p w14:paraId="40A1CAAF" w14:textId="77777777" w:rsidR="000A6EE4" w:rsidRDefault="000A6EE4" w:rsidP="000A6EE4">
      <w:pPr>
        <w:jc w:val="both"/>
        <w:rPr>
          <w:rFonts w:ascii="Times New Roman" w:hAnsi="Times New Roman" w:cs="Times New Roman"/>
        </w:rPr>
      </w:pPr>
      <w:r w:rsidRPr="007B08BF">
        <w:rPr>
          <w:rFonts w:ascii="Times New Roman" w:hAnsi="Times New Roman" w:cs="Times New Roman"/>
        </w:rPr>
        <w:t xml:space="preserve">Sruthi P J, </w:t>
      </w:r>
      <w:r>
        <w:rPr>
          <w:rFonts w:ascii="Times New Roman" w:hAnsi="Times New Roman" w:cs="Times New Roman"/>
        </w:rPr>
        <w:t xml:space="preserve">&amp; </w:t>
      </w:r>
      <w:r w:rsidRPr="007B08BF">
        <w:rPr>
          <w:rFonts w:ascii="Times New Roman" w:hAnsi="Times New Roman" w:cs="Times New Roman"/>
        </w:rPr>
        <w:t>M. Shahithabanu</w:t>
      </w:r>
      <w:r>
        <w:rPr>
          <w:rFonts w:ascii="Times New Roman" w:hAnsi="Times New Roman" w:cs="Times New Roman"/>
        </w:rPr>
        <w:t xml:space="preserve">. (2024) </w:t>
      </w:r>
      <w:r w:rsidRPr="00BF1AAB">
        <w:rPr>
          <w:rFonts w:ascii="Times New Roman" w:hAnsi="Times New Roman" w:cs="Times New Roman"/>
        </w:rPr>
        <w:t>AI Applications in Analysing and Predicting Cryptocurrency Market.</w:t>
      </w:r>
      <w:r>
        <w:rPr>
          <w:rFonts w:ascii="Times New Roman" w:hAnsi="Times New Roman" w:cs="Times New Roman"/>
        </w:rPr>
        <w:t xml:space="preserve"> </w:t>
      </w:r>
      <w:r w:rsidRPr="007B08BF">
        <w:rPr>
          <w:rFonts w:ascii="Times New Roman" w:hAnsi="Times New Roman" w:cs="Times New Roman"/>
          <w:i/>
          <w:iCs/>
        </w:rPr>
        <w:t>Recent Trends in Management and Commerce</w:t>
      </w:r>
      <w:r>
        <w:rPr>
          <w:rFonts w:ascii="Times New Roman" w:hAnsi="Times New Roman" w:cs="Times New Roman"/>
          <w:i/>
          <w:iCs/>
        </w:rPr>
        <w:t>.</w:t>
      </w:r>
      <w:r>
        <w:rPr>
          <w:rFonts w:ascii="Times New Roman" w:hAnsi="Times New Roman" w:cs="Times New Roman"/>
        </w:rPr>
        <w:t xml:space="preserve"> </w:t>
      </w:r>
      <w:r w:rsidRPr="007B08BF">
        <w:rPr>
          <w:rFonts w:ascii="Times New Roman" w:hAnsi="Times New Roman" w:cs="Times New Roman"/>
        </w:rPr>
        <w:t>5(2)</w:t>
      </w:r>
      <w:r w:rsidRPr="00BF1AAB">
        <w:rPr>
          <w:rFonts w:ascii="Times New Roman" w:hAnsi="Times New Roman" w:cs="Times New Roman"/>
        </w:rPr>
        <w:t>.</w:t>
      </w:r>
      <w:r>
        <w:rPr>
          <w:rFonts w:ascii="Times New Roman" w:hAnsi="Times New Roman" w:cs="Times New Roman"/>
        </w:rPr>
        <w:t xml:space="preserve"> pp. 42-46.</w:t>
      </w:r>
      <w:r w:rsidRPr="00BF1AAB">
        <w:rPr>
          <w:rFonts w:ascii="Times New Roman" w:hAnsi="Times New Roman" w:cs="Times New Roman"/>
        </w:rPr>
        <w:t xml:space="preserve"> </w:t>
      </w:r>
      <w:hyperlink r:id="rId22" w:history="1">
        <w:r w:rsidRPr="009D0021">
          <w:rPr>
            <w:rStyle w:val="Hiperhivatkozs"/>
            <w:rFonts w:ascii="Times New Roman" w:hAnsi="Times New Roman" w:cs="Times New Roman"/>
          </w:rPr>
          <w:t>https://doi.org/10.46632/rmc/5/2/8</w:t>
        </w:r>
      </w:hyperlink>
    </w:p>
    <w:p w14:paraId="2B3C0156" w14:textId="77777777" w:rsidR="000A6EE4" w:rsidRDefault="000A6EE4" w:rsidP="000A6EE4">
      <w:pPr>
        <w:jc w:val="both"/>
        <w:rPr>
          <w:rFonts w:ascii="Times New Roman" w:hAnsi="Times New Roman" w:cs="Times New Roman"/>
        </w:rPr>
      </w:pPr>
      <w:r w:rsidRPr="00BF1AAB">
        <w:rPr>
          <w:rFonts w:ascii="Times New Roman" w:hAnsi="Times New Roman" w:cs="Times New Roman"/>
        </w:rPr>
        <w:t>Żbikowski, K. (2016).</w:t>
      </w:r>
      <w:r>
        <w:rPr>
          <w:rFonts w:ascii="Times New Roman" w:hAnsi="Times New Roman" w:cs="Times New Roman"/>
        </w:rPr>
        <w:t xml:space="preserve"> </w:t>
      </w:r>
      <w:r w:rsidRPr="00D32D93">
        <w:rPr>
          <w:rFonts w:ascii="Times New Roman" w:hAnsi="Times New Roman" w:cs="Times New Roman"/>
        </w:rPr>
        <w:t>Application of Machine Learning Algorithms for Bitcoin Automated Trading.</w:t>
      </w:r>
      <w:r>
        <w:rPr>
          <w:rFonts w:ascii="Times New Roman" w:hAnsi="Times New Roman" w:cs="Times New Roman"/>
        </w:rPr>
        <w:t xml:space="preserve"> </w:t>
      </w:r>
      <w:r w:rsidRPr="00D32D93">
        <w:rPr>
          <w:rFonts w:ascii="Times New Roman" w:hAnsi="Times New Roman" w:cs="Times New Roman"/>
        </w:rPr>
        <w:t xml:space="preserve">In: Ryżko, D., Gawrysiak, P., Kryszkiewicz, M., Rybiński, H. (eds) </w:t>
      </w:r>
      <w:r w:rsidRPr="00D32D93">
        <w:rPr>
          <w:rFonts w:ascii="Times New Roman" w:hAnsi="Times New Roman" w:cs="Times New Roman"/>
          <w:i/>
          <w:iCs/>
        </w:rPr>
        <w:t>Machine Intelligence and Big Data in Industry. Studies in Big Data</w:t>
      </w:r>
      <w:r w:rsidRPr="00D32D93">
        <w:rPr>
          <w:rFonts w:ascii="Times New Roman" w:hAnsi="Times New Roman" w:cs="Times New Roman"/>
        </w:rPr>
        <w:t>, 19. Springer, Cham.</w:t>
      </w:r>
      <w:r w:rsidRPr="00BF1AAB">
        <w:rPr>
          <w:rFonts w:ascii="Times New Roman" w:hAnsi="Times New Roman" w:cs="Times New Roman"/>
        </w:rPr>
        <w:t xml:space="preserve"> </w:t>
      </w:r>
      <w:hyperlink r:id="rId23" w:history="1">
        <w:r w:rsidRPr="009D0021">
          <w:rPr>
            <w:rStyle w:val="Hiperhivatkozs"/>
            <w:rFonts w:ascii="Times New Roman" w:hAnsi="Times New Roman" w:cs="Times New Roman"/>
          </w:rPr>
          <w:t>https://doi.org/10.1007/978-3-319-30315-4_14</w:t>
        </w:r>
      </w:hyperlink>
    </w:p>
    <w:p w14:paraId="384AB58F" w14:textId="77777777" w:rsidR="000A6EE4" w:rsidRDefault="000A6EE4"/>
    <w:sectPr w:rsidR="000A6E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C3NDQ0MzE0sjA3MDZS0lEKTi0uzszPAykwqQUAuupfPCwAAAA="/>
  </w:docVars>
  <w:rsids>
    <w:rsidRoot w:val="007A6CB2"/>
    <w:rsid w:val="000A6EE4"/>
    <w:rsid w:val="0011434D"/>
    <w:rsid w:val="00162B6A"/>
    <w:rsid w:val="001C19EA"/>
    <w:rsid w:val="002D56A4"/>
    <w:rsid w:val="002E4C3C"/>
    <w:rsid w:val="002E5913"/>
    <w:rsid w:val="004E620B"/>
    <w:rsid w:val="0065695D"/>
    <w:rsid w:val="007A6CB2"/>
    <w:rsid w:val="009972B1"/>
    <w:rsid w:val="00AC1489"/>
    <w:rsid w:val="00DF685B"/>
    <w:rsid w:val="00E501A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22323"/>
  <w15:chartTrackingRefBased/>
  <w15:docId w15:val="{66C82F2B-615C-42AE-B2A0-6CFFA53D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A6CB2"/>
  </w:style>
  <w:style w:type="paragraph" w:styleId="Cmsor1">
    <w:name w:val="heading 1"/>
    <w:basedOn w:val="Norml"/>
    <w:next w:val="Norml"/>
    <w:link w:val="Cmsor1Char"/>
    <w:uiPriority w:val="9"/>
    <w:qFormat/>
    <w:rsid w:val="007A6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7A6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7A6CB2"/>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7A6CB2"/>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7A6CB2"/>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7A6CB2"/>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7A6CB2"/>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7A6CB2"/>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7A6CB2"/>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7A6CB2"/>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7A6CB2"/>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7A6CB2"/>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7A6CB2"/>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7A6CB2"/>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7A6CB2"/>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7A6CB2"/>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7A6CB2"/>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7A6CB2"/>
    <w:rPr>
      <w:rFonts w:eastAsiaTheme="majorEastAsia" w:cstheme="majorBidi"/>
      <w:color w:val="272727" w:themeColor="text1" w:themeTint="D8"/>
    </w:rPr>
  </w:style>
  <w:style w:type="paragraph" w:styleId="Cm">
    <w:name w:val="Title"/>
    <w:basedOn w:val="Norml"/>
    <w:next w:val="Norml"/>
    <w:link w:val="CmChar"/>
    <w:uiPriority w:val="10"/>
    <w:qFormat/>
    <w:rsid w:val="007A6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7A6CB2"/>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7A6CB2"/>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7A6CB2"/>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7A6CB2"/>
    <w:pPr>
      <w:spacing w:before="160"/>
      <w:jc w:val="center"/>
    </w:pPr>
    <w:rPr>
      <w:i/>
      <w:iCs/>
      <w:color w:val="404040" w:themeColor="text1" w:themeTint="BF"/>
    </w:rPr>
  </w:style>
  <w:style w:type="character" w:customStyle="1" w:styleId="IdzetChar">
    <w:name w:val="Idézet Char"/>
    <w:basedOn w:val="Bekezdsalapbettpusa"/>
    <w:link w:val="Idzet"/>
    <w:uiPriority w:val="29"/>
    <w:rsid w:val="007A6CB2"/>
    <w:rPr>
      <w:i/>
      <w:iCs/>
      <w:color w:val="404040" w:themeColor="text1" w:themeTint="BF"/>
    </w:rPr>
  </w:style>
  <w:style w:type="paragraph" w:styleId="Listaszerbekezds">
    <w:name w:val="List Paragraph"/>
    <w:basedOn w:val="Norml"/>
    <w:uiPriority w:val="34"/>
    <w:qFormat/>
    <w:rsid w:val="007A6CB2"/>
    <w:pPr>
      <w:ind w:left="720"/>
      <w:contextualSpacing/>
    </w:pPr>
  </w:style>
  <w:style w:type="character" w:styleId="Erskiemels">
    <w:name w:val="Intense Emphasis"/>
    <w:basedOn w:val="Bekezdsalapbettpusa"/>
    <w:uiPriority w:val="21"/>
    <w:qFormat/>
    <w:rsid w:val="007A6CB2"/>
    <w:rPr>
      <w:i/>
      <w:iCs/>
      <w:color w:val="0F4761" w:themeColor="accent1" w:themeShade="BF"/>
    </w:rPr>
  </w:style>
  <w:style w:type="paragraph" w:styleId="Kiemeltidzet">
    <w:name w:val="Intense Quote"/>
    <w:basedOn w:val="Norml"/>
    <w:next w:val="Norml"/>
    <w:link w:val="KiemeltidzetChar"/>
    <w:uiPriority w:val="30"/>
    <w:qFormat/>
    <w:rsid w:val="007A6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7A6CB2"/>
    <w:rPr>
      <w:i/>
      <w:iCs/>
      <w:color w:val="0F4761" w:themeColor="accent1" w:themeShade="BF"/>
    </w:rPr>
  </w:style>
  <w:style w:type="character" w:styleId="Ershivatkozs">
    <w:name w:val="Intense Reference"/>
    <w:basedOn w:val="Bekezdsalapbettpusa"/>
    <w:uiPriority w:val="32"/>
    <w:qFormat/>
    <w:rsid w:val="007A6CB2"/>
    <w:rPr>
      <w:b/>
      <w:bCs/>
      <w:smallCaps/>
      <w:color w:val="0F4761" w:themeColor="accent1" w:themeShade="BF"/>
      <w:spacing w:val="5"/>
    </w:rPr>
  </w:style>
  <w:style w:type="character" w:styleId="Kiemels2">
    <w:name w:val="Strong"/>
    <w:basedOn w:val="Bekezdsalapbettpusa"/>
    <w:uiPriority w:val="22"/>
    <w:qFormat/>
    <w:rsid w:val="007A6CB2"/>
    <w:rPr>
      <w:b/>
      <w:bCs/>
    </w:rPr>
  </w:style>
  <w:style w:type="character" w:styleId="Hiperhivatkozs">
    <w:name w:val="Hyperlink"/>
    <w:basedOn w:val="Bekezdsalapbettpusa"/>
    <w:uiPriority w:val="99"/>
    <w:unhideWhenUsed/>
    <w:rsid w:val="000A6EE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eswa.2022.117259" TargetMode="External"/><Relationship Id="rId13" Type="http://schemas.openxmlformats.org/officeDocument/2006/relationships/hyperlink" Target="https://doi.org/10.2139/ssrn.4703167" TargetMode="External"/><Relationship Id="rId18" Type="http://schemas.openxmlformats.org/officeDocument/2006/relationships/hyperlink" Target="https://doi.org/10.1109/ICAML57167.2022.00079" TargetMode="External"/><Relationship Id="rId3" Type="http://schemas.openxmlformats.org/officeDocument/2006/relationships/webSettings" Target="webSettings.xml"/><Relationship Id="rId21" Type="http://schemas.openxmlformats.org/officeDocument/2006/relationships/hyperlink" Target="https://doi.org/10.3390/APP10041506" TargetMode="External"/><Relationship Id="rId7" Type="http://schemas.openxmlformats.org/officeDocument/2006/relationships/hyperlink" Target="https://doi.org/10.1109/iGETblockchain56591.2022.10087166" TargetMode="External"/><Relationship Id="rId12" Type="http://schemas.openxmlformats.org/officeDocument/2006/relationships/hyperlink" Target="https://doi.org/10.1109/sisy60376.2023.10417967" TargetMode="External"/><Relationship Id="rId17" Type="http://schemas.openxmlformats.org/officeDocument/2006/relationships/hyperlink" Target="https://doi.org/10.47836/pjst.30.4.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i.org/10.3390/electronics11091466" TargetMode="External"/><Relationship Id="rId20" Type="http://schemas.openxmlformats.org/officeDocument/2006/relationships/hyperlink" Target="https://doi.org/10.47001/irjiet/2023.709012" TargetMode="External"/><Relationship Id="rId1" Type="http://schemas.openxmlformats.org/officeDocument/2006/relationships/styles" Target="styles.xml"/><Relationship Id="rId6" Type="http://schemas.openxmlformats.org/officeDocument/2006/relationships/hyperlink" Target="https://doi.org/10.1007/978-3-030-03493-1_49" TargetMode="External"/><Relationship Id="rId11" Type="http://schemas.openxmlformats.org/officeDocument/2006/relationships/hyperlink" Target="https://doi.org/10.3390/JRFM13080178" TargetMode="External"/><Relationship Id="rId24" Type="http://schemas.openxmlformats.org/officeDocument/2006/relationships/fontTable" Target="fontTable.xml"/><Relationship Id="rId5" Type="http://schemas.openxmlformats.org/officeDocument/2006/relationships/hyperlink" Target="https://doi.org/10.3390/a15110428" TargetMode="External"/><Relationship Id="rId15" Type="http://schemas.openxmlformats.org/officeDocument/2006/relationships/hyperlink" Target="https://doi.org/10.33693/2313-223x-2024-11-2-11-21" TargetMode="External"/><Relationship Id="rId23" Type="http://schemas.openxmlformats.org/officeDocument/2006/relationships/hyperlink" Target="https://doi.org/10.1007/978-3-319-30315-4_14" TargetMode="External"/><Relationship Id="rId10" Type="http://schemas.openxmlformats.org/officeDocument/2006/relationships/hyperlink" Target="https://doi.org/10.48550/arxiv.2410.06935" TargetMode="External"/><Relationship Id="rId19" Type="http://schemas.openxmlformats.org/officeDocument/2006/relationships/hyperlink" Target="https://doi.org/10.1109/INDIN51773.2022.9976116" TargetMode="External"/><Relationship Id="rId4" Type="http://schemas.openxmlformats.org/officeDocument/2006/relationships/hyperlink" Target="https://doi.org/10.3934/qfe.2024007" TargetMode="External"/><Relationship Id="rId9" Type="http://schemas.openxmlformats.org/officeDocument/2006/relationships/hyperlink" Target="https://doi.org/10.3390/JRFM12010031" TargetMode="External"/><Relationship Id="rId14" Type="http://schemas.openxmlformats.org/officeDocument/2006/relationships/hyperlink" Target="https://doi.org/10.48550/arXiv.2210.03469" TargetMode="External"/><Relationship Id="rId22" Type="http://schemas.openxmlformats.org/officeDocument/2006/relationships/hyperlink" Target="https://doi.org/10.46632/rmc/5/2/8"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5447</Words>
  <Characters>37585</Characters>
  <Application>Microsoft Office Word</Application>
  <DocSecurity>0</DocSecurity>
  <Lines>313</Lines>
  <Paragraphs>85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Lengyel Péter József</dc:creator>
  <cp:keywords/>
  <dc:description/>
  <cp:lastModifiedBy>Dr. Lengyel Péter József</cp:lastModifiedBy>
  <cp:revision>2</cp:revision>
  <dcterms:created xsi:type="dcterms:W3CDTF">2026-01-26T12:46:00Z</dcterms:created>
  <dcterms:modified xsi:type="dcterms:W3CDTF">2026-01-26T12:46:00Z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3fe60262-d486-489e-9e35-885a32c3f6cf</vt:lpwstr>
  </property>
</Properties>
</file>