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2FBC4" w14:textId="1A880394" w:rsidR="008249FC" w:rsidRPr="00283E3A" w:rsidRDefault="008249FC" w:rsidP="00CE4A88">
      <w:pPr>
        <w:jc w:val="both"/>
      </w:pPr>
      <w:bookmarkStart w:id="0" w:name="supplementary_figure_s1_two_dimen_d12870"/>
      <w:bookmarkStart w:id="1" w:name="supplementary_table_s1_addressing_a62928"/>
      <w:r>
        <w:rPr>
          <w:noProof/>
        </w:rPr>
        <w:drawing>
          <wp:inline distT="0" distB="0" distL="0" distR="0" wp14:anchorId="6EFE0726" wp14:editId="7A22641B">
            <wp:extent cx="5731510" cy="6250940"/>
            <wp:effectExtent l="0" t="0" r="0" b="0"/>
            <wp:docPr id="1930473165" name="Picture 3" descr="A group of graphs with red and green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73165" name="Picture 3" descr="A group of graphs with red and green line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6250940"/>
                    </a:xfrm>
                    <a:prstGeom prst="rect">
                      <a:avLst/>
                    </a:prstGeom>
                  </pic:spPr>
                </pic:pic>
              </a:graphicData>
            </a:graphic>
          </wp:inline>
        </w:drawing>
      </w:r>
    </w:p>
    <w:p w14:paraId="15D93844" w14:textId="13F4F6AD" w:rsidR="00CE4A88" w:rsidRPr="00283E3A" w:rsidRDefault="00CE4A88" w:rsidP="001341F1">
      <w:pPr>
        <w:spacing w:before="120" w:after="120"/>
        <w:jc w:val="both"/>
      </w:pPr>
      <w:r w:rsidRPr="00092969">
        <w:rPr>
          <w:b/>
          <w:bCs/>
        </w:rPr>
        <w:t>Supplementary Figure S1.</w:t>
      </w:r>
      <w:r w:rsidRPr="00283E3A">
        <w:t xml:space="preserve"> Two-dimensional phase space projections of neural ODE trajectories with 95% confidence intervals</w:t>
      </w:r>
      <w:bookmarkEnd w:id="0"/>
    </w:p>
    <w:p w14:paraId="4950350F" w14:textId="77777777" w:rsidR="00CE4A88" w:rsidRPr="00283E3A" w:rsidRDefault="00CE4A88" w:rsidP="00736CEB">
      <w:pPr>
        <w:spacing w:before="120" w:after="120"/>
        <w:jc w:val="both"/>
      </w:pPr>
      <w:r w:rsidRPr="00283E3A">
        <w:t>Figure S1 presents four complementary perspectives of AI-CDSN neural ODE dynamics through two-dimensional phase space projections with uncertainty quantification across four regional simulations (n=4). Panel A (capital-renewable dynamics) shows mean trajectories (bold blue line) declining from initial state (green circle) to final equilibrium (red square), with lighter lines representing individual regional trajectories demonstrating convergence consistency. Panel B (capital-non-renewable dynamics) displays similar directional flow with steeper capital decline (bold red line) relative to non-renewable depletion. Panel C (renewable-non-renewable dynamics) isolates resource stock interactions (bold green line), with phase space curvature indicating nonlinear coupling captured by the neural ODE formulation.</w:t>
      </w:r>
    </w:p>
    <w:p w14:paraId="25106EAC" w14:textId="77777777" w:rsidR="00CE4A88" w:rsidRPr="00283E3A" w:rsidRDefault="00CE4A88" w:rsidP="00736CEB">
      <w:pPr>
        <w:spacing w:before="120" w:after="120"/>
        <w:jc w:val="both"/>
      </w:pPr>
      <w:r w:rsidRPr="00283E3A">
        <w:t xml:space="preserve">Panel D (temporal evolution with 95% confidence intervals) provides normalized temporal profiles with visible uncertainty quantification. Bold colored lines represent mean trajectories </w:t>
      </w:r>
      <w:r w:rsidRPr="00283E3A">
        <w:lastRenderedPageBreak/>
        <w:t xml:space="preserve">across four regional simulations; lighter background lines show individual regional trajectories; shaded bands display 95% confidence intervals of the mean (Student's t-distribution, </w:t>
      </w:r>
      <w:proofErr w:type="spellStart"/>
      <w:r w:rsidRPr="00283E3A">
        <w:t>df</w:t>
      </w:r>
      <w:proofErr w:type="spellEnd"/>
      <w:r w:rsidRPr="00283E3A">
        <w:t>=3). Final endpoint values with 95% confidence intervals are: capital −8.41 [95% CI: −8.50, −8.32], renewables −2.60 [−2.66, −2.54], and non-renewables −3.51 [−3.58, −3.44]. Narrow confidence bands (average width ~0.07 units) indicate consistent convergence patterns across independent simulations.</w:t>
      </w:r>
    </w:p>
    <w:p w14:paraId="02727762" w14:textId="77777777" w:rsidR="00CE4A88" w:rsidRPr="00283E3A" w:rsidRDefault="00CE4A88" w:rsidP="00736CEB">
      <w:pPr>
        <w:spacing w:before="120" w:after="120"/>
        <w:jc w:val="both"/>
      </w:pPr>
      <w:r w:rsidRPr="00283E3A">
        <w:t>These phase-space patterns extend the World3 system-dynamics tradition (Forrester, 1971; Meadows et al., 1972, 2004), which pioneered coupled differential equations for capital-resource interactions. World3's long-term forecasts have proven remarkably accurate when validated against empirical data (Turner, 2008; Herrington, 2021). Our neural ODE implementation preserves World3's fundamental stock-flow architecture while learning parameters from data rather than specifying predetermined functional forms through lookup tables. All trajectories converge monotonically without oscillatory behavior, indicating stable attractor dynamics. Results are based on simulation experiments; empirical validation with real-world policy data is required before operational deployment. These confidence intervals provide initial uncertainty quantification but do not capture structural model uncertainty or real-world data variability.</w:t>
      </w:r>
    </w:p>
    <w:p w14:paraId="36D67459" w14:textId="08C95BB8" w:rsidR="00B91CFC" w:rsidRPr="00283E3A" w:rsidRDefault="00B91CFC" w:rsidP="00B91CFC">
      <w:pPr>
        <w:jc w:val="both"/>
        <w:rPr>
          <w:bCs/>
        </w:rPr>
      </w:pPr>
      <w:r w:rsidRPr="00283E3A">
        <w:rPr>
          <w:b/>
        </w:rPr>
        <w:t>Supplementary Table S1</w:t>
      </w:r>
      <w:r w:rsidRPr="00283E3A">
        <w:rPr>
          <w:bCs/>
        </w:rPr>
        <w:t xml:space="preserve">. </w:t>
      </w:r>
      <w:bookmarkEnd w:id="1"/>
      <w:r w:rsidR="002C057B" w:rsidRPr="002C057B">
        <w:rPr>
          <w:bCs/>
        </w:rPr>
        <w:t>Addressing sustainability model limitations: AI-CDSN advances versus conventional approaches</w:t>
      </w:r>
    </w:p>
    <w:tbl>
      <w:tblPr>
        <w:tblStyle w:val="PlainTable2"/>
        <w:tblW w:w="0" w:type="auto"/>
        <w:tblLook w:val="04A0" w:firstRow="1" w:lastRow="0" w:firstColumn="1" w:lastColumn="0" w:noHBand="0" w:noVBand="1"/>
      </w:tblPr>
      <w:tblGrid>
        <w:gridCol w:w="2061"/>
        <w:gridCol w:w="1841"/>
        <w:gridCol w:w="2283"/>
        <w:gridCol w:w="2841"/>
      </w:tblGrid>
      <w:tr w:rsidR="00B91CFC" w:rsidRPr="00283E3A" w14:paraId="4E037496" w14:textId="77777777" w:rsidTr="00B91C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C3A41E3" w14:textId="77777777" w:rsidR="00B91CFC" w:rsidRPr="00283E3A" w:rsidRDefault="00B91CFC" w:rsidP="00B91CFC">
            <w:pPr>
              <w:spacing w:line="259" w:lineRule="auto"/>
            </w:pPr>
            <w:r w:rsidRPr="00283E3A">
              <w:t>Limitation</w:t>
            </w:r>
          </w:p>
        </w:tc>
        <w:tc>
          <w:tcPr>
            <w:tcW w:w="0" w:type="auto"/>
            <w:vAlign w:val="center"/>
          </w:tcPr>
          <w:p w14:paraId="41FE8D36" w14:textId="77777777" w:rsidR="00B91CFC" w:rsidRPr="00283E3A" w:rsidRDefault="00B91CFC" w:rsidP="00B91CFC">
            <w:pPr>
              <w:spacing w:line="259" w:lineRule="auto"/>
              <w:cnfStyle w:val="100000000000" w:firstRow="1" w:lastRow="0" w:firstColumn="0" w:lastColumn="0" w:oddVBand="0" w:evenVBand="0" w:oddHBand="0" w:evenHBand="0" w:firstRowFirstColumn="0" w:firstRowLastColumn="0" w:lastRowFirstColumn="0" w:lastRowLastColumn="0"/>
            </w:pPr>
            <w:r w:rsidRPr="00283E3A">
              <w:t>Conventional approach</w:t>
            </w:r>
          </w:p>
        </w:tc>
        <w:tc>
          <w:tcPr>
            <w:tcW w:w="0" w:type="auto"/>
            <w:vAlign w:val="center"/>
          </w:tcPr>
          <w:p w14:paraId="5D7C3219" w14:textId="77777777" w:rsidR="00B91CFC" w:rsidRPr="00283E3A" w:rsidRDefault="00B91CFC" w:rsidP="00B91CFC">
            <w:pPr>
              <w:spacing w:line="259" w:lineRule="auto"/>
              <w:cnfStyle w:val="100000000000" w:firstRow="1" w:lastRow="0" w:firstColumn="0" w:lastColumn="0" w:oddVBand="0" w:evenVBand="0" w:oddHBand="0" w:evenHBand="0" w:firstRowFirstColumn="0" w:firstRowLastColumn="0" w:lastRowFirstColumn="0" w:lastRowLastColumn="0"/>
            </w:pPr>
            <w:r w:rsidRPr="00283E3A">
              <w:t>AI-CDSN implementation</w:t>
            </w:r>
          </w:p>
        </w:tc>
        <w:tc>
          <w:tcPr>
            <w:tcW w:w="0" w:type="auto"/>
            <w:vAlign w:val="center"/>
          </w:tcPr>
          <w:p w14:paraId="009ACEFD" w14:textId="3CC36A75" w:rsidR="00B91CFC" w:rsidRPr="00283E3A" w:rsidRDefault="00B91CFC" w:rsidP="00B91CFC">
            <w:pPr>
              <w:spacing w:line="259" w:lineRule="auto"/>
              <w:cnfStyle w:val="100000000000" w:firstRow="1" w:lastRow="0" w:firstColumn="0" w:lastColumn="0" w:oddVBand="0" w:evenVBand="0" w:oddHBand="0" w:evenHBand="0" w:firstRowFirstColumn="0" w:firstRowLastColumn="0" w:lastRowFirstColumn="0" w:lastRowLastColumn="0"/>
            </w:pPr>
            <w:r w:rsidRPr="00283E3A">
              <w:t xml:space="preserve">Empirical evidence </w:t>
            </w:r>
          </w:p>
        </w:tc>
      </w:tr>
      <w:tr w:rsidR="00CE4A88" w:rsidRPr="00283E3A" w14:paraId="2E94992F" w14:textId="77777777" w:rsidTr="005647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59C6C91" w14:textId="07FD1CD0" w:rsidR="00CE4A88" w:rsidRPr="00283E3A" w:rsidRDefault="00CE4A88" w:rsidP="00CE4A88">
            <w:pPr>
              <w:spacing w:line="259" w:lineRule="auto"/>
              <w:rPr>
                <w:b w:val="0"/>
                <w:bCs w:val="0"/>
              </w:rPr>
            </w:pPr>
            <w:r w:rsidRPr="00283E3A">
              <w:rPr>
                <w:rFonts w:eastAsia="inter"/>
                <w:b w:val="0"/>
                <w:bCs w:val="0"/>
                <w:color w:val="000000"/>
              </w:rPr>
              <w:t>Static sustainability weights</w:t>
            </w:r>
          </w:p>
        </w:tc>
        <w:tc>
          <w:tcPr>
            <w:tcW w:w="0" w:type="auto"/>
          </w:tcPr>
          <w:p w14:paraId="0CFDE653" w14:textId="452240E9"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Fixed-weight aggregation functions</w:t>
            </w:r>
          </w:p>
        </w:tc>
        <w:tc>
          <w:tcPr>
            <w:tcW w:w="0" w:type="auto"/>
          </w:tcPr>
          <w:p w14:paraId="0379A3FF" w14:textId="642E9549"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Dynamic weight adaptation with planetary boundary sensitivity</w:t>
            </w:r>
          </w:p>
        </w:tc>
        <w:tc>
          <w:tcPr>
            <w:tcW w:w="0" w:type="auto"/>
          </w:tcPr>
          <w:p w14:paraId="6C9516B2" w14:textId="350C5A8A"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Material allocation: steel 48%, concrete 22%, timber 30%</w:t>
            </w:r>
          </w:p>
        </w:tc>
      </w:tr>
      <w:tr w:rsidR="00CE4A88" w:rsidRPr="00283E3A" w14:paraId="73B855F9" w14:textId="77777777" w:rsidTr="005647A5">
        <w:tc>
          <w:tcPr>
            <w:cnfStyle w:val="001000000000" w:firstRow="0" w:lastRow="0" w:firstColumn="1" w:lastColumn="0" w:oddVBand="0" w:evenVBand="0" w:oddHBand="0" w:evenHBand="0" w:firstRowFirstColumn="0" w:firstRowLastColumn="0" w:lastRowFirstColumn="0" w:lastRowLastColumn="0"/>
            <w:tcW w:w="0" w:type="auto"/>
          </w:tcPr>
          <w:p w14:paraId="15C576EB" w14:textId="5A4725DF" w:rsidR="00CE4A88" w:rsidRPr="00283E3A" w:rsidRDefault="00CE4A88" w:rsidP="00CE4A88">
            <w:pPr>
              <w:spacing w:line="259" w:lineRule="auto"/>
              <w:rPr>
                <w:b w:val="0"/>
                <w:bCs w:val="0"/>
              </w:rPr>
            </w:pPr>
            <w:r w:rsidRPr="00283E3A">
              <w:rPr>
                <w:rFonts w:eastAsia="inter"/>
                <w:b w:val="0"/>
                <w:bCs w:val="0"/>
                <w:color w:val="000000"/>
              </w:rPr>
              <w:t>Limited system dynamics</w:t>
            </w:r>
          </w:p>
        </w:tc>
        <w:tc>
          <w:tcPr>
            <w:tcW w:w="0" w:type="auto"/>
          </w:tcPr>
          <w:p w14:paraId="536FDCDA" w14:textId="5D9A2E59"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Linear differential equation systems</w:t>
            </w:r>
          </w:p>
        </w:tc>
        <w:tc>
          <w:tcPr>
            <w:tcW w:w="0" w:type="auto"/>
          </w:tcPr>
          <w:p w14:paraId="05787BFA" w14:textId="7B4AB130"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Neural ODE with learned dynamics</w:t>
            </w:r>
          </w:p>
        </w:tc>
        <w:tc>
          <w:tcPr>
            <w:tcW w:w="0" w:type="auto"/>
          </w:tcPr>
          <w:p w14:paraId="7A38E50E" w14:textId="6FDFC4AC"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Final state (</w:t>
            </w:r>
            <w:proofErr w:type="spellStart"/>
            <w:r w:rsidRPr="00283E3A">
              <w:rPr>
                <w:rFonts w:eastAsia="inter"/>
                <w:color w:val="000000"/>
              </w:rPr>
              <w:t>mean±SD</w:t>
            </w:r>
            <w:proofErr w:type="spellEnd"/>
            <w:r w:rsidRPr="00283E3A">
              <w:rPr>
                <w:rFonts w:eastAsia="inter"/>
                <w:color w:val="000000"/>
              </w:rPr>
              <w:t>): capital −8.41±0.09, renewables −2.60±0.06, non-renewables −3.51±0.07</w:t>
            </w:r>
          </w:p>
        </w:tc>
      </w:tr>
      <w:tr w:rsidR="00CE4A88" w:rsidRPr="00283E3A" w14:paraId="498378C9" w14:textId="77777777" w:rsidTr="005647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1C73675" w14:textId="7B93B6E5" w:rsidR="00CE4A88" w:rsidRPr="00283E3A" w:rsidRDefault="00CE4A88" w:rsidP="00CE4A88">
            <w:pPr>
              <w:spacing w:line="259" w:lineRule="auto"/>
              <w:rPr>
                <w:b w:val="0"/>
                <w:bCs w:val="0"/>
              </w:rPr>
            </w:pPr>
            <w:r w:rsidRPr="00283E3A">
              <w:rPr>
                <w:rFonts w:eastAsia="inter"/>
                <w:b w:val="0"/>
                <w:bCs w:val="0"/>
                <w:color w:val="000000"/>
              </w:rPr>
              <w:t>Multi-objective trade-off management</w:t>
            </w:r>
          </w:p>
        </w:tc>
        <w:tc>
          <w:tcPr>
            <w:tcW w:w="0" w:type="auto"/>
          </w:tcPr>
          <w:p w14:paraId="5280E9DD" w14:textId="5E00DA94"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Manual parameter tuning</w:t>
            </w:r>
          </w:p>
        </w:tc>
        <w:tc>
          <w:tcPr>
            <w:tcW w:w="0" w:type="auto"/>
          </w:tcPr>
          <w:p w14:paraId="3698A871" w14:textId="3FEC3C53"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NSGA-III optimization with adaptive reference vectors</w:t>
            </w:r>
          </w:p>
        </w:tc>
        <w:tc>
          <w:tcPr>
            <w:tcW w:w="0" w:type="auto"/>
          </w:tcPr>
          <w:p w14:paraId="1982C9C6" w14:textId="11B1BAEE"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Material convergence: steel ~47%, concrete ~22%, timber ~31%</w:t>
            </w:r>
          </w:p>
        </w:tc>
      </w:tr>
      <w:tr w:rsidR="00CE4A88" w:rsidRPr="00283E3A" w14:paraId="7D135FD6" w14:textId="77777777" w:rsidTr="005647A5">
        <w:tc>
          <w:tcPr>
            <w:cnfStyle w:val="001000000000" w:firstRow="0" w:lastRow="0" w:firstColumn="1" w:lastColumn="0" w:oddVBand="0" w:evenVBand="0" w:oddHBand="0" w:evenHBand="0" w:firstRowFirstColumn="0" w:firstRowLastColumn="0" w:lastRowFirstColumn="0" w:lastRowLastColumn="0"/>
            <w:tcW w:w="0" w:type="auto"/>
          </w:tcPr>
          <w:p w14:paraId="53BD9847" w14:textId="0C508623" w:rsidR="00CE4A88" w:rsidRPr="00283E3A" w:rsidRDefault="00CE4A88" w:rsidP="00CE4A88">
            <w:pPr>
              <w:spacing w:line="259" w:lineRule="auto"/>
              <w:rPr>
                <w:b w:val="0"/>
                <w:bCs w:val="0"/>
              </w:rPr>
            </w:pPr>
            <w:r w:rsidRPr="00283E3A">
              <w:rPr>
                <w:rFonts w:eastAsia="inter"/>
                <w:b w:val="0"/>
                <w:bCs w:val="0"/>
                <w:color w:val="000000"/>
              </w:rPr>
              <w:t>Short-term decision bias</w:t>
            </w:r>
          </w:p>
        </w:tc>
        <w:tc>
          <w:tcPr>
            <w:tcW w:w="0" w:type="auto"/>
          </w:tcPr>
          <w:p w14:paraId="2B87ACCB" w14:textId="32560D5B"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Constant or hyperbolic discount rates</w:t>
            </w:r>
          </w:p>
        </w:tc>
        <w:tc>
          <w:tcPr>
            <w:tcW w:w="0" w:type="auto"/>
          </w:tcPr>
          <w:p w14:paraId="0EFCA8CA" w14:textId="1DD63E7A"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Sigmoid cultural discounting with generational threshold</w:t>
            </w:r>
          </w:p>
        </w:tc>
        <w:tc>
          <w:tcPr>
            <w:tcW w:w="0" w:type="auto"/>
          </w:tcPr>
          <w:p w14:paraId="0DE3F3F9" w14:textId="6BE4672C"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Discount factors: 0.378 to 0.971 across 200 years</w:t>
            </w:r>
          </w:p>
        </w:tc>
      </w:tr>
      <w:tr w:rsidR="00CE4A88" w:rsidRPr="00283E3A" w14:paraId="49B77D42" w14:textId="77777777" w:rsidTr="005647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B508069" w14:textId="07842CD0" w:rsidR="00CE4A88" w:rsidRPr="00283E3A" w:rsidRDefault="00CE4A88" w:rsidP="00CE4A88">
            <w:pPr>
              <w:spacing w:line="259" w:lineRule="auto"/>
              <w:rPr>
                <w:b w:val="0"/>
                <w:bCs w:val="0"/>
              </w:rPr>
            </w:pPr>
            <w:r w:rsidRPr="00283E3A">
              <w:rPr>
                <w:rFonts w:eastAsia="inter"/>
                <w:b w:val="0"/>
                <w:bCs w:val="0"/>
                <w:color w:val="000000"/>
              </w:rPr>
              <w:t>Resource allocation conflicts</w:t>
            </w:r>
          </w:p>
        </w:tc>
        <w:tc>
          <w:tcPr>
            <w:tcW w:w="0" w:type="auto"/>
          </w:tcPr>
          <w:p w14:paraId="0A5B3D1A" w14:textId="4A47183B"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Linear scalarization with fixed weights</w:t>
            </w:r>
          </w:p>
        </w:tc>
        <w:tc>
          <w:tcPr>
            <w:tcW w:w="0" w:type="auto"/>
          </w:tcPr>
          <w:p w14:paraId="6943B2C9" w14:textId="5FFF3D27"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Game-theoretic utility with reinforcement learning</w:t>
            </w:r>
          </w:p>
        </w:tc>
        <w:tc>
          <w:tcPr>
            <w:tcW w:w="0" w:type="auto"/>
          </w:tcPr>
          <w:p w14:paraId="652EA687" w14:textId="0C9F0BC7"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Reward dynamics: peak 9.23 to min −0.89</w:t>
            </w:r>
          </w:p>
        </w:tc>
      </w:tr>
      <w:tr w:rsidR="00CE4A88" w:rsidRPr="00283E3A" w14:paraId="6CF8774C" w14:textId="77777777" w:rsidTr="005647A5">
        <w:tc>
          <w:tcPr>
            <w:cnfStyle w:val="001000000000" w:firstRow="0" w:lastRow="0" w:firstColumn="1" w:lastColumn="0" w:oddVBand="0" w:evenVBand="0" w:oddHBand="0" w:evenHBand="0" w:firstRowFirstColumn="0" w:firstRowLastColumn="0" w:lastRowFirstColumn="0" w:lastRowLastColumn="0"/>
            <w:tcW w:w="0" w:type="auto"/>
          </w:tcPr>
          <w:p w14:paraId="1F4D1C41" w14:textId="52AF875C" w:rsidR="00CE4A88" w:rsidRPr="00283E3A" w:rsidRDefault="00CE4A88" w:rsidP="00CE4A88">
            <w:pPr>
              <w:spacing w:line="259" w:lineRule="auto"/>
              <w:rPr>
                <w:b w:val="0"/>
                <w:bCs w:val="0"/>
              </w:rPr>
            </w:pPr>
            <w:r w:rsidRPr="00283E3A">
              <w:rPr>
                <w:rFonts w:eastAsia="inter"/>
                <w:b w:val="0"/>
                <w:bCs w:val="0"/>
                <w:color w:val="000000"/>
              </w:rPr>
              <w:t>AI's own sustainability impacts</w:t>
            </w:r>
          </w:p>
        </w:tc>
        <w:tc>
          <w:tcPr>
            <w:tcW w:w="0" w:type="auto"/>
          </w:tcPr>
          <w:p w14:paraId="6C41A3D5" w14:textId="22192188"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Treating AI as external to assessment</w:t>
            </w:r>
          </w:p>
        </w:tc>
        <w:tc>
          <w:tcPr>
            <w:tcW w:w="0" w:type="auto"/>
          </w:tcPr>
          <w:p w14:paraId="2D370164" w14:textId="56506293"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Ethical regularization with energy and fairness penalties</w:t>
            </w:r>
          </w:p>
        </w:tc>
        <w:tc>
          <w:tcPr>
            <w:tcW w:w="0" w:type="auto"/>
          </w:tcPr>
          <w:p w14:paraId="323D1918" w14:textId="63592042"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Energy reduction: 4.38→3.42 kWh/epoch (22%)</w:t>
            </w:r>
          </w:p>
        </w:tc>
      </w:tr>
      <w:tr w:rsidR="00CE4A88" w:rsidRPr="00283E3A" w14:paraId="59CE11E5" w14:textId="77777777" w:rsidTr="005647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30586B0" w14:textId="01F41722" w:rsidR="00CE4A88" w:rsidRPr="00283E3A" w:rsidRDefault="00CE4A88" w:rsidP="00CE4A88">
            <w:pPr>
              <w:spacing w:line="259" w:lineRule="auto"/>
              <w:rPr>
                <w:b w:val="0"/>
                <w:bCs w:val="0"/>
              </w:rPr>
            </w:pPr>
            <w:r w:rsidRPr="00283E3A">
              <w:rPr>
                <w:rFonts w:eastAsia="inter"/>
                <w:b w:val="0"/>
                <w:bCs w:val="0"/>
                <w:color w:val="000000"/>
              </w:rPr>
              <w:lastRenderedPageBreak/>
              <w:t>Cross-dimensional interaction opacity</w:t>
            </w:r>
          </w:p>
        </w:tc>
        <w:tc>
          <w:tcPr>
            <w:tcW w:w="0" w:type="auto"/>
          </w:tcPr>
          <w:p w14:paraId="560CCCF4" w14:textId="7C4C5A57"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Independent dimension optimization</w:t>
            </w:r>
          </w:p>
        </w:tc>
        <w:tc>
          <w:tcPr>
            <w:tcW w:w="0" w:type="auto"/>
          </w:tcPr>
          <w:p w14:paraId="441F7D43" w14:textId="6D52CA3F"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GAT-based impact propagation</w:t>
            </w:r>
          </w:p>
        </w:tc>
        <w:tc>
          <w:tcPr>
            <w:tcW w:w="0" w:type="auto"/>
          </w:tcPr>
          <w:p w14:paraId="07155E44" w14:textId="6DD8BC4C" w:rsidR="00CE4A88" w:rsidRPr="00283E3A" w:rsidRDefault="00CE4A88" w:rsidP="00CE4A88">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 xml:space="preserve">Asymmetric coefficients: </w:t>
            </w:r>
            <w:proofErr w:type="spellStart"/>
            <w:r w:rsidRPr="00283E3A">
              <w:rPr>
                <w:rFonts w:eastAsia="inter"/>
                <w:color w:val="000000"/>
              </w:rPr>
              <w:t>ecological→animal</w:t>
            </w:r>
            <w:proofErr w:type="spellEnd"/>
            <w:r w:rsidRPr="00283E3A">
              <w:rPr>
                <w:rFonts w:eastAsia="inter"/>
                <w:color w:val="000000"/>
              </w:rPr>
              <w:t xml:space="preserve"> 0.642 vs reverse 0.583</w:t>
            </w:r>
          </w:p>
        </w:tc>
      </w:tr>
      <w:tr w:rsidR="00CE4A88" w:rsidRPr="00283E3A" w14:paraId="0AFE14F5" w14:textId="77777777" w:rsidTr="005647A5">
        <w:tc>
          <w:tcPr>
            <w:cnfStyle w:val="001000000000" w:firstRow="0" w:lastRow="0" w:firstColumn="1" w:lastColumn="0" w:oddVBand="0" w:evenVBand="0" w:oddHBand="0" w:evenHBand="0" w:firstRowFirstColumn="0" w:firstRowLastColumn="0" w:lastRowFirstColumn="0" w:lastRowLastColumn="0"/>
            <w:tcW w:w="0" w:type="auto"/>
          </w:tcPr>
          <w:p w14:paraId="51916B10" w14:textId="1735F5CC" w:rsidR="00CE4A88" w:rsidRPr="00283E3A" w:rsidRDefault="00CE4A88" w:rsidP="00CE4A88">
            <w:pPr>
              <w:spacing w:line="259" w:lineRule="auto"/>
              <w:rPr>
                <w:b w:val="0"/>
                <w:bCs w:val="0"/>
              </w:rPr>
            </w:pPr>
            <w:r w:rsidRPr="00283E3A">
              <w:rPr>
                <w:rFonts w:eastAsia="inter"/>
                <w:b w:val="0"/>
                <w:bCs w:val="0"/>
                <w:color w:val="000000"/>
              </w:rPr>
              <w:t>Planetary boundary neglect</w:t>
            </w:r>
          </w:p>
        </w:tc>
        <w:tc>
          <w:tcPr>
            <w:tcW w:w="0" w:type="auto"/>
          </w:tcPr>
          <w:p w14:paraId="52C51BBA" w14:textId="43D5B1F2"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Isolated environmental indicators</w:t>
            </w:r>
          </w:p>
        </w:tc>
        <w:tc>
          <w:tcPr>
            <w:tcW w:w="0" w:type="auto"/>
          </w:tcPr>
          <w:p w14:paraId="6EC5A362" w14:textId="595A3B97"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Boundary-aware neural networks with crisis response</w:t>
            </w:r>
          </w:p>
        </w:tc>
        <w:tc>
          <w:tcPr>
            <w:tcW w:w="0" w:type="auto"/>
          </w:tcPr>
          <w:p w14:paraId="2F19C743" w14:textId="060C9DA6" w:rsidR="00CE4A88" w:rsidRPr="00283E3A" w:rsidRDefault="00CE4A88" w:rsidP="00CE4A88">
            <w:pPr>
              <w:spacing w:line="259" w:lineRule="auto"/>
              <w:cnfStyle w:val="000000000000" w:firstRow="0" w:lastRow="0" w:firstColumn="0" w:lastColumn="0" w:oddVBand="0" w:evenVBand="0" w:oddHBand="0" w:evenHBand="0" w:firstRowFirstColumn="0" w:firstRowLastColumn="0" w:lastRowFirstColumn="0" w:lastRowLastColumn="0"/>
            </w:pPr>
            <w:r w:rsidRPr="00283E3A">
              <w:rPr>
                <w:rFonts w:eastAsia="inter"/>
                <w:color w:val="000000"/>
              </w:rPr>
              <w:t>Endpoint uncertainty in Figure S1 Panel D</w:t>
            </w:r>
          </w:p>
        </w:tc>
      </w:tr>
      <w:tr w:rsidR="00B91CFC" w:rsidRPr="00283E3A" w14:paraId="78C7F155" w14:textId="77777777" w:rsidTr="00B91C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76B6A5" w14:textId="77777777" w:rsidR="00B91CFC" w:rsidRPr="00283E3A" w:rsidRDefault="00B91CFC" w:rsidP="00B91CFC">
            <w:pPr>
              <w:spacing w:line="259" w:lineRule="auto"/>
              <w:rPr>
                <w:b w:val="0"/>
                <w:bCs w:val="0"/>
              </w:rPr>
            </w:pPr>
            <w:r w:rsidRPr="00283E3A">
              <w:rPr>
                <w:b w:val="0"/>
                <w:bCs w:val="0"/>
              </w:rPr>
              <w:t>Intergenerational equity</w:t>
            </w:r>
          </w:p>
        </w:tc>
        <w:tc>
          <w:tcPr>
            <w:tcW w:w="0" w:type="auto"/>
            <w:vAlign w:val="center"/>
          </w:tcPr>
          <w:p w14:paraId="7549C842" w14:textId="77777777" w:rsidR="00B91CFC" w:rsidRPr="00283E3A" w:rsidRDefault="00B91CFC" w:rsidP="00B91CFC">
            <w:pPr>
              <w:spacing w:line="259" w:lineRule="auto"/>
              <w:cnfStyle w:val="000000100000" w:firstRow="0" w:lastRow="0" w:firstColumn="0" w:lastColumn="0" w:oddVBand="0" w:evenVBand="0" w:oddHBand="1" w:evenHBand="0" w:firstRowFirstColumn="0" w:firstRowLastColumn="0" w:lastRowFirstColumn="0" w:lastRowLastColumn="0"/>
            </w:pPr>
            <w:r w:rsidRPr="00283E3A">
              <w:t>Present-biased optimization</w:t>
            </w:r>
          </w:p>
        </w:tc>
        <w:tc>
          <w:tcPr>
            <w:tcW w:w="0" w:type="auto"/>
            <w:vAlign w:val="center"/>
          </w:tcPr>
          <w:p w14:paraId="2A947088" w14:textId="77777777" w:rsidR="00B91CFC" w:rsidRPr="00283E3A" w:rsidRDefault="00B91CFC" w:rsidP="00B91CFC">
            <w:pPr>
              <w:spacing w:line="259" w:lineRule="auto"/>
              <w:cnfStyle w:val="000000100000" w:firstRow="0" w:lastRow="0" w:firstColumn="0" w:lastColumn="0" w:oddVBand="0" w:evenVBand="0" w:oddHBand="1" w:evenHBand="0" w:firstRowFirstColumn="0" w:firstRowLastColumn="0" w:lastRowFirstColumn="0" w:lastRowLastColumn="0"/>
            </w:pPr>
            <w:r w:rsidRPr="00283E3A">
              <w:t xml:space="preserve">Cultural discounting with sigmoid transition at </w:t>
            </w:r>
            <w:proofErr w:type="spellStart"/>
            <w:r w:rsidRPr="00283E3A">
              <w:t>T</w:t>
            </w:r>
            <w:r w:rsidRPr="00283E3A">
              <w:rPr>
                <w:vertAlign w:val="subscript"/>
              </w:rPr>
              <w:t>gen</w:t>
            </w:r>
            <w:proofErr w:type="spellEnd"/>
            <w:r w:rsidRPr="00283E3A">
              <w:t xml:space="preserve"> = 25 years</w:t>
            </w:r>
          </w:p>
        </w:tc>
        <w:tc>
          <w:tcPr>
            <w:tcW w:w="0" w:type="auto"/>
            <w:vAlign w:val="center"/>
          </w:tcPr>
          <w:p w14:paraId="1BADE21B" w14:textId="33E71925" w:rsidR="00B91CFC" w:rsidRPr="00283E3A" w:rsidRDefault="00CE4A88" w:rsidP="00B91CFC">
            <w:pPr>
              <w:spacing w:line="259" w:lineRule="auto"/>
              <w:cnfStyle w:val="000000100000" w:firstRow="0" w:lastRow="0" w:firstColumn="0" w:lastColumn="0" w:oddVBand="0" w:evenVBand="0" w:oddHBand="1" w:evenHBand="0" w:firstRowFirstColumn="0" w:firstRowLastColumn="0" w:lastRowFirstColumn="0" w:lastRowLastColumn="0"/>
            </w:pPr>
            <w:r w:rsidRPr="00283E3A">
              <w:rPr>
                <w:rFonts w:eastAsia="inter"/>
                <w:color w:val="000000"/>
              </w:rPr>
              <w:t>Temporal weighting: 0.378 to 0.971 across 8 generations</w:t>
            </w:r>
          </w:p>
        </w:tc>
      </w:tr>
    </w:tbl>
    <w:p w14:paraId="7D500494" w14:textId="77777777" w:rsidR="0010399A" w:rsidRPr="0010399A" w:rsidRDefault="0010399A" w:rsidP="0010399A">
      <w:pPr>
        <w:jc w:val="both"/>
        <w:rPr>
          <w:b/>
          <w:bCs/>
        </w:rPr>
      </w:pPr>
      <w:r w:rsidRPr="0010399A">
        <w:rPr>
          <w:b/>
          <w:bCs/>
        </w:rPr>
        <w:t>Note:</w:t>
      </w:r>
    </w:p>
    <w:p w14:paraId="01CCA040" w14:textId="77777777" w:rsidR="0010399A" w:rsidRPr="0010399A" w:rsidRDefault="0010399A" w:rsidP="0010399A">
      <w:pPr>
        <w:numPr>
          <w:ilvl w:val="0"/>
          <w:numId w:val="7"/>
        </w:numPr>
        <w:jc w:val="both"/>
      </w:pPr>
      <w:r w:rsidRPr="0010399A">
        <w:t xml:space="preserve">Nine sustainability limitations identified from recent </w:t>
      </w:r>
      <w:proofErr w:type="gramStart"/>
      <w:r w:rsidRPr="0010399A">
        <w:t>literature;</w:t>
      </w:r>
      <w:proofErr w:type="gramEnd"/>
      <w:r w:rsidRPr="0010399A">
        <w:t xml:space="preserve"> each row contrasts conventional approach with AI-CDSN implementation and simulation evidence.</w:t>
      </w:r>
    </w:p>
    <w:p w14:paraId="222C6748" w14:textId="77777777" w:rsidR="0010399A" w:rsidRPr="0010399A" w:rsidRDefault="0010399A" w:rsidP="0010399A">
      <w:pPr>
        <w:numPr>
          <w:ilvl w:val="0"/>
          <w:numId w:val="7"/>
        </w:numPr>
        <w:jc w:val="both"/>
      </w:pPr>
      <w:r w:rsidRPr="0010399A">
        <w:t>Material allocations (steel 48%, concrete 22%, timber 30%) represent stable optimization outcomes across four regional simulations with coefficient of variation &lt;2%.</w:t>
      </w:r>
    </w:p>
    <w:p w14:paraId="1C82F932" w14:textId="77777777" w:rsidR="0010399A" w:rsidRPr="0010399A" w:rsidRDefault="0010399A" w:rsidP="0010399A">
      <w:pPr>
        <w:numPr>
          <w:ilvl w:val="0"/>
          <w:numId w:val="7"/>
        </w:numPr>
        <w:jc w:val="both"/>
      </w:pPr>
      <w:r w:rsidRPr="0010399A">
        <w:t xml:space="preserve">System endpoints reported as </w:t>
      </w:r>
      <w:proofErr w:type="spellStart"/>
      <w:r w:rsidRPr="0010399A">
        <w:t>mean±standard</w:t>
      </w:r>
      <w:proofErr w:type="spellEnd"/>
      <w:r w:rsidRPr="0010399A">
        <w:t xml:space="preserve"> deviation across regional runs: capital −8.41±0.09, renewables −2.60±0.06, non-renewables −3.51±0.07.</w:t>
      </w:r>
    </w:p>
    <w:p w14:paraId="679EBAF1" w14:textId="05F787FA" w:rsidR="0010399A" w:rsidRPr="0010399A" w:rsidRDefault="0010399A" w:rsidP="0010399A">
      <w:pPr>
        <w:numPr>
          <w:ilvl w:val="0"/>
          <w:numId w:val="7"/>
        </w:numPr>
        <w:jc w:val="both"/>
      </w:pPr>
      <w:r w:rsidRPr="0010399A">
        <w:t xml:space="preserve">Sigmoid cultural discounting parameters: generational threshold </w:t>
      </w:r>
      <m:oMath>
        <m:sSub>
          <m:sSubPr>
            <m:ctrlPr>
              <w:rPr>
                <w:rFonts w:ascii="Cambria Math" w:hAnsi="Cambria Math"/>
              </w:rPr>
            </m:ctrlPr>
          </m:sSubPr>
          <m:e>
            <m:r>
              <m:rPr>
                <m:sty m:val="p"/>
              </m:rPr>
              <w:rPr>
                <w:rFonts w:ascii="Cambria Math" w:hAnsi="Cambria Math"/>
              </w:rPr>
              <m:t>T</m:t>
            </m:r>
          </m:e>
          <m:sub>
            <m:r>
              <m:rPr>
                <m:sty m:val="p"/>
              </m:rPr>
              <w:rPr>
                <w:rFonts w:ascii="Cambria Math" w:hAnsi="Cambria Math"/>
                <w:vertAlign w:val="subscript"/>
              </w:rPr>
              <m:t>gen</m:t>
            </m:r>
          </m:sub>
        </m:sSub>
      </m:oMath>
      <w:r w:rsidRPr="0010399A">
        <w:t>=25 years; discount factors span 0.378 to 0.971 across 8 generations (200 years).</w:t>
      </w:r>
    </w:p>
    <w:p w14:paraId="4F76B034" w14:textId="77777777" w:rsidR="0010399A" w:rsidRPr="0010399A" w:rsidRDefault="0010399A" w:rsidP="0010399A">
      <w:pPr>
        <w:numPr>
          <w:ilvl w:val="0"/>
          <w:numId w:val="7"/>
        </w:numPr>
        <w:jc w:val="both"/>
      </w:pPr>
      <w:r w:rsidRPr="0010399A">
        <w:t>Reward dynamics reflect reinforcement learning training: peak 9.23 indicates optimal multi-objective balance; minimum −0.89 represents planetary boundary violation penalties.</w:t>
      </w:r>
    </w:p>
    <w:p w14:paraId="17529003" w14:textId="77777777" w:rsidR="0010399A" w:rsidRPr="0010399A" w:rsidRDefault="0010399A" w:rsidP="0010399A">
      <w:pPr>
        <w:numPr>
          <w:ilvl w:val="0"/>
          <w:numId w:val="7"/>
        </w:numPr>
        <w:jc w:val="both"/>
      </w:pPr>
      <w:r w:rsidRPr="0010399A">
        <w:t>Energy reduction (4.38→3.42 kWh/epoch) achieved through ethical regularization penalty term in loss function; 22% decrease while maintaining optimization quality.</w:t>
      </w:r>
    </w:p>
    <w:p w14:paraId="556B83C1" w14:textId="77777777" w:rsidR="0010399A" w:rsidRPr="0010399A" w:rsidRDefault="0010399A" w:rsidP="0010399A">
      <w:pPr>
        <w:numPr>
          <w:ilvl w:val="0"/>
          <w:numId w:val="7"/>
        </w:numPr>
        <w:jc w:val="both"/>
      </w:pPr>
      <w:r w:rsidRPr="0010399A">
        <w:t>GAT asymmetric coefficients quantify directional dependencies: ecological sustainability impacts animal welfare (0.642) more strongly than reverse pathway (0.583).</w:t>
      </w:r>
    </w:p>
    <w:p w14:paraId="18AA5397" w14:textId="77777777" w:rsidR="0010399A" w:rsidRPr="0010399A" w:rsidRDefault="0010399A" w:rsidP="0010399A">
      <w:pPr>
        <w:numPr>
          <w:ilvl w:val="0"/>
          <w:numId w:val="7"/>
        </w:numPr>
        <w:jc w:val="both"/>
      </w:pPr>
      <w:r w:rsidRPr="0010399A">
        <w:t>All empirical values from simulation experiments with synthetic scenario data; validation against real-world policy outcomes required for operational claims.</w:t>
      </w:r>
    </w:p>
    <w:p w14:paraId="29824DAE" w14:textId="77777777" w:rsidR="00B91CFC" w:rsidRPr="00283E3A" w:rsidRDefault="00B91CFC" w:rsidP="00B91CFC">
      <w:pPr>
        <w:jc w:val="both"/>
      </w:pPr>
    </w:p>
    <w:p w14:paraId="40FF73A7" w14:textId="1D258CFF" w:rsidR="00733D82" w:rsidRPr="00283E3A" w:rsidRDefault="00B91CFC" w:rsidP="00B91CFC">
      <w:pPr>
        <w:jc w:val="both"/>
      </w:pPr>
      <w:r w:rsidRPr="00283E3A">
        <w:rPr>
          <w:bCs/>
        </w:rPr>
        <w:t xml:space="preserve">Supplementary </w:t>
      </w:r>
      <w:r w:rsidR="0010399A" w:rsidRPr="0010399A">
        <w:rPr>
          <w:bCs/>
        </w:rPr>
        <w:t xml:space="preserve">Table S1 systematically compares nine critical limitations of conventional sustainability assessment frameworks with AI-CDSN architectural solutions and empirical evidence from simulation experiments. Conventional approaches rely on static weights, linear dynamics, and manual tuning that fail to capture complex socio-ecological </w:t>
      </w:r>
      <w:proofErr w:type="gramStart"/>
      <w:r w:rsidR="0010399A" w:rsidRPr="0010399A">
        <w:rPr>
          <w:bCs/>
        </w:rPr>
        <w:t>feedbacks</w:t>
      </w:r>
      <w:proofErr w:type="gramEnd"/>
      <w:r w:rsidR="0010399A" w:rsidRPr="0010399A">
        <w:rPr>
          <w:bCs/>
        </w:rPr>
        <w:t>. AI-CDSN overcomes these through dynamic weight adaptation responding to planetary boundary proximity, neural ODEs learning nonlinear dynamics from data, and automated multi-objective optimization via NSGA-III. Material allocation stability (steel 48%, concrete 22%, timber 30%) emerges from optimization without predetermined preferences. Sigmoid cultural discounting explicitly encodes intergenerational equity with temporal weights ranging from 0.378 (near-term) to 0.971 (long-term) across 200 years, replacing conventional exponential discounting that systematically undervalues future generations. Game-theoretic utility functions capture resource allocation conflicts through reinforcement learning, achieving documented energy efficiency (22% reduction) while maintaining solution quality. Graph Attention Networks reveal asymmetric cross-dimensional interactions (</w:t>
      </w:r>
      <w:proofErr w:type="spellStart"/>
      <w:r w:rsidR="0010399A" w:rsidRPr="0010399A">
        <w:rPr>
          <w:bCs/>
        </w:rPr>
        <w:t>ecological→animal</w:t>
      </w:r>
      <w:proofErr w:type="spellEnd"/>
      <w:r w:rsidR="0010399A" w:rsidRPr="0010399A">
        <w:rPr>
          <w:bCs/>
        </w:rPr>
        <w:t xml:space="preserve"> welfare 0.642 vs reverse 0.583) hidden in conventional independent optimization. All empirical evidence derives from four regional </w:t>
      </w:r>
      <w:proofErr w:type="gramStart"/>
      <w:r w:rsidR="0010399A" w:rsidRPr="0010399A">
        <w:rPr>
          <w:bCs/>
        </w:rPr>
        <w:t>simulations;</w:t>
      </w:r>
      <w:proofErr w:type="gramEnd"/>
      <w:r w:rsidR="0010399A" w:rsidRPr="0010399A">
        <w:rPr>
          <w:bCs/>
        </w:rPr>
        <w:t xml:space="preserve"> real-world validation required before operational deployment.</w:t>
      </w:r>
    </w:p>
    <w:p w14:paraId="46D4F86D" w14:textId="7057EA36" w:rsidR="00B969E6" w:rsidRDefault="00841D30" w:rsidP="001341F1">
      <w:pPr>
        <w:spacing w:before="120" w:after="120"/>
        <w:jc w:val="both"/>
        <w:rPr>
          <w:b/>
        </w:rPr>
      </w:pPr>
      <w:bookmarkStart w:id="2" w:name="table_s2_uncertainty_quantificati_c54612"/>
      <w:r w:rsidRPr="00283E3A">
        <w:rPr>
          <w:b/>
        </w:rPr>
        <w:t xml:space="preserve">Supplementary Table </w:t>
      </w:r>
      <w:r w:rsidR="00B969E6" w:rsidRPr="00283E3A">
        <w:rPr>
          <w:b/>
        </w:rPr>
        <w:t xml:space="preserve">S2: </w:t>
      </w:r>
      <w:r w:rsidR="00B969E6" w:rsidRPr="000A769A">
        <w:rPr>
          <w:bCs/>
        </w:rPr>
        <w:t>Uncertainty quantification across regional simulations</w:t>
      </w:r>
      <w:bookmarkEnd w:id="2"/>
    </w:p>
    <w:tbl>
      <w:tblPr>
        <w:tblStyle w:val="PlainTable2"/>
        <w:tblW w:w="5000" w:type="pct"/>
        <w:tblLook w:val="04A0" w:firstRow="1" w:lastRow="0" w:firstColumn="1" w:lastColumn="0" w:noHBand="0" w:noVBand="1"/>
      </w:tblPr>
      <w:tblGrid>
        <w:gridCol w:w="1600"/>
        <w:gridCol w:w="1035"/>
        <w:gridCol w:w="1035"/>
        <w:gridCol w:w="1036"/>
        <w:gridCol w:w="1036"/>
        <w:gridCol w:w="1324"/>
        <w:gridCol w:w="997"/>
        <w:gridCol w:w="963"/>
      </w:tblGrid>
      <w:tr w:rsidR="003A07CB" w:rsidRPr="003A07CB" w14:paraId="54131F8F" w14:textId="77777777" w:rsidTr="003A0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 w:type="pct"/>
            <w:vAlign w:val="center"/>
          </w:tcPr>
          <w:p w14:paraId="0DB1EB45" w14:textId="77777777" w:rsidR="003A07CB" w:rsidRPr="003A07CB" w:rsidRDefault="003A07CB" w:rsidP="003A07CB">
            <w:pPr>
              <w:spacing w:line="259" w:lineRule="auto"/>
            </w:pPr>
            <w:r w:rsidRPr="003A07CB">
              <w:lastRenderedPageBreak/>
              <w:t>Variable</w:t>
            </w:r>
          </w:p>
        </w:tc>
        <w:tc>
          <w:tcPr>
            <w:tcW w:w="588" w:type="pct"/>
            <w:vAlign w:val="center"/>
          </w:tcPr>
          <w:p w14:paraId="7D9B6AAA" w14:textId="77777777" w:rsidR="003A07CB" w:rsidRPr="003A07CB"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pPr>
            <w:r w:rsidRPr="003A07CB">
              <w:t>Region 1 Final</w:t>
            </w:r>
          </w:p>
        </w:tc>
        <w:tc>
          <w:tcPr>
            <w:tcW w:w="588" w:type="pct"/>
            <w:vAlign w:val="center"/>
          </w:tcPr>
          <w:p w14:paraId="4E57E93A" w14:textId="77777777" w:rsidR="003A07CB" w:rsidRPr="003A07CB"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pPr>
            <w:r w:rsidRPr="003A07CB">
              <w:t>Region 2 Final</w:t>
            </w:r>
          </w:p>
        </w:tc>
        <w:tc>
          <w:tcPr>
            <w:tcW w:w="588" w:type="pct"/>
            <w:vAlign w:val="center"/>
          </w:tcPr>
          <w:p w14:paraId="1D9B3E73" w14:textId="77777777" w:rsidR="003A07CB" w:rsidRPr="003A07CB"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pPr>
            <w:r w:rsidRPr="003A07CB">
              <w:t>Region 3 Final</w:t>
            </w:r>
          </w:p>
        </w:tc>
        <w:tc>
          <w:tcPr>
            <w:tcW w:w="588" w:type="pct"/>
            <w:vAlign w:val="center"/>
          </w:tcPr>
          <w:p w14:paraId="67B7763A" w14:textId="77777777" w:rsidR="003A07CB" w:rsidRPr="003A07CB"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pPr>
            <w:r w:rsidRPr="003A07CB">
              <w:t>Region 4 Final</w:t>
            </w:r>
          </w:p>
        </w:tc>
        <w:tc>
          <w:tcPr>
            <w:tcW w:w="683" w:type="pct"/>
            <w:vAlign w:val="center"/>
          </w:tcPr>
          <w:p w14:paraId="043F6E9C" w14:textId="77777777" w:rsidR="003A07CB" w:rsidRPr="003A07CB"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pPr>
            <w:proofErr w:type="spellStart"/>
            <w:r w:rsidRPr="003A07CB">
              <w:t>Mean±SD</w:t>
            </w:r>
            <w:proofErr w:type="spellEnd"/>
          </w:p>
        </w:tc>
        <w:tc>
          <w:tcPr>
            <w:tcW w:w="566" w:type="pct"/>
            <w:vAlign w:val="center"/>
          </w:tcPr>
          <w:p w14:paraId="1082FA7E" w14:textId="77777777" w:rsidR="003A07CB" w:rsidRPr="003A07CB"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pPr>
            <w:r w:rsidRPr="003A07CB">
              <w:t>95% CI</w:t>
            </w:r>
          </w:p>
        </w:tc>
        <w:tc>
          <w:tcPr>
            <w:tcW w:w="499" w:type="pct"/>
            <w:vAlign w:val="center"/>
          </w:tcPr>
          <w:p w14:paraId="0BD06082" w14:textId="77777777" w:rsidR="003A07CB" w:rsidRPr="003A07CB" w:rsidRDefault="003A07CB" w:rsidP="003A07CB">
            <w:pPr>
              <w:spacing w:line="259" w:lineRule="auto"/>
              <w:cnfStyle w:val="100000000000" w:firstRow="1" w:lastRow="0" w:firstColumn="0" w:lastColumn="0" w:oddVBand="0" w:evenVBand="0" w:oddHBand="0" w:evenHBand="0" w:firstRowFirstColumn="0" w:firstRowLastColumn="0" w:lastRowFirstColumn="0" w:lastRowLastColumn="0"/>
            </w:pPr>
            <w:proofErr w:type="gramStart"/>
            <w:r w:rsidRPr="003A07CB">
              <w:t>CV(</w:t>
            </w:r>
            <w:proofErr w:type="gramEnd"/>
            <w:r w:rsidRPr="003A07CB">
              <w:t>%)</w:t>
            </w:r>
          </w:p>
        </w:tc>
      </w:tr>
      <w:tr w:rsidR="003A07CB" w:rsidRPr="003A07CB" w14:paraId="4D121989" w14:textId="77777777" w:rsidTr="003A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 w:type="pct"/>
            <w:vAlign w:val="center"/>
          </w:tcPr>
          <w:p w14:paraId="7CAEA3F6" w14:textId="77777777" w:rsidR="003A07CB" w:rsidRPr="003A07CB" w:rsidRDefault="003A07CB" w:rsidP="003A07CB">
            <w:pPr>
              <w:spacing w:line="259" w:lineRule="auto"/>
              <w:rPr>
                <w:b w:val="0"/>
                <w:bCs w:val="0"/>
              </w:rPr>
            </w:pPr>
            <w:r w:rsidRPr="003A07CB">
              <w:rPr>
                <w:b w:val="0"/>
                <w:bCs w:val="0"/>
              </w:rPr>
              <w:t>Capital</w:t>
            </w:r>
          </w:p>
        </w:tc>
        <w:tc>
          <w:tcPr>
            <w:tcW w:w="588" w:type="pct"/>
            <w:vAlign w:val="center"/>
          </w:tcPr>
          <w:p w14:paraId="52D50D9A"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−8.50</w:t>
            </w:r>
          </w:p>
        </w:tc>
        <w:tc>
          <w:tcPr>
            <w:tcW w:w="588" w:type="pct"/>
            <w:vAlign w:val="center"/>
          </w:tcPr>
          <w:p w14:paraId="5277A2BD"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−8.41</w:t>
            </w:r>
          </w:p>
        </w:tc>
        <w:tc>
          <w:tcPr>
            <w:tcW w:w="588" w:type="pct"/>
            <w:vAlign w:val="center"/>
          </w:tcPr>
          <w:p w14:paraId="52AB05AD"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−8.32</w:t>
            </w:r>
          </w:p>
        </w:tc>
        <w:tc>
          <w:tcPr>
            <w:tcW w:w="588" w:type="pct"/>
            <w:vAlign w:val="center"/>
          </w:tcPr>
          <w:p w14:paraId="06058F99"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−8.41</w:t>
            </w:r>
          </w:p>
        </w:tc>
        <w:tc>
          <w:tcPr>
            <w:tcW w:w="683" w:type="pct"/>
            <w:vAlign w:val="center"/>
          </w:tcPr>
          <w:p w14:paraId="1E629A94"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−8.41±0.07</w:t>
            </w:r>
          </w:p>
        </w:tc>
        <w:tc>
          <w:tcPr>
            <w:tcW w:w="566" w:type="pct"/>
            <w:vAlign w:val="center"/>
          </w:tcPr>
          <w:p w14:paraId="47D0E9DF"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[−8.53, −8.29]</w:t>
            </w:r>
          </w:p>
        </w:tc>
        <w:tc>
          <w:tcPr>
            <w:tcW w:w="499" w:type="pct"/>
            <w:vAlign w:val="center"/>
          </w:tcPr>
          <w:p w14:paraId="34A8DC24"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0.87</w:t>
            </w:r>
          </w:p>
        </w:tc>
      </w:tr>
      <w:tr w:rsidR="003A07CB" w:rsidRPr="003A07CB" w14:paraId="7C443A5D" w14:textId="77777777" w:rsidTr="003A07CB">
        <w:tc>
          <w:tcPr>
            <w:cnfStyle w:val="001000000000" w:firstRow="0" w:lastRow="0" w:firstColumn="1" w:lastColumn="0" w:oddVBand="0" w:evenVBand="0" w:oddHBand="0" w:evenHBand="0" w:firstRowFirstColumn="0" w:firstRowLastColumn="0" w:lastRowFirstColumn="0" w:lastRowLastColumn="0"/>
            <w:tcW w:w="901" w:type="pct"/>
            <w:vAlign w:val="center"/>
          </w:tcPr>
          <w:p w14:paraId="4A6A690C" w14:textId="77777777" w:rsidR="003A07CB" w:rsidRPr="003A07CB" w:rsidRDefault="003A07CB" w:rsidP="003A07CB">
            <w:pPr>
              <w:spacing w:line="259" w:lineRule="auto"/>
              <w:rPr>
                <w:b w:val="0"/>
                <w:bCs w:val="0"/>
              </w:rPr>
            </w:pPr>
            <w:r w:rsidRPr="003A07CB">
              <w:rPr>
                <w:b w:val="0"/>
                <w:bCs w:val="0"/>
              </w:rPr>
              <w:t>Renewables</w:t>
            </w:r>
          </w:p>
        </w:tc>
        <w:tc>
          <w:tcPr>
            <w:tcW w:w="588" w:type="pct"/>
            <w:vAlign w:val="center"/>
          </w:tcPr>
          <w:p w14:paraId="6F4CC7C0"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−2.66</w:t>
            </w:r>
          </w:p>
        </w:tc>
        <w:tc>
          <w:tcPr>
            <w:tcW w:w="588" w:type="pct"/>
            <w:vAlign w:val="center"/>
          </w:tcPr>
          <w:p w14:paraId="6F97FB25"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−2.60</w:t>
            </w:r>
          </w:p>
        </w:tc>
        <w:tc>
          <w:tcPr>
            <w:tcW w:w="588" w:type="pct"/>
            <w:vAlign w:val="center"/>
          </w:tcPr>
          <w:p w14:paraId="348AB7F3"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−2.54</w:t>
            </w:r>
          </w:p>
        </w:tc>
        <w:tc>
          <w:tcPr>
            <w:tcW w:w="588" w:type="pct"/>
            <w:vAlign w:val="center"/>
          </w:tcPr>
          <w:p w14:paraId="48BFA258"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−2.60</w:t>
            </w:r>
          </w:p>
        </w:tc>
        <w:tc>
          <w:tcPr>
            <w:tcW w:w="683" w:type="pct"/>
            <w:vAlign w:val="center"/>
          </w:tcPr>
          <w:p w14:paraId="7AC3E53A"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−2.60±0.05</w:t>
            </w:r>
          </w:p>
        </w:tc>
        <w:tc>
          <w:tcPr>
            <w:tcW w:w="566" w:type="pct"/>
            <w:vAlign w:val="center"/>
          </w:tcPr>
          <w:p w14:paraId="483DEB6A"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[−2.68, −2.52]</w:t>
            </w:r>
          </w:p>
        </w:tc>
        <w:tc>
          <w:tcPr>
            <w:tcW w:w="499" w:type="pct"/>
            <w:vAlign w:val="center"/>
          </w:tcPr>
          <w:p w14:paraId="0A7D1967"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1.88</w:t>
            </w:r>
          </w:p>
        </w:tc>
      </w:tr>
      <w:tr w:rsidR="003A07CB" w:rsidRPr="003A07CB" w14:paraId="04E00A00" w14:textId="77777777" w:rsidTr="003A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 w:type="pct"/>
            <w:vAlign w:val="center"/>
          </w:tcPr>
          <w:p w14:paraId="607FF998" w14:textId="77777777" w:rsidR="003A07CB" w:rsidRPr="003A07CB" w:rsidRDefault="003A07CB" w:rsidP="003A07CB">
            <w:pPr>
              <w:spacing w:line="259" w:lineRule="auto"/>
              <w:rPr>
                <w:b w:val="0"/>
                <w:bCs w:val="0"/>
              </w:rPr>
            </w:pPr>
            <w:r w:rsidRPr="003A07CB">
              <w:rPr>
                <w:b w:val="0"/>
                <w:bCs w:val="0"/>
              </w:rPr>
              <w:t>Non-renewables</w:t>
            </w:r>
          </w:p>
        </w:tc>
        <w:tc>
          <w:tcPr>
            <w:tcW w:w="588" w:type="pct"/>
            <w:vAlign w:val="center"/>
          </w:tcPr>
          <w:p w14:paraId="28972725"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−3.58</w:t>
            </w:r>
          </w:p>
        </w:tc>
        <w:tc>
          <w:tcPr>
            <w:tcW w:w="588" w:type="pct"/>
            <w:vAlign w:val="center"/>
          </w:tcPr>
          <w:p w14:paraId="49C571A2"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−3.51</w:t>
            </w:r>
          </w:p>
        </w:tc>
        <w:tc>
          <w:tcPr>
            <w:tcW w:w="588" w:type="pct"/>
            <w:vAlign w:val="center"/>
          </w:tcPr>
          <w:p w14:paraId="36A540B9"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−3.44</w:t>
            </w:r>
          </w:p>
        </w:tc>
        <w:tc>
          <w:tcPr>
            <w:tcW w:w="588" w:type="pct"/>
            <w:vAlign w:val="center"/>
          </w:tcPr>
          <w:p w14:paraId="7CB0D01F"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−3.51</w:t>
            </w:r>
          </w:p>
        </w:tc>
        <w:tc>
          <w:tcPr>
            <w:tcW w:w="683" w:type="pct"/>
            <w:vAlign w:val="center"/>
          </w:tcPr>
          <w:p w14:paraId="262D2A14"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−3.51±0.06</w:t>
            </w:r>
          </w:p>
        </w:tc>
        <w:tc>
          <w:tcPr>
            <w:tcW w:w="566" w:type="pct"/>
            <w:vAlign w:val="center"/>
          </w:tcPr>
          <w:p w14:paraId="2DB3FBA3"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[−3.60, −3.42]</w:t>
            </w:r>
          </w:p>
        </w:tc>
        <w:tc>
          <w:tcPr>
            <w:tcW w:w="499" w:type="pct"/>
            <w:vAlign w:val="center"/>
          </w:tcPr>
          <w:p w14:paraId="6CC962CB"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1.63</w:t>
            </w:r>
          </w:p>
        </w:tc>
      </w:tr>
      <w:tr w:rsidR="003A07CB" w:rsidRPr="003A07CB" w14:paraId="071612A6" w14:textId="77777777" w:rsidTr="003A07CB">
        <w:tc>
          <w:tcPr>
            <w:cnfStyle w:val="001000000000" w:firstRow="0" w:lastRow="0" w:firstColumn="1" w:lastColumn="0" w:oddVBand="0" w:evenVBand="0" w:oddHBand="0" w:evenHBand="0" w:firstRowFirstColumn="0" w:firstRowLastColumn="0" w:lastRowFirstColumn="0" w:lastRowLastColumn="0"/>
            <w:tcW w:w="901" w:type="pct"/>
            <w:vAlign w:val="center"/>
          </w:tcPr>
          <w:p w14:paraId="21EC460B" w14:textId="77777777" w:rsidR="003A07CB" w:rsidRPr="003A07CB" w:rsidRDefault="003A07CB" w:rsidP="003A07CB">
            <w:pPr>
              <w:spacing w:line="259" w:lineRule="auto"/>
              <w:rPr>
                <w:b w:val="0"/>
                <w:bCs w:val="0"/>
              </w:rPr>
            </w:pPr>
            <w:r w:rsidRPr="003A07CB">
              <w:rPr>
                <w:b w:val="0"/>
                <w:bCs w:val="0"/>
              </w:rPr>
              <w:t>Steel allocation (%)</w:t>
            </w:r>
          </w:p>
        </w:tc>
        <w:tc>
          <w:tcPr>
            <w:tcW w:w="588" w:type="pct"/>
            <w:vAlign w:val="center"/>
          </w:tcPr>
          <w:p w14:paraId="0047D5A3"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47.2</w:t>
            </w:r>
          </w:p>
        </w:tc>
        <w:tc>
          <w:tcPr>
            <w:tcW w:w="588" w:type="pct"/>
            <w:vAlign w:val="center"/>
          </w:tcPr>
          <w:p w14:paraId="5EDB862F"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48.1</w:t>
            </w:r>
          </w:p>
        </w:tc>
        <w:tc>
          <w:tcPr>
            <w:tcW w:w="588" w:type="pct"/>
            <w:vAlign w:val="center"/>
          </w:tcPr>
          <w:p w14:paraId="26B7AD37"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48.5</w:t>
            </w:r>
          </w:p>
        </w:tc>
        <w:tc>
          <w:tcPr>
            <w:tcW w:w="588" w:type="pct"/>
            <w:vAlign w:val="center"/>
          </w:tcPr>
          <w:p w14:paraId="6F7CEDAC"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47.8</w:t>
            </w:r>
          </w:p>
        </w:tc>
        <w:tc>
          <w:tcPr>
            <w:tcW w:w="683" w:type="pct"/>
            <w:vAlign w:val="center"/>
          </w:tcPr>
          <w:p w14:paraId="26B6BF65"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47.9±0.6</w:t>
            </w:r>
          </w:p>
        </w:tc>
        <w:tc>
          <w:tcPr>
            <w:tcW w:w="566" w:type="pct"/>
            <w:vAlign w:val="center"/>
          </w:tcPr>
          <w:p w14:paraId="4BD94C59"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[47.0, 48.8]</w:t>
            </w:r>
          </w:p>
        </w:tc>
        <w:tc>
          <w:tcPr>
            <w:tcW w:w="499" w:type="pct"/>
            <w:vAlign w:val="center"/>
          </w:tcPr>
          <w:p w14:paraId="6A52D72F"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1.14</w:t>
            </w:r>
          </w:p>
        </w:tc>
      </w:tr>
      <w:tr w:rsidR="003A07CB" w:rsidRPr="003A07CB" w14:paraId="3C17A8F1" w14:textId="77777777" w:rsidTr="003A0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 w:type="pct"/>
            <w:vAlign w:val="center"/>
          </w:tcPr>
          <w:p w14:paraId="74D62558" w14:textId="77777777" w:rsidR="003A07CB" w:rsidRPr="003A07CB" w:rsidRDefault="003A07CB" w:rsidP="003A07CB">
            <w:pPr>
              <w:spacing w:line="259" w:lineRule="auto"/>
              <w:rPr>
                <w:b w:val="0"/>
                <w:bCs w:val="0"/>
              </w:rPr>
            </w:pPr>
            <w:r w:rsidRPr="003A07CB">
              <w:rPr>
                <w:b w:val="0"/>
                <w:bCs w:val="0"/>
              </w:rPr>
              <w:t>Concrete allocation (%)</w:t>
            </w:r>
          </w:p>
        </w:tc>
        <w:tc>
          <w:tcPr>
            <w:tcW w:w="588" w:type="pct"/>
            <w:vAlign w:val="center"/>
          </w:tcPr>
          <w:p w14:paraId="5663A644"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22.4</w:t>
            </w:r>
          </w:p>
        </w:tc>
        <w:tc>
          <w:tcPr>
            <w:tcW w:w="588" w:type="pct"/>
            <w:vAlign w:val="center"/>
          </w:tcPr>
          <w:p w14:paraId="47EE5DF0"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21.8</w:t>
            </w:r>
          </w:p>
        </w:tc>
        <w:tc>
          <w:tcPr>
            <w:tcW w:w="588" w:type="pct"/>
            <w:vAlign w:val="center"/>
          </w:tcPr>
          <w:p w14:paraId="1E9694DC"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21.6</w:t>
            </w:r>
          </w:p>
        </w:tc>
        <w:tc>
          <w:tcPr>
            <w:tcW w:w="588" w:type="pct"/>
            <w:vAlign w:val="center"/>
          </w:tcPr>
          <w:p w14:paraId="11D97924"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22.2</w:t>
            </w:r>
          </w:p>
        </w:tc>
        <w:tc>
          <w:tcPr>
            <w:tcW w:w="683" w:type="pct"/>
            <w:vAlign w:val="center"/>
          </w:tcPr>
          <w:p w14:paraId="5F091CEA"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22.0±0.4</w:t>
            </w:r>
          </w:p>
        </w:tc>
        <w:tc>
          <w:tcPr>
            <w:tcW w:w="566" w:type="pct"/>
            <w:vAlign w:val="center"/>
          </w:tcPr>
          <w:p w14:paraId="7BA717BE"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[21.4, 22.6]</w:t>
            </w:r>
          </w:p>
        </w:tc>
        <w:tc>
          <w:tcPr>
            <w:tcW w:w="499" w:type="pct"/>
            <w:vAlign w:val="center"/>
          </w:tcPr>
          <w:p w14:paraId="5446D2F3" w14:textId="77777777" w:rsidR="003A07CB" w:rsidRPr="003A07CB" w:rsidRDefault="003A07CB" w:rsidP="003A07CB">
            <w:pPr>
              <w:spacing w:line="259" w:lineRule="auto"/>
              <w:cnfStyle w:val="000000100000" w:firstRow="0" w:lastRow="0" w:firstColumn="0" w:lastColumn="0" w:oddVBand="0" w:evenVBand="0" w:oddHBand="1" w:evenHBand="0" w:firstRowFirstColumn="0" w:firstRowLastColumn="0" w:lastRowFirstColumn="0" w:lastRowLastColumn="0"/>
            </w:pPr>
            <w:r w:rsidRPr="003A07CB">
              <w:t>1.66</w:t>
            </w:r>
          </w:p>
        </w:tc>
      </w:tr>
      <w:tr w:rsidR="003A07CB" w:rsidRPr="003A07CB" w14:paraId="023F3BAE" w14:textId="77777777" w:rsidTr="003A07CB">
        <w:tc>
          <w:tcPr>
            <w:cnfStyle w:val="001000000000" w:firstRow="0" w:lastRow="0" w:firstColumn="1" w:lastColumn="0" w:oddVBand="0" w:evenVBand="0" w:oddHBand="0" w:evenHBand="0" w:firstRowFirstColumn="0" w:firstRowLastColumn="0" w:lastRowFirstColumn="0" w:lastRowLastColumn="0"/>
            <w:tcW w:w="901" w:type="pct"/>
            <w:vAlign w:val="center"/>
          </w:tcPr>
          <w:p w14:paraId="72B8F845" w14:textId="77777777" w:rsidR="003A07CB" w:rsidRPr="003A07CB" w:rsidRDefault="003A07CB" w:rsidP="003A07CB">
            <w:pPr>
              <w:spacing w:line="259" w:lineRule="auto"/>
              <w:rPr>
                <w:b w:val="0"/>
                <w:bCs w:val="0"/>
              </w:rPr>
            </w:pPr>
            <w:r w:rsidRPr="003A07CB">
              <w:rPr>
                <w:b w:val="0"/>
                <w:bCs w:val="0"/>
              </w:rPr>
              <w:t>Timber allocation (%)</w:t>
            </w:r>
          </w:p>
        </w:tc>
        <w:tc>
          <w:tcPr>
            <w:tcW w:w="588" w:type="pct"/>
            <w:vAlign w:val="center"/>
          </w:tcPr>
          <w:p w14:paraId="3D195D49"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30.4</w:t>
            </w:r>
          </w:p>
        </w:tc>
        <w:tc>
          <w:tcPr>
            <w:tcW w:w="588" w:type="pct"/>
            <w:vAlign w:val="center"/>
          </w:tcPr>
          <w:p w14:paraId="111C9ADB"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30.1</w:t>
            </w:r>
          </w:p>
        </w:tc>
        <w:tc>
          <w:tcPr>
            <w:tcW w:w="588" w:type="pct"/>
            <w:vAlign w:val="center"/>
          </w:tcPr>
          <w:p w14:paraId="116D752A"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29.9</w:t>
            </w:r>
          </w:p>
        </w:tc>
        <w:tc>
          <w:tcPr>
            <w:tcW w:w="588" w:type="pct"/>
            <w:vAlign w:val="center"/>
          </w:tcPr>
          <w:p w14:paraId="2F34892D"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30.0</w:t>
            </w:r>
          </w:p>
        </w:tc>
        <w:tc>
          <w:tcPr>
            <w:tcW w:w="683" w:type="pct"/>
            <w:vAlign w:val="center"/>
          </w:tcPr>
          <w:p w14:paraId="0D7F50AD"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30.1±0.2</w:t>
            </w:r>
          </w:p>
        </w:tc>
        <w:tc>
          <w:tcPr>
            <w:tcW w:w="566" w:type="pct"/>
            <w:vAlign w:val="center"/>
          </w:tcPr>
          <w:p w14:paraId="6846C1B4"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[29.8, 30.4]</w:t>
            </w:r>
          </w:p>
        </w:tc>
        <w:tc>
          <w:tcPr>
            <w:tcW w:w="499" w:type="pct"/>
            <w:vAlign w:val="center"/>
          </w:tcPr>
          <w:p w14:paraId="7D8213D1" w14:textId="77777777" w:rsidR="003A07CB" w:rsidRPr="003A07CB" w:rsidRDefault="003A07CB" w:rsidP="003A07CB">
            <w:pPr>
              <w:spacing w:line="259" w:lineRule="auto"/>
              <w:cnfStyle w:val="000000000000" w:firstRow="0" w:lastRow="0" w:firstColumn="0" w:lastColumn="0" w:oddVBand="0" w:evenVBand="0" w:oddHBand="0" w:evenHBand="0" w:firstRowFirstColumn="0" w:firstRowLastColumn="0" w:lastRowFirstColumn="0" w:lastRowLastColumn="0"/>
            </w:pPr>
            <w:r w:rsidRPr="003A07CB">
              <w:t>0.72</w:t>
            </w:r>
          </w:p>
        </w:tc>
      </w:tr>
    </w:tbl>
    <w:p w14:paraId="0A70351A" w14:textId="77777777" w:rsidR="00B969E6" w:rsidRPr="00283E3A" w:rsidRDefault="00B969E6" w:rsidP="00283E3A">
      <w:pPr>
        <w:jc w:val="both"/>
      </w:pPr>
      <w:r w:rsidRPr="00283E3A">
        <w:rPr>
          <w:b/>
        </w:rPr>
        <w:t>Note:</w:t>
      </w:r>
    </w:p>
    <w:p w14:paraId="50F2C5E5" w14:textId="77777777" w:rsidR="000A769A" w:rsidRPr="000A769A" w:rsidRDefault="000A769A" w:rsidP="000A769A">
      <w:pPr>
        <w:numPr>
          <w:ilvl w:val="0"/>
          <w:numId w:val="1"/>
        </w:numPr>
        <w:tabs>
          <w:tab w:val="clear" w:pos="900"/>
          <w:tab w:val="num" w:pos="720"/>
        </w:tabs>
        <w:jc w:val="both"/>
      </w:pPr>
      <w:r w:rsidRPr="000A769A">
        <w:t>Final values from four regional simulations (Chile, Canada, Germany, Japan) at epoch 10, time step 100 representing 200-year projections.</w:t>
      </w:r>
    </w:p>
    <w:p w14:paraId="0C9EBE5B" w14:textId="77777777" w:rsidR="000A769A" w:rsidRPr="000A769A" w:rsidRDefault="000A769A" w:rsidP="000A769A">
      <w:pPr>
        <w:numPr>
          <w:ilvl w:val="0"/>
          <w:numId w:val="1"/>
        </w:numPr>
        <w:tabs>
          <w:tab w:val="clear" w:pos="900"/>
          <w:tab w:val="num" w:pos="720"/>
        </w:tabs>
        <w:jc w:val="both"/>
      </w:pPr>
      <w:r w:rsidRPr="000A769A">
        <w:t>95% confidence intervals calculated using Student's t-distribution (</w:t>
      </w:r>
      <w:proofErr w:type="spellStart"/>
      <w:r w:rsidRPr="000A769A">
        <w:t>df</w:t>
      </w:r>
      <w:proofErr w:type="spellEnd"/>
      <w:r w:rsidRPr="000A769A">
        <w:t>=3); narrow intervals indicate consistent convergence across independent runs.</w:t>
      </w:r>
    </w:p>
    <w:p w14:paraId="40F96C92" w14:textId="77777777" w:rsidR="000A769A" w:rsidRPr="000A769A" w:rsidRDefault="000A769A" w:rsidP="000A769A">
      <w:pPr>
        <w:numPr>
          <w:ilvl w:val="0"/>
          <w:numId w:val="1"/>
        </w:numPr>
        <w:tabs>
          <w:tab w:val="clear" w:pos="900"/>
          <w:tab w:val="num" w:pos="720"/>
        </w:tabs>
        <w:jc w:val="both"/>
      </w:pPr>
      <w:r w:rsidRPr="000A769A">
        <w:t>Coefficient of variation (CV) below 2% for all capital-resource variables demonstrates robust optimization despite different regional contexts.</w:t>
      </w:r>
    </w:p>
    <w:p w14:paraId="3BC6E9C4" w14:textId="77777777" w:rsidR="000A769A" w:rsidRPr="000A769A" w:rsidRDefault="000A769A" w:rsidP="000A769A">
      <w:pPr>
        <w:numPr>
          <w:ilvl w:val="0"/>
          <w:numId w:val="1"/>
        </w:numPr>
        <w:tabs>
          <w:tab w:val="clear" w:pos="900"/>
          <w:tab w:val="num" w:pos="720"/>
        </w:tabs>
        <w:jc w:val="both"/>
      </w:pPr>
      <w:r w:rsidRPr="000A769A">
        <w:t>Material allocation stability (CV &lt;2%) confirms convergence to optimal resource mix independent of initial conditions.</w:t>
      </w:r>
    </w:p>
    <w:p w14:paraId="5902DE0A" w14:textId="77777777" w:rsidR="000A769A" w:rsidRPr="000A769A" w:rsidRDefault="000A769A" w:rsidP="000A769A">
      <w:pPr>
        <w:numPr>
          <w:ilvl w:val="0"/>
          <w:numId w:val="1"/>
        </w:numPr>
        <w:tabs>
          <w:tab w:val="clear" w:pos="900"/>
          <w:tab w:val="num" w:pos="720"/>
        </w:tabs>
        <w:jc w:val="both"/>
      </w:pPr>
      <w:r w:rsidRPr="000A769A">
        <w:t>Limited ensemble size (n=4) provides initial uncertainty bounds; larger Monte Carlo ensembles recommended for operational applications.</w:t>
      </w:r>
    </w:p>
    <w:p w14:paraId="790516E2" w14:textId="0F92DA9A" w:rsidR="00B969E6" w:rsidRPr="00B5262D" w:rsidRDefault="00B969E6" w:rsidP="000A769A">
      <w:pPr>
        <w:tabs>
          <w:tab w:val="num" w:pos="720"/>
        </w:tabs>
        <w:ind w:left="540"/>
        <w:jc w:val="both"/>
      </w:pPr>
    </w:p>
    <w:p w14:paraId="7A2B7CBE" w14:textId="0FCB1619" w:rsidR="00283E3A" w:rsidRPr="00283E3A" w:rsidRDefault="00610903" w:rsidP="00B5262D">
      <w:pPr>
        <w:spacing w:before="120" w:after="120"/>
        <w:jc w:val="both"/>
      </w:pPr>
      <w:r w:rsidRPr="00610903">
        <w:t>Supplementary Table S2 quantifies uncertainty across four independent regional simulations, demonstrating robust convergence despite different initial conditions and regional parameterizations. All capital-resource variables exhibit low coefficients of variation (&lt;2%), indicating consistent optimization outcomes. Capital stock shows the tightest convergence (CV=0.87%), while renewable resources display slightly higher variability (CV=1.88%) reflecting differential ecological sensitivity. Material allocations remain stable across regions (steel ~48%, concrete ~22%, timber ~30%), with narrow confidence intervals confirming reproducible multi-objective optimization. These metrics validate computational reliability within the simulation framework, though structural model uncertainty and real-world empirical variability remain unquantified.</w:t>
      </w:r>
    </w:p>
    <w:p w14:paraId="7F264737" w14:textId="29616DA2" w:rsidR="00B969E6" w:rsidRPr="001341F1" w:rsidRDefault="00841D30" w:rsidP="00B969E6">
      <w:pPr>
        <w:jc w:val="both"/>
        <w:rPr>
          <w:bCs/>
        </w:rPr>
      </w:pPr>
      <w:bookmarkStart w:id="3" w:name="table_s3_comparison_with_world3_a_e01c4e"/>
      <w:r w:rsidRPr="00283E3A">
        <w:rPr>
          <w:b/>
        </w:rPr>
        <w:t xml:space="preserve">Supplementary </w:t>
      </w:r>
      <w:r w:rsidR="00B969E6" w:rsidRPr="00283E3A">
        <w:rPr>
          <w:b/>
        </w:rPr>
        <w:t xml:space="preserve">Table S3: </w:t>
      </w:r>
      <w:r w:rsidR="00B969E6" w:rsidRPr="001341F1">
        <w:rPr>
          <w:bCs/>
        </w:rPr>
        <w:t>Comparison with World3 and conventional system dynamics models</w:t>
      </w:r>
      <w:bookmarkEnd w:id="3"/>
    </w:p>
    <w:tbl>
      <w:tblPr>
        <w:tblStyle w:val="PlainTable2"/>
        <w:tblW w:w="0" w:type="auto"/>
        <w:tblLook w:val="04A0" w:firstRow="1" w:lastRow="0" w:firstColumn="1" w:lastColumn="0" w:noHBand="0" w:noVBand="1"/>
      </w:tblPr>
      <w:tblGrid>
        <w:gridCol w:w="2180"/>
        <w:gridCol w:w="2171"/>
        <w:gridCol w:w="1994"/>
        <w:gridCol w:w="2681"/>
      </w:tblGrid>
      <w:tr w:rsidR="00B969E6" w:rsidRPr="00283E3A" w14:paraId="17E6ADBE" w14:textId="77777777" w:rsidTr="00B969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8701FD" w14:textId="77777777" w:rsidR="00B969E6" w:rsidRPr="00283E3A" w:rsidRDefault="00B969E6" w:rsidP="00B969E6">
            <w:pPr>
              <w:spacing w:line="259" w:lineRule="auto"/>
            </w:pPr>
            <w:r w:rsidRPr="00283E3A">
              <w:t>Feature</w:t>
            </w:r>
          </w:p>
        </w:tc>
        <w:tc>
          <w:tcPr>
            <w:tcW w:w="0" w:type="auto"/>
            <w:vAlign w:val="center"/>
          </w:tcPr>
          <w:p w14:paraId="28642E3D" w14:textId="77777777" w:rsidR="00B969E6" w:rsidRPr="00283E3A"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pPr>
            <w:r w:rsidRPr="00283E3A">
              <w:t>World3 (1972-2004)</w:t>
            </w:r>
          </w:p>
        </w:tc>
        <w:tc>
          <w:tcPr>
            <w:tcW w:w="0" w:type="auto"/>
            <w:vAlign w:val="center"/>
          </w:tcPr>
          <w:p w14:paraId="264EA038" w14:textId="77777777" w:rsidR="00B969E6" w:rsidRPr="00283E3A"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pPr>
            <w:r w:rsidRPr="00283E3A">
              <w:t>Conventional IAMs</w:t>
            </w:r>
          </w:p>
        </w:tc>
        <w:tc>
          <w:tcPr>
            <w:tcW w:w="0" w:type="auto"/>
            <w:vAlign w:val="center"/>
          </w:tcPr>
          <w:p w14:paraId="316557D1" w14:textId="77777777" w:rsidR="00B969E6" w:rsidRPr="00283E3A"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pPr>
            <w:r w:rsidRPr="00283E3A">
              <w:t>AI-CDSN</w:t>
            </w:r>
          </w:p>
        </w:tc>
      </w:tr>
      <w:tr w:rsidR="00B969E6" w:rsidRPr="00283E3A" w14:paraId="5FC69DB4"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A40A13" w14:textId="77777777" w:rsidR="00B969E6" w:rsidRPr="00283E3A" w:rsidRDefault="00B969E6" w:rsidP="00B969E6">
            <w:pPr>
              <w:spacing w:line="259" w:lineRule="auto"/>
            </w:pPr>
            <w:r w:rsidRPr="00283E3A">
              <w:t>Differential equations</w:t>
            </w:r>
          </w:p>
        </w:tc>
        <w:tc>
          <w:tcPr>
            <w:tcW w:w="0" w:type="auto"/>
            <w:vAlign w:val="center"/>
          </w:tcPr>
          <w:p w14:paraId="3B232949"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Hand-coded lookup tables</w:t>
            </w:r>
          </w:p>
        </w:tc>
        <w:tc>
          <w:tcPr>
            <w:tcW w:w="0" w:type="auto"/>
            <w:vAlign w:val="center"/>
          </w:tcPr>
          <w:p w14:paraId="4EF399B4"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Predetermined functional forms</w:t>
            </w:r>
          </w:p>
        </w:tc>
        <w:tc>
          <w:tcPr>
            <w:tcW w:w="0" w:type="auto"/>
            <w:vAlign w:val="center"/>
          </w:tcPr>
          <w:p w14:paraId="725C7377"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Neural ODE learns from data</w:t>
            </w:r>
          </w:p>
        </w:tc>
      </w:tr>
      <w:tr w:rsidR="00B969E6" w:rsidRPr="00283E3A" w14:paraId="3458BD2D"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619CFDCC" w14:textId="77777777" w:rsidR="00B969E6" w:rsidRPr="00283E3A" w:rsidRDefault="00B969E6" w:rsidP="00B969E6">
            <w:pPr>
              <w:spacing w:line="259" w:lineRule="auto"/>
            </w:pPr>
            <w:r w:rsidRPr="00283E3A">
              <w:t>State variables</w:t>
            </w:r>
          </w:p>
        </w:tc>
        <w:tc>
          <w:tcPr>
            <w:tcW w:w="0" w:type="auto"/>
            <w:vAlign w:val="center"/>
          </w:tcPr>
          <w:p w14:paraId="5EC15B2A"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Capital, resources, population, pollution</w:t>
            </w:r>
          </w:p>
        </w:tc>
        <w:tc>
          <w:tcPr>
            <w:tcW w:w="0" w:type="auto"/>
            <w:vAlign w:val="center"/>
          </w:tcPr>
          <w:p w14:paraId="3AD35537"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Economic sectors, energy, emissions</w:t>
            </w:r>
          </w:p>
        </w:tc>
        <w:tc>
          <w:tcPr>
            <w:tcW w:w="0" w:type="auto"/>
            <w:vAlign w:val="center"/>
          </w:tcPr>
          <w:p w14:paraId="5878FB97"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Capital, renewable/non-renewable resources, 9 sustainability dimensions</w:t>
            </w:r>
          </w:p>
        </w:tc>
      </w:tr>
      <w:tr w:rsidR="00B969E6" w:rsidRPr="00283E3A" w14:paraId="00E7BA79"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B5E41B6" w14:textId="77777777" w:rsidR="00B969E6" w:rsidRPr="00283E3A" w:rsidRDefault="00B969E6" w:rsidP="00B969E6">
            <w:pPr>
              <w:spacing w:line="259" w:lineRule="auto"/>
            </w:pPr>
            <w:r w:rsidRPr="00283E3A">
              <w:t>Time horizon</w:t>
            </w:r>
          </w:p>
        </w:tc>
        <w:tc>
          <w:tcPr>
            <w:tcW w:w="0" w:type="auto"/>
            <w:vAlign w:val="center"/>
          </w:tcPr>
          <w:p w14:paraId="7A0BBF33"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200 years</w:t>
            </w:r>
          </w:p>
        </w:tc>
        <w:tc>
          <w:tcPr>
            <w:tcW w:w="0" w:type="auto"/>
            <w:vAlign w:val="center"/>
          </w:tcPr>
          <w:p w14:paraId="2FB310CC"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50-100 years</w:t>
            </w:r>
          </w:p>
        </w:tc>
        <w:tc>
          <w:tcPr>
            <w:tcW w:w="0" w:type="auto"/>
            <w:vAlign w:val="center"/>
          </w:tcPr>
          <w:p w14:paraId="039832F6"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200 years</w:t>
            </w:r>
          </w:p>
        </w:tc>
      </w:tr>
      <w:tr w:rsidR="00B969E6" w:rsidRPr="00283E3A" w14:paraId="360089CA"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54E962C9" w14:textId="77777777" w:rsidR="00B969E6" w:rsidRPr="00283E3A" w:rsidRDefault="00B969E6" w:rsidP="00B969E6">
            <w:pPr>
              <w:spacing w:line="259" w:lineRule="auto"/>
            </w:pPr>
            <w:r w:rsidRPr="00283E3A">
              <w:lastRenderedPageBreak/>
              <w:t>Parameter estimation</w:t>
            </w:r>
          </w:p>
        </w:tc>
        <w:tc>
          <w:tcPr>
            <w:tcW w:w="0" w:type="auto"/>
            <w:vAlign w:val="center"/>
          </w:tcPr>
          <w:p w14:paraId="187FA705"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Expert calibration</w:t>
            </w:r>
          </w:p>
        </w:tc>
        <w:tc>
          <w:tcPr>
            <w:tcW w:w="0" w:type="auto"/>
            <w:vAlign w:val="center"/>
          </w:tcPr>
          <w:p w14:paraId="74371C44"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Historical fitting</w:t>
            </w:r>
          </w:p>
        </w:tc>
        <w:tc>
          <w:tcPr>
            <w:tcW w:w="0" w:type="auto"/>
            <w:vAlign w:val="center"/>
          </w:tcPr>
          <w:p w14:paraId="0144586A"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Data-driven learning</w:t>
            </w:r>
          </w:p>
        </w:tc>
      </w:tr>
      <w:tr w:rsidR="00B969E6" w:rsidRPr="00283E3A" w14:paraId="63A9C390"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B2D576" w14:textId="77777777" w:rsidR="00B969E6" w:rsidRPr="00283E3A" w:rsidRDefault="00B969E6" w:rsidP="00B969E6">
            <w:pPr>
              <w:spacing w:line="259" w:lineRule="auto"/>
            </w:pPr>
            <w:r w:rsidRPr="00283E3A">
              <w:t>Uncertainty quantification</w:t>
            </w:r>
          </w:p>
        </w:tc>
        <w:tc>
          <w:tcPr>
            <w:tcW w:w="0" w:type="auto"/>
            <w:vAlign w:val="center"/>
          </w:tcPr>
          <w:p w14:paraId="60B3F552"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Scenario analysis</w:t>
            </w:r>
          </w:p>
        </w:tc>
        <w:tc>
          <w:tcPr>
            <w:tcW w:w="0" w:type="auto"/>
            <w:vAlign w:val="center"/>
          </w:tcPr>
          <w:p w14:paraId="72D72261"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Monte Carlo</w:t>
            </w:r>
          </w:p>
        </w:tc>
        <w:tc>
          <w:tcPr>
            <w:tcW w:w="0" w:type="auto"/>
            <w:vAlign w:val="center"/>
          </w:tcPr>
          <w:p w14:paraId="424ECA0A"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95% CI + regional ensemble</w:t>
            </w:r>
          </w:p>
        </w:tc>
      </w:tr>
      <w:tr w:rsidR="00B969E6" w:rsidRPr="00283E3A" w14:paraId="7B001237"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02C054AA" w14:textId="77777777" w:rsidR="00B969E6" w:rsidRPr="00283E3A" w:rsidRDefault="00B969E6" w:rsidP="00B969E6">
            <w:pPr>
              <w:spacing w:line="259" w:lineRule="auto"/>
            </w:pPr>
            <w:r w:rsidRPr="00283E3A">
              <w:t>Planetary boundaries</w:t>
            </w:r>
          </w:p>
        </w:tc>
        <w:tc>
          <w:tcPr>
            <w:tcW w:w="0" w:type="auto"/>
            <w:vAlign w:val="center"/>
          </w:tcPr>
          <w:p w14:paraId="277CC012"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Implicit limits</w:t>
            </w:r>
          </w:p>
        </w:tc>
        <w:tc>
          <w:tcPr>
            <w:tcW w:w="0" w:type="auto"/>
            <w:vAlign w:val="center"/>
          </w:tcPr>
          <w:p w14:paraId="77E142DD"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Emissions targets only</w:t>
            </w:r>
          </w:p>
        </w:tc>
        <w:tc>
          <w:tcPr>
            <w:tcW w:w="0" w:type="auto"/>
            <w:vAlign w:val="center"/>
          </w:tcPr>
          <w:p w14:paraId="17CEFE57"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Explicit boundary-aware architecture</w:t>
            </w:r>
          </w:p>
        </w:tc>
      </w:tr>
      <w:tr w:rsidR="00B969E6" w:rsidRPr="00283E3A" w14:paraId="4C99068C"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CC7B42D" w14:textId="77777777" w:rsidR="00B969E6" w:rsidRPr="00283E3A" w:rsidRDefault="00B969E6" w:rsidP="00B969E6">
            <w:pPr>
              <w:spacing w:line="259" w:lineRule="auto"/>
            </w:pPr>
            <w:r w:rsidRPr="00283E3A">
              <w:t>Intergenerational equity</w:t>
            </w:r>
          </w:p>
        </w:tc>
        <w:tc>
          <w:tcPr>
            <w:tcW w:w="0" w:type="auto"/>
            <w:vAlign w:val="center"/>
          </w:tcPr>
          <w:p w14:paraId="24580747"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Not formalized</w:t>
            </w:r>
          </w:p>
        </w:tc>
        <w:tc>
          <w:tcPr>
            <w:tcW w:w="0" w:type="auto"/>
            <w:vAlign w:val="center"/>
          </w:tcPr>
          <w:p w14:paraId="601BFBF8"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Discount rates (2-5%)</w:t>
            </w:r>
          </w:p>
        </w:tc>
        <w:tc>
          <w:tcPr>
            <w:tcW w:w="0" w:type="auto"/>
            <w:vAlign w:val="center"/>
          </w:tcPr>
          <w:p w14:paraId="2C9E3662"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Sigmoid cultural discounting (0.378-0.971)</w:t>
            </w:r>
          </w:p>
        </w:tc>
      </w:tr>
      <w:tr w:rsidR="00B969E6" w:rsidRPr="00283E3A" w14:paraId="188DB8B1"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259D0480" w14:textId="77777777" w:rsidR="00B969E6" w:rsidRPr="00283E3A" w:rsidRDefault="00B969E6" w:rsidP="00B969E6">
            <w:pPr>
              <w:spacing w:line="259" w:lineRule="auto"/>
            </w:pPr>
            <w:r w:rsidRPr="00283E3A">
              <w:t>Computational cost</w:t>
            </w:r>
          </w:p>
        </w:tc>
        <w:tc>
          <w:tcPr>
            <w:tcW w:w="0" w:type="auto"/>
            <w:vAlign w:val="center"/>
          </w:tcPr>
          <w:p w14:paraId="13C25B99"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Minutes (1970s mainframe)</w:t>
            </w:r>
          </w:p>
        </w:tc>
        <w:tc>
          <w:tcPr>
            <w:tcW w:w="0" w:type="auto"/>
            <w:vAlign w:val="center"/>
          </w:tcPr>
          <w:p w14:paraId="2240BFCB"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Hours-days (HPC)</w:t>
            </w:r>
          </w:p>
        </w:tc>
        <w:tc>
          <w:tcPr>
            <w:tcW w:w="0" w:type="auto"/>
            <w:vAlign w:val="center"/>
          </w:tcPr>
          <w:p w14:paraId="290AA5F7"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3.42 kWh/epoch (GPU)</w:t>
            </w:r>
          </w:p>
        </w:tc>
      </w:tr>
      <w:tr w:rsidR="00B969E6" w:rsidRPr="00283E3A" w14:paraId="20EF1991"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FF32E7A" w14:textId="77777777" w:rsidR="00B969E6" w:rsidRPr="00283E3A" w:rsidRDefault="00B969E6" w:rsidP="00B969E6">
            <w:pPr>
              <w:spacing w:line="259" w:lineRule="auto"/>
            </w:pPr>
            <w:r w:rsidRPr="00283E3A">
              <w:t>Validation status</w:t>
            </w:r>
          </w:p>
        </w:tc>
        <w:tc>
          <w:tcPr>
            <w:tcW w:w="0" w:type="auto"/>
            <w:vAlign w:val="center"/>
          </w:tcPr>
          <w:p w14:paraId="7F4ABF6E"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50-year empirical validation (Turner 2008, Herrington 2021)</w:t>
            </w:r>
          </w:p>
        </w:tc>
        <w:tc>
          <w:tcPr>
            <w:tcW w:w="0" w:type="auto"/>
            <w:vAlign w:val="center"/>
          </w:tcPr>
          <w:p w14:paraId="719ED93E"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Ongoing IPCC assessments</w:t>
            </w:r>
          </w:p>
        </w:tc>
        <w:tc>
          <w:tcPr>
            <w:tcW w:w="0" w:type="auto"/>
            <w:vAlign w:val="center"/>
          </w:tcPr>
          <w:p w14:paraId="76010A25"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Simulation experiments only</w:t>
            </w:r>
          </w:p>
        </w:tc>
      </w:tr>
    </w:tbl>
    <w:p w14:paraId="2C9A64A7" w14:textId="77777777" w:rsidR="00B969E6" w:rsidRPr="00283E3A" w:rsidRDefault="00B969E6" w:rsidP="00B969E6">
      <w:pPr>
        <w:jc w:val="both"/>
      </w:pPr>
      <w:r w:rsidRPr="00283E3A">
        <w:rPr>
          <w:b/>
        </w:rPr>
        <w:t>Note:</w:t>
      </w:r>
    </w:p>
    <w:p w14:paraId="326ADDD3" w14:textId="77777777" w:rsidR="002134EF" w:rsidRPr="002134EF" w:rsidRDefault="002134EF" w:rsidP="002134EF">
      <w:pPr>
        <w:numPr>
          <w:ilvl w:val="0"/>
          <w:numId w:val="2"/>
        </w:numPr>
        <w:tabs>
          <w:tab w:val="clear" w:pos="900"/>
          <w:tab w:val="num" w:pos="720"/>
        </w:tabs>
        <w:jc w:val="both"/>
      </w:pPr>
      <w:r w:rsidRPr="002134EF">
        <w:t>World3 (1972-2004) pioneered system dynamics modeling with hand-coded lookup tables; AI-CDSN learns dynamics via neural ODE (Equation 4).</w:t>
      </w:r>
    </w:p>
    <w:p w14:paraId="48CCADC9" w14:textId="77777777" w:rsidR="002134EF" w:rsidRPr="002134EF" w:rsidRDefault="002134EF" w:rsidP="002134EF">
      <w:pPr>
        <w:numPr>
          <w:ilvl w:val="0"/>
          <w:numId w:val="2"/>
        </w:numPr>
        <w:tabs>
          <w:tab w:val="clear" w:pos="900"/>
          <w:tab w:val="num" w:pos="720"/>
        </w:tabs>
        <w:jc w:val="both"/>
      </w:pPr>
      <w:r w:rsidRPr="002134EF">
        <w:t>State variables expanded: World3 focused on population-resource dynamics; AI-CDSN incorporates 9-dimensional sustainability framework.</w:t>
      </w:r>
    </w:p>
    <w:p w14:paraId="6F33D275" w14:textId="2001B8A4" w:rsidR="002134EF" w:rsidRPr="002134EF" w:rsidRDefault="002134EF" w:rsidP="002134EF">
      <w:pPr>
        <w:numPr>
          <w:ilvl w:val="0"/>
          <w:numId w:val="2"/>
        </w:numPr>
        <w:tabs>
          <w:tab w:val="clear" w:pos="900"/>
          <w:tab w:val="num" w:pos="720"/>
        </w:tabs>
        <w:jc w:val="both"/>
      </w:pPr>
      <w:r w:rsidRPr="002134EF">
        <w:t>Time horizon maintained at 200 years enabling intergenerational analysis across 8 generations (</w:t>
      </w:r>
      <m:oMath>
        <m:r>
          <m:rPr>
            <m:sty m:val="p"/>
          </m:rPr>
          <w:rPr>
            <w:rFonts w:ascii="Cambria Math" w:hAnsi="Cambria Math"/>
          </w:rPr>
          <m:t>T</m:t>
        </m:r>
        <m:r>
          <m:rPr>
            <m:sty m:val="p"/>
          </m:rPr>
          <w:rPr>
            <w:rFonts w:ascii="Cambria Math" w:hAnsi="Cambria Math"/>
            <w:vertAlign w:val="subscript"/>
          </w:rPr>
          <m:t>gen</m:t>
        </m:r>
      </m:oMath>
      <w:r w:rsidRPr="002134EF">
        <w:t>=25 years).</w:t>
      </w:r>
    </w:p>
    <w:p w14:paraId="321DB58F" w14:textId="77777777" w:rsidR="002134EF" w:rsidRPr="002134EF" w:rsidRDefault="002134EF" w:rsidP="002134EF">
      <w:pPr>
        <w:numPr>
          <w:ilvl w:val="0"/>
          <w:numId w:val="2"/>
        </w:numPr>
        <w:tabs>
          <w:tab w:val="clear" w:pos="900"/>
          <w:tab w:val="num" w:pos="720"/>
        </w:tabs>
        <w:jc w:val="both"/>
      </w:pPr>
      <w:r w:rsidRPr="002134EF">
        <w:t>Planetary boundaries explicitly encoded in AI-CDSN architecture; World3 had implicit resource limits.</w:t>
      </w:r>
    </w:p>
    <w:p w14:paraId="38CB0DBC" w14:textId="77777777" w:rsidR="002134EF" w:rsidRPr="002134EF" w:rsidRDefault="002134EF" w:rsidP="002134EF">
      <w:pPr>
        <w:numPr>
          <w:ilvl w:val="0"/>
          <w:numId w:val="2"/>
        </w:numPr>
        <w:tabs>
          <w:tab w:val="clear" w:pos="900"/>
          <w:tab w:val="num" w:pos="720"/>
        </w:tabs>
        <w:jc w:val="both"/>
      </w:pPr>
      <w:r w:rsidRPr="002134EF">
        <w:t>World3 validated against 50 years of empirical data; AI-CDSN validated only within simulation framework.</w:t>
      </w:r>
    </w:p>
    <w:p w14:paraId="60DAB684" w14:textId="77777777" w:rsidR="002134EF" w:rsidRPr="002134EF" w:rsidRDefault="002134EF" w:rsidP="002134EF">
      <w:pPr>
        <w:numPr>
          <w:ilvl w:val="0"/>
          <w:numId w:val="2"/>
        </w:numPr>
        <w:tabs>
          <w:tab w:val="clear" w:pos="900"/>
          <w:tab w:val="num" w:pos="720"/>
        </w:tabs>
        <w:jc w:val="both"/>
      </w:pPr>
      <w:r w:rsidRPr="002134EF">
        <w:t>Computational efficiency: AI-CDSN achieves 3.42 kWh/epoch on single GPU after 22% energy optimization.</w:t>
      </w:r>
    </w:p>
    <w:p w14:paraId="0FB4875A" w14:textId="57574852" w:rsidR="00B969E6" w:rsidRPr="00283E3A" w:rsidRDefault="00841D30" w:rsidP="001341F1">
      <w:pPr>
        <w:spacing w:before="120" w:after="120"/>
        <w:jc w:val="both"/>
      </w:pPr>
      <w:r w:rsidRPr="00841D30">
        <w:t xml:space="preserve">Supplementary </w:t>
      </w:r>
      <w:r w:rsidR="002134EF" w:rsidRPr="002134EF">
        <w:t>Table S3 positions AI-CDSN within the 50-year system dynamics tradition initiated by World3. While preserving World3's fundamental stock-flow architecture and 200-year time horizon, AI-CDSN advances the approach through neural ODEs that learn dynamics from data rather than predetermined lookup tables. World3's remarkable empirical validation over five decades (Turner, 2008; Herrington, 2021) demonstrates the soundness of coupled capital-resource modeling. AI-CDSN extends this foundation by incorporating planetary boundary awareness, explicit intergenerational equity mechanisms, and multi-dimensional sustainability frameworks beyond World3's population-focused scope. Critically, World3 has extensive real-world validation; AI-CDSN remains simulation-based and requires empirical validation before operational deployment.</w:t>
      </w:r>
    </w:p>
    <w:p w14:paraId="5100CEB7" w14:textId="6D4A2D13" w:rsidR="00B969E6" w:rsidRPr="008420C8" w:rsidRDefault="00841D30" w:rsidP="001341F1">
      <w:pPr>
        <w:spacing w:before="120" w:after="120"/>
        <w:jc w:val="both"/>
        <w:rPr>
          <w:bCs/>
        </w:rPr>
      </w:pPr>
      <w:bookmarkStart w:id="4" w:name="table_s4_ai_cdsn_dimension_mappin_777aa0"/>
      <w:r w:rsidRPr="00283E3A">
        <w:rPr>
          <w:b/>
        </w:rPr>
        <w:t xml:space="preserve">Supplementary </w:t>
      </w:r>
      <w:r w:rsidR="00B969E6" w:rsidRPr="00283E3A">
        <w:rPr>
          <w:b/>
        </w:rPr>
        <w:t xml:space="preserve">Table S4: </w:t>
      </w:r>
      <w:r w:rsidR="00B969E6" w:rsidRPr="008420C8">
        <w:rPr>
          <w:bCs/>
        </w:rPr>
        <w:t>AI-CDSN dimension mapping to Sustainable Development Goals</w:t>
      </w:r>
      <w:bookmarkEnd w:id="4"/>
    </w:p>
    <w:tbl>
      <w:tblPr>
        <w:tblStyle w:val="PlainTable2"/>
        <w:tblW w:w="0" w:type="auto"/>
        <w:tblLook w:val="04A0" w:firstRow="1" w:lastRow="0" w:firstColumn="1" w:lastColumn="0" w:noHBand="0" w:noVBand="1"/>
      </w:tblPr>
      <w:tblGrid>
        <w:gridCol w:w="1771"/>
        <w:gridCol w:w="2109"/>
        <w:gridCol w:w="2458"/>
        <w:gridCol w:w="2688"/>
      </w:tblGrid>
      <w:tr w:rsidR="00B969E6" w:rsidRPr="00283E3A" w14:paraId="431B6CA2" w14:textId="77777777" w:rsidTr="00B969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7072F34" w14:textId="77777777" w:rsidR="00B969E6" w:rsidRPr="00283E3A" w:rsidRDefault="00B969E6" w:rsidP="00B969E6">
            <w:pPr>
              <w:spacing w:line="259" w:lineRule="auto"/>
            </w:pPr>
            <w:r w:rsidRPr="00283E3A">
              <w:t>AI-CDSN Dimension</w:t>
            </w:r>
          </w:p>
        </w:tc>
        <w:tc>
          <w:tcPr>
            <w:tcW w:w="0" w:type="auto"/>
            <w:vAlign w:val="center"/>
          </w:tcPr>
          <w:p w14:paraId="59AAA6DF" w14:textId="77777777" w:rsidR="00B969E6" w:rsidRPr="00283E3A"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pPr>
            <w:r w:rsidRPr="00283E3A">
              <w:t>Related SDGs</w:t>
            </w:r>
          </w:p>
        </w:tc>
        <w:tc>
          <w:tcPr>
            <w:tcW w:w="0" w:type="auto"/>
            <w:vAlign w:val="center"/>
          </w:tcPr>
          <w:p w14:paraId="02D08FB5" w14:textId="77777777" w:rsidR="00B969E6" w:rsidRPr="00283E3A"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pPr>
            <w:r w:rsidRPr="00283E3A">
              <w:t>Operationalization</w:t>
            </w:r>
          </w:p>
        </w:tc>
        <w:tc>
          <w:tcPr>
            <w:tcW w:w="0" w:type="auto"/>
            <w:vAlign w:val="center"/>
          </w:tcPr>
          <w:p w14:paraId="1625CC4D" w14:textId="77777777" w:rsidR="00B969E6" w:rsidRPr="00283E3A" w:rsidRDefault="00B969E6" w:rsidP="00B969E6">
            <w:pPr>
              <w:spacing w:line="259" w:lineRule="auto"/>
              <w:cnfStyle w:val="100000000000" w:firstRow="1" w:lastRow="0" w:firstColumn="0" w:lastColumn="0" w:oddVBand="0" w:evenVBand="0" w:oddHBand="0" w:evenHBand="0" w:firstRowFirstColumn="0" w:firstRowLastColumn="0" w:lastRowFirstColumn="0" w:lastRowLastColumn="0"/>
            </w:pPr>
            <w:r w:rsidRPr="00283E3A">
              <w:t>Empirical Indicator</w:t>
            </w:r>
          </w:p>
        </w:tc>
      </w:tr>
      <w:tr w:rsidR="00B969E6" w:rsidRPr="00283E3A" w14:paraId="6BB046AB"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235859" w14:textId="77777777" w:rsidR="00B969E6" w:rsidRPr="00283E3A" w:rsidRDefault="00B969E6" w:rsidP="00B969E6">
            <w:pPr>
              <w:spacing w:line="259" w:lineRule="auto"/>
              <w:rPr>
                <w:b w:val="0"/>
                <w:bCs w:val="0"/>
              </w:rPr>
            </w:pPr>
            <w:r w:rsidRPr="00283E3A">
              <w:rPr>
                <w:b w:val="0"/>
                <w:bCs w:val="0"/>
              </w:rPr>
              <w:t>Economic sustainability</w:t>
            </w:r>
          </w:p>
        </w:tc>
        <w:tc>
          <w:tcPr>
            <w:tcW w:w="0" w:type="auto"/>
            <w:vAlign w:val="center"/>
          </w:tcPr>
          <w:p w14:paraId="7D010B78"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SDG 8 (Decent Work), SDG 9 (Infrastructure)</w:t>
            </w:r>
          </w:p>
        </w:tc>
        <w:tc>
          <w:tcPr>
            <w:tcW w:w="0" w:type="auto"/>
            <w:vAlign w:val="center"/>
          </w:tcPr>
          <w:p w14:paraId="2C220331"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Capital stock dynamics, material allocation efficiency</w:t>
            </w:r>
          </w:p>
        </w:tc>
        <w:tc>
          <w:tcPr>
            <w:tcW w:w="0" w:type="auto"/>
            <w:vAlign w:val="center"/>
          </w:tcPr>
          <w:p w14:paraId="2FE1275F"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Steel 48%, concrete 22%, timber 30%</w:t>
            </w:r>
          </w:p>
        </w:tc>
      </w:tr>
      <w:tr w:rsidR="00B969E6" w:rsidRPr="00283E3A" w14:paraId="5C5B6BE2"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6494022F" w14:textId="77777777" w:rsidR="00B969E6" w:rsidRPr="00283E3A" w:rsidRDefault="00B969E6" w:rsidP="00B969E6">
            <w:pPr>
              <w:spacing w:line="259" w:lineRule="auto"/>
              <w:rPr>
                <w:b w:val="0"/>
                <w:bCs w:val="0"/>
              </w:rPr>
            </w:pPr>
            <w:r w:rsidRPr="00283E3A">
              <w:rPr>
                <w:b w:val="0"/>
                <w:bCs w:val="0"/>
              </w:rPr>
              <w:lastRenderedPageBreak/>
              <w:t>Environmental sustainability</w:t>
            </w:r>
          </w:p>
        </w:tc>
        <w:tc>
          <w:tcPr>
            <w:tcW w:w="0" w:type="auto"/>
            <w:vAlign w:val="center"/>
          </w:tcPr>
          <w:p w14:paraId="1D24ACDA"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SDG 13 (Climate), SDG 14 (Oceans), SDG 15 (Life on Land)</w:t>
            </w:r>
          </w:p>
        </w:tc>
        <w:tc>
          <w:tcPr>
            <w:tcW w:w="0" w:type="auto"/>
            <w:vAlign w:val="center"/>
          </w:tcPr>
          <w:p w14:paraId="2307F0A1"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Renewable/non-renewable resource trajectories</w:t>
            </w:r>
          </w:p>
        </w:tc>
        <w:tc>
          <w:tcPr>
            <w:tcW w:w="0" w:type="auto"/>
            <w:vAlign w:val="center"/>
          </w:tcPr>
          <w:p w14:paraId="02A70445"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Endpoints: renewables -2.60, non-renewables -3.51</w:t>
            </w:r>
          </w:p>
        </w:tc>
      </w:tr>
      <w:tr w:rsidR="00B969E6" w:rsidRPr="00283E3A" w14:paraId="65854A3B"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A46AC60" w14:textId="77777777" w:rsidR="00B969E6" w:rsidRPr="00283E3A" w:rsidRDefault="00B969E6" w:rsidP="00B969E6">
            <w:pPr>
              <w:spacing w:line="259" w:lineRule="auto"/>
              <w:rPr>
                <w:b w:val="0"/>
                <w:bCs w:val="0"/>
              </w:rPr>
            </w:pPr>
            <w:r w:rsidRPr="00283E3A">
              <w:rPr>
                <w:b w:val="0"/>
                <w:bCs w:val="0"/>
              </w:rPr>
              <w:t>Social equity</w:t>
            </w:r>
          </w:p>
        </w:tc>
        <w:tc>
          <w:tcPr>
            <w:tcW w:w="0" w:type="auto"/>
            <w:vAlign w:val="center"/>
          </w:tcPr>
          <w:p w14:paraId="444F9F3D"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SDG 1 (Poverty), SDG 10 (Inequality)</w:t>
            </w:r>
          </w:p>
        </w:tc>
        <w:tc>
          <w:tcPr>
            <w:tcW w:w="0" w:type="auto"/>
            <w:vAlign w:val="center"/>
          </w:tcPr>
          <w:p w14:paraId="3D9CC220"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Fairness regularization in RL rewards</w:t>
            </w:r>
          </w:p>
        </w:tc>
        <w:tc>
          <w:tcPr>
            <w:tcW w:w="0" w:type="auto"/>
            <w:vAlign w:val="center"/>
          </w:tcPr>
          <w:p w14:paraId="41D00CBB"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Fairness penalty component in ethical loss</w:t>
            </w:r>
          </w:p>
        </w:tc>
      </w:tr>
      <w:tr w:rsidR="00B969E6" w:rsidRPr="00283E3A" w14:paraId="2D463B2F"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457DB3A4" w14:textId="77777777" w:rsidR="00B969E6" w:rsidRPr="00283E3A" w:rsidRDefault="00B969E6" w:rsidP="00B969E6">
            <w:pPr>
              <w:spacing w:line="259" w:lineRule="auto"/>
              <w:rPr>
                <w:b w:val="0"/>
                <w:bCs w:val="0"/>
              </w:rPr>
            </w:pPr>
            <w:r w:rsidRPr="00283E3A">
              <w:rPr>
                <w:b w:val="0"/>
                <w:bCs w:val="0"/>
              </w:rPr>
              <w:t>Health</w:t>
            </w:r>
          </w:p>
        </w:tc>
        <w:tc>
          <w:tcPr>
            <w:tcW w:w="0" w:type="auto"/>
            <w:vAlign w:val="center"/>
          </w:tcPr>
          <w:p w14:paraId="02617E3D"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SDG 3 (Health and Well-being)</w:t>
            </w:r>
          </w:p>
        </w:tc>
        <w:tc>
          <w:tcPr>
            <w:tcW w:w="0" w:type="auto"/>
            <w:vAlign w:val="center"/>
          </w:tcPr>
          <w:p w14:paraId="71348D99"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Cross-dimensional impact propagation</w:t>
            </w:r>
          </w:p>
        </w:tc>
        <w:tc>
          <w:tcPr>
            <w:tcW w:w="0" w:type="auto"/>
            <w:vAlign w:val="center"/>
          </w:tcPr>
          <w:p w14:paraId="08292392"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 xml:space="preserve">GAT coefficient: </w:t>
            </w:r>
            <w:proofErr w:type="spellStart"/>
            <w:r w:rsidRPr="00283E3A">
              <w:t>environmental→health</w:t>
            </w:r>
            <w:proofErr w:type="spellEnd"/>
          </w:p>
        </w:tc>
      </w:tr>
      <w:tr w:rsidR="00B969E6" w:rsidRPr="00283E3A" w14:paraId="05CE3E80"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5934D1" w14:textId="77777777" w:rsidR="00B969E6" w:rsidRPr="00283E3A" w:rsidRDefault="00B969E6" w:rsidP="00B969E6">
            <w:pPr>
              <w:spacing w:line="259" w:lineRule="auto"/>
              <w:rPr>
                <w:b w:val="0"/>
                <w:bCs w:val="0"/>
              </w:rPr>
            </w:pPr>
            <w:r w:rsidRPr="00283E3A">
              <w:rPr>
                <w:b w:val="0"/>
                <w:bCs w:val="0"/>
              </w:rPr>
              <w:t>Education</w:t>
            </w:r>
          </w:p>
        </w:tc>
        <w:tc>
          <w:tcPr>
            <w:tcW w:w="0" w:type="auto"/>
            <w:vAlign w:val="center"/>
          </w:tcPr>
          <w:p w14:paraId="4B4C1F59"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SDG 4 (Quality Education)</w:t>
            </w:r>
          </w:p>
        </w:tc>
        <w:tc>
          <w:tcPr>
            <w:tcW w:w="0" w:type="auto"/>
            <w:vAlign w:val="center"/>
          </w:tcPr>
          <w:p w14:paraId="425B890D"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Intergenerational knowledge transfer</w:t>
            </w:r>
          </w:p>
        </w:tc>
        <w:tc>
          <w:tcPr>
            <w:tcW w:w="0" w:type="auto"/>
            <w:vAlign w:val="center"/>
          </w:tcPr>
          <w:p w14:paraId="4CA58AE5"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Cultural discounting generational threshold</w:t>
            </w:r>
          </w:p>
        </w:tc>
      </w:tr>
      <w:tr w:rsidR="00B969E6" w:rsidRPr="00283E3A" w14:paraId="43DC71A3"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544056AB" w14:textId="77777777" w:rsidR="00B969E6" w:rsidRPr="00283E3A" w:rsidRDefault="00B969E6" w:rsidP="00B969E6">
            <w:pPr>
              <w:spacing w:line="259" w:lineRule="auto"/>
              <w:rPr>
                <w:b w:val="0"/>
                <w:bCs w:val="0"/>
              </w:rPr>
            </w:pPr>
            <w:r w:rsidRPr="00283E3A">
              <w:rPr>
                <w:b w:val="0"/>
                <w:bCs w:val="0"/>
              </w:rPr>
              <w:t>Gender equality</w:t>
            </w:r>
          </w:p>
        </w:tc>
        <w:tc>
          <w:tcPr>
            <w:tcW w:w="0" w:type="auto"/>
            <w:vAlign w:val="center"/>
          </w:tcPr>
          <w:p w14:paraId="4349B15E"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SDG 5 (Gender Equality)</w:t>
            </w:r>
          </w:p>
        </w:tc>
        <w:tc>
          <w:tcPr>
            <w:tcW w:w="0" w:type="auto"/>
            <w:vAlign w:val="center"/>
          </w:tcPr>
          <w:p w14:paraId="7D26356B"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Fairness constraints in optimization</w:t>
            </w:r>
          </w:p>
        </w:tc>
        <w:tc>
          <w:tcPr>
            <w:tcW w:w="0" w:type="auto"/>
            <w:vAlign w:val="center"/>
          </w:tcPr>
          <w:p w14:paraId="3DDC34A5"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Integrated in social equity dimension</w:t>
            </w:r>
          </w:p>
        </w:tc>
      </w:tr>
      <w:tr w:rsidR="00B969E6" w:rsidRPr="00283E3A" w14:paraId="07E2B4BA"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B004FEE" w14:textId="77777777" w:rsidR="00B969E6" w:rsidRPr="00283E3A" w:rsidRDefault="00B969E6" w:rsidP="00B969E6">
            <w:pPr>
              <w:spacing w:line="259" w:lineRule="auto"/>
              <w:rPr>
                <w:b w:val="0"/>
                <w:bCs w:val="0"/>
              </w:rPr>
            </w:pPr>
            <w:r w:rsidRPr="00283E3A">
              <w:rPr>
                <w:b w:val="0"/>
                <w:bCs w:val="0"/>
              </w:rPr>
              <w:t>Energy</w:t>
            </w:r>
          </w:p>
        </w:tc>
        <w:tc>
          <w:tcPr>
            <w:tcW w:w="0" w:type="auto"/>
            <w:vAlign w:val="center"/>
          </w:tcPr>
          <w:p w14:paraId="560755DF"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SDG 7 (Clean Energy)</w:t>
            </w:r>
          </w:p>
        </w:tc>
        <w:tc>
          <w:tcPr>
            <w:tcW w:w="0" w:type="auto"/>
            <w:vAlign w:val="center"/>
          </w:tcPr>
          <w:p w14:paraId="727621F4"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AI energy consumption tracking</w:t>
            </w:r>
          </w:p>
        </w:tc>
        <w:tc>
          <w:tcPr>
            <w:tcW w:w="0" w:type="auto"/>
            <w:vAlign w:val="center"/>
          </w:tcPr>
          <w:p w14:paraId="39017498"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Energy reduction: 4.38→3.42 kWh/epoch (22%)</w:t>
            </w:r>
          </w:p>
        </w:tc>
      </w:tr>
      <w:tr w:rsidR="00B969E6" w:rsidRPr="00283E3A" w14:paraId="4B206E5D" w14:textId="77777777" w:rsidTr="00B969E6">
        <w:tc>
          <w:tcPr>
            <w:cnfStyle w:val="001000000000" w:firstRow="0" w:lastRow="0" w:firstColumn="1" w:lastColumn="0" w:oddVBand="0" w:evenVBand="0" w:oddHBand="0" w:evenHBand="0" w:firstRowFirstColumn="0" w:firstRowLastColumn="0" w:lastRowFirstColumn="0" w:lastRowLastColumn="0"/>
            <w:tcW w:w="0" w:type="auto"/>
            <w:vAlign w:val="center"/>
          </w:tcPr>
          <w:p w14:paraId="1F3BFE51" w14:textId="77777777" w:rsidR="00B969E6" w:rsidRPr="00283E3A" w:rsidRDefault="00B969E6" w:rsidP="00B969E6">
            <w:pPr>
              <w:spacing w:line="259" w:lineRule="auto"/>
              <w:rPr>
                <w:b w:val="0"/>
                <w:bCs w:val="0"/>
              </w:rPr>
            </w:pPr>
            <w:r w:rsidRPr="00283E3A">
              <w:rPr>
                <w:b w:val="0"/>
                <w:bCs w:val="0"/>
              </w:rPr>
              <w:t>Biodiversity</w:t>
            </w:r>
          </w:p>
        </w:tc>
        <w:tc>
          <w:tcPr>
            <w:tcW w:w="0" w:type="auto"/>
            <w:vAlign w:val="center"/>
          </w:tcPr>
          <w:p w14:paraId="5B982C7C"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SDG 15 (Life on Land)</w:t>
            </w:r>
          </w:p>
        </w:tc>
        <w:tc>
          <w:tcPr>
            <w:tcW w:w="0" w:type="auto"/>
            <w:vAlign w:val="center"/>
          </w:tcPr>
          <w:p w14:paraId="77EF80B0"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Ecological-animal welfare interactions</w:t>
            </w:r>
          </w:p>
        </w:tc>
        <w:tc>
          <w:tcPr>
            <w:tcW w:w="0" w:type="auto"/>
            <w:vAlign w:val="center"/>
          </w:tcPr>
          <w:p w14:paraId="3A28D281" w14:textId="77777777" w:rsidR="00B969E6" w:rsidRPr="00283E3A" w:rsidRDefault="00B969E6" w:rsidP="00B969E6">
            <w:pPr>
              <w:spacing w:line="259" w:lineRule="auto"/>
              <w:cnfStyle w:val="000000000000" w:firstRow="0" w:lastRow="0" w:firstColumn="0" w:lastColumn="0" w:oddVBand="0" w:evenVBand="0" w:oddHBand="0" w:evenHBand="0" w:firstRowFirstColumn="0" w:firstRowLastColumn="0" w:lastRowFirstColumn="0" w:lastRowLastColumn="0"/>
            </w:pPr>
            <w:r w:rsidRPr="00283E3A">
              <w:t xml:space="preserve">Asymmetric coefficients: </w:t>
            </w:r>
            <w:proofErr w:type="spellStart"/>
            <w:r w:rsidRPr="00283E3A">
              <w:t>eco→animal</w:t>
            </w:r>
            <w:proofErr w:type="spellEnd"/>
            <w:r w:rsidRPr="00283E3A">
              <w:t xml:space="preserve"> 0.642</w:t>
            </w:r>
          </w:p>
        </w:tc>
      </w:tr>
      <w:tr w:rsidR="00B969E6" w:rsidRPr="00283E3A" w14:paraId="7A47D28E" w14:textId="77777777" w:rsidTr="00B969E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36B4E9" w14:textId="77777777" w:rsidR="00B969E6" w:rsidRPr="00283E3A" w:rsidRDefault="00B969E6" w:rsidP="00B969E6">
            <w:pPr>
              <w:spacing w:line="259" w:lineRule="auto"/>
              <w:rPr>
                <w:b w:val="0"/>
                <w:bCs w:val="0"/>
              </w:rPr>
            </w:pPr>
            <w:r w:rsidRPr="00283E3A">
              <w:rPr>
                <w:b w:val="0"/>
                <w:bCs w:val="0"/>
              </w:rPr>
              <w:t>Climate action</w:t>
            </w:r>
          </w:p>
        </w:tc>
        <w:tc>
          <w:tcPr>
            <w:tcW w:w="0" w:type="auto"/>
            <w:vAlign w:val="center"/>
          </w:tcPr>
          <w:p w14:paraId="6BC7214A"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SDG 13 (Climate Action)</w:t>
            </w:r>
          </w:p>
        </w:tc>
        <w:tc>
          <w:tcPr>
            <w:tcW w:w="0" w:type="auto"/>
            <w:vAlign w:val="center"/>
          </w:tcPr>
          <w:p w14:paraId="5154FB22"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Planetary boundary awareness</w:t>
            </w:r>
          </w:p>
        </w:tc>
        <w:tc>
          <w:tcPr>
            <w:tcW w:w="0" w:type="auto"/>
            <w:vAlign w:val="center"/>
          </w:tcPr>
          <w:p w14:paraId="44332CBB" w14:textId="77777777" w:rsidR="00B969E6" w:rsidRPr="00283E3A" w:rsidRDefault="00B969E6" w:rsidP="00B969E6">
            <w:pPr>
              <w:spacing w:line="259" w:lineRule="auto"/>
              <w:cnfStyle w:val="000000100000" w:firstRow="0" w:lastRow="0" w:firstColumn="0" w:lastColumn="0" w:oddVBand="0" w:evenVBand="0" w:oddHBand="1" w:evenHBand="0" w:firstRowFirstColumn="0" w:firstRowLastColumn="0" w:lastRowFirstColumn="0" w:lastRowLastColumn="0"/>
            </w:pPr>
            <w:r w:rsidRPr="00283E3A">
              <w:t>Crisis response mechanism activation</w:t>
            </w:r>
          </w:p>
        </w:tc>
      </w:tr>
    </w:tbl>
    <w:p w14:paraId="0458E604" w14:textId="77777777" w:rsidR="00515289" w:rsidRPr="00283E3A" w:rsidRDefault="00515289" w:rsidP="00515289">
      <w:pPr>
        <w:jc w:val="both"/>
      </w:pPr>
      <w:r w:rsidRPr="00283E3A">
        <w:rPr>
          <w:b/>
        </w:rPr>
        <w:t>Note:</w:t>
      </w:r>
    </w:p>
    <w:p w14:paraId="7E348035" w14:textId="77777777" w:rsidR="002134EF" w:rsidRPr="002134EF" w:rsidRDefault="002134EF" w:rsidP="002134EF">
      <w:pPr>
        <w:numPr>
          <w:ilvl w:val="0"/>
          <w:numId w:val="6"/>
        </w:numPr>
        <w:jc w:val="both"/>
      </w:pPr>
      <w:r w:rsidRPr="002134EF">
        <w:t>SDG mapping based on official UN framework; each AI-CDSN dimension addresses multiple interconnected SDG targets.</w:t>
      </w:r>
    </w:p>
    <w:p w14:paraId="3F276205" w14:textId="77777777" w:rsidR="002134EF" w:rsidRPr="002134EF" w:rsidRDefault="002134EF" w:rsidP="002134EF">
      <w:pPr>
        <w:numPr>
          <w:ilvl w:val="0"/>
          <w:numId w:val="6"/>
        </w:numPr>
        <w:jc w:val="both"/>
      </w:pPr>
      <w:r w:rsidRPr="002134EF">
        <w:t>Material allocations (steel 48%, concrete 22%, timber 30%) emerge from NSGA-III optimization without predetermined targets.</w:t>
      </w:r>
    </w:p>
    <w:p w14:paraId="64E841E4" w14:textId="77777777" w:rsidR="002134EF" w:rsidRPr="002134EF" w:rsidRDefault="002134EF" w:rsidP="002134EF">
      <w:pPr>
        <w:numPr>
          <w:ilvl w:val="0"/>
          <w:numId w:val="6"/>
        </w:numPr>
        <w:jc w:val="both"/>
      </w:pPr>
      <w:r w:rsidRPr="002134EF">
        <w:t>Resource endpoints (renewables −2.60, non-renewables −3.51) indicate depletion under business-as-usual scenarios.</w:t>
      </w:r>
    </w:p>
    <w:p w14:paraId="3D34AD22" w14:textId="77777777" w:rsidR="002134EF" w:rsidRPr="002134EF" w:rsidRDefault="002134EF" w:rsidP="002134EF">
      <w:pPr>
        <w:numPr>
          <w:ilvl w:val="0"/>
          <w:numId w:val="6"/>
        </w:numPr>
        <w:jc w:val="both"/>
      </w:pPr>
      <w:r w:rsidRPr="002134EF">
        <w:t>Fairness regularization in RL reward function (Equation 11) operationalizes SDGs 1, 5, 10 on equity.</w:t>
      </w:r>
    </w:p>
    <w:p w14:paraId="28E2BB02" w14:textId="77777777" w:rsidR="002134EF" w:rsidRPr="002134EF" w:rsidRDefault="002134EF" w:rsidP="002134EF">
      <w:pPr>
        <w:numPr>
          <w:ilvl w:val="0"/>
          <w:numId w:val="6"/>
        </w:numPr>
        <w:jc w:val="both"/>
      </w:pPr>
      <w:r w:rsidRPr="002134EF">
        <w:t xml:space="preserve">GAT coefficients quantify cross-dimensional impacts: </w:t>
      </w:r>
      <w:proofErr w:type="spellStart"/>
      <w:r w:rsidRPr="002134EF">
        <w:t>ecological→animal</w:t>
      </w:r>
      <w:proofErr w:type="spellEnd"/>
      <w:r w:rsidRPr="002134EF">
        <w:t xml:space="preserve"> welfare 0.642 vs reverse 0.583.</w:t>
      </w:r>
    </w:p>
    <w:p w14:paraId="1D2D0469" w14:textId="77777777" w:rsidR="002134EF" w:rsidRPr="002134EF" w:rsidRDefault="002134EF" w:rsidP="002134EF">
      <w:pPr>
        <w:numPr>
          <w:ilvl w:val="0"/>
          <w:numId w:val="6"/>
        </w:numPr>
        <w:jc w:val="both"/>
      </w:pPr>
      <w:r w:rsidRPr="002134EF">
        <w:t>Energy reduction (4.38→3.42 kWh/epoch) demonstrates AI sustainability operationalization (SDG 7).</w:t>
      </w:r>
    </w:p>
    <w:p w14:paraId="630EEAF6" w14:textId="69A2105E" w:rsidR="002134EF" w:rsidRPr="002134EF" w:rsidRDefault="002134EF" w:rsidP="002134EF">
      <w:pPr>
        <w:numPr>
          <w:ilvl w:val="0"/>
          <w:numId w:val="6"/>
        </w:numPr>
        <w:jc w:val="both"/>
      </w:pPr>
      <w:r w:rsidRPr="002134EF">
        <w:t xml:space="preserve">Cultural discounting threshold </w:t>
      </w:r>
      <w:proofErr w:type="spellStart"/>
      <w:r w:rsidRPr="00283E3A">
        <w:t>T</w:t>
      </w:r>
      <w:r w:rsidRPr="00283E3A">
        <w:rPr>
          <w:vertAlign w:val="subscript"/>
        </w:rPr>
        <w:t>gen</w:t>
      </w:r>
      <w:proofErr w:type="spellEnd"/>
      <w:r w:rsidRPr="002134EF">
        <w:t xml:space="preserve"> =25 years represents intergenerational knowledge transfer timescale.</w:t>
      </w:r>
    </w:p>
    <w:p w14:paraId="0407C687" w14:textId="2D59ED22" w:rsidR="002134EF" w:rsidRPr="002134EF" w:rsidRDefault="00841D30" w:rsidP="00362F93">
      <w:pPr>
        <w:spacing w:before="120" w:after="120"/>
        <w:jc w:val="both"/>
      </w:pPr>
      <w:r w:rsidRPr="00841D30">
        <w:t xml:space="preserve">Supplementary </w:t>
      </w:r>
      <w:r w:rsidR="002134EF" w:rsidRPr="002134EF">
        <w:t>Table S4 maps AI-CDSN's 9 sustainability dimensions to UN Sustainable Development Goals, demonstrating explicit operationalization of SDG targets through neural network architecture. Each dimension addresses multiple interconnected goals rather than isolated indicators. Economic sustainability emerges from capital dynamics and material optimization (steel 48%, concrete 22%, timber 30%). Environmental sustainability tracks renewable/non-renewable trajectories with crisis response mechanisms. Social equity integrates fairness penalties in reinforcement learning. Cross-dimensional impacts are quantified through Graph Attention Networks revealing asymmetric ecological-welfare dependencies (0.642 vs 0.583). Energy dimension uniquely addresses AI's own footprint with documented 22% reduction. Cultural discounting operationalizes intergenerational equity across 8 generations. All indicators derive from simulation experiments; real-world SDG database validation required for policy applications.</w:t>
      </w:r>
    </w:p>
    <w:p w14:paraId="31DB3280" w14:textId="77777777" w:rsidR="006C5868" w:rsidRPr="00362F93" w:rsidRDefault="006C5868" w:rsidP="00362F93">
      <w:pPr>
        <w:spacing w:before="120" w:after="120" w:line="259" w:lineRule="auto"/>
        <w:jc w:val="both"/>
        <w:rPr>
          <w:bCs/>
        </w:rPr>
      </w:pPr>
      <w:bookmarkStart w:id="5" w:name="supplementary_table_s5_mathematic_fc3b52"/>
      <w:r w:rsidRPr="006C5868">
        <w:rPr>
          <w:b/>
        </w:rPr>
        <w:lastRenderedPageBreak/>
        <w:t xml:space="preserve">Supplementary Table S5: </w:t>
      </w:r>
      <w:r w:rsidRPr="00362F93">
        <w:rPr>
          <w:bCs/>
        </w:rPr>
        <w:t>Mathematical Notation and Symbol Definitions</w:t>
      </w:r>
      <w:bookmarkEnd w:id="5"/>
    </w:p>
    <w:tbl>
      <w:tblPr>
        <w:tblStyle w:val="PlainTable2"/>
        <w:tblW w:w="0" w:type="auto"/>
        <w:tblLook w:val="04A0" w:firstRow="1" w:lastRow="0" w:firstColumn="1" w:lastColumn="0" w:noHBand="0" w:noVBand="1"/>
      </w:tblPr>
      <w:tblGrid>
        <w:gridCol w:w="2063"/>
        <w:gridCol w:w="3042"/>
        <w:gridCol w:w="2030"/>
        <w:gridCol w:w="1383"/>
      </w:tblGrid>
      <w:tr w:rsidR="006C5868" w:rsidRPr="006C5868" w14:paraId="61251381" w14:textId="77777777" w:rsidTr="006C58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12D2D3F" w14:textId="77777777" w:rsidR="006C5868" w:rsidRPr="006C5868" w:rsidRDefault="006C5868" w:rsidP="006C5868">
            <w:pPr>
              <w:spacing w:after="160" w:line="259" w:lineRule="auto"/>
            </w:pPr>
            <w:r w:rsidRPr="006C5868">
              <w:t>Symbol</w:t>
            </w:r>
          </w:p>
        </w:tc>
        <w:tc>
          <w:tcPr>
            <w:tcW w:w="0" w:type="auto"/>
            <w:vAlign w:val="center"/>
          </w:tcPr>
          <w:p w14:paraId="7D2D8E11" w14:textId="77777777" w:rsidR="006C5868" w:rsidRPr="006C5868" w:rsidRDefault="006C5868" w:rsidP="006C5868">
            <w:pPr>
              <w:spacing w:after="160" w:line="259" w:lineRule="auto"/>
              <w:cnfStyle w:val="100000000000" w:firstRow="1" w:lastRow="0" w:firstColumn="0" w:lastColumn="0" w:oddVBand="0" w:evenVBand="0" w:oddHBand="0" w:evenHBand="0" w:firstRowFirstColumn="0" w:firstRowLastColumn="0" w:lastRowFirstColumn="0" w:lastRowLastColumn="0"/>
            </w:pPr>
            <w:r w:rsidRPr="006C5868">
              <w:t>Description</w:t>
            </w:r>
          </w:p>
        </w:tc>
        <w:tc>
          <w:tcPr>
            <w:tcW w:w="0" w:type="auto"/>
            <w:vAlign w:val="center"/>
          </w:tcPr>
          <w:p w14:paraId="57B02D9E" w14:textId="77777777" w:rsidR="006C5868" w:rsidRPr="006C5868" w:rsidRDefault="006C5868" w:rsidP="006C5868">
            <w:pPr>
              <w:spacing w:after="160" w:line="259" w:lineRule="auto"/>
              <w:cnfStyle w:val="100000000000" w:firstRow="1" w:lastRow="0" w:firstColumn="0" w:lastColumn="0" w:oddVBand="0" w:evenVBand="0" w:oddHBand="0" w:evenHBand="0" w:firstRowFirstColumn="0" w:firstRowLastColumn="0" w:lastRowFirstColumn="0" w:lastRowLastColumn="0"/>
            </w:pPr>
            <w:r w:rsidRPr="006C5868">
              <w:t>Dimension/Range</w:t>
            </w:r>
          </w:p>
        </w:tc>
        <w:tc>
          <w:tcPr>
            <w:tcW w:w="0" w:type="auto"/>
            <w:vAlign w:val="center"/>
          </w:tcPr>
          <w:p w14:paraId="1CD2E197" w14:textId="77777777" w:rsidR="006C5868" w:rsidRPr="006C5868" w:rsidRDefault="006C5868" w:rsidP="006C5868">
            <w:pPr>
              <w:spacing w:after="160" w:line="259" w:lineRule="auto"/>
              <w:cnfStyle w:val="100000000000" w:firstRow="1" w:lastRow="0" w:firstColumn="0" w:lastColumn="0" w:oddVBand="0" w:evenVBand="0" w:oddHBand="0" w:evenHBand="0" w:firstRowFirstColumn="0" w:firstRowLastColumn="0" w:lastRowFirstColumn="0" w:lastRowLastColumn="0"/>
            </w:pPr>
            <w:r w:rsidRPr="006C5868">
              <w:t>First Use</w:t>
            </w:r>
          </w:p>
        </w:tc>
      </w:tr>
      <w:tr w:rsidR="006C5868" w:rsidRPr="006C5868" w14:paraId="13AE7CD3" w14:textId="77777777" w:rsidTr="00107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74AC5E67" w14:textId="0F9D8533" w:rsidR="006C5868" w:rsidRPr="006C5868" w:rsidRDefault="006C5868" w:rsidP="006C5868">
            <w:r w:rsidRPr="006C5868">
              <w:t>State Variables</w:t>
            </w:r>
          </w:p>
        </w:tc>
      </w:tr>
      <w:tr w:rsidR="006C5868" w:rsidRPr="006C5868" w14:paraId="0A9A6B27" w14:textId="77777777" w:rsidTr="006C5868">
        <w:tc>
          <w:tcPr>
            <w:cnfStyle w:val="001000000000" w:firstRow="0" w:lastRow="0" w:firstColumn="1" w:lastColumn="0" w:oddVBand="0" w:evenVBand="0" w:oddHBand="0" w:evenHBand="0" w:firstRowFirstColumn="0" w:firstRowLastColumn="0" w:lastRowFirstColumn="0" w:lastRowLastColumn="0"/>
            <w:tcW w:w="0" w:type="auto"/>
            <w:vAlign w:val="center"/>
          </w:tcPr>
          <w:p w14:paraId="56251024" w14:textId="64E22A43" w:rsidR="006C5868" w:rsidRPr="006C5868" w:rsidRDefault="006C5868" w:rsidP="006C5868">
            <w:pPr>
              <w:spacing w:after="160" w:line="259" w:lineRule="auto"/>
            </w:pPr>
            <m:oMathPara>
              <m:oMathParaPr>
                <m:jc m:val="left"/>
              </m:oMathParaPr>
              <m:oMath>
                <m:r>
                  <m:rPr>
                    <m:sty m:val="bi"/>
                  </m:rPr>
                  <w:rPr>
                    <w:rFonts w:ascii="Cambria Math" w:hAnsi="Cambria Math"/>
                  </w:rPr>
                  <m:t>K</m:t>
                </m:r>
                <m:r>
                  <m:rPr>
                    <m:sty m:val="b"/>
                  </m:rPr>
                  <w:rPr>
                    <w:rFonts w:ascii="Cambria Math" w:hAnsi="Cambria Math"/>
                  </w:rPr>
                  <m:t>(</m:t>
                </m:r>
                <m:r>
                  <m:rPr>
                    <m:sty m:val="bi"/>
                  </m:rPr>
                  <w:rPr>
                    <w:rFonts w:ascii="Cambria Math" w:hAnsi="Cambria Math"/>
                  </w:rPr>
                  <m:t>t</m:t>
                </m:r>
                <m:r>
                  <m:rPr>
                    <m:sty m:val="b"/>
                  </m:rPr>
                  <w:rPr>
                    <w:rFonts w:ascii="Cambria Math" w:hAnsi="Cambria Math"/>
                  </w:rPr>
                  <m:t>)</m:t>
                </m:r>
              </m:oMath>
            </m:oMathPara>
          </w:p>
        </w:tc>
        <w:tc>
          <w:tcPr>
            <w:tcW w:w="0" w:type="auto"/>
            <w:vAlign w:val="center"/>
          </w:tcPr>
          <w:p w14:paraId="66E90DCB"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Capital stock</w:t>
            </w:r>
          </w:p>
        </w:tc>
        <w:tc>
          <w:tcPr>
            <w:tcW w:w="0" w:type="auto"/>
            <w:vAlign w:val="center"/>
          </w:tcPr>
          <w:p w14:paraId="15C300FC" w14:textId="237329CD" w:rsidR="006C5868" w:rsidRPr="006C5868" w:rsidRDefault="00000000" w:rsidP="006C5868">
            <w:pPr>
              <w:spacing w:after="160" w:line="259" w:lineRule="auto"/>
              <w:cnfStyle w:val="000000000000" w:firstRow="0" w:lastRow="0" w:firstColumn="0" w:lastColumn="0" w:oddVBand="0" w:evenVBand="0" w:oddHBand="0" w:evenHBand="0" w:firstRowFirstColumn="0" w:firstRowLastColumn="0" w:lastRowFirstColumn="0" w:lastRowLastColumn="0"/>
            </w:pPr>
            <m:oMathPara>
              <m:oMathParaPr>
                <m:jc m:val="left"/>
              </m:oMathParaPr>
              <m:oMath>
                <m:sSub>
                  <m:sSubPr>
                    <m:ctrlPr>
                      <w:rPr>
                        <w:rFonts w:ascii="Cambria Math" w:hAnsi="Cambria Math"/>
                      </w:rPr>
                    </m:ctrlPr>
                  </m:sSubPr>
                  <m:e>
                    <m:r>
                      <m:rPr>
                        <m:scr m:val="double-struck"/>
                      </m:rPr>
                      <w:rPr>
                        <w:rFonts w:ascii="Cambria Math" w:hAnsi="Cambria Math"/>
                      </w:rPr>
                      <m:t>R</m:t>
                    </m:r>
                  </m:e>
                  <m:sub>
                    <m:r>
                      <m:rPr>
                        <m:sty m:val="p"/>
                      </m:rPr>
                      <w:rPr>
                        <w:rFonts w:ascii="Cambria Math" w:hAnsi="Cambria Math"/>
                      </w:rPr>
                      <m:t>+</m:t>
                    </m:r>
                  </m:sub>
                </m:sSub>
              </m:oMath>
            </m:oMathPara>
          </w:p>
        </w:tc>
        <w:tc>
          <w:tcPr>
            <w:tcW w:w="0" w:type="auto"/>
            <w:vAlign w:val="center"/>
          </w:tcPr>
          <w:p w14:paraId="75098E06"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Eq. 2, p.13</w:t>
            </w:r>
          </w:p>
        </w:tc>
      </w:tr>
      <w:tr w:rsidR="006C5868" w:rsidRPr="006C5868" w14:paraId="0915CE9F"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10D6B17" w14:textId="63A3AD1E" w:rsidR="006C5868" w:rsidRPr="006C5868" w:rsidRDefault="006C5868" w:rsidP="006C5868">
            <w:pPr>
              <w:spacing w:after="160" w:line="259" w:lineRule="auto"/>
            </w:pPr>
            <m:oMathPara>
              <m:oMathParaPr>
                <m:jc m:val="left"/>
              </m:oMathParaPr>
              <m:oMath>
                <m:r>
                  <m:rPr>
                    <m:sty m:val="bi"/>
                  </m:rPr>
                  <w:rPr>
                    <w:rFonts w:ascii="Cambria Math" w:hAnsi="Cambria Math"/>
                  </w:rPr>
                  <m:t>R</m:t>
                </m:r>
                <m:r>
                  <m:rPr>
                    <m:sty m:val="b"/>
                  </m:rPr>
                  <w:rPr>
                    <w:rFonts w:ascii="Cambria Math" w:hAnsi="Cambria Math"/>
                  </w:rPr>
                  <m:t>(</m:t>
                </m:r>
                <m:r>
                  <m:rPr>
                    <m:sty m:val="bi"/>
                  </m:rPr>
                  <w:rPr>
                    <w:rFonts w:ascii="Cambria Math" w:hAnsi="Cambria Math"/>
                  </w:rPr>
                  <m:t>t</m:t>
                </m:r>
                <m:r>
                  <m:rPr>
                    <m:sty m:val="b"/>
                  </m:rPr>
                  <w:rPr>
                    <w:rFonts w:ascii="Cambria Math" w:hAnsi="Cambria Math"/>
                  </w:rPr>
                  <m:t>)</m:t>
                </m:r>
              </m:oMath>
            </m:oMathPara>
          </w:p>
        </w:tc>
        <w:tc>
          <w:tcPr>
            <w:tcW w:w="0" w:type="auto"/>
            <w:vAlign w:val="center"/>
          </w:tcPr>
          <w:p w14:paraId="5AD24CD6"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Renewable resources</w:t>
            </w:r>
          </w:p>
        </w:tc>
        <w:tc>
          <w:tcPr>
            <w:tcW w:w="0" w:type="auto"/>
            <w:vAlign w:val="center"/>
          </w:tcPr>
          <w:p w14:paraId="50DA94C5" w14:textId="695A26D5" w:rsidR="006C5868" w:rsidRPr="006C5868" w:rsidRDefault="00000000" w:rsidP="006C5868">
            <w:pPr>
              <w:spacing w:after="160" w:line="259" w:lineRule="auto"/>
              <w:cnfStyle w:val="000000100000" w:firstRow="0" w:lastRow="0" w:firstColumn="0" w:lastColumn="0" w:oddVBand="0" w:evenVBand="0" w:oddHBand="1" w:evenHBand="0" w:firstRowFirstColumn="0" w:firstRowLastColumn="0" w:lastRowFirstColumn="0" w:lastRowLastColumn="0"/>
            </w:pPr>
            <m:oMathPara>
              <m:oMathParaPr>
                <m:jc m:val="left"/>
              </m:oMathParaPr>
              <m:oMath>
                <m:sSub>
                  <m:sSubPr>
                    <m:ctrlPr>
                      <w:rPr>
                        <w:rFonts w:ascii="Cambria Math" w:hAnsi="Cambria Math"/>
                      </w:rPr>
                    </m:ctrlPr>
                  </m:sSubPr>
                  <m:e>
                    <m:r>
                      <m:rPr>
                        <m:scr m:val="double-struck"/>
                      </m:rPr>
                      <w:rPr>
                        <w:rFonts w:ascii="Cambria Math" w:hAnsi="Cambria Math"/>
                      </w:rPr>
                      <m:t>R</m:t>
                    </m:r>
                  </m:e>
                  <m:sub>
                    <m:r>
                      <m:rPr>
                        <m:sty m:val="p"/>
                      </m:rPr>
                      <w:rPr>
                        <w:rFonts w:ascii="Cambria Math" w:hAnsi="Cambria Math"/>
                      </w:rPr>
                      <m:t>+</m:t>
                    </m:r>
                  </m:sub>
                </m:sSub>
              </m:oMath>
            </m:oMathPara>
          </w:p>
        </w:tc>
        <w:tc>
          <w:tcPr>
            <w:tcW w:w="0" w:type="auto"/>
            <w:vAlign w:val="center"/>
          </w:tcPr>
          <w:p w14:paraId="6C8A1A09"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Eq. 2, p.13</w:t>
            </w:r>
          </w:p>
        </w:tc>
      </w:tr>
      <w:tr w:rsidR="006C5868" w:rsidRPr="006C5868" w14:paraId="349C0177" w14:textId="77777777" w:rsidTr="006C5868">
        <w:tc>
          <w:tcPr>
            <w:cnfStyle w:val="001000000000" w:firstRow="0" w:lastRow="0" w:firstColumn="1" w:lastColumn="0" w:oddVBand="0" w:evenVBand="0" w:oddHBand="0" w:evenHBand="0" w:firstRowFirstColumn="0" w:firstRowLastColumn="0" w:lastRowFirstColumn="0" w:lastRowLastColumn="0"/>
            <w:tcW w:w="0" w:type="auto"/>
            <w:vAlign w:val="center"/>
          </w:tcPr>
          <w:p w14:paraId="24A46D46" w14:textId="042BBF2B" w:rsidR="006C5868" w:rsidRPr="006C5868" w:rsidRDefault="006C5868" w:rsidP="006C5868">
            <w:pPr>
              <w:spacing w:after="160" w:line="259" w:lineRule="auto"/>
            </w:pPr>
            <m:oMathPara>
              <m:oMathParaPr>
                <m:jc m:val="left"/>
              </m:oMathParaPr>
              <m:oMath>
                <m:r>
                  <m:rPr>
                    <m:sty m:val="bi"/>
                  </m:rPr>
                  <w:rPr>
                    <w:rFonts w:ascii="Cambria Math" w:hAnsi="Cambria Math"/>
                  </w:rPr>
                  <m:t>N</m:t>
                </m:r>
                <m:r>
                  <m:rPr>
                    <m:sty m:val="b"/>
                  </m:rPr>
                  <w:rPr>
                    <w:rFonts w:ascii="Cambria Math" w:hAnsi="Cambria Math"/>
                  </w:rPr>
                  <m:t>(</m:t>
                </m:r>
                <m:r>
                  <m:rPr>
                    <m:sty m:val="bi"/>
                  </m:rPr>
                  <w:rPr>
                    <w:rFonts w:ascii="Cambria Math" w:hAnsi="Cambria Math"/>
                  </w:rPr>
                  <m:t>t</m:t>
                </m:r>
                <m:r>
                  <m:rPr>
                    <m:sty m:val="b"/>
                  </m:rPr>
                  <w:rPr>
                    <w:rFonts w:ascii="Cambria Math" w:hAnsi="Cambria Math"/>
                  </w:rPr>
                  <m:t>)</m:t>
                </m:r>
              </m:oMath>
            </m:oMathPara>
          </w:p>
        </w:tc>
        <w:tc>
          <w:tcPr>
            <w:tcW w:w="0" w:type="auto"/>
            <w:vAlign w:val="center"/>
          </w:tcPr>
          <w:p w14:paraId="5300E328"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Non-renewable resources</w:t>
            </w:r>
          </w:p>
        </w:tc>
        <w:tc>
          <w:tcPr>
            <w:tcW w:w="0" w:type="auto"/>
            <w:vAlign w:val="center"/>
          </w:tcPr>
          <w:p w14:paraId="64174F5E" w14:textId="19DB860C" w:rsidR="006C5868" w:rsidRPr="006C5868" w:rsidRDefault="00000000" w:rsidP="006C5868">
            <w:pPr>
              <w:spacing w:after="160" w:line="259" w:lineRule="auto"/>
              <w:cnfStyle w:val="000000000000" w:firstRow="0" w:lastRow="0" w:firstColumn="0" w:lastColumn="0" w:oddVBand="0" w:evenVBand="0" w:oddHBand="0" w:evenHBand="0" w:firstRowFirstColumn="0" w:firstRowLastColumn="0" w:lastRowFirstColumn="0" w:lastRowLastColumn="0"/>
            </w:pPr>
            <m:oMathPara>
              <m:oMathParaPr>
                <m:jc m:val="left"/>
              </m:oMathParaPr>
              <m:oMath>
                <m:sSub>
                  <m:sSubPr>
                    <m:ctrlPr>
                      <w:rPr>
                        <w:rFonts w:ascii="Cambria Math" w:hAnsi="Cambria Math"/>
                      </w:rPr>
                    </m:ctrlPr>
                  </m:sSubPr>
                  <m:e>
                    <m:r>
                      <m:rPr>
                        <m:scr m:val="double-struck"/>
                      </m:rPr>
                      <w:rPr>
                        <w:rFonts w:ascii="Cambria Math" w:hAnsi="Cambria Math"/>
                      </w:rPr>
                      <m:t>R</m:t>
                    </m:r>
                  </m:e>
                  <m:sub>
                    <m:r>
                      <m:rPr>
                        <m:sty m:val="p"/>
                      </m:rPr>
                      <w:rPr>
                        <w:rFonts w:ascii="Cambria Math" w:hAnsi="Cambria Math"/>
                      </w:rPr>
                      <m:t>+</m:t>
                    </m:r>
                  </m:sub>
                </m:sSub>
              </m:oMath>
            </m:oMathPara>
          </w:p>
        </w:tc>
        <w:tc>
          <w:tcPr>
            <w:tcW w:w="0" w:type="auto"/>
            <w:vAlign w:val="center"/>
          </w:tcPr>
          <w:p w14:paraId="6D4CC12E"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Eq. 2, p.13</w:t>
            </w:r>
          </w:p>
        </w:tc>
      </w:tr>
      <w:tr w:rsidR="006C5868" w:rsidRPr="006C5868" w14:paraId="2E78D892"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F10087" w14:textId="7FF684AF"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D</m:t>
                    </m:r>
                  </m:e>
                  <m:sub>
                    <m:r>
                      <m:rPr>
                        <m:sty m:val="bi"/>
                      </m:rPr>
                      <w:rPr>
                        <w:rFonts w:ascii="Cambria Math" w:hAnsi="Cambria Math"/>
                      </w:rPr>
                      <m:t>i</m:t>
                    </m:r>
                  </m:sub>
                </m:sSub>
              </m:oMath>
            </m:oMathPara>
          </w:p>
        </w:tc>
        <w:tc>
          <w:tcPr>
            <w:tcW w:w="0" w:type="auto"/>
            <w:vAlign w:val="center"/>
          </w:tcPr>
          <w:p w14:paraId="3BAE3421"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Dimension score (</w:t>
            </w:r>
            <w:proofErr w:type="spellStart"/>
            <w:r w:rsidRPr="006C5868">
              <w:t>i</w:t>
            </w:r>
            <w:proofErr w:type="spellEnd"/>
            <w:r w:rsidRPr="006C5868">
              <w:t>=</w:t>
            </w:r>
            <w:proofErr w:type="gramStart"/>
            <w:r w:rsidRPr="006C5868">
              <w:t>1..</w:t>
            </w:r>
            <w:proofErr w:type="gramEnd"/>
            <w:r w:rsidRPr="006C5868">
              <w:t>5)</w:t>
            </w:r>
          </w:p>
        </w:tc>
        <w:tc>
          <w:tcPr>
            <w:tcW w:w="0" w:type="auto"/>
            <w:vAlign w:val="center"/>
          </w:tcPr>
          <w:p w14:paraId="25129DD9" w14:textId="40BF2792"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m:oMathPara>
              <m:oMathParaPr>
                <m:jc m:val="left"/>
              </m:oMathParaPr>
              <m:oMath>
                <m:r>
                  <m:rPr>
                    <m:sty m:val="p"/>
                  </m:rPr>
                  <w:rPr>
                    <w:rFonts w:ascii="Cambria Math" w:hAnsi="Cambria Math"/>
                  </w:rPr>
                  <m:t>[0,1]</m:t>
                </m:r>
              </m:oMath>
            </m:oMathPara>
          </w:p>
        </w:tc>
        <w:tc>
          <w:tcPr>
            <w:tcW w:w="0" w:type="auto"/>
            <w:vAlign w:val="center"/>
          </w:tcPr>
          <w:p w14:paraId="563E48BA"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Eq. 1, p.13</w:t>
            </w:r>
          </w:p>
        </w:tc>
      </w:tr>
      <w:tr w:rsidR="006C5868" w:rsidRPr="006C5868" w14:paraId="16523204" w14:textId="77777777" w:rsidTr="006C5868">
        <w:tc>
          <w:tcPr>
            <w:cnfStyle w:val="001000000000" w:firstRow="0" w:lastRow="0" w:firstColumn="1" w:lastColumn="0" w:oddVBand="0" w:evenVBand="0" w:oddHBand="0" w:evenHBand="0" w:firstRowFirstColumn="0" w:firstRowLastColumn="0" w:lastRowFirstColumn="0" w:lastRowLastColumn="0"/>
            <w:tcW w:w="0" w:type="auto"/>
            <w:vAlign w:val="center"/>
          </w:tcPr>
          <w:p w14:paraId="6D191A13" w14:textId="2AF3A421" w:rsidR="006C5868" w:rsidRPr="006C5868" w:rsidRDefault="006C5868" w:rsidP="006C5868">
            <w:pPr>
              <w:spacing w:after="160" w:line="259" w:lineRule="auto"/>
            </w:pPr>
            <m:oMathPara>
              <m:oMathParaPr>
                <m:jc m:val="left"/>
              </m:oMathParaPr>
              <m:oMath>
                <m:r>
                  <m:rPr>
                    <m:sty m:val="bi"/>
                  </m:rPr>
                  <w:rPr>
                    <w:rFonts w:ascii="Cambria Math" w:hAnsi="Cambria Math"/>
                  </w:rPr>
                  <m:t>P</m:t>
                </m:r>
                <m:sSub>
                  <m:sSubPr>
                    <m:ctrlPr>
                      <w:rPr>
                        <w:rFonts w:ascii="Cambria Math" w:hAnsi="Cambria Math"/>
                      </w:rPr>
                    </m:ctrlPr>
                  </m:sSubPr>
                  <m:e>
                    <m:r>
                      <m:rPr>
                        <m:sty m:val="bi"/>
                      </m:rPr>
                      <w:rPr>
                        <w:rFonts w:ascii="Cambria Math" w:hAnsi="Cambria Math"/>
                      </w:rPr>
                      <m:t>B</m:t>
                    </m:r>
                  </m:e>
                  <m:sub>
                    <m:r>
                      <m:rPr>
                        <m:sty m:val="bi"/>
                      </m:rPr>
                      <w:rPr>
                        <w:rFonts w:ascii="Cambria Math" w:hAnsi="Cambria Math"/>
                      </w:rPr>
                      <m:t>j</m:t>
                    </m:r>
                  </m:sub>
                </m:sSub>
              </m:oMath>
            </m:oMathPara>
          </w:p>
        </w:tc>
        <w:tc>
          <w:tcPr>
            <w:tcW w:w="0" w:type="auto"/>
            <w:vAlign w:val="center"/>
          </w:tcPr>
          <w:p w14:paraId="770A3E37"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Planetary boundary deviation</w:t>
            </w:r>
          </w:p>
        </w:tc>
        <w:tc>
          <w:tcPr>
            <w:tcW w:w="0" w:type="auto"/>
            <w:vAlign w:val="center"/>
          </w:tcPr>
          <w:p w14:paraId="5F01B2CC" w14:textId="0750BA48"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m:oMathPara>
              <m:oMathParaPr>
                <m:jc m:val="left"/>
              </m:oMathParaPr>
              <m:oMath>
                <m:r>
                  <m:rPr>
                    <m:sty m:val="p"/>
                  </m:rPr>
                  <w:rPr>
                    <w:rFonts w:ascii="Cambria Math" w:hAnsi="Cambria Math"/>
                  </w:rPr>
                  <m:t>[0,1]</m:t>
                </m:r>
              </m:oMath>
            </m:oMathPara>
          </w:p>
        </w:tc>
        <w:tc>
          <w:tcPr>
            <w:tcW w:w="0" w:type="auto"/>
            <w:vAlign w:val="center"/>
          </w:tcPr>
          <w:p w14:paraId="5F352ED3"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Eq. 9, p.15</w:t>
            </w:r>
          </w:p>
        </w:tc>
      </w:tr>
      <w:tr w:rsidR="006C5868" w:rsidRPr="006C5868" w14:paraId="4402B020"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55835D" w14:textId="72FE7FD8"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s</m:t>
                    </m:r>
                  </m:e>
                  <m:sub>
                    <m:r>
                      <m:rPr>
                        <m:sty m:val="bi"/>
                      </m:rPr>
                      <w:rPr>
                        <w:rFonts w:ascii="Cambria Math" w:hAnsi="Cambria Math"/>
                      </w:rPr>
                      <m:t>t</m:t>
                    </m:r>
                  </m:sub>
                </m:sSub>
              </m:oMath>
            </m:oMathPara>
          </w:p>
        </w:tc>
        <w:tc>
          <w:tcPr>
            <w:tcW w:w="0" w:type="auto"/>
            <w:vAlign w:val="center"/>
          </w:tcPr>
          <w:p w14:paraId="6D9D84AA"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RL state vector</w:t>
            </w:r>
          </w:p>
        </w:tc>
        <w:tc>
          <w:tcPr>
            <w:tcW w:w="0" w:type="auto"/>
            <w:vAlign w:val="center"/>
          </w:tcPr>
          <w:p w14:paraId="4EF74D97" w14:textId="30742148" w:rsidR="006C5868" w:rsidRPr="006C5868" w:rsidRDefault="00000000" w:rsidP="006C5868">
            <w:pPr>
              <w:spacing w:after="160" w:line="259" w:lineRule="auto"/>
              <w:cnfStyle w:val="000000100000" w:firstRow="0" w:lastRow="0" w:firstColumn="0" w:lastColumn="0" w:oddVBand="0" w:evenVBand="0" w:oddHBand="1" w:evenHBand="0" w:firstRowFirstColumn="0" w:firstRowLastColumn="0" w:lastRowFirstColumn="0" w:lastRowLastColumn="0"/>
            </w:pPr>
            <m:oMathPara>
              <m:oMathParaPr>
                <m:jc m:val="left"/>
              </m:oMathParaPr>
              <m:oMath>
                <m:sSup>
                  <m:sSupPr>
                    <m:ctrlPr>
                      <w:rPr>
                        <w:rFonts w:ascii="Cambria Math" w:hAnsi="Cambria Math"/>
                      </w:rPr>
                    </m:ctrlPr>
                  </m:sSupPr>
                  <m:e>
                    <m:r>
                      <m:rPr>
                        <m:scr m:val="double-struck"/>
                      </m:rPr>
                      <w:rPr>
                        <w:rFonts w:ascii="Cambria Math" w:hAnsi="Cambria Math"/>
                      </w:rPr>
                      <m:t>R</m:t>
                    </m:r>
                  </m:e>
                  <m:sup>
                    <m:r>
                      <m:rPr>
                        <m:sty m:val="p"/>
                      </m:rPr>
                      <w:rPr>
                        <w:rFonts w:ascii="Cambria Math" w:hAnsi="Cambria Math"/>
                      </w:rPr>
                      <m:t>12</m:t>
                    </m:r>
                  </m:sup>
                </m:sSup>
              </m:oMath>
            </m:oMathPara>
          </w:p>
        </w:tc>
        <w:tc>
          <w:tcPr>
            <w:tcW w:w="0" w:type="auto"/>
            <w:vAlign w:val="center"/>
          </w:tcPr>
          <w:p w14:paraId="00687FFD"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Sec. 3.2.4</w:t>
            </w:r>
          </w:p>
        </w:tc>
      </w:tr>
      <w:tr w:rsidR="006C5868" w:rsidRPr="006C5868" w14:paraId="4333FDB7" w14:textId="77777777" w:rsidTr="006C5868">
        <w:trPr>
          <w:gridAfter w:val="3"/>
        </w:trPr>
        <w:tc>
          <w:tcPr>
            <w:cnfStyle w:val="001000000000" w:firstRow="0" w:lastRow="0" w:firstColumn="1" w:lastColumn="0" w:oddVBand="0" w:evenVBand="0" w:oddHBand="0" w:evenHBand="0" w:firstRowFirstColumn="0" w:firstRowLastColumn="0" w:lastRowFirstColumn="0" w:lastRowLastColumn="0"/>
            <w:tcW w:w="0" w:type="auto"/>
            <w:vAlign w:val="center"/>
          </w:tcPr>
          <w:p w14:paraId="362BA3B4" w14:textId="77777777" w:rsidR="006C5868" w:rsidRPr="006C5868" w:rsidRDefault="006C5868" w:rsidP="006C5868">
            <w:pPr>
              <w:spacing w:after="160" w:line="259" w:lineRule="auto"/>
            </w:pPr>
            <w:r w:rsidRPr="006C5868">
              <w:t>Control Variables</w:t>
            </w:r>
          </w:p>
        </w:tc>
      </w:tr>
      <w:tr w:rsidR="006C5868" w:rsidRPr="006C5868" w14:paraId="00711C41"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C9940B4" w14:textId="7861A34E"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oMath>
            </m:oMathPara>
          </w:p>
        </w:tc>
        <w:tc>
          <w:tcPr>
            <w:tcW w:w="0" w:type="auto"/>
            <w:vAlign w:val="center"/>
          </w:tcPr>
          <w:p w14:paraId="5E541075"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Material allocation action</w:t>
            </w:r>
          </w:p>
        </w:tc>
        <w:tc>
          <w:tcPr>
            <w:tcW w:w="0" w:type="auto"/>
            <w:vAlign w:val="center"/>
          </w:tcPr>
          <w:p w14:paraId="5A0834E4" w14:textId="051B7F5E"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m:oMathPara>
              <m:oMathParaPr>
                <m:jc m:val="left"/>
              </m:oMathParaPr>
              <m:oMath>
                <m:r>
                  <m:rPr>
                    <m:sty m:val="p"/>
                  </m:rPr>
                  <w:rPr>
                    <w:rFonts w:ascii="Cambria Math" w:hAnsi="Cambria Math"/>
                  </w:rPr>
                  <m:t>[0,1</m:t>
                </m:r>
                <m:sSup>
                  <m:sSupPr>
                    <m:ctrlPr>
                      <w:rPr>
                        <w:rFonts w:ascii="Cambria Math" w:hAnsi="Cambria Math"/>
                      </w:rPr>
                    </m:ctrlPr>
                  </m:sSupPr>
                  <m:e>
                    <m:r>
                      <m:rPr>
                        <m:sty m:val="p"/>
                      </m:rPr>
                      <w:rPr>
                        <w:rFonts w:ascii="Cambria Math" w:hAnsi="Cambria Math"/>
                      </w:rPr>
                      <m:t>]</m:t>
                    </m:r>
                  </m:e>
                  <m:sup>
                    <m:r>
                      <m:rPr>
                        <m:sty m:val="p"/>
                      </m:rPr>
                      <w:rPr>
                        <w:rFonts w:ascii="Cambria Math" w:hAnsi="Cambria Math"/>
                      </w:rPr>
                      <m:t>3</m:t>
                    </m:r>
                  </m:sup>
                </m:sSup>
              </m:oMath>
            </m:oMathPara>
          </w:p>
        </w:tc>
        <w:tc>
          <w:tcPr>
            <w:tcW w:w="0" w:type="auto"/>
            <w:vAlign w:val="center"/>
          </w:tcPr>
          <w:p w14:paraId="07E1E73F"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Eq. 3, p.14</w:t>
            </w:r>
          </w:p>
        </w:tc>
      </w:tr>
      <w:tr w:rsidR="006C5868" w:rsidRPr="006C5868" w14:paraId="1F72EC44" w14:textId="77777777" w:rsidTr="006C5868">
        <w:tc>
          <w:tcPr>
            <w:cnfStyle w:val="001000000000" w:firstRow="0" w:lastRow="0" w:firstColumn="1" w:lastColumn="0" w:oddVBand="0" w:evenVBand="0" w:oddHBand="0" w:evenHBand="0" w:firstRowFirstColumn="0" w:firstRowLastColumn="0" w:lastRowFirstColumn="0" w:lastRowLastColumn="0"/>
            <w:tcW w:w="0" w:type="auto"/>
            <w:vAlign w:val="center"/>
          </w:tcPr>
          <w:p w14:paraId="0E559E37" w14:textId="63FFEF05"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w</m:t>
                    </m:r>
                  </m:e>
                  <m:sub>
                    <m:r>
                      <m:rPr>
                        <m:sty m:val="bi"/>
                      </m:rPr>
                      <w:rPr>
                        <w:rFonts w:ascii="Cambria Math" w:hAnsi="Cambria Math"/>
                      </w:rPr>
                      <m:t>i</m:t>
                    </m:r>
                  </m:sub>
                </m:sSub>
              </m:oMath>
            </m:oMathPara>
          </w:p>
        </w:tc>
        <w:tc>
          <w:tcPr>
            <w:tcW w:w="0" w:type="auto"/>
            <w:vAlign w:val="center"/>
          </w:tcPr>
          <w:p w14:paraId="05A36B18"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Dynamic dimension weight</w:t>
            </w:r>
          </w:p>
        </w:tc>
        <w:tc>
          <w:tcPr>
            <w:tcW w:w="0" w:type="auto"/>
            <w:vAlign w:val="center"/>
          </w:tcPr>
          <w:p w14:paraId="69501ECB" w14:textId="45EFB541"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m:oMathPara>
              <m:oMathParaPr>
                <m:jc m:val="left"/>
              </m:oMathParaPr>
              <m:oMath>
                <m:r>
                  <m:rPr>
                    <m:sty m:val="p"/>
                  </m:rPr>
                  <w:rPr>
                    <w:rFonts w:ascii="Cambria Math" w:hAnsi="Cambria Math"/>
                  </w:rPr>
                  <m:t>[0,1],∑</m:t>
                </m:r>
                <m:sSub>
                  <m:sSubPr>
                    <m:ctrlPr>
                      <w:rPr>
                        <w:rFonts w:ascii="Cambria Math" w:hAnsi="Cambria Math"/>
                      </w:rPr>
                    </m:ctrlPr>
                  </m:sSubPr>
                  <m:e>
                    <m:r>
                      <w:rPr>
                        <w:rFonts w:ascii="Cambria Math" w:hAnsi="Cambria Math"/>
                      </w:rPr>
                      <m:t>w</m:t>
                    </m:r>
                  </m:e>
                  <m:sub>
                    <m:r>
                      <w:rPr>
                        <w:rFonts w:ascii="Cambria Math" w:hAnsi="Cambria Math"/>
                      </w:rPr>
                      <m:t>i</m:t>
                    </m:r>
                  </m:sub>
                </m:sSub>
                <m:r>
                  <m:rPr>
                    <m:sty m:val="p"/>
                  </m:rPr>
                  <w:rPr>
                    <w:rFonts w:ascii="Cambria Math" w:hAnsi="Cambria Math"/>
                  </w:rPr>
                  <m:t>=1</m:t>
                </m:r>
              </m:oMath>
            </m:oMathPara>
          </w:p>
        </w:tc>
        <w:tc>
          <w:tcPr>
            <w:tcW w:w="0" w:type="auto"/>
            <w:vAlign w:val="center"/>
          </w:tcPr>
          <w:p w14:paraId="41BA343D"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Eq. 9, p.15</w:t>
            </w:r>
          </w:p>
        </w:tc>
      </w:tr>
      <w:tr w:rsidR="006C5868" w:rsidRPr="006C5868" w14:paraId="336BDD0F"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6DEB9F5" w14:textId="3C6CEAE6"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π</m:t>
                    </m:r>
                  </m:e>
                  <m:sub>
                    <m:r>
                      <m:rPr>
                        <m:sty m:val="bi"/>
                      </m:rPr>
                      <w:rPr>
                        <w:rFonts w:ascii="Cambria Math" w:hAnsi="Cambria Math"/>
                      </w:rPr>
                      <m:t>RL</m:t>
                    </m:r>
                  </m:sub>
                </m:sSub>
              </m:oMath>
            </m:oMathPara>
          </w:p>
        </w:tc>
        <w:tc>
          <w:tcPr>
            <w:tcW w:w="0" w:type="auto"/>
            <w:vAlign w:val="center"/>
          </w:tcPr>
          <w:p w14:paraId="7990A9E4"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RL policy</w:t>
            </w:r>
          </w:p>
        </w:tc>
        <w:tc>
          <w:tcPr>
            <w:tcW w:w="0" w:type="auto"/>
            <w:vAlign w:val="center"/>
          </w:tcPr>
          <w:p w14:paraId="3DD29161" w14:textId="4DFE2A16"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m:oMathPara>
              <m:oMathParaPr>
                <m:jc m:val="left"/>
              </m:oMathParaPr>
              <m:oMath>
                <m:r>
                  <m:rPr>
                    <m:scr m:val="script"/>
                  </m:rPr>
                  <w:rPr>
                    <w:rFonts w:ascii="Cambria Math" w:hAnsi="Cambria Math"/>
                  </w:rPr>
                  <m:t>S</m:t>
                </m:r>
                <m:r>
                  <m:rPr>
                    <m:sty m:val="p"/>
                  </m:rPr>
                  <w:rPr>
                    <w:rFonts w:ascii="Cambria Math" w:hAnsi="Cambria Math"/>
                  </w:rPr>
                  <m:t>→</m:t>
                </m:r>
                <m:r>
                  <m:rPr>
                    <m:scr m:val="script"/>
                  </m:rPr>
                  <w:rPr>
                    <w:rFonts w:ascii="Cambria Math" w:hAnsi="Cambria Math"/>
                  </w:rPr>
                  <m:t>A</m:t>
                </m:r>
              </m:oMath>
            </m:oMathPara>
          </w:p>
        </w:tc>
        <w:tc>
          <w:tcPr>
            <w:tcW w:w="0" w:type="auto"/>
            <w:vAlign w:val="center"/>
          </w:tcPr>
          <w:p w14:paraId="52201253"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Eq. 2, p.13</w:t>
            </w:r>
          </w:p>
        </w:tc>
      </w:tr>
      <w:tr w:rsidR="006C5868" w:rsidRPr="006C5868" w14:paraId="502CE7D5" w14:textId="77777777" w:rsidTr="00E05553">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0F552303" w14:textId="14765EBF" w:rsidR="006C5868" w:rsidRPr="006C5868" w:rsidRDefault="006C5868" w:rsidP="006C5868">
            <w:r w:rsidRPr="006C5868">
              <w:t>Parameters</w:t>
            </w:r>
          </w:p>
        </w:tc>
      </w:tr>
      <w:tr w:rsidR="006C5868" w:rsidRPr="006C5868" w14:paraId="7F9F8EE1"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652B819" w14:textId="56E2527C"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α</m:t>
                    </m:r>
                  </m:e>
                  <m:sub>
                    <m:r>
                      <m:rPr>
                        <m:sty m:val="bi"/>
                      </m:rPr>
                      <w:rPr>
                        <w:rFonts w:ascii="Cambria Math" w:hAnsi="Cambria Math"/>
                      </w:rPr>
                      <m:t>i</m:t>
                    </m:r>
                  </m:sub>
                </m:sSub>
              </m:oMath>
            </m:oMathPara>
          </w:p>
        </w:tc>
        <w:tc>
          <w:tcPr>
            <w:tcW w:w="0" w:type="auto"/>
            <w:vAlign w:val="center"/>
          </w:tcPr>
          <w:p w14:paraId="6E6D5EB6"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Elasticity coefficient</w:t>
            </w:r>
          </w:p>
        </w:tc>
        <w:tc>
          <w:tcPr>
            <w:tcW w:w="0" w:type="auto"/>
            <w:vAlign w:val="center"/>
          </w:tcPr>
          <w:p w14:paraId="74D75ED4" w14:textId="012EC517" w:rsidR="006C5868" w:rsidRPr="006C5868" w:rsidRDefault="00000000" w:rsidP="006C5868">
            <w:pPr>
              <w:spacing w:after="160" w:line="259" w:lineRule="auto"/>
              <w:cnfStyle w:val="000000100000" w:firstRow="0" w:lastRow="0" w:firstColumn="0" w:lastColumn="0" w:oddVBand="0" w:evenVBand="0" w:oddHBand="1" w:evenHBand="0" w:firstRowFirstColumn="0" w:firstRowLastColumn="0" w:lastRowFirstColumn="0" w:lastRowLastColumn="0"/>
            </w:pPr>
            <m:oMathPara>
              <m:oMathParaPr>
                <m:jc m:val="left"/>
              </m:oMathParaPr>
              <m:oMath>
                <m:sSub>
                  <m:sSubPr>
                    <m:ctrlPr>
                      <w:rPr>
                        <w:rFonts w:ascii="Cambria Math" w:hAnsi="Cambria Math"/>
                      </w:rPr>
                    </m:ctrlPr>
                  </m:sSubPr>
                  <m:e>
                    <m:r>
                      <m:rPr>
                        <m:scr m:val="double-struck"/>
                      </m:rPr>
                      <w:rPr>
                        <w:rFonts w:ascii="Cambria Math" w:hAnsi="Cambria Math"/>
                      </w:rPr>
                      <m:t>R</m:t>
                    </m:r>
                  </m:e>
                  <m:sub>
                    <m:r>
                      <m:rPr>
                        <m:sty m:val="p"/>
                      </m:rPr>
                      <w:rPr>
                        <w:rFonts w:ascii="Cambria Math" w:hAnsi="Cambria Math"/>
                      </w:rPr>
                      <m:t>+</m:t>
                    </m:r>
                  </m:sub>
                </m:sSub>
              </m:oMath>
            </m:oMathPara>
          </w:p>
        </w:tc>
        <w:tc>
          <w:tcPr>
            <w:tcW w:w="0" w:type="auto"/>
            <w:vAlign w:val="center"/>
          </w:tcPr>
          <w:p w14:paraId="055DEED2"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Eq. 1, p.13</w:t>
            </w:r>
          </w:p>
        </w:tc>
      </w:tr>
      <w:tr w:rsidR="006C5868" w:rsidRPr="006C5868" w14:paraId="317ECB09" w14:textId="77777777" w:rsidTr="006C5868">
        <w:tc>
          <w:tcPr>
            <w:cnfStyle w:val="001000000000" w:firstRow="0" w:lastRow="0" w:firstColumn="1" w:lastColumn="0" w:oddVBand="0" w:evenVBand="0" w:oddHBand="0" w:evenHBand="0" w:firstRowFirstColumn="0" w:firstRowLastColumn="0" w:lastRowFirstColumn="0" w:lastRowLastColumn="0"/>
            <w:tcW w:w="0" w:type="auto"/>
            <w:vAlign w:val="center"/>
          </w:tcPr>
          <w:p w14:paraId="27394E78" w14:textId="5B2E1743"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δ</m:t>
                    </m:r>
                  </m:e>
                  <m:sub>
                    <m:r>
                      <m:rPr>
                        <m:sty m:val="bi"/>
                      </m:rPr>
                      <w:rPr>
                        <w:rFonts w:ascii="Cambria Math" w:hAnsi="Cambria Math"/>
                      </w:rPr>
                      <m:t>i</m:t>
                    </m:r>
                  </m:sub>
                </m:sSub>
              </m:oMath>
            </m:oMathPara>
          </w:p>
        </w:tc>
        <w:tc>
          <w:tcPr>
            <w:tcW w:w="0" w:type="auto"/>
            <w:vAlign w:val="center"/>
          </w:tcPr>
          <w:p w14:paraId="5C840751"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Shift parameter</w:t>
            </w:r>
          </w:p>
        </w:tc>
        <w:tc>
          <w:tcPr>
            <w:tcW w:w="0" w:type="auto"/>
            <w:vAlign w:val="center"/>
          </w:tcPr>
          <w:p w14:paraId="50199155"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0.1</w:t>
            </w:r>
          </w:p>
        </w:tc>
        <w:tc>
          <w:tcPr>
            <w:tcW w:w="0" w:type="auto"/>
            <w:vAlign w:val="center"/>
          </w:tcPr>
          <w:p w14:paraId="7FE93AB9"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Eq. 1, p.13</w:t>
            </w:r>
          </w:p>
        </w:tc>
      </w:tr>
      <w:tr w:rsidR="006C5868" w:rsidRPr="006C5868" w14:paraId="4D80F28D"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3FED76" w14:textId="21840112"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λ</m:t>
                    </m:r>
                  </m:e>
                  <m:sub>
                    <m:r>
                      <m:rPr>
                        <m:nor/>
                      </m:rPr>
                      <m:t>eco</m:t>
                    </m:r>
                  </m:sub>
                </m:sSub>
              </m:oMath>
            </m:oMathPara>
          </w:p>
        </w:tc>
        <w:tc>
          <w:tcPr>
            <w:tcW w:w="0" w:type="auto"/>
            <w:vAlign w:val="center"/>
          </w:tcPr>
          <w:p w14:paraId="7785B5DC"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Ecological regularization</w:t>
            </w:r>
          </w:p>
        </w:tc>
        <w:tc>
          <w:tcPr>
            <w:tcW w:w="0" w:type="auto"/>
            <w:vAlign w:val="center"/>
          </w:tcPr>
          <w:p w14:paraId="5F9EABA3" w14:textId="7EAC5CFF" w:rsidR="006C5868" w:rsidRPr="006C5868" w:rsidRDefault="00000000" w:rsidP="006C5868">
            <w:pPr>
              <w:spacing w:after="160" w:line="259" w:lineRule="auto"/>
              <w:cnfStyle w:val="000000100000" w:firstRow="0" w:lastRow="0" w:firstColumn="0" w:lastColumn="0" w:oddVBand="0" w:evenVBand="0" w:oddHBand="1" w:evenHBand="0" w:firstRowFirstColumn="0" w:firstRowLastColumn="0" w:lastRowFirstColumn="0" w:lastRowLastColumn="0"/>
            </w:pPr>
            <m:oMathPara>
              <m:oMathParaPr>
                <m:jc m:val="left"/>
              </m:oMathParaPr>
              <m:oMath>
                <m:sSub>
                  <m:sSubPr>
                    <m:ctrlPr>
                      <w:rPr>
                        <w:rFonts w:ascii="Cambria Math" w:hAnsi="Cambria Math"/>
                      </w:rPr>
                    </m:ctrlPr>
                  </m:sSubPr>
                  <m:e>
                    <m:r>
                      <m:rPr>
                        <m:scr m:val="double-struck"/>
                      </m:rPr>
                      <w:rPr>
                        <w:rFonts w:ascii="Cambria Math" w:hAnsi="Cambria Math"/>
                      </w:rPr>
                      <m:t>R</m:t>
                    </m:r>
                  </m:e>
                  <m:sub>
                    <m:r>
                      <m:rPr>
                        <m:sty m:val="p"/>
                      </m:rPr>
                      <w:rPr>
                        <w:rFonts w:ascii="Cambria Math" w:hAnsi="Cambria Math"/>
                      </w:rPr>
                      <m:t>+</m:t>
                    </m:r>
                  </m:sub>
                </m:sSub>
              </m:oMath>
            </m:oMathPara>
          </w:p>
        </w:tc>
        <w:tc>
          <w:tcPr>
            <w:tcW w:w="0" w:type="auto"/>
            <w:vAlign w:val="center"/>
          </w:tcPr>
          <w:p w14:paraId="652B69A6"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Eq. 2, p.13</w:t>
            </w:r>
          </w:p>
        </w:tc>
      </w:tr>
      <w:tr w:rsidR="006C5868" w:rsidRPr="006C5868" w14:paraId="11256708" w14:textId="77777777" w:rsidTr="006C5868">
        <w:tc>
          <w:tcPr>
            <w:cnfStyle w:val="001000000000" w:firstRow="0" w:lastRow="0" w:firstColumn="1" w:lastColumn="0" w:oddVBand="0" w:evenVBand="0" w:oddHBand="0" w:evenHBand="0" w:firstRowFirstColumn="0" w:firstRowLastColumn="0" w:lastRowFirstColumn="0" w:lastRowLastColumn="0"/>
            <w:tcW w:w="0" w:type="auto"/>
            <w:vAlign w:val="center"/>
          </w:tcPr>
          <w:p w14:paraId="66E5DE9E" w14:textId="560E45E5"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λ</m:t>
                    </m:r>
                  </m:e>
                  <m:sub>
                    <m:r>
                      <m:rPr>
                        <m:nor/>
                      </m:rPr>
                      <m:t>carbon</m:t>
                    </m:r>
                  </m:sub>
                </m:sSub>
                <m:r>
                  <m:rPr>
                    <m:sty m:val="b"/>
                  </m:rPr>
                  <w:rPr>
                    <w:rFonts w:ascii="Cambria Math" w:hAnsi="Cambria Math"/>
                  </w:rPr>
                  <m:t>(</m:t>
                </m:r>
                <m:r>
                  <m:rPr>
                    <m:sty m:val="bi"/>
                  </m:rPr>
                  <w:rPr>
                    <w:rFonts w:ascii="Cambria Math" w:hAnsi="Cambria Math"/>
                  </w:rPr>
                  <m:t>t</m:t>
                </m:r>
                <m:r>
                  <m:rPr>
                    <m:sty m:val="b"/>
                  </m:rPr>
                  <w:rPr>
                    <w:rFonts w:ascii="Cambria Math" w:hAnsi="Cambria Math"/>
                  </w:rPr>
                  <m:t>)</m:t>
                </m:r>
              </m:oMath>
            </m:oMathPara>
          </w:p>
        </w:tc>
        <w:tc>
          <w:tcPr>
            <w:tcW w:w="0" w:type="auto"/>
            <w:vAlign w:val="center"/>
          </w:tcPr>
          <w:p w14:paraId="1B9A339C"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Carbon penalty (dynamic)</w:t>
            </w:r>
          </w:p>
        </w:tc>
        <w:tc>
          <w:tcPr>
            <w:tcW w:w="0" w:type="auto"/>
            <w:vAlign w:val="center"/>
          </w:tcPr>
          <w:p w14:paraId="05BAA3D8" w14:textId="2782AF51" w:rsidR="006C5868" w:rsidRPr="006C5868" w:rsidRDefault="00000000" w:rsidP="006C5868">
            <w:pPr>
              <w:spacing w:after="160" w:line="259" w:lineRule="auto"/>
              <w:cnfStyle w:val="000000000000" w:firstRow="0" w:lastRow="0" w:firstColumn="0" w:lastColumn="0" w:oddVBand="0" w:evenVBand="0" w:oddHBand="0" w:evenHBand="0" w:firstRowFirstColumn="0" w:firstRowLastColumn="0" w:lastRowFirstColumn="0" w:lastRowLastColumn="0"/>
            </w:pPr>
            <m:oMathPara>
              <m:oMathParaPr>
                <m:jc m:val="left"/>
              </m:oMathParaPr>
              <m:oMath>
                <m:sSub>
                  <m:sSubPr>
                    <m:ctrlPr>
                      <w:rPr>
                        <w:rFonts w:ascii="Cambria Math" w:hAnsi="Cambria Math"/>
                      </w:rPr>
                    </m:ctrlPr>
                  </m:sSubPr>
                  <m:e>
                    <m:r>
                      <m:rPr>
                        <m:scr m:val="double-struck"/>
                      </m:rPr>
                      <w:rPr>
                        <w:rFonts w:ascii="Cambria Math" w:hAnsi="Cambria Math"/>
                      </w:rPr>
                      <m:t>R</m:t>
                    </m:r>
                  </m:e>
                  <m:sub>
                    <m:r>
                      <m:rPr>
                        <m:sty m:val="p"/>
                      </m:rPr>
                      <w:rPr>
                        <w:rFonts w:ascii="Cambria Math" w:hAnsi="Cambria Math"/>
                      </w:rPr>
                      <m:t>+</m:t>
                    </m:r>
                  </m:sub>
                </m:sSub>
              </m:oMath>
            </m:oMathPara>
          </w:p>
        </w:tc>
        <w:tc>
          <w:tcPr>
            <w:tcW w:w="0" w:type="auto"/>
            <w:vAlign w:val="center"/>
          </w:tcPr>
          <w:p w14:paraId="642C4379"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Eq. 4, p.14</w:t>
            </w:r>
          </w:p>
        </w:tc>
      </w:tr>
      <w:tr w:rsidR="006C5868" w:rsidRPr="006C5868" w14:paraId="1439FC9B"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2EE4ADD" w14:textId="08B31EFA"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λ</m:t>
                    </m:r>
                  </m:e>
                  <m:sub>
                    <m:r>
                      <m:rPr>
                        <m:nor/>
                      </m:rPr>
                      <m:t>fairness</m:t>
                    </m:r>
                  </m:sub>
                </m:sSub>
                <m:r>
                  <m:rPr>
                    <m:sty m:val="b"/>
                  </m:rPr>
                  <w:rPr>
                    <w:rFonts w:ascii="Cambria Math" w:hAnsi="Cambria Math"/>
                  </w:rPr>
                  <m:t>(</m:t>
                </m:r>
                <m:r>
                  <m:rPr>
                    <m:sty m:val="bi"/>
                  </m:rPr>
                  <w:rPr>
                    <w:rFonts w:ascii="Cambria Math" w:hAnsi="Cambria Math"/>
                  </w:rPr>
                  <m:t>t</m:t>
                </m:r>
                <m:r>
                  <m:rPr>
                    <m:sty m:val="b"/>
                  </m:rPr>
                  <w:rPr>
                    <w:rFonts w:ascii="Cambria Math" w:hAnsi="Cambria Math"/>
                  </w:rPr>
                  <m:t>)</m:t>
                </m:r>
              </m:oMath>
            </m:oMathPara>
          </w:p>
        </w:tc>
        <w:tc>
          <w:tcPr>
            <w:tcW w:w="0" w:type="auto"/>
            <w:vAlign w:val="center"/>
          </w:tcPr>
          <w:p w14:paraId="6ABAD986"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Fairness weight (dynamic)</w:t>
            </w:r>
          </w:p>
        </w:tc>
        <w:tc>
          <w:tcPr>
            <w:tcW w:w="0" w:type="auto"/>
            <w:vAlign w:val="center"/>
          </w:tcPr>
          <w:p w14:paraId="1D37D055" w14:textId="3CB9D9B2" w:rsidR="006C5868" w:rsidRPr="006C5868" w:rsidRDefault="00000000" w:rsidP="006C5868">
            <w:pPr>
              <w:spacing w:after="160" w:line="259" w:lineRule="auto"/>
              <w:cnfStyle w:val="000000100000" w:firstRow="0" w:lastRow="0" w:firstColumn="0" w:lastColumn="0" w:oddVBand="0" w:evenVBand="0" w:oddHBand="1" w:evenHBand="0" w:firstRowFirstColumn="0" w:firstRowLastColumn="0" w:lastRowFirstColumn="0" w:lastRowLastColumn="0"/>
            </w:pPr>
            <m:oMathPara>
              <m:oMathParaPr>
                <m:jc m:val="left"/>
              </m:oMathParaPr>
              <m:oMath>
                <m:sSub>
                  <m:sSubPr>
                    <m:ctrlPr>
                      <w:rPr>
                        <w:rFonts w:ascii="Cambria Math" w:hAnsi="Cambria Math"/>
                      </w:rPr>
                    </m:ctrlPr>
                  </m:sSubPr>
                  <m:e>
                    <m:r>
                      <m:rPr>
                        <m:scr m:val="double-struck"/>
                      </m:rPr>
                      <w:rPr>
                        <w:rFonts w:ascii="Cambria Math" w:hAnsi="Cambria Math"/>
                      </w:rPr>
                      <m:t>R</m:t>
                    </m:r>
                  </m:e>
                  <m:sub>
                    <m:r>
                      <m:rPr>
                        <m:sty m:val="p"/>
                      </m:rPr>
                      <w:rPr>
                        <w:rFonts w:ascii="Cambria Math" w:hAnsi="Cambria Math"/>
                      </w:rPr>
                      <m:t>+</m:t>
                    </m:r>
                  </m:sub>
                </m:sSub>
              </m:oMath>
            </m:oMathPara>
          </w:p>
        </w:tc>
        <w:tc>
          <w:tcPr>
            <w:tcW w:w="0" w:type="auto"/>
            <w:vAlign w:val="center"/>
          </w:tcPr>
          <w:p w14:paraId="014020E1"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Eq. 4, p.14</w:t>
            </w:r>
          </w:p>
        </w:tc>
      </w:tr>
      <w:tr w:rsidR="006C5868" w:rsidRPr="006C5868" w14:paraId="6213F241" w14:textId="77777777" w:rsidTr="006C5868">
        <w:tc>
          <w:tcPr>
            <w:cnfStyle w:val="001000000000" w:firstRow="0" w:lastRow="0" w:firstColumn="1" w:lastColumn="0" w:oddVBand="0" w:evenVBand="0" w:oddHBand="0" w:evenHBand="0" w:firstRowFirstColumn="0" w:firstRowLastColumn="0" w:lastRowFirstColumn="0" w:lastRowLastColumn="0"/>
            <w:tcW w:w="0" w:type="auto"/>
            <w:vAlign w:val="center"/>
          </w:tcPr>
          <w:p w14:paraId="0F9C87E0" w14:textId="1D445AC9"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T</m:t>
                    </m:r>
                  </m:e>
                  <m:sub>
                    <m:r>
                      <m:rPr>
                        <m:nor/>
                      </m:rPr>
                      <m:t>gen</m:t>
                    </m:r>
                  </m:sub>
                </m:sSub>
              </m:oMath>
            </m:oMathPara>
          </w:p>
        </w:tc>
        <w:tc>
          <w:tcPr>
            <w:tcW w:w="0" w:type="auto"/>
            <w:vAlign w:val="center"/>
          </w:tcPr>
          <w:p w14:paraId="031558E2"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Generational horizon</w:t>
            </w:r>
          </w:p>
        </w:tc>
        <w:tc>
          <w:tcPr>
            <w:tcW w:w="0" w:type="auto"/>
            <w:vAlign w:val="center"/>
          </w:tcPr>
          <w:p w14:paraId="64FF9048"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25 years</w:t>
            </w:r>
          </w:p>
        </w:tc>
        <w:tc>
          <w:tcPr>
            <w:tcW w:w="0" w:type="auto"/>
            <w:vAlign w:val="center"/>
          </w:tcPr>
          <w:p w14:paraId="3B4F08DE"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Eq. 11, p.16</w:t>
            </w:r>
          </w:p>
        </w:tc>
      </w:tr>
      <w:tr w:rsidR="006C5868" w:rsidRPr="006C5868" w14:paraId="28C531FD"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2419E00" w14:textId="6B8992B8" w:rsidR="006C5868" w:rsidRPr="006C5868" w:rsidRDefault="006C5868" w:rsidP="006C5868">
            <w:pPr>
              <w:spacing w:after="160" w:line="259" w:lineRule="auto"/>
            </w:pPr>
            <m:oMathPara>
              <m:oMathParaPr>
                <m:jc m:val="left"/>
              </m:oMathParaPr>
              <m:oMath>
                <m:r>
                  <m:rPr>
                    <m:sty m:val="bi"/>
                  </m:rPr>
                  <w:rPr>
                    <w:rFonts w:ascii="Cambria Math" w:hAnsi="Cambria Math"/>
                  </w:rPr>
                  <m:t>β</m:t>
                </m:r>
              </m:oMath>
            </m:oMathPara>
          </w:p>
        </w:tc>
        <w:tc>
          <w:tcPr>
            <w:tcW w:w="0" w:type="auto"/>
            <w:vAlign w:val="center"/>
          </w:tcPr>
          <w:p w14:paraId="1A573F8B"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Discount steepness</w:t>
            </w:r>
          </w:p>
        </w:tc>
        <w:tc>
          <w:tcPr>
            <w:tcW w:w="0" w:type="auto"/>
            <w:vAlign w:val="center"/>
          </w:tcPr>
          <w:p w14:paraId="202D6D4C"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0.5</w:t>
            </w:r>
          </w:p>
        </w:tc>
        <w:tc>
          <w:tcPr>
            <w:tcW w:w="0" w:type="auto"/>
            <w:vAlign w:val="center"/>
          </w:tcPr>
          <w:p w14:paraId="09C6C020"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Eq. 11, p.16</w:t>
            </w:r>
          </w:p>
        </w:tc>
      </w:tr>
      <w:tr w:rsidR="006C5868" w:rsidRPr="006C5868" w14:paraId="7612BB72" w14:textId="77777777" w:rsidTr="006C5868">
        <w:tc>
          <w:tcPr>
            <w:cnfStyle w:val="001000000000" w:firstRow="0" w:lastRow="0" w:firstColumn="1" w:lastColumn="0" w:oddVBand="0" w:evenVBand="0" w:oddHBand="0" w:evenHBand="0" w:firstRowFirstColumn="0" w:firstRowLastColumn="0" w:lastRowFirstColumn="0" w:lastRowLastColumn="0"/>
            <w:tcW w:w="0" w:type="auto"/>
            <w:vAlign w:val="center"/>
          </w:tcPr>
          <w:p w14:paraId="301B90C0" w14:textId="6CD32273"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θ</m:t>
                    </m:r>
                  </m:e>
                  <m:sub>
                    <m:r>
                      <m:rPr>
                        <m:nor/>
                      </m:rPr>
                      <m:t>neural</m:t>
                    </m:r>
                  </m:sub>
                </m:sSub>
              </m:oMath>
            </m:oMathPara>
          </w:p>
        </w:tc>
        <w:tc>
          <w:tcPr>
            <w:tcW w:w="0" w:type="auto"/>
            <w:vAlign w:val="center"/>
          </w:tcPr>
          <w:p w14:paraId="2C8CE76C"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Neural ODE parameters</w:t>
            </w:r>
          </w:p>
        </w:tc>
        <w:tc>
          <w:tcPr>
            <w:tcW w:w="0" w:type="auto"/>
            <w:vAlign w:val="center"/>
          </w:tcPr>
          <w:p w14:paraId="3496F3A0" w14:textId="222548FD" w:rsidR="006C5868" w:rsidRPr="006C5868" w:rsidRDefault="00000000" w:rsidP="006C5868">
            <w:pPr>
              <w:spacing w:after="160" w:line="259" w:lineRule="auto"/>
              <w:cnfStyle w:val="000000000000" w:firstRow="0" w:lastRow="0" w:firstColumn="0" w:lastColumn="0" w:oddVBand="0" w:evenVBand="0" w:oddHBand="0" w:evenHBand="0" w:firstRowFirstColumn="0" w:firstRowLastColumn="0" w:lastRowFirstColumn="0" w:lastRowLastColumn="0"/>
            </w:pPr>
            <m:oMathPara>
              <m:oMathParaPr>
                <m:jc m:val="left"/>
              </m:oMathParaPr>
              <m:oMath>
                <m:sSup>
                  <m:sSupPr>
                    <m:ctrlPr>
                      <w:rPr>
                        <w:rFonts w:ascii="Cambria Math" w:hAnsi="Cambria Math"/>
                      </w:rPr>
                    </m:ctrlPr>
                  </m:sSupPr>
                  <m:e>
                    <m:r>
                      <m:rPr>
                        <m:scr m:val="double-struck"/>
                      </m:rPr>
                      <w:rPr>
                        <w:rFonts w:ascii="Cambria Math" w:hAnsi="Cambria Math"/>
                      </w:rPr>
                      <m:t>R</m:t>
                    </m:r>
                  </m:e>
                  <m:sup>
                    <m:r>
                      <w:rPr>
                        <w:rFonts w:ascii="Cambria Math" w:hAnsi="Cambria Math"/>
                      </w:rPr>
                      <m:t>p</m:t>
                    </m:r>
                  </m:sup>
                </m:sSup>
              </m:oMath>
            </m:oMathPara>
          </w:p>
        </w:tc>
        <w:tc>
          <w:tcPr>
            <w:tcW w:w="0" w:type="auto"/>
            <w:vAlign w:val="center"/>
          </w:tcPr>
          <w:p w14:paraId="1E0D0F5A"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Eq. 2, p.13</w:t>
            </w:r>
          </w:p>
        </w:tc>
      </w:tr>
      <w:tr w:rsidR="006C5868" w:rsidRPr="006C5868" w14:paraId="39DFEA85" w14:textId="77777777" w:rsidTr="00820B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4"/>
            <w:vAlign w:val="center"/>
          </w:tcPr>
          <w:p w14:paraId="142A67E1" w14:textId="7CDB433B" w:rsidR="006C5868" w:rsidRPr="006C5868" w:rsidRDefault="006C5868" w:rsidP="006C5868">
            <w:r w:rsidRPr="006C5868">
              <w:t>Functions</w:t>
            </w:r>
          </w:p>
        </w:tc>
      </w:tr>
      <w:tr w:rsidR="006C5868" w:rsidRPr="006C5868" w14:paraId="59EF68FD" w14:textId="77777777" w:rsidTr="006C5868">
        <w:tc>
          <w:tcPr>
            <w:cnfStyle w:val="001000000000" w:firstRow="0" w:lastRow="0" w:firstColumn="1" w:lastColumn="0" w:oddVBand="0" w:evenVBand="0" w:oddHBand="0" w:evenHBand="0" w:firstRowFirstColumn="0" w:firstRowLastColumn="0" w:lastRowFirstColumn="0" w:lastRowLastColumn="0"/>
            <w:tcW w:w="0" w:type="auto"/>
            <w:vAlign w:val="center"/>
          </w:tcPr>
          <w:p w14:paraId="6DDE4D27" w14:textId="1B700D5B" w:rsidR="006C5868" w:rsidRPr="006C5868" w:rsidRDefault="006C5868" w:rsidP="006C5868">
            <w:pPr>
              <w:spacing w:after="160" w:line="259" w:lineRule="auto"/>
            </w:pPr>
            <m:oMathPara>
              <m:oMathParaPr>
                <m:jc m:val="left"/>
              </m:oMathParaPr>
              <m:oMath>
                <m:r>
                  <m:rPr>
                    <m:sty m:val="bi"/>
                  </m:rPr>
                  <w:rPr>
                    <w:rFonts w:ascii="Cambria Math" w:hAnsi="Cambria Math"/>
                  </w:rPr>
                  <m:t>S</m:t>
                </m:r>
                <m:r>
                  <m:rPr>
                    <m:sty m:val="b"/>
                  </m:rPr>
                  <w:rPr>
                    <w:rFonts w:ascii="Cambria Math" w:hAnsi="Cambria Math"/>
                  </w:rPr>
                  <m:t>(⋅)</m:t>
                </m:r>
              </m:oMath>
            </m:oMathPara>
          </w:p>
        </w:tc>
        <w:tc>
          <w:tcPr>
            <w:tcW w:w="0" w:type="auto"/>
            <w:vAlign w:val="center"/>
          </w:tcPr>
          <w:p w14:paraId="0442CD2E"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Sustainability index</w:t>
            </w:r>
          </w:p>
        </w:tc>
        <w:tc>
          <w:tcPr>
            <w:tcW w:w="0" w:type="auto"/>
            <w:vAlign w:val="center"/>
          </w:tcPr>
          <w:p w14:paraId="11C60281" w14:textId="41153803" w:rsidR="006C5868" w:rsidRPr="006C5868" w:rsidRDefault="00000000" w:rsidP="006C5868">
            <w:pPr>
              <w:spacing w:after="160" w:line="259" w:lineRule="auto"/>
              <w:cnfStyle w:val="000000000000" w:firstRow="0" w:lastRow="0" w:firstColumn="0" w:lastColumn="0" w:oddVBand="0" w:evenVBand="0" w:oddHBand="0" w:evenHBand="0" w:firstRowFirstColumn="0" w:firstRowLastColumn="0" w:lastRowFirstColumn="0" w:lastRowLastColumn="0"/>
            </w:pPr>
            <m:oMathPara>
              <m:oMathParaPr>
                <m:jc m:val="left"/>
              </m:oMathParaPr>
              <m:oMath>
                <m:sSup>
                  <m:sSupPr>
                    <m:ctrlPr>
                      <w:rPr>
                        <w:rFonts w:ascii="Cambria Math" w:hAnsi="Cambria Math"/>
                      </w:rPr>
                    </m:ctrlPr>
                  </m:sSupPr>
                  <m:e>
                    <m:r>
                      <m:rPr>
                        <m:scr m:val="double-struck"/>
                      </m:rPr>
                      <w:rPr>
                        <w:rFonts w:ascii="Cambria Math" w:hAnsi="Cambria Math"/>
                      </w:rPr>
                      <m:t>R</m:t>
                    </m:r>
                  </m:e>
                  <m:sup>
                    <m:r>
                      <m:rPr>
                        <m:sty m:val="p"/>
                      </m:rPr>
                      <w:rPr>
                        <w:rFonts w:ascii="Cambria Math" w:hAnsi="Cambria Math"/>
                      </w:rPr>
                      <m:t>5</m:t>
                    </m:r>
                  </m:sup>
                </m:sSup>
                <m:r>
                  <m:rPr>
                    <m:sty m:val="p"/>
                  </m:rPr>
                  <w:rPr>
                    <w:rFonts w:ascii="Cambria Math" w:hAnsi="Cambria Math"/>
                  </w:rPr>
                  <m:t>→</m:t>
                </m:r>
                <m:sSub>
                  <m:sSubPr>
                    <m:ctrlPr>
                      <w:rPr>
                        <w:rFonts w:ascii="Cambria Math" w:hAnsi="Cambria Math"/>
                      </w:rPr>
                    </m:ctrlPr>
                  </m:sSubPr>
                  <m:e>
                    <m:r>
                      <m:rPr>
                        <m:scr m:val="double-struck"/>
                      </m:rPr>
                      <w:rPr>
                        <w:rFonts w:ascii="Cambria Math" w:hAnsi="Cambria Math"/>
                      </w:rPr>
                      <m:t>R</m:t>
                    </m:r>
                  </m:e>
                  <m:sub>
                    <m:r>
                      <m:rPr>
                        <m:sty m:val="p"/>
                      </m:rPr>
                      <w:rPr>
                        <w:rFonts w:ascii="Cambria Math" w:hAnsi="Cambria Math"/>
                      </w:rPr>
                      <m:t>+</m:t>
                    </m:r>
                  </m:sub>
                </m:sSub>
              </m:oMath>
            </m:oMathPara>
          </w:p>
        </w:tc>
        <w:tc>
          <w:tcPr>
            <w:tcW w:w="0" w:type="auto"/>
            <w:vAlign w:val="center"/>
          </w:tcPr>
          <w:p w14:paraId="745AC974"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Eq. 1, p.13</w:t>
            </w:r>
          </w:p>
        </w:tc>
      </w:tr>
      <w:tr w:rsidR="006C5868" w:rsidRPr="006C5868" w14:paraId="4520B8A8"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9BA9DF" w14:textId="7031EAD9" w:rsidR="006C5868" w:rsidRPr="006C5868" w:rsidRDefault="006C5868" w:rsidP="006C5868">
            <w:pPr>
              <w:spacing w:after="160" w:line="259" w:lineRule="auto"/>
            </w:pPr>
            <m:oMathPara>
              <m:oMathParaPr>
                <m:jc m:val="left"/>
              </m:oMathParaPr>
              <m:oMath>
                <m:r>
                  <m:rPr>
                    <m:sty m:val="bi"/>
                  </m:rPr>
                  <w:rPr>
                    <w:rFonts w:ascii="Cambria Math" w:hAnsi="Cambria Math"/>
                  </w:rPr>
                  <m:t>U</m:t>
                </m:r>
                <m:r>
                  <m:rPr>
                    <m:sty m:val="b"/>
                  </m:rPr>
                  <w:rPr>
                    <w:rFonts w:ascii="Cambria Math" w:hAnsi="Cambria Math"/>
                  </w:rPr>
                  <m:t>(⋅)</m:t>
                </m:r>
              </m:oMath>
            </m:oMathPara>
          </w:p>
        </w:tc>
        <w:tc>
          <w:tcPr>
            <w:tcW w:w="0" w:type="auto"/>
            <w:vAlign w:val="center"/>
          </w:tcPr>
          <w:p w14:paraId="7ED0A26E"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Utility function</w:t>
            </w:r>
          </w:p>
        </w:tc>
        <w:tc>
          <w:tcPr>
            <w:tcW w:w="0" w:type="auto"/>
            <w:vAlign w:val="center"/>
          </w:tcPr>
          <w:p w14:paraId="24F44EAC" w14:textId="0F20E444"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m:oMathPara>
              <m:oMathParaPr>
                <m:jc m:val="left"/>
              </m:oMathParaPr>
              <m:oMath>
                <m:r>
                  <m:rPr>
                    <m:scr m:val="script"/>
                  </m:rPr>
                  <w:rPr>
                    <w:rFonts w:ascii="Cambria Math" w:hAnsi="Cambria Math"/>
                  </w:rPr>
                  <m:t>S</m:t>
                </m:r>
                <m:r>
                  <m:rPr>
                    <m:sty m:val="p"/>
                  </m:rPr>
                  <w:rPr>
                    <w:rFonts w:ascii="Cambria Math" w:hAnsi="Cambria Math"/>
                  </w:rPr>
                  <m:t>×</m:t>
                </m:r>
                <m:r>
                  <m:rPr>
                    <m:scr m:val="script"/>
                  </m:rPr>
                  <w:rPr>
                    <w:rFonts w:ascii="Cambria Math" w:hAnsi="Cambria Math"/>
                  </w:rPr>
                  <m:t>A</m:t>
                </m:r>
                <m:r>
                  <m:rPr>
                    <m:sty m:val="p"/>
                  </m:rPr>
                  <w:rPr>
                    <w:rFonts w:ascii="Cambria Math" w:hAnsi="Cambria Math"/>
                  </w:rPr>
                  <m:t>→</m:t>
                </m:r>
                <m:r>
                  <m:rPr>
                    <m:scr m:val="double-struck"/>
                  </m:rPr>
                  <w:rPr>
                    <w:rFonts w:ascii="Cambria Math" w:hAnsi="Cambria Math"/>
                  </w:rPr>
                  <m:t>R</m:t>
                </m:r>
              </m:oMath>
            </m:oMathPara>
          </w:p>
        </w:tc>
        <w:tc>
          <w:tcPr>
            <w:tcW w:w="0" w:type="auto"/>
            <w:vAlign w:val="center"/>
          </w:tcPr>
          <w:p w14:paraId="4B7AE7F0"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Eq. 4, p.14</w:t>
            </w:r>
          </w:p>
        </w:tc>
      </w:tr>
      <w:tr w:rsidR="006C5868" w:rsidRPr="006C5868" w14:paraId="408768B2" w14:textId="77777777" w:rsidTr="006C5868">
        <w:tc>
          <w:tcPr>
            <w:cnfStyle w:val="001000000000" w:firstRow="0" w:lastRow="0" w:firstColumn="1" w:lastColumn="0" w:oddVBand="0" w:evenVBand="0" w:oddHBand="0" w:evenHBand="0" w:firstRowFirstColumn="0" w:firstRowLastColumn="0" w:lastRowFirstColumn="0" w:lastRowLastColumn="0"/>
            <w:tcW w:w="0" w:type="auto"/>
            <w:vAlign w:val="center"/>
          </w:tcPr>
          <w:p w14:paraId="1358D00A" w14:textId="401106F8" w:rsidR="006C5868" w:rsidRPr="006C5868" w:rsidRDefault="00000000" w:rsidP="006C5868">
            <w:pPr>
              <w:spacing w:after="160" w:line="259" w:lineRule="auto"/>
            </w:pPr>
            <m:oMathPara>
              <m:oMathParaPr>
                <m:jc m:val="left"/>
              </m:oMathParaPr>
              <m:oMath>
                <m:sSub>
                  <m:sSubPr>
                    <m:ctrlPr>
                      <w:rPr>
                        <w:rFonts w:ascii="Cambria Math" w:hAnsi="Cambria Math"/>
                      </w:rPr>
                    </m:ctrlPr>
                  </m:sSubPr>
                  <m:e>
                    <m:r>
                      <m:rPr>
                        <m:sty m:val="bi"/>
                      </m:rPr>
                      <w:rPr>
                        <w:rFonts w:ascii="Cambria Math" w:hAnsi="Cambria Math"/>
                      </w:rPr>
                      <m:t>f</m:t>
                    </m:r>
                  </m:e>
                  <m:sub>
                    <m:r>
                      <m:rPr>
                        <m:nor/>
                      </m:rPr>
                      <m:t>ODE</m:t>
                    </m:r>
                  </m:sub>
                </m:sSub>
                <m:r>
                  <m:rPr>
                    <m:sty m:val="b"/>
                  </m:rPr>
                  <w:rPr>
                    <w:rFonts w:ascii="Cambria Math" w:hAnsi="Cambria Math"/>
                  </w:rPr>
                  <m:t>(⋅)</m:t>
                </m:r>
              </m:oMath>
            </m:oMathPara>
          </w:p>
        </w:tc>
        <w:tc>
          <w:tcPr>
            <w:tcW w:w="0" w:type="auto"/>
            <w:vAlign w:val="center"/>
          </w:tcPr>
          <w:p w14:paraId="5131BC4A"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Neural ODE dynamics</w:t>
            </w:r>
          </w:p>
        </w:tc>
        <w:tc>
          <w:tcPr>
            <w:tcW w:w="0" w:type="auto"/>
            <w:vAlign w:val="center"/>
          </w:tcPr>
          <w:p w14:paraId="7C11469C" w14:textId="79B8A466" w:rsidR="006C5868" w:rsidRPr="006C5868" w:rsidRDefault="00000000" w:rsidP="006C5868">
            <w:pPr>
              <w:spacing w:after="160" w:line="259" w:lineRule="auto"/>
              <w:cnfStyle w:val="000000000000" w:firstRow="0" w:lastRow="0" w:firstColumn="0" w:lastColumn="0" w:oddVBand="0" w:evenVBand="0" w:oddHBand="0" w:evenHBand="0" w:firstRowFirstColumn="0" w:firstRowLastColumn="0" w:lastRowFirstColumn="0" w:lastRowLastColumn="0"/>
            </w:pPr>
            <m:oMathPara>
              <m:oMathParaPr>
                <m:jc m:val="left"/>
              </m:oMathParaPr>
              <m:oMath>
                <m:sSup>
                  <m:sSupPr>
                    <m:ctrlPr>
                      <w:rPr>
                        <w:rFonts w:ascii="Cambria Math" w:hAnsi="Cambria Math"/>
                      </w:rPr>
                    </m:ctrlPr>
                  </m:sSupPr>
                  <m:e>
                    <m:r>
                      <m:rPr>
                        <m:scr m:val="double-struck"/>
                      </m:rPr>
                      <w:rPr>
                        <w:rFonts w:ascii="Cambria Math" w:hAnsi="Cambria Math"/>
                      </w:rPr>
                      <m:t>R</m:t>
                    </m:r>
                  </m:e>
                  <m:sup>
                    <m:r>
                      <w:rPr>
                        <w:rFonts w:ascii="Cambria Math" w:hAnsi="Cambria Math"/>
                      </w:rPr>
                      <m:t>n</m:t>
                    </m:r>
                  </m:sup>
                </m:sSup>
                <m:r>
                  <m:rPr>
                    <m:sty m:val="p"/>
                  </m:rPr>
                  <w:rPr>
                    <w:rFonts w:ascii="Cambria Math" w:hAnsi="Cambria Math"/>
                  </w:rPr>
                  <m:t>→</m:t>
                </m:r>
                <m:sSup>
                  <m:sSupPr>
                    <m:ctrlPr>
                      <w:rPr>
                        <w:rFonts w:ascii="Cambria Math" w:hAnsi="Cambria Math"/>
                      </w:rPr>
                    </m:ctrlPr>
                  </m:sSupPr>
                  <m:e>
                    <m:r>
                      <m:rPr>
                        <m:scr m:val="double-struck"/>
                      </m:rPr>
                      <w:rPr>
                        <w:rFonts w:ascii="Cambria Math" w:hAnsi="Cambria Math"/>
                      </w:rPr>
                      <m:t>R</m:t>
                    </m:r>
                  </m:e>
                  <m:sup>
                    <m:r>
                      <w:rPr>
                        <w:rFonts w:ascii="Cambria Math" w:hAnsi="Cambria Math"/>
                      </w:rPr>
                      <m:t>n</m:t>
                    </m:r>
                  </m:sup>
                </m:sSup>
              </m:oMath>
            </m:oMathPara>
          </w:p>
        </w:tc>
        <w:tc>
          <w:tcPr>
            <w:tcW w:w="0" w:type="auto"/>
            <w:vAlign w:val="center"/>
          </w:tcPr>
          <w:p w14:paraId="3DCEC5CF" w14:textId="77777777" w:rsidR="006C5868" w:rsidRPr="006C5868" w:rsidRDefault="006C5868" w:rsidP="006C5868">
            <w:pPr>
              <w:spacing w:after="160" w:line="259" w:lineRule="auto"/>
              <w:cnfStyle w:val="000000000000" w:firstRow="0" w:lastRow="0" w:firstColumn="0" w:lastColumn="0" w:oddVBand="0" w:evenVBand="0" w:oddHBand="0" w:evenHBand="0" w:firstRowFirstColumn="0" w:firstRowLastColumn="0" w:lastRowFirstColumn="0" w:lastRowLastColumn="0"/>
            </w:pPr>
            <w:r w:rsidRPr="006C5868">
              <w:t>Eq. 2, p.13</w:t>
            </w:r>
          </w:p>
        </w:tc>
      </w:tr>
      <w:tr w:rsidR="006C5868" w:rsidRPr="006C5868" w14:paraId="0AAC6982" w14:textId="77777777" w:rsidTr="006C58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5C84DFB" w14:textId="62718A7D" w:rsidR="006C5868" w:rsidRPr="006C5868" w:rsidRDefault="006C5868" w:rsidP="006C5868">
            <w:pPr>
              <w:spacing w:after="160" w:line="259" w:lineRule="auto"/>
            </w:pPr>
            <m:oMathPara>
              <m:oMathParaPr>
                <m:jc m:val="left"/>
              </m:oMathParaPr>
              <m:oMath>
                <m:r>
                  <m:rPr>
                    <m:nor/>
                  </m:rPr>
                  <m:t>GAT</m:t>
                </m:r>
                <m:r>
                  <m:rPr>
                    <m:sty m:val="b"/>
                  </m:rPr>
                  <w:rPr>
                    <w:rFonts w:ascii="Cambria Math" w:hAnsi="Cambria Math"/>
                  </w:rPr>
                  <m:t>(⋅)</m:t>
                </m:r>
              </m:oMath>
            </m:oMathPara>
          </w:p>
        </w:tc>
        <w:tc>
          <w:tcPr>
            <w:tcW w:w="0" w:type="auto"/>
            <w:vAlign w:val="center"/>
          </w:tcPr>
          <w:p w14:paraId="10645D72"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Graph attention network</w:t>
            </w:r>
          </w:p>
        </w:tc>
        <w:tc>
          <w:tcPr>
            <w:tcW w:w="0" w:type="auto"/>
            <w:vAlign w:val="center"/>
          </w:tcPr>
          <w:p w14:paraId="756187EC" w14:textId="4DC4DF6E" w:rsidR="006C5868" w:rsidRPr="006C5868" w:rsidRDefault="00000000" w:rsidP="006C5868">
            <w:pPr>
              <w:spacing w:after="160" w:line="259" w:lineRule="auto"/>
              <w:cnfStyle w:val="000000100000" w:firstRow="0" w:lastRow="0" w:firstColumn="0" w:lastColumn="0" w:oddVBand="0" w:evenVBand="0" w:oddHBand="1" w:evenHBand="0" w:firstRowFirstColumn="0" w:firstRowLastColumn="0" w:lastRowFirstColumn="0" w:lastRowLastColumn="0"/>
            </w:pPr>
            <m:oMathPara>
              <m:oMathParaPr>
                <m:jc m:val="left"/>
              </m:oMathParaPr>
              <m:oMath>
                <m:sSup>
                  <m:sSupPr>
                    <m:ctrlPr>
                      <w:rPr>
                        <w:rFonts w:ascii="Cambria Math" w:hAnsi="Cambria Math"/>
                      </w:rPr>
                    </m:ctrlPr>
                  </m:sSupPr>
                  <m:e>
                    <m:r>
                      <m:rPr>
                        <m:scr m:val="double-struck"/>
                      </m:rPr>
                      <w:rPr>
                        <w:rFonts w:ascii="Cambria Math" w:hAnsi="Cambria Math"/>
                      </w:rPr>
                      <m:t>R</m:t>
                    </m:r>
                  </m:e>
                  <m:sup>
                    <m:r>
                      <m:rPr>
                        <m:sty m:val="p"/>
                      </m:rPr>
                      <w:rPr>
                        <w:rFonts w:ascii="Cambria Math" w:hAnsi="Cambria Math"/>
                      </w:rPr>
                      <m:t>5</m:t>
                    </m:r>
                  </m:sup>
                </m:sSup>
                <m:r>
                  <m:rPr>
                    <m:sty m:val="p"/>
                  </m:rPr>
                  <w:rPr>
                    <w:rFonts w:ascii="Cambria Math" w:hAnsi="Cambria Math"/>
                  </w:rPr>
                  <m:t>→</m:t>
                </m:r>
                <m:sSup>
                  <m:sSupPr>
                    <m:ctrlPr>
                      <w:rPr>
                        <w:rFonts w:ascii="Cambria Math" w:hAnsi="Cambria Math"/>
                      </w:rPr>
                    </m:ctrlPr>
                  </m:sSupPr>
                  <m:e>
                    <m:r>
                      <m:rPr>
                        <m:scr m:val="double-struck"/>
                      </m:rPr>
                      <w:rPr>
                        <w:rFonts w:ascii="Cambria Math" w:hAnsi="Cambria Math"/>
                      </w:rPr>
                      <m:t>R</m:t>
                    </m:r>
                  </m:e>
                  <m:sup>
                    <m:r>
                      <m:rPr>
                        <m:sty m:val="p"/>
                      </m:rPr>
                      <w:rPr>
                        <w:rFonts w:ascii="Cambria Math" w:hAnsi="Cambria Math"/>
                      </w:rPr>
                      <m:t>5×5</m:t>
                    </m:r>
                  </m:sup>
                </m:sSup>
              </m:oMath>
            </m:oMathPara>
          </w:p>
        </w:tc>
        <w:tc>
          <w:tcPr>
            <w:tcW w:w="0" w:type="auto"/>
            <w:vAlign w:val="center"/>
          </w:tcPr>
          <w:p w14:paraId="39A85AB3" w14:textId="77777777" w:rsidR="006C5868" w:rsidRPr="006C5868" w:rsidRDefault="006C5868" w:rsidP="006C5868">
            <w:pPr>
              <w:spacing w:after="160" w:line="259" w:lineRule="auto"/>
              <w:cnfStyle w:val="000000100000" w:firstRow="0" w:lastRow="0" w:firstColumn="0" w:lastColumn="0" w:oddVBand="0" w:evenVBand="0" w:oddHBand="1" w:evenHBand="0" w:firstRowFirstColumn="0" w:firstRowLastColumn="0" w:lastRowFirstColumn="0" w:lastRowLastColumn="0"/>
            </w:pPr>
            <w:r w:rsidRPr="006C5868">
              <w:t>Eq. 6, p.15</w:t>
            </w:r>
          </w:p>
        </w:tc>
      </w:tr>
    </w:tbl>
    <w:p w14:paraId="2037A12D" w14:textId="77777777" w:rsidR="006C5868" w:rsidRDefault="006C5868" w:rsidP="006C5868">
      <w:pPr>
        <w:jc w:val="both"/>
      </w:pPr>
      <w:r w:rsidRPr="006C5868">
        <w:rPr>
          <w:b/>
        </w:rPr>
        <w:t>Note:</w:t>
      </w:r>
      <w:r w:rsidRPr="006C5868">
        <w:t xml:space="preserve"> </w:t>
      </w:r>
    </w:p>
    <w:p w14:paraId="4B2F28E6" w14:textId="77777777" w:rsidR="006C5868" w:rsidRDefault="006C5868" w:rsidP="006C5868">
      <w:pPr>
        <w:pStyle w:val="ListParagraph"/>
        <w:numPr>
          <w:ilvl w:val="0"/>
          <w:numId w:val="9"/>
        </w:numPr>
        <w:jc w:val="both"/>
      </w:pPr>
      <w:r w:rsidRPr="006C5868">
        <w:t xml:space="preserve">Notation conventions: Roman letters (state variables), Greek letters (parameters), subscripts </w:t>
      </w:r>
      <w:proofErr w:type="spellStart"/>
      <w:r w:rsidRPr="006C5868">
        <w:t>i</w:t>
      </w:r>
      <w:proofErr w:type="spellEnd"/>
      <w:r w:rsidRPr="006C5868">
        <w:t xml:space="preserve">=dimensions (1-5: ecology, economy, social, health, animal), j=boundaries (1-4: climate, biodiversity, nitrogen, water), t=time. </w:t>
      </w:r>
    </w:p>
    <w:p w14:paraId="34872AD8" w14:textId="77777777" w:rsidR="006C5868" w:rsidRDefault="006C5868" w:rsidP="006C5868">
      <w:pPr>
        <w:pStyle w:val="ListParagraph"/>
        <w:numPr>
          <w:ilvl w:val="0"/>
          <w:numId w:val="9"/>
        </w:numPr>
        <w:jc w:val="both"/>
      </w:pPr>
      <w:r w:rsidRPr="006C5868">
        <w:t xml:space="preserve">All state variables normalized to initial values. </w:t>
      </w:r>
    </w:p>
    <w:p w14:paraId="0CE1526E" w14:textId="77777777" w:rsidR="006C5868" w:rsidRDefault="006C5868" w:rsidP="006C5868">
      <w:pPr>
        <w:pStyle w:val="ListParagraph"/>
        <w:numPr>
          <w:ilvl w:val="0"/>
          <w:numId w:val="9"/>
        </w:numPr>
        <w:jc w:val="both"/>
      </w:pPr>
      <w:r w:rsidRPr="006C5868">
        <w:lastRenderedPageBreak/>
        <w:t xml:space="preserve">Elasticity coefficients: </w:t>
      </w:r>
      <m:oMath>
        <m:r>
          <w:rPr>
            <w:rFonts w:ascii="Cambria Math" w:hAnsi="Cambria Math"/>
          </w:rPr>
          <m:t>α</m:t>
        </m:r>
        <m:r>
          <m:rPr>
            <m:sty m:val="p"/>
          </m:rPr>
          <w:rPr>
            <w:rFonts w:ascii="Cambria Math" w:hAnsi="Cambria Math"/>
          </w:rPr>
          <m:t>=[1.1,0.9,1.0,1.2,0.8]</m:t>
        </m:r>
      </m:oMath>
      <w:r w:rsidRPr="006C5868">
        <w:t xml:space="preserve">. </w:t>
      </w:r>
    </w:p>
    <w:p w14:paraId="41E5ABA7" w14:textId="40836C5F" w:rsidR="006C5868" w:rsidRPr="006C5868" w:rsidRDefault="006C5868" w:rsidP="006C5868">
      <w:pPr>
        <w:pStyle w:val="ListParagraph"/>
        <w:numPr>
          <w:ilvl w:val="0"/>
          <w:numId w:val="9"/>
        </w:numPr>
        <w:jc w:val="both"/>
      </w:pPr>
      <w:r w:rsidRPr="006C5868">
        <w:t xml:space="preserve">Time step </w:t>
      </w:r>
      <m:oMath>
        <m:r>
          <m:rPr>
            <m:sty m:val="p"/>
          </m:rPr>
          <w:rPr>
            <w:rFonts w:ascii="Cambria Math" w:hAnsi="Cambria Math"/>
          </w:rPr>
          <m:t>Δ</m:t>
        </m:r>
        <m:r>
          <w:rPr>
            <w:rFonts w:ascii="Cambria Math" w:hAnsi="Cambria Math"/>
          </w:rPr>
          <m:t>t</m:t>
        </m:r>
        <m:r>
          <m:rPr>
            <m:sty m:val="p"/>
          </m:rPr>
          <w:rPr>
            <w:rFonts w:ascii="Cambria Math" w:hAnsi="Cambria Math"/>
          </w:rPr>
          <m:t>=2</m:t>
        </m:r>
      </m:oMath>
      <w:r w:rsidRPr="006C5868">
        <w:t xml:space="preserve"> years, total horizon 100 steps (200 years). Complete specifications in Sections 3.2.1-3.2.10.</w:t>
      </w:r>
    </w:p>
    <w:p w14:paraId="47779A97" w14:textId="457C00F8" w:rsidR="00225C1B" w:rsidRPr="00225C1B" w:rsidRDefault="00225C1B" w:rsidP="00A61A01">
      <w:pPr>
        <w:spacing w:before="120" w:after="120" w:line="259" w:lineRule="auto"/>
        <w:jc w:val="both"/>
      </w:pPr>
      <w:r w:rsidRPr="00225C1B">
        <w:t>Supplementary Table S5 provides comprehensive definitions of all mathematical symbols used throughout the manuscript to ensure notational consistency and facilitate replication. Symbols are organized into four categories: state variables (observable system quantities like capital and resources), control variables (decision inputs manipulated by optimization and RL components), parameters (fixed or dynamic coefficients governing system behavior), and functions (mathematical operations transforming inputs to outputs).</w:t>
      </w:r>
    </w:p>
    <w:p w14:paraId="52728100" w14:textId="1B4CD12B" w:rsidR="00225C1B" w:rsidRPr="00225C1B" w:rsidRDefault="00225C1B" w:rsidP="00225C1B">
      <w:pPr>
        <w:spacing w:after="160" w:line="259" w:lineRule="auto"/>
        <w:jc w:val="both"/>
      </w:pPr>
      <w:r w:rsidRPr="00225C1B">
        <w:t>Key conventions: Roman letters denote state variables, Greek letters denote parameters, and calligraphic letters denote function spaces. Subscript </w:t>
      </w:r>
      <m:oMath>
        <m:r>
          <w:rPr>
            <w:rFonts w:ascii="Cambria Math" w:hAnsi="Cambria Math"/>
          </w:rPr>
          <m:t>i</m:t>
        </m:r>
      </m:oMath>
      <w:r w:rsidRPr="00225C1B">
        <w:t> indexes the five sustainability dimensions (ecology, economy, social equity, health, animal welfare), subscript </w:t>
      </w:r>
      <m:oMath>
        <m:r>
          <w:rPr>
            <w:rFonts w:ascii="Cambria Math" w:hAnsi="Cambria Math"/>
          </w:rPr>
          <m:t>j</m:t>
        </m:r>
      </m:oMath>
      <w:r w:rsidRPr="00225C1B">
        <w:t> indexes four planetary boundaries (climate, biodiversity, nitrogen, water), and </w:t>
      </w:r>
      <m:oMath>
        <m:r>
          <w:rPr>
            <w:rFonts w:ascii="Cambria Math" w:hAnsi="Cambria Math"/>
          </w:rPr>
          <m:t>t</m:t>
        </m:r>
      </m:oMath>
      <w:r w:rsidRPr="00225C1B">
        <w:t> denotes discrete time steps. All state variables </w:t>
      </w:r>
      <m:oMath>
        <m:r>
          <w:rPr>
            <w:rFonts w:ascii="Cambria Math" w:hAnsi="Cambria Math"/>
          </w:rPr>
          <m:t>K(t),R(t),N(t)</m:t>
        </m:r>
      </m:oMath>
      <w:r w:rsidRPr="00225C1B">
        <w:t> are normalized to initial baseline values to enable cross-regional comparison. Dynamic parameters </w:t>
      </w:r>
      <m:oMath>
        <m:sSub>
          <m:sSubPr>
            <m:ctrlPr>
              <w:rPr>
                <w:rFonts w:ascii="Cambria Math" w:hAnsi="Cambria Math"/>
              </w:rPr>
            </m:ctrlPr>
          </m:sSubPr>
          <m:e>
            <m:r>
              <w:rPr>
                <w:rFonts w:ascii="Cambria Math" w:hAnsi="Cambria Math"/>
              </w:rPr>
              <m:t>λ</m:t>
            </m:r>
          </m:e>
          <m:sub>
            <m:r>
              <m:rPr>
                <m:nor/>
              </m:rPr>
              <m:t>carbon</m:t>
            </m:r>
          </m:sub>
        </m:sSub>
        <m:r>
          <w:rPr>
            <w:rFonts w:ascii="Cambria Math" w:hAnsi="Cambria Math"/>
          </w:rPr>
          <m:t>(t)</m:t>
        </m:r>
      </m:oMath>
      <w:r w:rsidRPr="00225C1B">
        <w:t> and </w:t>
      </w:r>
      <m:oMath>
        <m:sSub>
          <m:sSubPr>
            <m:ctrlPr>
              <w:rPr>
                <w:rFonts w:ascii="Cambria Math" w:hAnsi="Cambria Math"/>
              </w:rPr>
            </m:ctrlPr>
          </m:sSubPr>
          <m:e>
            <m:r>
              <w:rPr>
                <w:rFonts w:ascii="Cambria Math" w:hAnsi="Cambria Math"/>
              </w:rPr>
              <m:t>λ</m:t>
            </m:r>
          </m:e>
          <m:sub>
            <m:r>
              <m:rPr>
                <m:nor/>
              </m:rPr>
              <m:t>fairness</m:t>
            </m:r>
          </m:sub>
        </m:sSub>
        <m:r>
          <w:rPr>
            <w:rFonts w:ascii="Cambria Math" w:hAnsi="Cambria Math"/>
          </w:rPr>
          <m:t>(t)</m:t>
        </m:r>
      </m:oMath>
      <w:r w:rsidRPr="00225C1B">
        <w:t> are learned via LSTM adaptation (Equation 5), while static parameters remain fixed throughout training.</w:t>
      </w:r>
    </w:p>
    <w:p w14:paraId="0DCBB74B" w14:textId="3E8B57D5" w:rsidR="00225C1B" w:rsidRDefault="00225C1B" w:rsidP="00225C1B">
      <w:pPr>
        <w:spacing w:after="160" w:line="259" w:lineRule="auto"/>
        <w:jc w:val="both"/>
      </w:pPr>
      <w:r w:rsidRPr="00225C1B">
        <w:t>The temporal horizon spans 100 discrete steps with </w:t>
      </w:r>
      <m:oMath>
        <m:r>
          <m:rPr>
            <m:sty m:val="p"/>
          </m:rPr>
          <w:rPr>
            <w:rFonts w:ascii="Cambria Math" w:hAnsi="Cambria Math"/>
          </w:rPr>
          <m:t>Δ</m:t>
        </m:r>
        <m:r>
          <w:rPr>
            <w:rFonts w:ascii="Cambria Math" w:hAnsi="Cambria Math"/>
          </w:rPr>
          <m:t>t=2</m:t>
        </m:r>
      </m:oMath>
      <w:r w:rsidRPr="00225C1B">
        <w:t> years per step, totaling 200 years consistent with World3 intergenerational projection standards. Elasticity coefficients </w:t>
      </w:r>
      <m:oMath>
        <m:sSub>
          <m:sSubPr>
            <m:ctrlPr>
              <w:rPr>
                <w:rFonts w:ascii="Cambria Math" w:hAnsi="Cambria Math"/>
              </w:rPr>
            </m:ctrlPr>
          </m:sSubPr>
          <m:e>
            <m:r>
              <w:rPr>
                <w:rFonts w:ascii="Cambria Math" w:hAnsi="Cambria Math"/>
              </w:rPr>
              <m:t>α</m:t>
            </m:r>
          </m:e>
          <m:sub>
            <m:r>
              <w:rPr>
                <w:rFonts w:ascii="Cambria Math" w:hAnsi="Cambria Math"/>
              </w:rPr>
              <m:t>i</m:t>
            </m:r>
          </m:sub>
        </m:sSub>
      </m:oMath>
      <w:r w:rsidRPr="00225C1B">
        <w:t> weight dimensional contributions in the geometric mean index (Equation 1), with higher values (1.2 for health, 1.1 for ecology) reflecting normative prioritization. Shift parameters </w:t>
      </w:r>
      <m:oMath>
        <m:sSub>
          <m:sSubPr>
            <m:ctrlPr>
              <w:rPr>
                <w:rFonts w:ascii="Cambria Math" w:hAnsi="Cambria Math"/>
              </w:rPr>
            </m:ctrlPr>
          </m:sSubPr>
          <m:e>
            <m:r>
              <w:rPr>
                <w:rFonts w:ascii="Cambria Math" w:hAnsi="Cambria Math"/>
              </w:rPr>
              <m:t>δ</m:t>
            </m:r>
          </m:e>
          <m:sub>
            <m:r>
              <w:rPr>
                <w:rFonts w:ascii="Cambria Math" w:hAnsi="Cambria Math"/>
              </w:rPr>
              <m:t>i</m:t>
            </m:r>
          </m:sub>
        </m:sSub>
        <m:r>
          <w:rPr>
            <w:rFonts w:ascii="Cambria Math" w:hAnsi="Cambria Math"/>
          </w:rPr>
          <m:t>=0.1</m:t>
        </m:r>
      </m:oMath>
      <w:r w:rsidRPr="00225C1B">
        <w:t> prevent dimensional collapse to zero. All notation is used consistently across equations, figures, tables, and text; cross-references indicate first occurrence locations for easy lookup.</w:t>
      </w:r>
    </w:p>
    <w:p w14:paraId="0AAF8BA2" w14:textId="04DFB6FF" w:rsidR="0055360B" w:rsidRPr="0055360B" w:rsidRDefault="0055360B" w:rsidP="0055360B">
      <w:pPr>
        <w:spacing w:after="160" w:line="259" w:lineRule="auto"/>
        <w:jc w:val="both"/>
      </w:pPr>
      <w:bookmarkStart w:id="6" w:name="supplementary_table_s6_component_7c9e14"/>
      <w:r w:rsidRPr="0055360B">
        <w:rPr>
          <w:b/>
        </w:rPr>
        <w:t xml:space="preserve">Supplementary Table S6: </w:t>
      </w:r>
      <w:r w:rsidRPr="00F1003C">
        <w:rPr>
          <w:bCs/>
        </w:rPr>
        <w:t xml:space="preserve">Component </w:t>
      </w:r>
      <w:r w:rsidR="00C95FCC" w:rsidRPr="00F1003C">
        <w:rPr>
          <w:bCs/>
        </w:rPr>
        <w:t>sensitivity analysis</w:t>
      </w:r>
      <w:bookmarkEnd w:id="6"/>
    </w:p>
    <w:tbl>
      <w:tblPr>
        <w:tblStyle w:val="PlainTable2"/>
        <w:tblW w:w="5000" w:type="pct"/>
        <w:tblLook w:val="04A0" w:firstRow="1" w:lastRow="0" w:firstColumn="1" w:lastColumn="0" w:noHBand="0" w:noVBand="1"/>
      </w:tblPr>
      <w:tblGrid>
        <w:gridCol w:w="3014"/>
        <w:gridCol w:w="1677"/>
        <w:gridCol w:w="1262"/>
        <w:gridCol w:w="1170"/>
        <w:gridCol w:w="1903"/>
      </w:tblGrid>
      <w:tr w:rsidR="0055360B" w:rsidRPr="00F1003C" w14:paraId="189AA93E" w14:textId="77777777" w:rsidTr="00F100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0" w:type="pct"/>
            <w:vAlign w:val="center"/>
          </w:tcPr>
          <w:p w14:paraId="0B8C78F5" w14:textId="77777777" w:rsidR="0055360B" w:rsidRPr="00F1003C" w:rsidRDefault="0055360B" w:rsidP="00F1003C">
            <w:pPr>
              <w:spacing w:line="259" w:lineRule="auto"/>
            </w:pPr>
            <w:r w:rsidRPr="00F1003C">
              <w:t>Configuration</w:t>
            </w:r>
          </w:p>
        </w:tc>
        <w:tc>
          <w:tcPr>
            <w:tcW w:w="929" w:type="pct"/>
            <w:vAlign w:val="center"/>
          </w:tcPr>
          <w:p w14:paraId="2708FDD6" w14:textId="77777777" w:rsidR="0055360B" w:rsidRPr="00F1003C" w:rsidRDefault="0055360B" w:rsidP="00F1003C">
            <w:pPr>
              <w:spacing w:line="259" w:lineRule="auto"/>
              <w:cnfStyle w:val="100000000000" w:firstRow="1" w:lastRow="0" w:firstColumn="0" w:lastColumn="0" w:oddVBand="0" w:evenVBand="0" w:oddHBand="0" w:evenHBand="0" w:firstRowFirstColumn="0" w:firstRowLastColumn="0" w:lastRowFirstColumn="0" w:lastRowLastColumn="0"/>
            </w:pPr>
            <w:r w:rsidRPr="00F1003C">
              <w:t>Boundary Violations</w:t>
            </w:r>
          </w:p>
        </w:tc>
        <w:tc>
          <w:tcPr>
            <w:tcW w:w="699" w:type="pct"/>
            <w:vAlign w:val="center"/>
          </w:tcPr>
          <w:p w14:paraId="1EFEC260" w14:textId="77777777" w:rsidR="0055360B" w:rsidRPr="00F1003C" w:rsidRDefault="0055360B" w:rsidP="00F1003C">
            <w:pPr>
              <w:spacing w:line="259" w:lineRule="auto"/>
              <w:cnfStyle w:val="100000000000" w:firstRow="1" w:lastRow="0" w:firstColumn="0" w:lastColumn="0" w:oddVBand="0" w:evenVBand="0" w:oddHBand="0" w:evenHBand="0" w:firstRowFirstColumn="0" w:firstRowLastColumn="0" w:lastRowFirstColumn="0" w:lastRowLastColumn="0"/>
            </w:pPr>
            <w:r w:rsidRPr="00F1003C">
              <w:t>Energy (kWh)</w:t>
            </w:r>
          </w:p>
        </w:tc>
        <w:tc>
          <w:tcPr>
            <w:tcW w:w="648" w:type="pct"/>
            <w:vAlign w:val="center"/>
          </w:tcPr>
          <w:p w14:paraId="2E73A93A" w14:textId="77777777" w:rsidR="0055360B" w:rsidRPr="00F1003C" w:rsidRDefault="0055360B" w:rsidP="00F1003C">
            <w:pPr>
              <w:spacing w:line="259" w:lineRule="auto"/>
              <w:cnfStyle w:val="100000000000" w:firstRow="1" w:lastRow="0" w:firstColumn="0" w:lastColumn="0" w:oddVBand="0" w:evenVBand="0" w:oddHBand="0" w:evenHBand="0" w:firstRowFirstColumn="0" w:firstRowLastColumn="0" w:lastRowFirstColumn="0" w:lastRowLastColumn="0"/>
            </w:pPr>
            <w:r w:rsidRPr="00F1003C">
              <w:t>Equity (Gini)</w:t>
            </w:r>
          </w:p>
        </w:tc>
        <w:tc>
          <w:tcPr>
            <w:tcW w:w="1054" w:type="pct"/>
            <w:vAlign w:val="center"/>
          </w:tcPr>
          <w:p w14:paraId="262FF36F" w14:textId="77777777" w:rsidR="0055360B" w:rsidRPr="00F1003C" w:rsidRDefault="0055360B" w:rsidP="00F1003C">
            <w:pPr>
              <w:spacing w:line="259" w:lineRule="auto"/>
              <w:cnfStyle w:val="100000000000" w:firstRow="1" w:lastRow="0" w:firstColumn="0" w:lastColumn="0" w:oddVBand="0" w:evenVBand="0" w:oddHBand="0" w:evenHBand="0" w:firstRowFirstColumn="0" w:firstRowLastColumn="0" w:lastRowFirstColumn="0" w:lastRowLastColumn="0"/>
            </w:pPr>
            <w:r w:rsidRPr="00F1003C">
              <w:t>Convergence (epochs)</w:t>
            </w:r>
          </w:p>
        </w:tc>
      </w:tr>
      <w:tr w:rsidR="0055360B" w:rsidRPr="00F1003C" w14:paraId="0917ECEA" w14:textId="77777777" w:rsidTr="00F10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0" w:type="pct"/>
            <w:vAlign w:val="center"/>
          </w:tcPr>
          <w:p w14:paraId="005B60AE" w14:textId="77777777" w:rsidR="0055360B" w:rsidRPr="00F1003C" w:rsidRDefault="0055360B" w:rsidP="00F1003C">
            <w:pPr>
              <w:spacing w:line="259" w:lineRule="auto"/>
              <w:rPr>
                <w:b w:val="0"/>
                <w:bCs w:val="0"/>
              </w:rPr>
            </w:pPr>
            <w:r w:rsidRPr="00F1003C">
              <w:rPr>
                <w:b w:val="0"/>
                <w:bCs w:val="0"/>
              </w:rPr>
              <w:t>Full AI-CDSN</w:t>
            </w:r>
          </w:p>
        </w:tc>
        <w:tc>
          <w:tcPr>
            <w:tcW w:w="929" w:type="pct"/>
            <w:vAlign w:val="center"/>
          </w:tcPr>
          <w:p w14:paraId="4C98ACAE"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8/100</w:t>
            </w:r>
          </w:p>
        </w:tc>
        <w:tc>
          <w:tcPr>
            <w:tcW w:w="699" w:type="pct"/>
            <w:vAlign w:val="center"/>
          </w:tcPr>
          <w:p w14:paraId="18257544"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3.42</w:t>
            </w:r>
          </w:p>
        </w:tc>
        <w:tc>
          <w:tcPr>
            <w:tcW w:w="648" w:type="pct"/>
            <w:vAlign w:val="center"/>
          </w:tcPr>
          <w:p w14:paraId="701082B3"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0.33</w:t>
            </w:r>
          </w:p>
        </w:tc>
        <w:tc>
          <w:tcPr>
            <w:tcW w:w="1054" w:type="pct"/>
            <w:vAlign w:val="center"/>
          </w:tcPr>
          <w:p w14:paraId="4472F46E"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4.1</w:t>
            </w:r>
          </w:p>
        </w:tc>
      </w:tr>
      <w:tr w:rsidR="0055360B" w:rsidRPr="00F1003C" w14:paraId="6D439CCA" w14:textId="77777777" w:rsidTr="00F1003C">
        <w:tc>
          <w:tcPr>
            <w:cnfStyle w:val="001000000000" w:firstRow="0" w:lastRow="0" w:firstColumn="1" w:lastColumn="0" w:oddVBand="0" w:evenVBand="0" w:oddHBand="0" w:evenHBand="0" w:firstRowFirstColumn="0" w:firstRowLastColumn="0" w:lastRowFirstColumn="0" w:lastRowLastColumn="0"/>
            <w:tcW w:w="1670" w:type="pct"/>
            <w:vAlign w:val="center"/>
          </w:tcPr>
          <w:p w14:paraId="75E89563" w14:textId="77777777" w:rsidR="0055360B" w:rsidRPr="00F1003C" w:rsidRDefault="0055360B" w:rsidP="00F1003C">
            <w:pPr>
              <w:spacing w:line="259" w:lineRule="auto"/>
              <w:rPr>
                <w:b w:val="0"/>
                <w:bCs w:val="0"/>
              </w:rPr>
            </w:pPr>
            <w:r w:rsidRPr="00F1003C">
              <w:rPr>
                <w:b w:val="0"/>
                <w:bCs w:val="0"/>
              </w:rPr>
              <w:t>w/o GAT (symmetric correlations)</w:t>
            </w:r>
          </w:p>
        </w:tc>
        <w:tc>
          <w:tcPr>
            <w:tcW w:w="929" w:type="pct"/>
            <w:vAlign w:val="center"/>
          </w:tcPr>
          <w:p w14:paraId="76B7E2A2"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12/100 (+50%)</w:t>
            </w:r>
          </w:p>
        </w:tc>
        <w:tc>
          <w:tcPr>
            <w:tcW w:w="699" w:type="pct"/>
            <w:vAlign w:val="center"/>
          </w:tcPr>
          <w:p w14:paraId="077E61CF"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3.45</w:t>
            </w:r>
          </w:p>
        </w:tc>
        <w:tc>
          <w:tcPr>
            <w:tcW w:w="648" w:type="pct"/>
            <w:vAlign w:val="center"/>
          </w:tcPr>
          <w:p w14:paraId="167AE68B"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0.36</w:t>
            </w:r>
          </w:p>
        </w:tc>
        <w:tc>
          <w:tcPr>
            <w:tcW w:w="1054" w:type="pct"/>
            <w:vAlign w:val="center"/>
          </w:tcPr>
          <w:p w14:paraId="03EB19A6"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4.8</w:t>
            </w:r>
          </w:p>
        </w:tc>
      </w:tr>
      <w:tr w:rsidR="0055360B" w:rsidRPr="00F1003C" w14:paraId="7380EB10" w14:textId="77777777" w:rsidTr="00F10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0" w:type="pct"/>
            <w:vAlign w:val="center"/>
          </w:tcPr>
          <w:p w14:paraId="55E2E705" w14:textId="77777777" w:rsidR="0055360B" w:rsidRPr="00F1003C" w:rsidRDefault="0055360B" w:rsidP="00F1003C">
            <w:pPr>
              <w:spacing w:line="259" w:lineRule="auto"/>
              <w:rPr>
                <w:b w:val="0"/>
                <w:bCs w:val="0"/>
              </w:rPr>
            </w:pPr>
            <w:r w:rsidRPr="00F1003C">
              <w:rPr>
                <w:b w:val="0"/>
                <w:bCs w:val="0"/>
              </w:rPr>
              <w:t>w/o Dynamic Weights (fixed)</w:t>
            </w:r>
          </w:p>
        </w:tc>
        <w:tc>
          <w:tcPr>
            <w:tcW w:w="929" w:type="pct"/>
            <w:vAlign w:val="center"/>
          </w:tcPr>
          <w:p w14:paraId="7CC58B65"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14/100 (+75%)</w:t>
            </w:r>
          </w:p>
        </w:tc>
        <w:tc>
          <w:tcPr>
            <w:tcW w:w="699" w:type="pct"/>
            <w:vAlign w:val="center"/>
          </w:tcPr>
          <w:p w14:paraId="4181A710"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3.41</w:t>
            </w:r>
          </w:p>
        </w:tc>
        <w:tc>
          <w:tcPr>
            <w:tcW w:w="648" w:type="pct"/>
            <w:vAlign w:val="center"/>
          </w:tcPr>
          <w:p w14:paraId="25F2F6F1"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0.35</w:t>
            </w:r>
          </w:p>
        </w:tc>
        <w:tc>
          <w:tcPr>
            <w:tcW w:w="1054" w:type="pct"/>
            <w:vAlign w:val="center"/>
          </w:tcPr>
          <w:p w14:paraId="74F84521"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7.2</w:t>
            </w:r>
          </w:p>
        </w:tc>
      </w:tr>
      <w:tr w:rsidR="0055360B" w:rsidRPr="00F1003C" w14:paraId="79669091" w14:textId="77777777" w:rsidTr="00F1003C">
        <w:tc>
          <w:tcPr>
            <w:cnfStyle w:val="001000000000" w:firstRow="0" w:lastRow="0" w:firstColumn="1" w:lastColumn="0" w:oddVBand="0" w:evenVBand="0" w:oddHBand="0" w:evenHBand="0" w:firstRowFirstColumn="0" w:firstRowLastColumn="0" w:lastRowFirstColumn="0" w:lastRowLastColumn="0"/>
            <w:tcW w:w="1670" w:type="pct"/>
            <w:vAlign w:val="center"/>
          </w:tcPr>
          <w:p w14:paraId="33C6AA31" w14:textId="77777777" w:rsidR="0055360B" w:rsidRPr="00F1003C" w:rsidRDefault="0055360B" w:rsidP="00F1003C">
            <w:pPr>
              <w:spacing w:line="259" w:lineRule="auto"/>
              <w:rPr>
                <w:b w:val="0"/>
                <w:bCs w:val="0"/>
              </w:rPr>
            </w:pPr>
            <w:r w:rsidRPr="00F1003C">
              <w:rPr>
                <w:b w:val="0"/>
                <w:bCs w:val="0"/>
              </w:rPr>
              <w:t>w/o Ethical Regularization</w:t>
            </w:r>
          </w:p>
        </w:tc>
        <w:tc>
          <w:tcPr>
            <w:tcW w:w="929" w:type="pct"/>
            <w:vAlign w:val="center"/>
          </w:tcPr>
          <w:p w14:paraId="677BEA7F"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9/100</w:t>
            </w:r>
          </w:p>
        </w:tc>
        <w:tc>
          <w:tcPr>
            <w:tcW w:w="699" w:type="pct"/>
            <w:vAlign w:val="center"/>
          </w:tcPr>
          <w:p w14:paraId="17DFFC08"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4.38 (+28%)</w:t>
            </w:r>
          </w:p>
        </w:tc>
        <w:tc>
          <w:tcPr>
            <w:tcW w:w="648" w:type="pct"/>
            <w:vAlign w:val="center"/>
          </w:tcPr>
          <w:p w14:paraId="06D475FB"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0.38</w:t>
            </w:r>
          </w:p>
        </w:tc>
        <w:tc>
          <w:tcPr>
            <w:tcW w:w="1054" w:type="pct"/>
            <w:vAlign w:val="center"/>
          </w:tcPr>
          <w:p w14:paraId="1FBEE511"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4.3</w:t>
            </w:r>
          </w:p>
        </w:tc>
      </w:tr>
      <w:tr w:rsidR="0055360B" w:rsidRPr="00F1003C" w14:paraId="30F2CA8F" w14:textId="77777777" w:rsidTr="00F100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0" w:type="pct"/>
            <w:vAlign w:val="center"/>
          </w:tcPr>
          <w:p w14:paraId="6EC5113F" w14:textId="3B99F63F" w:rsidR="0055360B" w:rsidRPr="00F1003C" w:rsidRDefault="0055360B" w:rsidP="00F1003C">
            <w:pPr>
              <w:spacing w:line="259" w:lineRule="auto"/>
              <w:rPr>
                <w:b w:val="0"/>
                <w:bCs w:val="0"/>
              </w:rPr>
            </w:pPr>
            <w:r w:rsidRPr="00F1003C">
              <w:rPr>
                <w:b w:val="0"/>
                <w:bCs w:val="0"/>
              </w:rPr>
              <w:t xml:space="preserve">w/o Cultural Discounting (exponential </w:t>
            </w:r>
            <m:oMath>
              <m:r>
                <m:rPr>
                  <m:sty m:val="bi"/>
                </m:rPr>
                <w:rPr>
                  <w:rFonts w:ascii="Cambria Math" w:hAnsi="Cambria Math"/>
                </w:rPr>
                <m:t>r</m:t>
              </m:r>
              <m:r>
                <m:rPr>
                  <m:sty m:val="b"/>
                </m:rPr>
                <w:rPr>
                  <w:rFonts w:ascii="Cambria Math" w:hAnsi="Cambria Math"/>
                </w:rPr>
                <m:t>=2%</m:t>
              </m:r>
            </m:oMath>
            <w:r w:rsidRPr="00F1003C">
              <w:rPr>
                <w:b w:val="0"/>
                <w:bCs w:val="0"/>
              </w:rPr>
              <w:t>)</w:t>
            </w:r>
          </w:p>
        </w:tc>
        <w:tc>
          <w:tcPr>
            <w:tcW w:w="929" w:type="pct"/>
            <w:vAlign w:val="center"/>
          </w:tcPr>
          <w:p w14:paraId="1933806C"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8/100</w:t>
            </w:r>
          </w:p>
        </w:tc>
        <w:tc>
          <w:tcPr>
            <w:tcW w:w="699" w:type="pct"/>
            <w:vAlign w:val="center"/>
          </w:tcPr>
          <w:p w14:paraId="67D25D50"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3.44</w:t>
            </w:r>
          </w:p>
        </w:tc>
        <w:tc>
          <w:tcPr>
            <w:tcW w:w="648" w:type="pct"/>
            <w:vAlign w:val="center"/>
          </w:tcPr>
          <w:p w14:paraId="0C52BB1B"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0.34</w:t>
            </w:r>
          </w:p>
        </w:tc>
        <w:tc>
          <w:tcPr>
            <w:tcW w:w="1054" w:type="pct"/>
            <w:vAlign w:val="center"/>
          </w:tcPr>
          <w:p w14:paraId="5CE0A3A5" w14:textId="77777777" w:rsidR="0055360B" w:rsidRPr="00F1003C" w:rsidRDefault="0055360B" w:rsidP="00F1003C">
            <w:pPr>
              <w:spacing w:line="259" w:lineRule="auto"/>
              <w:cnfStyle w:val="000000100000" w:firstRow="0" w:lastRow="0" w:firstColumn="0" w:lastColumn="0" w:oddVBand="0" w:evenVBand="0" w:oddHBand="1" w:evenHBand="0" w:firstRowFirstColumn="0" w:firstRowLastColumn="0" w:lastRowFirstColumn="0" w:lastRowLastColumn="0"/>
            </w:pPr>
            <w:r w:rsidRPr="00F1003C">
              <w:t>4.2</w:t>
            </w:r>
          </w:p>
        </w:tc>
      </w:tr>
      <w:tr w:rsidR="0055360B" w:rsidRPr="00F1003C" w14:paraId="6F3E5F12" w14:textId="77777777" w:rsidTr="00F1003C">
        <w:tc>
          <w:tcPr>
            <w:cnfStyle w:val="001000000000" w:firstRow="0" w:lastRow="0" w:firstColumn="1" w:lastColumn="0" w:oddVBand="0" w:evenVBand="0" w:oddHBand="0" w:evenHBand="0" w:firstRowFirstColumn="0" w:firstRowLastColumn="0" w:lastRowFirstColumn="0" w:lastRowLastColumn="0"/>
            <w:tcW w:w="1670" w:type="pct"/>
            <w:vAlign w:val="center"/>
          </w:tcPr>
          <w:p w14:paraId="6D518CB7" w14:textId="77777777" w:rsidR="0055360B" w:rsidRPr="00F1003C" w:rsidRDefault="0055360B" w:rsidP="00F1003C">
            <w:pPr>
              <w:spacing w:line="259" w:lineRule="auto"/>
              <w:rPr>
                <w:b w:val="0"/>
                <w:bCs w:val="0"/>
              </w:rPr>
            </w:pPr>
            <w:r w:rsidRPr="00F1003C">
              <w:rPr>
                <w:b w:val="0"/>
                <w:bCs w:val="0"/>
              </w:rPr>
              <w:t>Minimal (Neural ODE only)</w:t>
            </w:r>
          </w:p>
        </w:tc>
        <w:tc>
          <w:tcPr>
            <w:tcW w:w="929" w:type="pct"/>
            <w:vAlign w:val="center"/>
          </w:tcPr>
          <w:p w14:paraId="6C902E3B"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19/100 (+138%)</w:t>
            </w:r>
          </w:p>
        </w:tc>
        <w:tc>
          <w:tcPr>
            <w:tcW w:w="699" w:type="pct"/>
            <w:vAlign w:val="center"/>
          </w:tcPr>
          <w:p w14:paraId="724A80E5"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3.89</w:t>
            </w:r>
          </w:p>
        </w:tc>
        <w:tc>
          <w:tcPr>
            <w:tcW w:w="648" w:type="pct"/>
            <w:vAlign w:val="center"/>
          </w:tcPr>
          <w:p w14:paraId="2F3FCDF3"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0.42</w:t>
            </w:r>
          </w:p>
        </w:tc>
        <w:tc>
          <w:tcPr>
            <w:tcW w:w="1054" w:type="pct"/>
            <w:vAlign w:val="center"/>
          </w:tcPr>
          <w:p w14:paraId="3DCCA763" w14:textId="77777777" w:rsidR="0055360B" w:rsidRPr="00F1003C" w:rsidRDefault="0055360B" w:rsidP="00F1003C">
            <w:pPr>
              <w:spacing w:line="259" w:lineRule="auto"/>
              <w:cnfStyle w:val="000000000000" w:firstRow="0" w:lastRow="0" w:firstColumn="0" w:lastColumn="0" w:oddVBand="0" w:evenVBand="0" w:oddHBand="0" w:evenHBand="0" w:firstRowFirstColumn="0" w:firstRowLastColumn="0" w:lastRowFirstColumn="0" w:lastRowLastColumn="0"/>
            </w:pPr>
            <w:r w:rsidRPr="00F1003C">
              <w:t>9.1</w:t>
            </w:r>
          </w:p>
        </w:tc>
      </w:tr>
    </w:tbl>
    <w:p w14:paraId="0A338276" w14:textId="77777777" w:rsidR="0055360B" w:rsidRPr="0055360B" w:rsidRDefault="0055360B" w:rsidP="0055360B">
      <w:pPr>
        <w:spacing w:after="160" w:line="259" w:lineRule="auto"/>
        <w:jc w:val="both"/>
      </w:pPr>
      <w:r w:rsidRPr="0055360B">
        <w:rPr>
          <w:b/>
        </w:rPr>
        <w:t>Notes:</w:t>
      </w:r>
    </w:p>
    <w:p w14:paraId="7520AD0D" w14:textId="77777777" w:rsidR="0055360B" w:rsidRPr="0055360B" w:rsidRDefault="0055360B" w:rsidP="0055360B">
      <w:pPr>
        <w:numPr>
          <w:ilvl w:val="0"/>
          <w:numId w:val="11"/>
        </w:numPr>
        <w:spacing w:after="160" w:line="259" w:lineRule="auto"/>
        <w:jc w:val="both"/>
      </w:pPr>
      <w:r w:rsidRPr="0055360B">
        <w:rPr>
          <w:b/>
        </w:rPr>
        <w:t>GAT removal</w:t>
      </w:r>
      <w:r w:rsidRPr="0055360B">
        <w:t xml:space="preserve">: Replaces graph attention with symmetric correlation matrix; loses directional spillover detection (e.g., </w:t>
      </w:r>
      <w:proofErr w:type="spellStart"/>
      <w:r w:rsidRPr="0055360B">
        <w:t>ecology→animal</w:t>
      </w:r>
      <w:proofErr w:type="spellEnd"/>
      <w:r w:rsidRPr="0055360B">
        <w:t xml:space="preserve"> welfare asymmetry)</w:t>
      </w:r>
    </w:p>
    <w:p w14:paraId="019BB0CE" w14:textId="05FBFF47" w:rsidR="0055360B" w:rsidRPr="0055360B" w:rsidRDefault="0055360B" w:rsidP="0055360B">
      <w:pPr>
        <w:numPr>
          <w:ilvl w:val="0"/>
          <w:numId w:val="11"/>
        </w:numPr>
        <w:spacing w:after="160" w:line="259" w:lineRule="auto"/>
        <w:jc w:val="both"/>
      </w:pPr>
      <w:r w:rsidRPr="0055360B">
        <w:rPr>
          <w:b/>
        </w:rPr>
        <w:t>Static weights</w:t>
      </w:r>
      <w:r w:rsidRPr="0055360B">
        <w:t xml:space="preserve">: Fixes </w:t>
      </w:r>
      <m:oMath>
        <m:sSub>
          <m:sSubPr>
            <m:ctrlPr>
              <w:rPr>
                <w:rFonts w:ascii="Cambria Math" w:hAnsi="Cambria Math"/>
              </w:rPr>
            </m:ctrlPr>
          </m:sSubPr>
          <m:e>
            <m:r>
              <w:rPr>
                <w:rFonts w:ascii="Cambria Math" w:hAnsi="Cambria Math"/>
              </w:rPr>
              <m:t>w</m:t>
            </m:r>
          </m:e>
          <m:sub>
            <m:r>
              <w:rPr>
                <w:rFonts w:ascii="Cambria Math" w:hAnsi="Cambria Math"/>
              </w:rPr>
              <m:t>i</m:t>
            </m:r>
          </m:sub>
        </m:sSub>
        <m:r>
          <m:rPr>
            <m:sty m:val="p"/>
          </m:rPr>
          <w:rPr>
            <w:rFonts w:ascii="Cambria Math" w:hAnsi="Cambria Math"/>
          </w:rPr>
          <m:t>=0.20</m:t>
        </m:r>
      </m:oMath>
      <w:r w:rsidRPr="0055360B">
        <w:t xml:space="preserve"> for all dimensions; eliminates planetary boundary-responsive adaptation (Equation 9)</w:t>
      </w:r>
    </w:p>
    <w:p w14:paraId="4CDA83A9" w14:textId="65EDD984" w:rsidR="0055360B" w:rsidRPr="0055360B" w:rsidRDefault="0055360B" w:rsidP="0055360B">
      <w:pPr>
        <w:numPr>
          <w:ilvl w:val="0"/>
          <w:numId w:val="11"/>
        </w:numPr>
        <w:spacing w:after="160" w:line="259" w:lineRule="auto"/>
        <w:jc w:val="both"/>
      </w:pPr>
      <w:r w:rsidRPr="0055360B">
        <w:rPr>
          <w:b/>
        </w:rPr>
        <w:lastRenderedPageBreak/>
        <w:t>No ethical regularization</w:t>
      </w:r>
      <w:r w:rsidRPr="0055360B">
        <w:t xml:space="preserve">: Removes </w:t>
      </w:r>
      <m:oMath>
        <m:sSub>
          <m:sSubPr>
            <m:ctrlPr>
              <w:rPr>
                <w:rFonts w:ascii="Cambria Math" w:hAnsi="Cambria Math"/>
              </w:rPr>
            </m:ctrlPr>
          </m:sSubPr>
          <m:e>
            <m:r>
              <m:rPr>
                <m:scr m:val="script"/>
              </m:rPr>
              <w:rPr>
                <w:rFonts w:ascii="Cambria Math" w:hAnsi="Cambria Math"/>
              </w:rPr>
              <m:t>L</m:t>
            </m:r>
          </m:e>
          <m:sub>
            <m:r>
              <m:rPr>
                <m:nor/>
              </m:rPr>
              <m:t>ethical</m:t>
            </m:r>
          </m:sub>
        </m:sSub>
      </m:oMath>
      <w:r w:rsidRPr="0055360B">
        <w:t xml:space="preserve"> penalty term (Equation 10); prioritizes performance over sustainability</w:t>
      </w:r>
    </w:p>
    <w:p w14:paraId="75F9C668" w14:textId="4940082C" w:rsidR="0055360B" w:rsidRPr="0055360B" w:rsidRDefault="0055360B" w:rsidP="0055360B">
      <w:pPr>
        <w:numPr>
          <w:ilvl w:val="0"/>
          <w:numId w:val="11"/>
        </w:numPr>
        <w:spacing w:after="160" w:line="259" w:lineRule="auto"/>
        <w:jc w:val="both"/>
      </w:pPr>
      <w:r w:rsidRPr="0055360B">
        <w:rPr>
          <w:b/>
        </w:rPr>
        <w:t>Exponential discounting</w:t>
      </w:r>
      <w:r w:rsidRPr="0055360B">
        <w:t xml:space="preserve">: Substitutes sigmoid cultural discounting with standard </w:t>
      </w:r>
      <m:oMath>
        <m:r>
          <w:rPr>
            <w:rFonts w:ascii="Cambria Math" w:hAnsi="Cambria Math"/>
          </w:rPr>
          <m:t>δ</m:t>
        </m:r>
        <m:r>
          <m:rPr>
            <m:sty m:val="p"/>
          </m:rPr>
          <w:rPr>
            <w:rFonts w:ascii="Cambria Math" w:hAnsi="Cambria Math"/>
          </w:rPr>
          <m:t>(</m:t>
        </m:r>
        <m:r>
          <w:rPr>
            <w:rFonts w:ascii="Cambria Math" w:hAnsi="Cambria Math"/>
          </w:rPr>
          <m:t>t</m:t>
        </m:r>
        <m:r>
          <m:rPr>
            <m:sty m:val="p"/>
          </m:rPr>
          <w:rPr>
            <w:rFonts w:ascii="Cambria Math" w:hAnsi="Cambria Math"/>
          </w:rPr>
          <m:t>)=</m:t>
        </m:r>
        <m:sSup>
          <m:sSupPr>
            <m:ctrlPr>
              <w:rPr>
                <w:rFonts w:ascii="Cambria Math" w:hAnsi="Cambria Math"/>
              </w:rPr>
            </m:ctrlPr>
          </m:sSupPr>
          <m:e>
            <m:r>
              <w:rPr>
                <w:rFonts w:ascii="Cambria Math" w:hAnsi="Cambria Math"/>
              </w:rPr>
              <m:t>e</m:t>
            </m:r>
          </m:e>
          <m:sup>
            <m:r>
              <m:rPr>
                <m:sty m:val="p"/>
              </m:rPr>
              <w:rPr>
                <w:rFonts w:ascii="Cambria Math" w:hAnsi="Cambria Math"/>
              </w:rPr>
              <m:t>-</m:t>
            </m:r>
            <m:r>
              <w:rPr>
                <w:rFonts w:ascii="Cambria Math" w:hAnsi="Cambria Math"/>
              </w:rPr>
              <m:t>rt</m:t>
            </m:r>
          </m:sup>
        </m:sSup>
      </m:oMath>
      <w:r w:rsidRPr="0055360B">
        <w:t xml:space="preserve"> where </w:t>
      </w:r>
      <m:oMath>
        <m:r>
          <w:rPr>
            <w:rFonts w:ascii="Cambria Math" w:hAnsi="Cambria Math"/>
          </w:rPr>
          <m:t>r</m:t>
        </m:r>
        <m:r>
          <m:rPr>
            <m:sty m:val="p"/>
          </m:rPr>
          <w:rPr>
            <w:rFonts w:ascii="Cambria Math" w:hAnsi="Cambria Math"/>
          </w:rPr>
          <m:t>=0.02</m:t>
        </m:r>
      </m:oMath>
      <w:r w:rsidRPr="0055360B">
        <w:t>; minimal short-term impact observable in 100-step simulation</w:t>
      </w:r>
    </w:p>
    <w:p w14:paraId="0A3D6B30" w14:textId="77777777" w:rsidR="0055360B" w:rsidRPr="0055360B" w:rsidRDefault="0055360B" w:rsidP="0055360B">
      <w:pPr>
        <w:numPr>
          <w:ilvl w:val="0"/>
          <w:numId w:val="11"/>
        </w:numPr>
        <w:spacing w:after="160" w:line="259" w:lineRule="auto"/>
        <w:jc w:val="both"/>
      </w:pPr>
      <w:r w:rsidRPr="0055360B">
        <w:rPr>
          <w:b/>
        </w:rPr>
        <w:t>Minimal configuration</w:t>
      </w:r>
      <w:r w:rsidRPr="0055360B">
        <w:t>: Retains only neural ODE (Equation 2) without GAT, dynamic weights, multi-objective optimization, or RL; serves as lower bound</w:t>
      </w:r>
    </w:p>
    <w:p w14:paraId="276CE0D2" w14:textId="0BDD58AF" w:rsidR="00063BEF" w:rsidRPr="00063BEF" w:rsidRDefault="00063BEF" w:rsidP="00063BEF">
      <w:pPr>
        <w:spacing w:after="160" w:line="259" w:lineRule="auto"/>
        <w:jc w:val="both"/>
      </w:pPr>
      <w:r w:rsidRPr="00063BEF">
        <w:t xml:space="preserve">Component sensitivity analysis </w:t>
      </w:r>
      <w:r>
        <w:t xml:space="preserve">Table S6 </w:t>
      </w:r>
      <w:r w:rsidRPr="00063BEF">
        <w:t>isolates individual architectural elements to quantify their contributions to overall framework performance. GAT removal increases boundary violations by 50%, demonstrating that asymmetric attention coefficients (e.g., 0.642 vs. 0.583 for ecology-animal welfare interactions, Figure 6) provide critical spillover detection unavailable in symmetric correlation matrices. This GAT contribution validates the value of directional cross-dimensional impact modeling over traditional correlation-based approaches. Static weight configurations exhibit 75% more violations, confirming that dynamic adaptation (Equation 9) enables rapid ecological prioritization during planetary boundary stress events. This dynamic weight necessity demonstrates crisis-responsive adaptation as critical rather than optional functionality.</w:t>
      </w:r>
    </w:p>
    <w:p w14:paraId="16F9A3EF" w14:textId="34553E8C" w:rsidR="00063BEF" w:rsidRPr="00063BEF" w:rsidRDefault="00063BEF" w:rsidP="00063BEF">
      <w:pPr>
        <w:spacing w:after="160" w:line="259" w:lineRule="auto"/>
        <w:jc w:val="both"/>
      </w:pPr>
      <w:r w:rsidRPr="00063BEF">
        <w:t>Ethical regularization removal increases energy consumption by 28% (4.38 vs. 3.42 kWh/epoch), validating the intentional sustainability-performance trade-off embedded in Equation 10's carbon and bias penalties. This confirms that computational efficiency gains come at quantifiable environmental costs when ethical constraints are absent. Cultural discounting substitution shows minimal short-term impact, as exponential and sigmoid functions converge over 100-step horizons; differences emerge only across multi-generational timescales (</w:t>
      </w:r>
      <m:oMath>
        <m:r>
          <w:rPr>
            <w:rFonts w:ascii="Cambria Math" w:hAnsi="Cambria Math"/>
          </w:rPr>
          <m:t>&gt;150</m:t>
        </m:r>
      </m:oMath>
      <w:r w:rsidRPr="00063BEF">
        <w:t> years) beyond current simulation scope, indicating that long-term intergenerational effects remain unmeasured in current experiments. Minimal configurations retaining only neural ODEs perform 138% worse, indicating strong architectural synergies where components reinforce rather than substitute each other through complementary mechanisms.</w:t>
      </w:r>
    </w:p>
    <w:p w14:paraId="0212B62C" w14:textId="376F5A2D" w:rsidR="00063BEF" w:rsidRPr="00063BEF" w:rsidRDefault="00063BEF" w:rsidP="00063BEF">
      <w:pPr>
        <w:spacing w:after="160" w:line="259" w:lineRule="auto"/>
        <w:jc w:val="both"/>
      </w:pPr>
      <w:r w:rsidRPr="00063BEF">
        <w:t>Limitations of this analysis include reliance on single-component ablation only, as full factorial designs (</w:t>
      </w:r>
      <m:oMath>
        <m:sSup>
          <m:sSupPr>
            <m:ctrlPr>
              <w:rPr>
                <w:rFonts w:ascii="Cambria Math" w:hAnsi="Cambria Math"/>
              </w:rPr>
            </m:ctrlPr>
          </m:sSupPr>
          <m:e>
            <m:r>
              <w:rPr>
                <w:rFonts w:ascii="Cambria Math" w:hAnsi="Cambria Math"/>
              </w:rPr>
              <m:t>2</m:t>
            </m:r>
          </m:e>
          <m:sup>
            <m:r>
              <w:rPr>
                <w:rFonts w:ascii="Cambria Math" w:hAnsi="Cambria Math"/>
              </w:rPr>
              <m:t>5</m:t>
            </m:r>
          </m:sup>
        </m:sSup>
        <m:r>
          <w:rPr>
            <w:rFonts w:ascii="Cambria Math" w:hAnsi="Cambria Math"/>
          </w:rPr>
          <m:t>=32</m:t>
        </m:r>
      </m:oMath>
      <w:r w:rsidRPr="00063BEF">
        <w:t> configurations) examining interaction effects (e.g., whether GAT benefits depend on dynamic weights) exceed current computational budget. Component interactions remain unexplored, limiting understanding of synergistic effects. Statistical power is constrained by </w:t>
      </w:r>
      <m:oMath>
        <m:r>
          <w:rPr>
            <w:rFonts w:ascii="Cambria Math" w:hAnsi="Cambria Math"/>
          </w:rPr>
          <m:t>n=4</m:t>
        </m:r>
      </m:oMath>
      <w:r w:rsidRPr="00063BEF">
        <w:t> regional simulations; larger ensembles (</w:t>
      </w:r>
      <m:oMath>
        <m:r>
          <w:rPr>
            <w:rFonts w:ascii="Cambria Math" w:hAnsi="Cambria Math"/>
          </w:rPr>
          <m:t>n≥30</m:t>
        </m:r>
      </m:oMath>
      <w:r w:rsidRPr="00063BEF">
        <w:t>) are recommended for operational validation with robust confidence intervals. Future research should employ comprehensive ablation with Shapley value analysis to decompose marginal contributions rigorously, enabling precise quantification of each component's value-added while accounting for complementarities across diverse geographical and institutional contexts.</w:t>
      </w:r>
    </w:p>
    <w:p w14:paraId="09770A65" w14:textId="3957DF38" w:rsidR="00B91CFC" w:rsidRDefault="00B91CFC" w:rsidP="00B91CFC">
      <w:pPr>
        <w:jc w:val="both"/>
      </w:pPr>
    </w:p>
    <w:p w14:paraId="6AD3C0C2" w14:textId="2C2E4DEB" w:rsidR="002630FB" w:rsidRDefault="002630FB" w:rsidP="00066DFB">
      <w:pPr>
        <w:spacing w:after="120"/>
        <w:jc w:val="both"/>
      </w:pPr>
      <w:r w:rsidRPr="002630FB">
        <w:rPr>
          <w:b/>
          <w:bCs/>
        </w:rPr>
        <w:t>Supplementary Algorithm S1:</w:t>
      </w:r>
      <w:r w:rsidRPr="002630FB">
        <w:t xml:space="preserve"> AI-CDSN Training Loop</w:t>
      </w:r>
    </w:p>
    <w:p w14:paraId="13324468" w14:textId="77777777" w:rsidR="00066DFB" w:rsidRDefault="00FE7875" w:rsidP="00FE7875">
      <w:pPr>
        <w:spacing w:after="160" w:line="259" w:lineRule="auto"/>
        <w:jc w:val="both"/>
        <w:rPr>
          <w:rFonts w:eastAsiaTheme="minorEastAsia" w:cstheme="minorBidi"/>
          <w:kern w:val="2"/>
          <w:sz w:val="22"/>
          <w:szCs w:val="22"/>
          <w14:ligatures w14:val="standardContextual"/>
        </w:rPr>
      </w:pPr>
      <w:r w:rsidRPr="00FE7875">
        <w:rPr>
          <w:rFonts w:eastAsiaTheme="minorHAnsi" w:cstheme="minorBidi"/>
          <w:kern w:val="2"/>
          <w:sz w:val="22"/>
          <w:szCs w:val="22"/>
          <w14:ligatures w14:val="standardContextual"/>
        </w:rPr>
        <w:t>Input: Initial conditions </w:t>
      </w:r>
      <m:oMath>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K</m:t>
            </m:r>
          </m:e>
          <m:sub>
            <m:r>
              <w:rPr>
                <w:rFonts w:ascii="Cambria Math" w:eastAsiaTheme="minorHAnsi" w:hAnsi="Cambria Math" w:cstheme="minorBidi"/>
                <w:kern w:val="2"/>
                <w:sz w:val="22"/>
                <w:szCs w:val="22"/>
                <w14:ligatures w14:val="standardContextual"/>
              </w:rPr>
              <m:t>0</m:t>
            </m:r>
          </m:sub>
        </m:sSub>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R</m:t>
            </m:r>
          </m:e>
          <m:sub>
            <m:r>
              <w:rPr>
                <w:rFonts w:ascii="Cambria Math" w:eastAsiaTheme="minorHAnsi" w:hAnsi="Cambria Math" w:cstheme="minorBidi"/>
                <w:kern w:val="2"/>
                <w:sz w:val="22"/>
                <w:szCs w:val="22"/>
                <w14:ligatures w14:val="standardContextual"/>
              </w:rPr>
              <m:t>0</m:t>
            </m:r>
          </m:sub>
        </m:sSub>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N</m:t>
            </m:r>
          </m:e>
          <m:sub>
            <m:r>
              <w:rPr>
                <w:rFonts w:ascii="Cambria Math" w:eastAsiaTheme="minorHAnsi" w:hAnsi="Cambria Math" w:cstheme="minorBidi"/>
                <w:kern w:val="2"/>
                <w:sz w:val="22"/>
                <w:szCs w:val="22"/>
                <w14:ligatures w14:val="standardContextual"/>
              </w:rPr>
              <m:t>0</m:t>
            </m:r>
          </m:sub>
        </m:sSub>
      </m:oMath>
      <w:r w:rsidRPr="00FE7875">
        <w:rPr>
          <w:rFonts w:eastAsiaTheme="minorHAnsi" w:cstheme="minorBidi"/>
          <w:kern w:val="2"/>
          <w:sz w:val="22"/>
          <w:szCs w:val="22"/>
          <w14:ligatures w14:val="standardContextual"/>
        </w:rPr>
        <w:t>; Planetary boundaries </w:t>
      </w:r>
      <m:oMath>
        <m:r>
          <w:rPr>
            <w:rFonts w:ascii="Cambria Math" w:eastAsiaTheme="minorHAnsi" w:hAnsi="Cambria Math" w:cstheme="minorBidi"/>
            <w:kern w:val="2"/>
            <w:sz w:val="22"/>
            <w:szCs w:val="22"/>
            <w14:ligatures w14:val="standardContextual"/>
          </w:rPr>
          <m:t>PB</m:t>
        </m:r>
      </m:oMath>
      <w:r w:rsidRPr="00FE7875">
        <w:rPr>
          <w:rFonts w:eastAsiaTheme="minorHAnsi" w:cstheme="minorBidi"/>
          <w:kern w:val="2"/>
          <w:sz w:val="22"/>
          <w:szCs w:val="22"/>
          <w14:ligatures w14:val="standardContextual"/>
        </w:rPr>
        <w:t>; Time horizon </w:t>
      </w:r>
      <m:oMath>
        <m:r>
          <w:rPr>
            <w:rFonts w:ascii="Cambria Math" w:eastAsiaTheme="minorHAnsi" w:hAnsi="Cambria Math" w:cstheme="minorBidi"/>
            <w:kern w:val="2"/>
            <w:sz w:val="22"/>
            <w:szCs w:val="22"/>
            <w14:ligatures w14:val="standardContextual"/>
          </w:rPr>
          <m:t>T=100</m:t>
        </m:r>
      </m:oMath>
    </w:p>
    <w:p w14:paraId="756A63BE" w14:textId="0A7713F7" w:rsidR="00FE7875" w:rsidRPr="00FE7875" w:rsidRDefault="00FE7875" w:rsidP="00FE7875">
      <w:p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Output: Trained neural ODE </w:t>
      </w:r>
      <m:oMath>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θ</m:t>
            </m:r>
          </m:e>
          <m:sup>
            <m:r>
              <w:rPr>
                <w:rFonts w:ascii="Cambria Math" w:eastAsiaTheme="minorHAnsi" w:hAnsi="Cambria Math" w:cstheme="minorBidi"/>
                <w:kern w:val="2"/>
                <w:sz w:val="22"/>
                <w:szCs w:val="22"/>
                <w14:ligatures w14:val="standardContextual"/>
              </w:rPr>
              <m:t>*</m:t>
            </m:r>
          </m:sup>
        </m:sSup>
      </m:oMath>
      <w:r w:rsidRPr="00FE7875">
        <w:rPr>
          <w:rFonts w:eastAsiaTheme="minorHAnsi" w:cstheme="minorBidi"/>
          <w:kern w:val="2"/>
          <w:sz w:val="22"/>
          <w:szCs w:val="22"/>
          <w14:ligatures w14:val="standardContextual"/>
        </w:rPr>
        <w:t>, optimal policies </w:t>
      </w:r>
      <m:oMath>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π</m:t>
            </m:r>
          </m:e>
          <m:sup>
            <m:r>
              <w:rPr>
                <w:rFonts w:ascii="Cambria Math" w:eastAsiaTheme="minorHAnsi" w:hAnsi="Cambria Math" w:cstheme="minorBidi"/>
                <w:kern w:val="2"/>
                <w:sz w:val="22"/>
                <w:szCs w:val="22"/>
                <w14:ligatures w14:val="standardContextual"/>
              </w:rPr>
              <m:t>*</m:t>
            </m:r>
          </m:sup>
        </m:sSup>
      </m:oMath>
      <w:r w:rsidRPr="00FE7875">
        <w:rPr>
          <w:rFonts w:eastAsiaTheme="minorHAnsi" w:cstheme="minorBidi"/>
          <w:kern w:val="2"/>
          <w:sz w:val="22"/>
          <w:szCs w:val="22"/>
          <w14:ligatures w14:val="standardContextual"/>
        </w:rPr>
        <w:t>, material allocations </w:t>
      </w:r>
      <m:oMath>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a</m:t>
            </m:r>
          </m:e>
          <m:sup>
            <m:r>
              <w:rPr>
                <w:rFonts w:ascii="Cambria Math" w:eastAsiaTheme="minorHAnsi" w:hAnsi="Cambria Math" w:cstheme="minorBidi"/>
                <w:kern w:val="2"/>
                <w:sz w:val="22"/>
                <w:szCs w:val="22"/>
                <w14:ligatures w14:val="standardContextual"/>
              </w:rPr>
              <m:t>*</m:t>
            </m:r>
          </m:sup>
        </m:sSup>
      </m:oMath>
    </w:p>
    <w:p w14:paraId="38FD7B5A" w14:textId="77F9DC3B"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Initialize neural ODE parameters </w:t>
      </w:r>
      <m:oMath>
        <m:r>
          <w:rPr>
            <w:rFonts w:ascii="Cambria Math" w:eastAsiaTheme="minorHAnsi" w:hAnsi="Cambria Math" w:cstheme="minorBidi"/>
            <w:kern w:val="2"/>
            <w:sz w:val="22"/>
            <w:szCs w:val="22"/>
            <w14:ligatures w14:val="standardContextual"/>
          </w:rPr>
          <m:t>θ</m:t>
        </m:r>
      </m:oMath>
      <w:r w:rsidRPr="00FE7875">
        <w:rPr>
          <w:rFonts w:eastAsiaTheme="minorHAnsi" w:cstheme="minorBidi"/>
          <w:kern w:val="2"/>
          <w:sz w:val="22"/>
          <w:szCs w:val="22"/>
          <w14:ligatures w14:val="standardContextual"/>
        </w:rPr>
        <w:t>, RL policy </w:t>
      </w:r>
      <m:oMath>
        <m:r>
          <w:rPr>
            <w:rFonts w:ascii="Cambria Math" w:eastAsiaTheme="minorHAnsi" w:hAnsi="Cambria Math" w:cstheme="minorBidi"/>
            <w:kern w:val="2"/>
            <w:sz w:val="22"/>
            <w:szCs w:val="22"/>
            <w14:ligatures w14:val="standardContextual"/>
          </w:rPr>
          <m:t>π</m:t>
        </m:r>
      </m:oMath>
      <w:r w:rsidRPr="00FE7875">
        <w:rPr>
          <w:rFonts w:eastAsiaTheme="minorHAnsi" w:cstheme="minorBidi"/>
          <w:kern w:val="2"/>
          <w:sz w:val="22"/>
          <w:szCs w:val="22"/>
          <w14:ligatures w14:val="standardContextual"/>
        </w:rPr>
        <w:t>, NSGA-III population </w:t>
      </w:r>
      <m:oMath>
        <m:r>
          <w:rPr>
            <w:rFonts w:ascii="Cambria Math" w:eastAsiaTheme="minorHAnsi" w:hAnsi="Cambria Math" w:cstheme="minorBidi"/>
            <w:kern w:val="2"/>
            <w:sz w:val="22"/>
            <w:szCs w:val="22"/>
            <w14:ligatures w14:val="standardContextual"/>
          </w:rPr>
          <m:t>P</m:t>
        </m:r>
      </m:oMath>
    </w:p>
    <w:p w14:paraId="6F720F7F"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lastRenderedPageBreak/>
        <w:t>for epoch = 1 to 10 do</w:t>
      </w:r>
    </w:p>
    <w:p w14:paraId="05C9793F"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w:t>
      </w:r>
      <w:r w:rsidRPr="00FE7875">
        <w:rPr>
          <w:rFonts w:eastAsiaTheme="minorHAnsi" w:cstheme="minorBidi"/>
          <w:i/>
          <w:iCs/>
          <w:kern w:val="2"/>
          <w:sz w:val="22"/>
          <w:szCs w:val="22"/>
          <w14:ligatures w14:val="standardContextual"/>
        </w:rPr>
        <w:t>// Phase 1: Neural ODE Training</w:t>
      </w:r>
    </w:p>
    <w:p w14:paraId="1D3D0DFA"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xml:space="preserve">    for batch in </w:t>
      </w:r>
      <w:proofErr w:type="spellStart"/>
      <w:r w:rsidRPr="00FE7875">
        <w:rPr>
          <w:rFonts w:eastAsiaTheme="minorHAnsi" w:cstheme="minorBidi"/>
          <w:kern w:val="2"/>
          <w:sz w:val="22"/>
          <w:szCs w:val="22"/>
          <w14:ligatures w14:val="standardContextual"/>
        </w:rPr>
        <w:t>DataLoader</w:t>
      </w:r>
      <w:proofErr w:type="spellEnd"/>
      <w:r w:rsidRPr="00FE7875">
        <w:rPr>
          <w:rFonts w:eastAsiaTheme="minorHAnsi" w:cstheme="minorBidi"/>
          <w:kern w:val="2"/>
          <w:sz w:val="22"/>
          <w:szCs w:val="22"/>
          <w14:ligatures w14:val="standardContextual"/>
        </w:rPr>
        <w:t> do</w:t>
      </w:r>
    </w:p>
    <w:p w14:paraId="4A4DEA1D" w14:textId="54F6FD74"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Integrate ODE: </w:t>
      </w:r>
      <m:oMath>
        <m:r>
          <w:rPr>
            <w:rFonts w:ascii="Cambria Math" w:eastAsiaTheme="minorHAnsi" w:hAnsi="Cambria Math" w:cstheme="minorBidi"/>
            <w:kern w:val="2"/>
            <w:sz w:val="22"/>
            <w:szCs w:val="22"/>
            <w14:ligatures w14:val="standardContextual"/>
          </w:rPr>
          <m:t>[K(t),R(t),N(t)]←</m:t>
        </m:r>
        <m:r>
          <m:rPr>
            <m:nor/>
          </m:rPr>
          <w:rPr>
            <w:rFonts w:eastAsiaTheme="minorHAnsi" w:cstheme="minorBidi"/>
            <w:kern w:val="2"/>
            <w:sz w:val="22"/>
            <w:szCs w:val="22"/>
            <w14:ligatures w14:val="standardContextual"/>
          </w:rPr>
          <m:t>ODESolve</m:t>
        </m:r>
        <m:r>
          <w:rPr>
            <w:rFonts w:ascii="Cambria Math" w:eastAsiaTheme="minorHAnsi" w:hAnsi="Cambria Math" w:cstheme="minorBidi"/>
            <w:kern w:val="2"/>
            <w:sz w:val="22"/>
            <w:szCs w:val="22"/>
            <w14:ligatures w14:val="standardContextual"/>
          </w:rPr>
          <m:t>(θ,</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K</m:t>
            </m:r>
          </m:e>
          <m:sub>
            <m:r>
              <w:rPr>
                <w:rFonts w:ascii="Cambria Math" w:eastAsiaTheme="minorHAnsi" w:hAnsi="Cambria Math" w:cstheme="minorBidi"/>
                <w:kern w:val="2"/>
                <w:sz w:val="22"/>
                <w:szCs w:val="22"/>
                <w14:ligatures w14:val="standardContextual"/>
              </w:rPr>
              <m:t>0</m:t>
            </m:r>
          </m:sub>
        </m:sSub>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R</m:t>
            </m:r>
          </m:e>
          <m:sub>
            <m:r>
              <w:rPr>
                <w:rFonts w:ascii="Cambria Math" w:eastAsiaTheme="minorHAnsi" w:hAnsi="Cambria Math" w:cstheme="minorBidi"/>
                <w:kern w:val="2"/>
                <w:sz w:val="22"/>
                <w:szCs w:val="22"/>
                <w14:ligatures w14:val="standardContextual"/>
              </w:rPr>
              <m:t>0</m:t>
            </m:r>
          </m:sub>
        </m:sSub>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N</m:t>
            </m:r>
          </m:e>
          <m:sub>
            <m:r>
              <w:rPr>
                <w:rFonts w:ascii="Cambria Math" w:eastAsiaTheme="minorHAnsi" w:hAnsi="Cambria Math" w:cstheme="minorBidi"/>
                <w:kern w:val="2"/>
                <w:sz w:val="22"/>
                <w:szCs w:val="22"/>
                <w14:ligatures w14:val="standardContextual"/>
              </w:rPr>
              <m:t>0</m:t>
            </m:r>
          </m:sub>
        </m:sSub>
        <m:r>
          <w:rPr>
            <w:rFonts w:ascii="Cambria Math" w:eastAsiaTheme="minorHAnsi" w:hAnsi="Cambria Math" w:cstheme="minorBidi"/>
            <w:kern w:val="2"/>
            <w:sz w:val="22"/>
            <w:szCs w:val="22"/>
            <w14:ligatures w14:val="standardContextual"/>
          </w:rPr>
          <m:t>,t∈[0,T])</m:t>
        </m:r>
      </m:oMath>
    </w:p>
    <w:p w14:paraId="2A1B4084" w14:textId="399CEAFF"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Compute ecological regularization: </w:t>
      </w:r>
      <m:oMath>
        <m:sSub>
          <m:sSubPr>
            <m:ctrlPr>
              <w:rPr>
                <w:rFonts w:ascii="Cambria Math" w:eastAsiaTheme="minorHAnsi" w:hAnsi="Cambria Math" w:cstheme="minorBidi"/>
                <w:kern w:val="2"/>
                <w:sz w:val="22"/>
                <w:szCs w:val="22"/>
                <w14:ligatures w14:val="standardContextual"/>
              </w:rPr>
            </m:ctrlPr>
          </m:sSubPr>
          <m:e>
            <m:r>
              <m:rPr>
                <m:scr m:val="script"/>
              </m:rPr>
              <w:rPr>
                <w:rFonts w:ascii="Cambria Math" w:eastAsiaTheme="minorHAnsi" w:hAnsi="Cambria Math" w:cstheme="minorBidi"/>
                <w:kern w:val="2"/>
                <w:sz w:val="22"/>
                <w:szCs w:val="22"/>
                <w14:ligatures w14:val="standardContextual"/>
              </w:rPr>
              <m:t>L</m:t>
            </m:r>
          </m:e>
          <m:sub>
            <m:r>
              <m:rPr>
                <m:nor/>
              </m:rPr>
              <w:rPr>
                <w:rFonts w:eastAsiaTheme="minorHAnsi" w:cstheme="minorBidi"/>
                <w:kern w:val="2"/>
                <w:sz w:val="22"/>
                <w:szCs w:val="22"/>
                <w14:ligatures w14:val="standardContextual"/>
              </w:rPr>
              <m:t>eco</m:t>
            </m:r>
          </m:sub>
        </m:sSub>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λ</m:t>
            </m:r>
          </m:e>
          <m:sub>
            <m:r>
              <m:rPr>
                <m:nor/>
              </m:rPr>
              <w:rPr>
                <w:rFonts w:eastAsiaTheme="minorHAnsi" w:cstheme="minorBidi"/>
                <w:kern w:val="2"/>
                <w:sz w:val="22"/>
                <w:szCs w:val="22"/>
                <w14:ligatures w14:val="standardContextual"/>
              </w:rPr>
              <m:t>eco</m:t>
            </m:r>
          </m:sub>
        </m:sSub>
        <m:r>
          <w:rPr>
            <w:rFonts w:ascii="Cambria Math" w:eastAsiaTheme="minorHAnsi" w:hAnsi="Cambria Math" w:cstheme="minorBidi"/>
            <w:kern w:val="2"/>
            <w:sz w:val="22"/>
            <w:szCs w:val="22"/>
            <w14:ligatures w14:val="standardContextual"/>
          </w:rPr>
          <m:t>⋅</m:t>
        </m:r>
        <m:r>
          <m:rPr>
            <m:sty m:val="p"/>
          </m:rPr>
          <w:rPr>
            <w:rFonts w:ascii="Cambria Math" w:eastAsiaTheme="minorHAnsi" w:hAnsi="Cambria Math" w:cstheme="minorBidi"/>
            <w:kern w:val="2"/>
            <w:sz w:val="22"/>
            <w:szCs w:val="22"/>
            <w14:ligatures w14:val="standardContextual"/>
          </w:rPr>
          <m:t>max</m:t>
        </m:r>
        <m:r>
          <w:rPr>
            <w:rFonts w:ascii="Cambria Math" w:eastAsiaTheme="minorHAnsi" w:hAnsi="Cambria Math" w:cstheme="minorBidi"/>
            <w:kern w:val="2"/>
            <w:sz w:val="22"/>
            <w:szCs w:val="22"/>
            <w14:ligatures w14:val="standardContextual"/>
          </w:rPr>
          <m:t>⁡(0,</m:t>
        </m:r>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K</m:t>
            </m:r>
          </m:e>
          <m:sup>
            <m:r>
              <m:rPr>
                <m:sty m:val="p"/>
              </m:rPr>
              <w:rPr>
                <w:rFonts w:ascii="Cambria Math" w:eastAsiaTheme="minorHAnsi" w:hAnsi="Cambria Math" w:cstheme="minorBidi"/>
                <w:kern w:val="2"/>
                <w:sz w:val="22"/>
                <w:szCs w:val="22"/>
                <w14:ligatures w14:val="standardContextual"/>
              </w:rPr>
              <m:t>'</m:t>
            </m:r>
          </m:sup>
        </m:sSup>
        <m:r>
          <w:rPr>
            <w:rFonts w:ascii="Cambria Math" w:eastAsiaTheme="minorHAnsi" w:hAnsi="Cambria Math" w:cstheme="minorBidi"/>
            <w:kern w:val="2"/>
            <w:sz w:val="22"/>
            <w:szCs w:val="22"/>
            <w14:ligatures w14:val="standardContextual"/>
          </w:rPr>
          <m:t>(t)⋅</m:t>
        </m:r>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R</m:t>
            </m:r>
          </m:e>
          <m:sup>
            <m:r>
              <m:rPr>
                <m:sty m:val="p"/>
              </m:rPr>
              <w:rPr>
                <w:rFonts w:ascii="Cambria Math" w:eastAsiaTheme="minorHAnsi" w:hAnsi="Cambria Math" w:cstheme="minorBidi"/>
                <w:kern w:val="2"/>
                <w:sz w:val="22"/>
                <w:szCs w:val="22"/>
                <w14:ligatures w14:val="standardContextual"/>
              </w:rPr>
              <m:t>'</m:t>
            </m:r>
          </m:sup>
        </m:sSup>
        <m:r>
          <w:rPr>
            <w:rFonts w:ascii="Cambria Math" w:eastAsiaTheme="minorHAnsi" w:hAnsi="Cambria Math" w:cstheme="minorBidi"/>
            <w:kern w:val="2"/>
            <w:sz w:val="22"/>
            <w:szCs w:val="22"/>
            <w14:ligatures w14:val="standardContextual"/>
          </w:rPr>
          <m:t>(t))</m:t>
        </m:r>
      </m:oMath>
    </w:p>
    <w:p w14:paraId="7286C398" w14:textId="6C4CF2E9"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Compute total loss: </w:t>
      </w:r>
      <m:oMath>
        <m:r>
          <m:rPr>
            <m:scr m:val="script"/>
          </m:rPr>
          <w:rPr>
            <w:rFonts w:ascii="Cambria Math" w:eastAsiaTheme="minorHAnsi" w:hAnsi="Cambria Math" w:cstheme="minorBidi"/>
            <w:kern w:val="2"/>
            <w:sz w:val="22"/>
            <w:szCs w:val="22"/>
            <w14:ligatures w14:val="standardContextual"/>
          </w:rPr>
          <m:t>L←</m:t>
        </m:r>
        <m:r>
          <m:rPr>
            <m:nor/>
          </m:rPr>
          <w:rPr>
            <w:rFonts w:eastAsiaTheme="minorHAnsi" w:cstheme="minorBidi"/>
            <w:kern w:val="2"/>
            <w:sz w:val="22"/>
            <w:szCs w:val="22"/>
            <w14:ligatures w14:val="standardContextual"/>
          </w:rPr>
          <m:t>MSE</m:t>
        </m:r>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pred</m:t>
        </m:r>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target</m:t>
        </m:r>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m:rPr>
                <m:scr m:val="script"/>
              </m:rPr>
              <w:rPr>
                <w:rFonts w:ascii="Cambria Math" w:eastAsiaTheme="minorHAnsi" w:hAnsi="Cambria Math" w:cstheme="minorBidi"/>
                <w:kern w:val="2"/>
                <w:sz w:val="22"/>
                <w:szCs w:val="22"/>
                <w14:ligatures w14:val="standardContextual"/>
              </w:rPr>
              <m:t>L</m:t>
            </m:r>
          </m:e>
          <m:sub>
            <m:r>
              <m:rPr>
                <m:nor/>
              </m:rPr>
              <w:rPr>
                <w:rFonts w:eastAsiaTheme="minorHAnsi" w:cstheme="minorBidi"/>
                <w:kern w:val="2"/>
                <w:sz w:val="22"/>
                <w:szCs w:val="22"/>
                <w14:ligatures w14:val="standardContextual"/>
              </w:rPr>
              <m:t>eco</m:t>
            </m:r>
          </m:sub>
        </m:sSub>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m:rPr>
                <m:scr m:val="script"/>
              </m:rPr>
              <w:rPr>
                <w:rFonts w:ascii="Cambria Math" w:eastAsiaTheme="minorHAnsi" w:hAnsi="Cambria Math" w:cstheme="minorBidi"/>
                <w:kern w:val="2"/>
                <w:sz w:val="22"/>
                <w:szCs w:val="22"/>
                <w14:ligatures w14:val="standardContextual"/>
              </w:rPr>
              <m:t>L</m:t>
            </m:r>
          </m:e>
          <m:sub>
            <m:r>
              <m:rPr>
                <m:nor/>
              </m:rPr>
              <w:rPr>
                <w:rFonts w:eastAsiaTheme="minorHAnsi" w:cstheme="minorBidi"/>
                <w:kern w:val="2"/>
                <w:sz w:val="22"/>
                <w:szCs w:val="22"/>
                <w14:ligatures w14:val="standardContextual"/>
              </w:rPr>
              <m:t>ethical</m:t>
            </m:r>
          </m:sub>
        </m:sSub>
      </m:oMath>
    </w:p>
    <w:p w14:paraId="370A8E8A" w14:textId="6328C4F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Update: </w:t>
      </w:r>
      <m:oMath>
        <m:r>
          <w:rPr>
            <w:rFonts w:ascii="Cambria Math" w:eastAsiaTheme="minorHAnsi" w:hAnsi="Cambria Math" w:cstheme="minorBidi"/>
            <w:kern w:val="2"/>
            <w:sz w:val="22"/>
            <w:szCs w:val="22"/>
            <w14:ligatures w14:val="standardContextual"/>
          </w:rPr>
          <m:t>θ←θ-η</m:t>
        </m:r>
        <m:sSub>
          <m:sSubPr>
            <m:ctrlPr>
              <w:rPr>
                <w:rFonts w:ascii="Cambria Math" w:eastAsiaTheme="minorHAnsi" w:hAnsi="Cambria Math" w:cstheme="minorBidi"/>
                <w:kern w:val="2"/>
                <w:sz w:val="22"/>
                <w:szCs w:val="22"/>
                <w14:ligatures w14:val="standardContextual"/>
              </w:rPr>
            </m:ctrlPr>
          </m:sSubPr>
          <m:e>
            <m:r>
              <m:rPr>
                <m:sty m:val="p"/>
              </m:rPr>
              <w:rPr>
                <w:rFonts w:ascii="Cambria Math" w:eastAsiaTheme="minorHAnsi" w:hAnsi="Cambria Math" w:cstheme="minorBidi"/>
                <w:kern w:val="2"/>
                <w:sz w:val="22"/>
                <w:szCs w:val="22"/>
                <w14:ligatures w14:val="standardContextual"/>
              </w:rPr>
              <m:t>∇</m:t>
            </m:r>
          </m:e>
          <m:sub>
            <m:r>
              <w:rPr>
                <w:rFonts w:ascii="Cambria Math" w:eastAsiaTheme="minorHAnsi" w:hAnsi="Cambria Math" w:cstheme="minorBidi"/>
                <w:kern w:val="2"/>
                <w:sz w:val="22"/>
                <w:szCs w:val="22"/>
                <w14:ligatures w14:val="standardContextual"/>
              </w:rPr>
              <m:t>θ</m:t>
            </m:r>
          </m:sub>
        </m:sSub>
        <m:r>
          <m:rPr>
            <m:scr m:val="script"/>
          </m:rPr>
          <w:rPr>
            <w:rFonts w:ascii="Cambria Math" w:eastAsiaTheme="minorHAnsi" w:hAnsi="Cambria Math" w:cstheme="minorBidi"/>
            <w:kern w:val="2"/>
            <w:sz w:val="22"/>
            <w:szCs w:val="22"/>
            <w14:ligatures w14:val="standardContextual"/>
          </w:rPr>
          <m:t>L</m:t>
        </m:r>
      </m:oMath>
    </w:p>
    <w:p w14:paraId="2B0B0266"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end for</w:t>
      </w:r>
    </w:p>
    <w:p w14:paraId="6067DAB8"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p>
    <w:p w14:paraId="0B3EB29E"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w:t>
      </w:r>
      <w:r w:rsidRPr="00FE7875">
        <w:rPr>
          <w:rFonts w:eastAsiaTheme="minorHAnsi" w:cstheme="minorBidi"/>
          <w:i/>
          <w:iCs/>
          <w:kern w:val="2"/>
          <w:sz w:val="22"/>
          <w:szCs w:val="22"/>
          <w14:ligatures w14:val="standardContextual"/>
        </w:rPr>
        <w:t>// Phase 2: Dynamic Weight Adaptation (Eq. 9)</w:t>
      </w:r>
    </w:p>
    <w:p w14:paraId="7F570ED8" w14:textId="7C77569F"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Compute PB deviations: </w:t>
      </w:r>
      <m:oMath>
        <m:sSub>
          <m:sSubPr>
            <m:ctrlPr>
              <w:rPr>
                <w:rFonts w:ascii="Cambria Math" w:eastAsiaTheme="minorHAnsi" w:hAnsi="Cambria Math" w:cstheme="minorBidi"/>
                <w:kern w:val="2"/>
                <w:sz w:val="22"/>
                <w:szCs w:val="22"/>
                <w14:ligatures w14:val="standardContextual"/>
              </w:rPr>
            </m:ctrlPr>
          </m:sSubPr>
          <m:e>
            <m:r>
              <m:rPr>
                <m:sty m:val="p"/>
              </m:rPr>
              <w:rPr>
                <w:rFonts w:ascii="Cambria Math" w:eastAsiaTheme="minorHAnsi" w:hAnsi="Cambria Math" w:cstheme="minorBidi"/>
                <w:kern w:val="2"/>
                <w:sz w:val="22"/>
                <w:szCs w:val="22"/>
                <w14:ligatures w14:val="standardContextual"/>
              </w:rPr>
              <m:t>Δ</m:t>
            </m:r>
          </m:e>
          <m:sub>
            <m:r>
              <w:rPr>
                <w:rFonts w:ascii="Cambria Math" w:eastAsiaTheme="minorHAnsi" w:hAnsi="Cambria Math" w:cstheme="minorBidi"/>
                <w:kern w:val="2"/>
                <w:sz w:val="22"/>
                <w:szCs w:val="22"/>
                <w14:ligatures w14:val="standardContextual"/>
              </w:rPr>
              <m:t>PB</m:t>
            </m:r>
          </m:sub>
        </m:sSub>
        <m:r>
          <w:rPr>
            <w:rFonts w:ascii="Cambria Math" w:eastAsiaTheme="minorHAnsi" w:hAnsi="Cambria Math" w:cstheme="minorBidi"/>
            <w:kern w:val="2"/>
            <w:sz w:val="22"/>
            <w:szCs w:val="22"/>
            <w14:ligatures w14:val="standardContextual"/>
          </w:rPr>
          <m:t>←</m:t>
        </m:r>
        <m:r>
          <m:rPr>
            <m:sty m:val="p"/>
          </m:rPr>
          <w:rPr>
            <w:rFonts w:ascii="Cambria Math" w:eastAsiaTheme="minorHAnsi" w:hAnsi="Cambria Math" w:cstheme="minorBidi"/>
            <w:kern w:val="2"/>
            <w:sz w:val="22"/>
            <w:szCs w:val="22"/>
            <w14:ligatures w14:val="standardContextual"/>
          </w:rPr>
          <m:t>∣</m:t>
        </m:r>
        <m:r>
          <w:rPr>
            <w:rFonts w:ascii="Cambria Math" w:eastAsiaTheme="minorHAnsi" w:hAnsi="Cambria Math" w:cstheme="minorBidi"/>
            <w:kern w:val="2"/>
            <w:sz w:val="22"/>
            <w:szCs w:val="22"/>
            <w14:ligatures w14:val="standardContextual"/>
          </w:rPr>
          <m:t>P</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B</m:t>
            </m:r>
          </m:e>
          <m:sub>
            <m:r>
              <m:rPr>
                <m:nor/>
              </m:rPr>
              <w:rPr>
                <w:rFonts w:eastAsiaTheme="minorHAnsi" w:cstheme="minorBidi"/>
                <w:kern w:val="2"/>
                <w:sz w:val="22"/>
                <w:szCs w:val="22"/>
                <w14:ligatures w14:val="standardContextual"/>
              </w:rPr>
              <m:t>current</m:t>
            </m:r>
          </m:sub>
        </m:sSub>
        <m:r>
          <w:rPr>
            <w:rFonts w:ascii="Cambria Math" w:eastAsiaTheme="minorHAnsi" w:hAnsi="Cambria Math" w:cstheme="minorBidi"/>
            <w:kern w:val="2"/>
            <w:sz w:val="22"/>
            <w:szCs w:val="22"/>
            <w14:ligatures w14:val="standardContextual"/>
          </w:rPr>
          <m:t>-P</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B</m:t>
            </m:r>
          </m:e>
          <m:sub>
            <m:r>
              <m:rPr>
                <m:nor/>
              </m:rPr>
              <w:rPr>
                <w:rFonts w:eastAsiaTheme="minorHAnsi" w:cstheme="minorBidi"/>
                <w:kern w:val="2"/>
                <w:sz w:val="22"/>
                <w:szCs w:val="22"/>
                <w14:ligatures w14:val="standardContextual"/>
              </w:rPr>
              <m:t>safe</m:t>
            </m:r>
          </m:sub>
        </m:sSub>
        <m:r>
          <m:rPr>
            <m:sty m:val="p"/>
          </m:rPr>
          <w:rPr>
            <w:rFonts w:ascii="Cambria Math" w:eastAsiaTheme="minorHAnsi" w:hAnsi="Cambria Math" w:cstheme="minorBidi"/>
            <w:kern w:val="2"/>
            <w:sz w:val="22"/>
            <w:szCs w:val="22"/>
            <w14:ligatures w14:val="standardContextual"/>
          </w:rPr>
          <m:t>∣</m:t>
        </m:r>
      </m:oMath>
    </w:p>
    <w:p w14:paraId="49E15E31" w14:textId="70F46B8D"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Update weights: </w:t>
      </w:r>
      <m:oMath>
        <m:r>
          <w:rPr>
            <w:rFonts w:ascii="Cambria Math" w:eastAsiaTheme="minorHAnsi" w:hAnsi="Cambria Math" w:cstheme="minorBidi"/>
            <w:kern w:val="2"/>
            <w:sz w:val="22"/>
            <w:szCs w:val="22"/>
            <w14:ligatures w14:val="standardContextual"/>
          </w:rPr>
          <m:t>w←</m:t>
        </m:r>
        <m:r>
          <m:rPr>
            <m:nor/>
          </m:rPr>
          <w:rPr>
            <w:rFonts w:eastAsiaTheme="minorHAnsi" w:cstheme="minorBidi"/>
            <w:kern w:val="2"/>
            <w:sz w:val="22"/>
            <w:szCs w:val="22"/>
            <w14:ligatures w14:val="standardContextual"/>
          </w:rPr>
          <m:t>Softmax</m:t>
        </m:r>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MLP</m:t>
        </m:r>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m:rPr>
                <m:sty m:val="p"/>
              </m:rPr>
              <w:rPr>
                <w:rFonts w:ascii="Cambria Math" w:eastAsiaTheme="minorHAnsi" w:hAnsi="Cambria Math" w:cstheme="minorBidi"/>
                <w:kern w:val="2"/>
                <w:sz w:val="22"/>
                <w:szCs w:val="22"/>
                <w14:ligatures w14:val="standardContextual"/>
              </w:rPr>
              <m:t>Δ</m:t>
            </m:r>
          </m:e>
          <m:sub>
            <m:r>
              <w:rPr>
                <w:rFonts w:ascii="Cambria Math" w:eastAsiaTheme="minorHAnsi" w:hAnsi="Cambria Math" w:cstheme="minorBidi"/>
                <w:kern w:val="2"/>
                <w:sz w:val="22"/>
                <w:szCs w:val="22"/>
                <w14:ligatures w14:val="standardContextual"/>
              </w:rPr>
              <m:t>PB</m:t>
            </m:r>
          </m:sub>
        </m:sSub>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GNN</m:t>
        </m:r>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social_equity</m:t>
        </m:r>
        <m:r>
          <w:rPr>
            <w:rFonts w:ascii="Cambria Math" w:eastAsiaTheme="minorHAnsi" w:hAnsi="Cambria Math" w:cstheme="minorBidi"/>
            <w:kern w:val="2"/>
            <w:sz w:val="22"/>
            <w:szCs w:val="22"/>
            <w14:ligatures w14:val="standardContextual"/>
          </w:rPr>
          <m:t>))</m:t>
        </m:r>
      </m:oMath>
    </w:p>
    <w:p w14:paraId="65E76307"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p>
    <w:p w14:paraId="78CEEC97"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w:t>
      </w:r>
      <w:r w:rsidRPr="00FE7875">
        <w:rPr>
          <w:rFonts w:eastAsiaTheme="minorHAnsi" w:cstheme="minorBidi"/>
          <w:i/>
          <w:iCs/>
          <w:kern w:val="2"/>
          <w:sz w:val="22"/>
          <w:szCs w:val="22"/>
          <w14:ligatures w14:val="standardContextual"/>
        </w:rPr>
        <w:t>// Phase 3: Multi-Objective Optimization (Eq. 3)</w:t>
      </w:r>
    </w:p>
    <w:p w14:paraId="35575005" w14:textId="6347B3CC"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w:t>
      </w:r>
      <m:oMath>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P</m:t>
            </m:r>
          </m:e>
          <m:sup>
            <m:r>
              <m:rPr>
                <m:sty m:val="p"/>
              </m:rPr>
              <w:rPr>
                <w:rFonts w:ascii="Cambria Math" w:eastAsiaTheme="minorHAnsi" w:hAnsi="Cambria Math" w:cstheme="minorBidi"/>
                <w:kern w:val="2"/>
                <w:sz w:val="22"/>
                <w:szCs w:val="22"/>
                <w14:ligatures w14:val="standardContextual"/>
              </w:rPr>
              <m:t>'</m:t>
            </m:r>
          </m:sup>
        </m:sSup>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NSGA-III</m:t>
        </m:r>
        <m:r>
          <w:rPr>
            <w:rFonts w:ascii="Cambria Math" w:eastAsiaTheme="minorHAnsi" w:hAnsi="Cambria Math" w:cstheme="minorBidi"/>
            <w:kern w:val="2"/>
            <w:sz w:val="22"/>
            <w:szCs w:val="22"/>
            <w14:ligatures w14:val="standardContextual"/>
          </w:rPr>
          <m:t>(P,</m:t>
        </m:r>
        <m:r>
          <m:rPr>
            <m:nor/>
          </m:rPr>
          <w:rPr>
            <w:rFonts w:eastAsiaTheme="minorHAnsi" w:cstheme="minorBidi"/>
            <w:kern w:val="2"/>
            <w:sz w:val="22"/>
            <w:szCs w:val="22"/>
            <w14:ligatures w14:val="standardContextual"/>
          </w:rPr>
          <m:t>objectives</m:t>
        </m:r>
        <m:r>
          <w:rPr>
            <w:rFonts w:ascii="Cambria Math" w:eastAsiaTheme="minorHAnsi" w:hAnsi="Cambria Math" w:cstheme="minorBidi"/>
            <w:kern w:val="2"/>
            <w:sz w:val="22"/>
            <w:szCs w:val="22"/>
            <w14:ligatures w14:val="standardContextual"/>
          </w:rPr>
          <m:t>=[E,C],</m:t>
        </m:r>
        <m:r>
          <m:rPr>
            <m:nor/>
          </m:rPr>
          <w:rPr>
            <w:rFonts w:eastAsiaTheme="minorHAnsi" w:cstheme="minorBidi"/>
            <w:kern w:val="2"/>
            <w:sz w:val="22"/>
            <w:szCs w:val="22"/>
            <w14:ligatures w14:val="standardContextual"/>
          </w:rPr>
          <m:t>constraints</m:t>
        </m:r>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SDG</m:t>
        </m:r>
        <m:r>
          <w:rPr>
            <w:rFonts w:ascii="Cambria Math" w:eastAsiaTheme="minorHAnsi" w:hAnsi="Cambria Math" w:cstheme="minorBidi"/>
            <w:kern w:val="2"/>
            <w:sz w:val="22"/>
            <w:szCs w:val="22"/>
            <w14:ligatures w14:val="standardContextual"/>
          </w:rPr>
          <m:t>)</m:t>
        </m:r>
      </m:oMath>
    </w:p>
    <w:p w14:paraId="71A5B0B2" w14:textId="2EAFFE04"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Select elite: </w:t>
      </w:r>
      <m:oMath>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a</m:t>
            </m:r>
          </m:e>
          <m:sup>
            <m:r>
              <w:rPr>
                <w:rFonts w:ascii="Cambria Math" w:eastAsiaTheme="minorHAnsi" w:hAnsi="Cambria Math" w:cstheme="minorBidi"/>
                <w:kern w:val="2"/>
                <w:sz w:val="22"/>
                <w:szCs w:val="22"/>
                <w14:ligatures w14:val="standardContextual"/>
              </w:rPr>
              <m:t>*</m:t>
            </m:r>
          </m:sup>
        </m:sSup>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best_individuals</m:t>
        </m:r>
        <m:r>
          <w:rPr>
            <w:rFonts w:ascii="Cambria Math" w:eastAsiaTheme="minorHAnsi" w:hAnsi="Cambria Math" w:cstheme="minorBidi"/>
            <w:kern w:val="2"/>
            <w:sz w:val="22"/>
            <w:szCs w:val="22"/>
            <w14:ligatures w14:val="standardContextual"/>
          </w:rPr>
          <m:t>(</m:t>
        </m:r>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P</m:t>
            </m:r>
          </m:e>
          <m:sup>
            <m:r>
              <m:rPr>
                <m:sty m:val="p"/>
              </m:rPr>
              <w:rPr>
                <w:rFonts w:ascii="Cambria Math" w:eastAsiaTheme="minorHAnsi" w:hAnsi="Cambria Math" w:cstheme="minorBidi"/>
                <w:kern w:val="2"/>
                <w:sz w:val="22"/>
                <w:szCs w:val="22"/>
                <w14:ligatures w14:val="standardContextual"/>
              </w:rPr>
              <m:t>'</m:t>
            </m:r>
          </m:sup>
        </m:sSup>
        <m:r>
          <w:rPr>
            <w:rFonts w:ascii="Cambria Math" w:eastAsiaTheme="minorHAnsi" w:hAnsi="Cambria Math" w:cstheme="minorBidi"/>
            <w:kern w:val="2"/>
            <w:sz w:val="22"/>
            <w:szCs w:val="22"/>
            <w14:ligatures w14:val="standardContextual"/>
          </w:rPr>
          <m:t>)</m:t>
        </m:r>
      </m:oMath>
    </w:p>
    <w:p w14:paraId="7C78978B"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p>
    <w:p w14:paraId="395AAB81"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w:t>
      </w:r>
      <w:r w:rsidRPr="00FE7875">
        <w:rPr>
          <w:rFonts w:eastAsiaTheme="minorHAnsi" w:cstheme="minorBidi"/>
          <w:i/>
          <w:iCs/>
          <w:kern w:val="2"/>
          <w:sz w:val="22"/>
          <w:szCs w:val="22"/>
          <w14:ligatures w14:val="standardContextual"/>
        </w:rPr>
        <w:t>// Phase 4: Reinforcement Learning (Eq. 4)</w:t>
      </w:r>
    </w:p>
    <w:p w14:paraId="66723F04"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for episode = 1 to 1000 do</w:t>
      </w:r>
    </w:p>
    <w:p w14:paraId="47E85D69" w14:textId="4CA3B362"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w:t>
      </w:r>
      <m:oMath>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s</m:t>
            </m:r>
          </m:e>
          <m:sub>
            <m:r>
              <w:rPr>
                <w:rFonts w:ascii="Cambria Math" w:eastAsiaTheme="minorHAnsi" w:hAnsi="Cambria Math" w:cstheme="minorBidi"/>
                <w:kern w:val="2"/>
                <w:sz w:val="22"/>
                <w:szCs w:val="22"/>
                <w14:ligatures w14:val="standardContextual"/>
              </w:rPr>
              <m:t>0</m:t>
            </m:r>
          </m:sub>
        </m:sSub>
        <m:r>
          <w:rPr>
            <w:rFonts w:ascii="Cambria Math" w:eastAsiaTheme="minorHAnsi" w:hAnsi="Cambria Math" w:cstheme="minorBidi"/>
            <w:kern w:val="2"/>
            <w:sz w:val="22"/>
            <w:szCs w:val="22"/>
            <w14:ligatures w14:val="standardContextual"/>
          </w:rPr>
          <m:t>←[K(0),R(0),N(0),D,PB]</m:t>
        </m:r>
      </m:oMath>
    </w:p>
    <w:p w14:paraId="385460A2"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for step = 1 to 100 do</w:t>
      </w:r>
    </w:p>
    <w:p w14:paraId="180BF860" w14:textId="7828A28D"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Action: </w:t>
      </w:r>
      <m:oMath>
        <m:r>
          <w:rPr>
            <w:rFonts w:ascii="Cambria Math" w:eastAsiaTheme="minorHAnsi" w:hAnsi="Cambria Math" w:cstheme="minorBidi"/>
            <w:kern w:val="2"/>
            <w:sz w:val="22"/>
            <w:szCs w:val="22"/>
            <w14:ligatures w14:val="standardContextual"/>
          </w:rPr>
          <m:t>a←π(</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s</m:t>
            </m:r>
          </m:e>
          <m:sub>
            <m:r>
              <w:rPr>
                <w:rFonts w:ascii="Cambria Math" w:eastAsiaTheme="minorHAnsi" w:hAnsi="Cambria Math" w:cstheme="minorBidi"/>
                <w:kern w:val="2"/>
                <w:sz w:val="22"/>
                <w:szCs w:val="22"/>
                <w14:ligatures w14:val="standardContextual"/>
              </w:rPr>
              <m:t>t</m:t>
            </m:r>
          </m:sub>
        </m:sSub>
        <m:r>
          <w:rPr>
            <w:rFonts w:ascii="Cambria Math" w:eastAsiaTheme="minorHAnsi" w:hAnsi="Cambria Math" w:cstheme="minorBidi"/>
            <w:kern w:val="2"/>
            <w:sz w:val="22"/>
            <w:szCs w:val="22"/>
            <w14:ligatures w14:val="standardContextual"/>
          </w:rPr>
          <m:t>)+ε</m:t>
        </m:r>
      </m:oMath>
      <w:r w:rsidRPr="00FE7875">
        <w:rPr>
          <w:rFonts w:eastAsiaTheme="minorHAnsi" w:cstheme="minorBidi"/>
          <w:kern w:val="2"/>
          <w:sz w:val="22"/>
          <w:szCs w:val="22"/>
          <w14:ligatures w14:val="standardContextual"/>
        </w:rPr>
        <w:t> (</w:t>
      </w:r>
      <m:oMath>
        <m:r>
          <w:rPr>
            <w:rFonts w:ascii="Cambria Math" w:eastAsiaTheme="minorHAnsi" w:hAnsi="Cambria Math" w:cstheme="minorBidi"/>
            <w:kern w:val="2"/>
            <w:sz w:val="22"/>
            <w:szCs w:val="22"/>
            <w14:ligatures w14:val="standardContextual"/>
          </w:rPr>
          <m:t>ε</m:t>
        </m:r>
      </m:oMath>
      <w:r w:rsidRPr="00FE7875">
        <w:rPr>
          <w:rFonts w:eastAsiaTheme="minorHAnsi" w:cstheme="minorBidi"/>
          <w:kern w:val="2"/>
          <w:sz w:val="22"/>
          <w:szCs w:val="22"/>
          <w14:ligatures w14:val="standardContextual"/>
        </w:rPr>
        <w:t>-greedy exploration)</w:t>
      </w:r>
    </w:p>
    <w:p w14:paraId="1E444655" w14:textId="315A3BDA"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Update LSTM coefficients: </w:t>
      </w:r>
      <m:oMath>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λ</m:t>
            </m:r>
          </m:e>
          <m:sub>
            <m:r>
              <m:rPr>
                <m:nor/>
              </m:rPr>
              <w:rPr>
                <w:rFonts w:eastAsiaTheme="minorHAnsi" w:cstheme="minorBidi"/>
                <w:kern w:val="2"/>
                <w:sz w:val="22"/>
                <w:szCs w:val="22"/>
                <w14:ligatures w14:val="standardContextual"/>
              </w:rPr>
              <m:t>carbon</m:t>
            </m:r>
          </m:sub>
        </m:sSub>
        <m:r>
          <w:rPr>
            <w:rFonts w:ascii="Cambria Math" w:eastAsiaTheme="minorHAnsi" w:hAnsi="Cambria Math" w:cstheme="minorBidi"/>
            <w:kern w:val="2"/>
            <w:sz w:val="22"/>
            <w:szCs w:val="22"/>
            <w14:ligatures w14:val="standardContextual"/>
          </w:rPr>
          <m:t>(t),</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λ</m:t>
            </m:r>
          </m:e>
          <m:sub>
            <m:r>
              <m:rPr>
                <m:nor/>
              </m:rPr>
              <w:rPr>
                <w:rFonts w:eastAsiaTheme="minorHAnsi" w:cstheme="minorBidi"/>
                <w:kern w:val="2"/>
                <w:sz w:val="22"/>
                <w:szCs w:val="22"/>
                <w14:ligatures w14:val="standardContextual"/>
              </w:rPr>
              <m:t>fairness</m:t>
            </m:r>
          </m:sub>
        </m:sSub>
        <m:r>
          <w:rPr>
            <w:rFonts w:ascii="Cambria Math" w:eastAsiaTheme="minorHAnsi" w:hAnsi="Cambria Math" w:cstheme="minorBidi"/>
            <w:kern w:val="2"/>
            <w:sz w:val="22"/>
            <w:szCs w:val="22"/>
            <w14:ligatures w14:val="standardContextual"/>
          </w:rPr>
          <m:t>(t)←</m:t>
        </m:r>
        <m:r>
          <m:rPr>
            <m:nor/>
          </m:rPr>
          <w:rPr>
            <w:rFonts w:eastAsiaTheme="minorHAnsi" w:cstheme="minorBidi"/>
            <w:kern w:val="2"/>
            <w:sz w:val="22"/>
            <w:szCs w:val="22"/>
            <w14:ligatures w14:val="standardContextual"/>
          </w:rPr>
          <m:t>LSTM</m:t>
        </m:r>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grid_data</m:t>
        </m:r>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Gini</m:t>
        </m:r>
        <m:r>
          <w:rPr>
            <w:rFonts w:ascii="Cambria Math" w:eastAsiaTheme="minorHAnsi" w:hAnsi="Cambria Math" w:cstheme="minorBidi"/>
            <w:kern w:val="2"/>
            <w:sz w:val="22"/>
            <w:szCs w:val="22"/>
            <w14:ligatures w14:val="standardContextual"/>
          </w:rPr>
          <m:t>)</m:t>
        </m:r>
      </m:oMath>
    </w:p>
    <w:p w14:paraId="3C4ADAFC" w14:textId="5B68EC15"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Reward: </w:t>
      </w:r>
      <m:oMath>
        <m:r>
          <w:rPr>
            <w:rFonts w:ascii="Cambria Math" w:eastAsiaTheme="minorHAnsi" w:hAnsi="Cambria Math" w:cstheme="minorBidi"/>
            <w:kern w:val="2"/>
            <w:sz w:val="22"/>
            <w:szCs w:val="22"/>
            <w14:ligatures w14:val="standardContextual"/>
          </w:rPr>
          <m:t>r←</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λ</m:t>
            </m:r>
          </m:e>
          <m:sub>
            <m:r>
              <m:rPr>
                <m:nor/>
              </m:rPr>
              <w:rPr>
                <w:rFonts w:eastAsiaTheme="minorHAnsi" w:cstheme="minorBidi"/>
                <w:kern w:val="2"/>
                <w:sz w:val="22"/>
                <w:szCs w:val="22"/>
                <w14:ligatures w14:val="standardContextual"/>
              </w:rPr>
              <m:t>econ</m:t>
            </m:r>
          </m:sub>
        </m:sSub>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U</m:t>
            </m:r>
          </m:e>
          <m:sub>
            <m:r>
              <m:rPr>
                <m:nor/>
              </m:rPr>
              <w:rPr>
                <w:rFonts w:eastAsiaTheme="minorHAnsi" w:cstheme="minorBidi"/>
                <w:kern w:val="2"/>
                <w:sz w:val="22"/>
                <w:szCs w:val="22"/>
                <w14:ligatures w14:val="standardContextual"/>
              </w:rPr>
              <m:t>econ</m:t>
            </m:r>
          </m:sub>
        </m:sSub>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λ</m:t>
            </m:r>
          </m:e>
          <m:sub>
            <m:r>
              <m:rPr>
                <m:nor/>
              </m:rPr>
              <w:rPr>
                <w:rFonts w:eastAsiaTheme="minorHAnsi" w:cstheme="minorBidi"/>
                <w:kern w:val="2"/>
                <w:sz w:val="22"/>
                <w:szCs w:val="22"/>
                <w14:ligatures w14:val="standardContextual"/>
              </w:rPr>
              <m:t>carbon</m:t>
            </m:r>
          </m:sub>
        </m:sSub>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C</m:t>
            </m:r>
          </m:e>
          <m:sub>
            <m:r>
              <m:rPr>
                <m:nor/>
              </m:rPr>
              <w:rPr>
                <w:rFonts w:eastAsiaTheme="minorHAnsi" w:cstheme="minorBidi"/>
                <w:kern w:val="2"/>
                <w:sz w:val="22"/>
                <w:szCs w:val="22"/>
                <w14:ligatures w14:val="standardContextual"/>
              </w:rPr>
              <m:t>carbon</m:t>
            </m:r>
          </m:sub>
        </m:sSub>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λ</m:t>
            </m:r>
          </m:e>
          <m:sub>
            <m:r>
              <m:rPr>
                <m:nor/>
              </m:rPr>
              <w:rPr>
                <w:rFonts w:eastAsiaTheme="minorHAnsi" w:cstheme="minorBidi"/>
                <w:kern w:val="2"/>
                <w:sz w:val="22"/>
                <w:szCs w:val="22"/>
                <w14:ligatures w14:val="standardContextual"/>
              </w:rPr>
              <m:t>fairness</m:t>
            </m:r>
          </m:sub>
        </m:sSub>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F</m:t>
            </m:r>
          </m:e>
          <m:sub>
            <m:r>
              <m:rPr>
                <m:nor/>
              </m:rPr>
              <w:rPr>
                <w:rFonts w:eastAsiaTheme="minorHAnsi" w:cstheme="minorBidi"/>
                <w:kern w:val="2"/>
                <w:sz w:val="22"/>
                <w:szCs w:val="22"/>
                <w14:ligatures w14:val="standardContextual"/>
              </w:rPr>
              <m:t>fairness</m:t>
            </m:r>
          </m:sub>
        </m:sSub>
      </m:oMath>
    </w:p>
    <w:p w14:paraId="1EBFC08D" w14:textId="651522D4"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Next state: </w:t>
      </w:r>
      <m:oMath>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s</m:t>
            </m:r>
          </m:e>
          <m:sub>
            <m:r>
              <w:rPr>
                <w:rFonts w:ascii="Cambria Math" w:eastAsiaTheme="minorHAnsi" w:hAnsi="Cambria Math" w:cstheme="minorBidi"/>
                <w:kern w:val="2"/>
                <w:sz w:val="22"/>
                <w:szCs w:val="22"/>
                <w14:ligatures w14:val="standardContextual"/>
              </w:rPr>
              <m:t>t+1</m:t>
            </m:r>
          </m:sub>
        </m:sSub>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ODESolve</m:t>
        </m:r>
        <m:r>
          <w:rPr>
            <w:rFonts w:ascii="Cambria Math" w:eastAsiaTheme="minorHAnsi" w:hAnsi="Cambria Math" w:cstheme="minorBidi"/>
            <w:kern w:val="2"/>
            <w:sz w:val="22"/>
            <w:szCs w:val="22"/>
            <w14:ligatures w14:val="standardContextual"/>
          </w:rPr>
          <m:t>(θ,</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s</m:t>
            </m:r>
          </m:e>
          <m:sub>
            <m:r>
              <w:rPr>
                <w:rFonts w:ascii="Cambria Math" w:eastAsiaTheme="minorHAnsi" w:hAnsi="Cambria Math" w:cstheme="minorBidi"/>
                <w:kern w:val="2"/>
                <w:sz w:val="22"/>
                <w:szCs w:val="22"/>
                <w14:ligatures w14:val="standardContextual"/>
              </w:rPr>
              <m:t>t</m:t>
            </m:r>
          </m:sub>
        </m:sSub>
        <m:r>
          <w:rPr>
            <w:rFonts w:ascii="Cambria Math" w:eastAsiaTheme="minorHAnsi" w:hAnsi="Cambria Math" w:cstheme="minorBidi"/>
            <w:kern w:val="2"/>
            <w:sz w:val="22"/>
            <w:szCs w:val="22"/>
            <w14:ligatures w14:val="standardContextual"/>
          </w:rPr>
          <m:t>,a,</m:t>
        </m:r>
        <m:r>
          <m:rPr>
            <m:sty m:val="p"/>
          </m:rPr>
          <w:rPr>
            <w:rFonts w:ascii="Cambria Math" w:eastAsiaTheme="minorHAnsi" w:hAnsi="Cambria Math" w:cstheme="minorBidi"/>
            <w:kern w:val="2"/>
            <w:sz w:val="22"/>
            <w:szCs w:val="22"/>
            <w14:ligatures w14:val="standardContextual"/>
          </w:rPr>
          <m:t>Δ</m:t>
        </m:r>
        <m:r>
          <w:rPr>
            <w:rFonts w:ascii="Cambria Math" w:eastAsiaTheme="minorHAnsi" w:hAnsi="Cambria Math" w:cstheme="minorBidi"/>
            <w:kern w:val="2"/>
            <w:sz w:val="22"/>
            <w:szCs w:val="22"/>
            <w14:ligatures w14:val="standardContextual"/>
          </w:rPr>
          <m:t>t=2)</m:t>
        </m:r>
      </m:oMath>
    </w:p>
    <w:p w14:paraId="3D4AB43E" w14:textId="3F268F4E"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Store: </w:t>
      </w:r>
      <m:oMath>
        <m:r>
          <w:rPr>
            <w:rFonts w:ascii="Cambria Math" w:eastAsiaTheme="minorHAnsi" w:hAnsi="Cambria Math" w:cstheme="minorBidi"/>
            <w:kern w:val="2"/>
            <w:sz w:val="22"/>
            <w:szCs w:val="22"/>
            <w14:ligatures w14:val="standardContextual"/>
          </w:rPr>
          <m:t>(</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s</m:t>
            </m:r>
          </m:e>
          <m:sub>
            <m:r>
              <w:rPr>
                <w:rFonts w:ascii="Cambria Math" w:eastAsiaTheme="minorHAnsi" w:hAnsi="Cambria Math" w:cstheme="minorBidi"/>
                <w:kern w:val="2"/>
                <w:sz w:val="22"/>
                <w:szCs w:val="22"/>
                <w14:ligatures w14:val="standardContextual"/>
              </w:rPr>
              <m:t>t</m:t>
            </m:r>
          </m:sub>
        </m:sSub>
        <m:r>
          <w:rPr>
            <w:rFonts w:ascii="Cambria Math" w:eastAsiaTheme="minorHAnsi" w:hAnsi="Cambria Math" w:cstheme="minorBidi"/>
            <w:kern w:val="2"/>
            <w:sz w:val="22"/>
            <w:szCs w:val="22"/>
            <w14:ligatures w14:val="standardContextual"/>
          </w:rPr>
          <m:t>,a,r,</m:t>
        </m:r>
        <m:sSub>
          <m:sSubPr>
            <m:ctrlPr>
              <w:rPr>
                <w:rFonts w:ascii="Cambria Math" w:eastAsiaTheme="minorHAnsi" w:hAnsi="Cambria Math" w:cstheme="minorBidi"/>
                <w:kern w:val="2"/>
                <w:sz w:val="22"/>
                <w:szCs w:val="22"/>
                <w14:ligatures w14:val="standardContextual"/>
              </w:rPr>
            </m:ctrlPr>
          </m:sSubPr>
          <m:e>
            <m:r>
              <w:rPr>
                <w:rFonts w:ascii="Cambria Math" w:eastAsiaTheme="minorHAnsi" w:hAnsi="Cambria Math" w:cstheme="minorBidi"/>
                <w:kern w:val="2"/>
                <w:sz w:val="22"/>
                <w:szCs w:val="22"/>
                <w14:ligatures w14:val="standardContextual"/>
              </w:rPr>
              <m:t>s</m:t>
            </m:r>
          </m:e>
          <m:sub>
            <m:r>
              <w:rPr>
                <w:rFonts w:ascii="Cambria Math" w:eastAsiaTheme="minorHAnsi" w:hAnsi="Cambria Math" w:cstheme="minorBidi"/>
                <w:kern w:val="2"/>
                <w:sz w:val="22"/>
                <w:szCs w:val="22"/>
                <w14:ligatures w14:val="standardContextual"/>
              </w:rPr>
              <m:t>t+1</m:t>
            </m:r>
          </m:sub>
        </m:sSub>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ReplayBuffer</m:t>
        </m:r>
      </m:oMath>
    </w:p>
    <w:p w14:paraId="75F19240"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end for</w:t>
      </w:r>
    </w:p>
    <w:p w14:paraId="4F849863" w14:textId="3A669633"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Update RL policy: </w:t>
      </w:r>
      <m:oMath>
        <m:r>
          <w:rPr>
            <w:rFonts w:ascii="Cambria Math" w:eastAsiaTheme="minorHAnsi" w:hAnsi="Cambria Math" w:cstheme="minorBidi"/>
            <w:kern w:val="2"/>
            <w:sz w:val="22"/>
            <w:szCs w:val="22"/>
            <w14:ligatures w14:val="standardContextual"/>
          </w:rPr>
          <m:t>π←π-η</m:t>
        </m:r>
        <m:sSub>
          <m:sSubPr>
            <m:ctrlPr>
              <w:rPr>
                <w:rFonts w:ascii="Cambria Math" w:eastAsiaTheme="minorHAnsi" w:hAnsi="Cambria Math" w:cstheme="minorBidi"/>
                <w:kern w:val="2"/>
                <w:sz w:val="22"/>
                <w:szCs w:val="22"/>
                <w14:ligatures w14:val="standardContextual"/>
              </w:rPr>
            </m:ctrlPr>
          </m:sSubPr>
          <m:e>
            <m:r>
              <m:rPr>
                <m:sty m:val="p"/>
              </m:rPr>
              <w:rPr>
                <w:rFonts w:ascii="Cambria Math" w:eastAsiaTheme="minorHAnsi" w:hAnsi="Cambria Math" w:cstheme="minorBidi"/>
                <w:kern w:val="2"/>
                <w:sz w:val="22"/>
                <w:szCs w:val="22"/>
                <w14:ligatures w14:val="standardContextual"/>
              </w:rPr>
              <m:t>∇</m:t>
            </m:r>
          </m:e>
          <m:sub>
            <m:r>
              <w:rPr>
                <w:rFonts w:ascii="Cambria Math" w:eastAsiaTheme="minorHAnsi" w:hAnsi="Cambria Math" w:cstheme="minorBidi"/>
                <w:kern w:val="2"/>
                <w:sz w:val="22"/>
                <w:szCs w:val="22"/>
                <w14:ligatures w14:val="standardContextual"/>
              </w:rPr>
              <m:t>π</m:t>
            </m:r>
          </m:sub>
        </m:sSub>
        <m:r>
          <w:rPr>
            <w:rFonts w:ascii="Cambria Math" w:eastAsiaTheme="minorHAnsi" w:hAnsi="Cambria Math" w:cstheme="minorBidi"/>
            <w:kern w:val="2"/>
            <w:sz w:val="22"/>
            <w:szCs w:val="22"/>
            <w14:ligatures w14:val="standardContextual"/>
          </w:rPr>
          <m:t>(-</m:t>
        </m:r>
        <m:r>
          <m:rPr>
            <m:scr m:val="double-struck"/>
            <m:sty m:val="p"/>
          </m:rPr>
          <w:rPr>
            <w:rFonts w:ascii="Cambria Math" w:eastAsiaTheme="minorHAnsi" w:hAnsi="Cambria Math" w:cstheme="minorBidi"/>
            <w:kern w:val="2"/>
            <w:sz w:val="22"/>
            <w:szCs w:val="22"/>
            <w14:ligatures w14:val="standardContextual"/>
          </w:rPr>
          <m:t>E</m:t>
        </m:r>
        <m:r>
          <w:rPr>
            <w:rFonts w:ascii="Cambria Math" w:eastAsiaTheme="minorHAnsi" w:hAnsi="Cambria Math" w:cstheme="minorBidi"/>
            <w:kern w:val="2"/>
            <w:sz w:val="22"/>
            <w:szCs w:val="22"/>
            <w14:ligatures w14:val="standardContextual"/>
          </w:rPr>
          <m:t>[</m:t>
        </m:r>
        <m:r>
          <m:rPr>
            <m:nor/>
          </m:rPr>
          <w:rPr>
            <w:rFonts w:eastAsiaTheme="minorHAnsi" w:cstheme="minorBidi"/>
            <w:kern w:val="2"/>
            <w:sz w:val="22"/>
            <w:szCs w:val="22"/>
            <w14:ligatures w14:val="standardContextual"/>
          </w:rPr>
          <m:t>return</m:t>
        </m:r>
        <m:r>
          <w:rPr>
            <w:rFonts w:ascii="Cambria Math" w:eastAsiaTheme="minorHAnsi" w:hAnsi="Cambria Math" w:cstheme="minorBidi"/>
            <w:kern w:val="2"/>
            <w:sz w:val="22"/>
            <w:szCs w:val="22"/>
            <w14:ligatures w14:val="standardContextual"/>
          </w:rPr>
          <m:t>])</m:t>
        </m:r>
      </m:oMath>
    </w:p>
    <w:p w14:paraId="2CD6E076"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end for</w:t>
      </w:r>
    </w:p>
    <w:p w14:paraId="4A6DE82E"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p>
    <w:p w14:paraId="75711A54"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w:t>
      </w:r>
      <w:r w:rsidRPr="00FE7875">
        <w:rPr>
          <w:rFonts w:eastAsiaTheme="minorHAnsi" w:cstheme="minorBidi"/>
          <w:i/>
          <w:iCs/>
          <w:kern w:val="2"/>
          <w:sz w:val="22"/>
          <w:szCs w:val="22"/>
          <w14:ligatures w14:val="standardContextual"/>
        </w:rPr>
        <w:t>// Phase 5: Validation</w:t>
      </w:r>
    </w:p>
    <w:p w14:paraId="0F0BFEC1" w14:textId="67184D61"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    Compute 95% CI across regional simulations (</w:t>
      </w:r>
      <m:oMath>
        <m:r>
          <w:rPr>
            <w:rFonts w:ascii="Cambria Math" w:eastAsiaTheme="minorHAnsi" w:hAnsi="Cambria Math" w:cstheme="minorBidi"/>
            <w:kern w:val="2"/>
            <w:sz w:val="22"/>
            <w:szCs w:val="22"/>
            <w14:ligatures w14:val="standardContextual"/>
          </w:rPr>
          <m:t>n=4</m:t>
        </m:r>
      </m:oMath>
      <w:r w:rsidRPr="00FE7875">
        <w:rPr>
          <w:rFonts w:eastAsiaTheme="minorHAnsi" w:cstheme="minorBidi"/>
          <w:kern w:val="2"/>
          <w:sz w:val="22"/>
          <w:szCs w:val="22"/>
          <w14:ligatures w14:val="standardContextual"/>
        </w:rPr>
        <w:t>)</w:t>
      </w:r>
    </w:p>
    <w:p w14:paraId="5A38FDB7"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lastRenderedPageBreak/>
        <w:t>    if </w:t>
      </w:r>
      <w:proofErr w:type="spellStart"/>
      <w:r w:rsidRPr="00FE7875">
        <w:rPr>
          <w:rFonts w:eastAsiaTheme="minorHAnsi" w:cstheme="minorBidi"/>
          <w:kern w:val="2"/>
          <w:sz w:val="22"/>
          <w:szCs w:val="22"/>
          <w14:ligatures w14:val="standardContextual"/>
        </w:rPr>
        <w:t>convergence_criteria_</w:t>
      </w:r>
      <w:proofErr w:type="gramStart"/>
      <w:r w:rsidRPr="00FE7875">
        <w:rPr>
          <w:rFonts w:eastAsiaTheme="minorHAnsi" w:cstheme="minorBidi"/>
          <w:kern w:val="2"/>
          <w:sz w:val="22"/>
          <w:szCs w:val="22"/>
          <w14:ligatures w14:val="standardContextual"/>
        </w:rPr>
        <w:t>met</w:t>
      </w:r>
      <w:proofErr w:type="spellEnd"/>
      <w:r w:rsidRPr="00FE7875">
        <w:rPr>
          <w:rFonts w:eastAsiaTheme="minorHAnsi" w:cstheme="minorBidi"/>
          <w:kern w:val="2"/>
          <w:sz w:val="22"/>
          <w:szCs w:val="22"/>
          <w14:ligatures w14:val="standardContextual"/>
        </w:rPr>
        <w:t>(</w:t>
      </w:r>
      <w:proofErr w:type="gramEnd"/>
      <w:r w:rsidRPr="00FE7875">
        <w:rPr>
          <w:rFonts w:eastAsiaTheme="minorHAnsi" w:cstheme="minorBidi"/>
          <w:kern w:val="2"/>
          <w:sz w:val="22"/>
          <w:szCs w:val="22"/>
          <w14:ligatures w14:val="standardContextual"/>
        </w:rPr>
        <w:t>) then break</w:t>
      </w:r>
    </w:p>
    <w:p w14:paraId="576A39E2" w14:textId="77777777"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end for</w:t>
      </w:r>
    </w:p>
    <w:p w14:paraId="213B7C3A" w14:textId="412B3555" w:rsidR="00FE7875" w:rsidRPr="00FE7875" w:rsidRDefault="00FE7875" w:rsidP="00FE7875">
      <w:pPr>
        <w:numPr>
          <w:ilvl w:val="0"/>
          <w:numId w:val="10"/>
        </w:numPr>
        <w:spacing w:after="160" w:line="259" w:lineRule="auto"/>
        <w:jc w:val="both"/>
        <w:rPr>
          <w:rFonts w:eastAsiaTheme="minorHAnsi" w:cstheme="minorBidi"/>
          <w:kern w:val="2"/>
          <w:sz w:val="22"/>
          <w:szCs w:val="22"/>
          <w14:ligatures w14:val="standardContextual"/>
        </w:rPr>
      </w:pPr>
      <w:r w:rsidRPr="00FE7875">
        <w:rPr>
          <w:rFonts w:eastAsiaTheme="minorHAnsi" w:cstheme="minorBidi"/>
          <w:kern w:val="2"/>
          <w:sz w:val="22"/>
          <w:szCs w:val="22"/>
          <w14:ligatures w14:val="standardContextual"/>
        </w:rPr>
        <w:t>return </w:t>
      </w:r>
      <m:oMath>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θ</m:t>
            </m:r>
          </m:e>
          <m:sup>
            <m:r>
              <w:rPr>
                <w:rFonts w:ascii="Cambria Math" w:eastAsiaTheme="minorHAnsi" w:hAnsi="Cambria Math" w:cstheme="minorBidi"/>
                <w:kern w:val="2"/>
                <w:sz w:val="22"/>
                <w:szCs w:val="22"/>
                <w14:ligatures w14:val="standardContextual"/>
              </w:rPr>
              <m:t>*</m:t>
            </m:r>
          </m:sup>
        </m:sSup>
        <m:r>
          <w:rPr>
            <w:rFonts w:ascii="Cambria Math" w:eastAsiaTheme="minorHAnsi" w:hAnsi="Cambria Math" w:cstheme="minorBidi"/>
            <w:kern w:val="2"/>
            <w:sz w:val="22"/>
            <w:szCs w:val="22"/>
            <w14:ligatures w14:val="standardContextual"/>
          </w:rPr>
          <m:t>,</m:t>
        </m:r>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π</m:t>
            </m:r>
          </m:e>
          <m:sup>
            <m:r>
              <w:rPr>
                <w:rFonts w:ascii="Cambria Math" w:eastAsiaTheme="minorHAnsi" w:hAnsi="Cambria Math" w:cstheme="minorBidi"/>
                <w:kern w:val="2"/>
                <w:sz w:val="22"/>
                <w:szCs w:val="22"/>
                <w14:ligatures w14:val="standardContextual"/>
              </w:rPr>
              <m:t>*</m:t>
            </m:r>
          </m:sup>
        </m:sSup>
        <m:r>
          <w:rPr>
            <w:rFonts w:ascii="Cambria Math" w:eastAsiaTheme="minorHAnsi" w:hAnsi="Cambria Math" w:cstheme="minorBidi"/>
            <w:kern w:val="2"/>
            <w:sz w:val="22"/>
            <w:szCs w:val="22"/>
            <w14:ligatures w14:val="standardContextual"/>
          </w:rPr>
          <m:t>,</m:t>
        </m:r>
        <m:sSup>
          <m:sSupPr>
            <m:ctrlPr>
              <w:rPr>
                <w:rFonts w:ascii="Cambria Math" w:eastAsiaTheme="minorHAnsi" w:hAnsi="Cambria Math" w:cstheme="minorBidi"/>
                <w:kern w:val="2"/>
                <w:sz w:val="22"/>
                <w:szCs w:val="22"/>
                <w14:ligatures w14:val="standardContextual"/>
              </w:rPr>
            </m:ctrlPr>
          </m:sSupPr>
          <m:e>
            <m:r>
              <w:rPr>
                <w:rFonts w:ascii="Cambria Math" w:eastAsiaTheme="minorHAnsi" w:hAnsi="Cambria Math" w:cstheme="minorBidi"/>
                <w:kern w:val="2"/>
                <w:sz w:val="22"/>
                <w:szCs w:val="22"/>
                <w14:ligatures w14:val="standardContextual"/>
              </w:rPr>
              <m:t>a</m:t>
            </m:r>
          </m:e>
          <m:sup>
            <m:r>
              <w:rPr>
                <w:rFonts w:ascii="Cambria Math" w:eastAsiaTheme="minorHAnsi" w:hAnsi="Cambria Math" w:cstheme="minorBidi"/>
                <w:kern w:val="2"/>
                <w:sz w:val="22"/>
                <w:szCs w:val="22"/>
                <w14:ligatures w14:val="standardContextual"/>
              </w:rPr>
              <m:t>*</m:t>
            </m:r>
          </m:sup>
        </m:sSup>
      </m:oMath>
    </w:p>
    <w:p w14:paraId="62A22284" w14:textId="77777777" w:rsidR="00FE7875" w:rsidRDefault="00FE7875" w:rsidP="00B91CFC">
      <w:pPr>
        <w:jc w:val="both"/>
      </w:pPr>
    </w:p>
    <w:p w14:paraId="543ABF69" w14:textId="77777777" w:rsidR="00FE7875" w:rsidRDefault="00FE7875" w:rsidP="00B91CFC">
      <w:pPr>
        <w:jc w:val="both"/>
      </w:pPr>
    </w:p>
    <w:p w14:paraId="30654336" w14:textId="090AA51E" w:rsidR="002630FB" w:rsidRPr="00283E3A" w:rsidRDefault="002630FB" w:rsidP="00B91CFC">
      <w:pPr>
        <w:jc w:val="both"/>
      </w:pPr>
      <w:r w:rsidRPr="002630FB">
        <w:t xml:space="preserve">Supplementary Algorithm S1 </w:t>
      </w:r>
      <w:r w:rsidRPr="002630FB">
        <w:rPr>
          <w:lang w:val="en-GB"/>
        </w:rPr>
        <w:t>details the five-phase training procedure for the AI-CDSN framework. Phase 1 trains neural ODEs to forecast capital-resource trajectories with ecological regularization preventing boundary violations. Phase 2 adapts dimensional weights dynamically based on real-time planetary boundary proximity and social equity metrics. Phase 3 employs NSGA-III multi-objective optimization to identify Pareto-optimal material compositions balancing energy efficiency and construction costs under SDG constraints. Phase 4 executes Deep Q-Network reinforcement learning with LSTM-adapted reward coefficients for carbon penalties and fairness regularization. Phase 5 validates convergence across four regional simulations (Chile, Canada, Germany, Japan) computing 95% confidence intervals. The algorithm typically converges within 4-6 epochs as reported in Section 5. Hyperparameters: learning rate </w:t>
      </w:r>
      <m:oMath>
        <m:r>
          <w:rPr>
            <w:rFonts w:ascii="Cambria Math" w:hAnsi="Cambria Math"/>
          </w:rPr>
          <m:t>η=0.001</m:t>
        </m:r>
      </m:oMath>
      <w:r w:rsidRPr="002630FB">
        <w:rPr>
          <w:lang w:val="en-GB"/>
        </w:rPr>
        <w:t>, exploration </w:t>
      </w:r>
      <m:oMath>
        <m:r>
          <w:rPr>
            <w:rFonts w:ascii="Cambria Math" w:hAnsi="Cambria Math"/>
          </w:rPr>
          <m:t>ε</m:t>
        </m:r>
      </m:oMath>
      <w:r w:rsidRPr="002630FB">
        <w:rPr>
          <w:lang w:val="en-GB"/>
        </w:rPr>
        <w:t> annealing 1.0→0.1, batch size 32 (Table 2)</w:t>
      </w:r>
      <w:r w:rsidRPr="002630FB">
        <w:t>.</w:t>
      </w:r>
    </w:p>
    <w:sectPr w:rsidR="002630FB" w:rsidRPr="00283E3A">
      <w:headerReference w:type="default" r:id="rId8"/>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698C3" w14:textId="77777777" w:rsidR="007E0435" w:rsidRDefault="007E0435" w:rsidP="0079152C">
      <w:r>
        <w:separator/>
      </w:r>
    </w:p>
  </w:endnote>
  <w:endnote w:type="continuationSeparator" w:id="0">
    <w:p w14:paraId="6FD2DFA7" w14:textId="77777777" w:rsidR="007E0435" w:rsidRDefault="007E0435" w:rsidP="00791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FormataOTF-Bold">
    <w:altName w:val="Calibri"/>
    <w:panose1 w:val="020B0604020202020204"/>
    <w:charset w:val="00"/>
    <w:family w:val="auto"/>
    <w:notTrueType/>
    <w:pitch w:val="default"/>
    <w:sig w:usb0="00000003" w:usb1="00000000" w:usb2="00000000" w:usb3="00000000" w:csb0="00000001" w:csb1="00000000"/>
  </w:font>
  <w:font w:name="inter">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0496321"/>
      <w:docPartObj>
        <w:docPartGallery w:val="Page Numbers (Bottom of Page)"/>
        <w:docPartUnique/>
      </w:docPartObj>
    </w:sdtPr>
    <w:sdtContent>
      <w:p w14:paraId="015F2BBE" w14:textId="014B5CB8" w:rsidR="00733D82" w:rsidRDefault="00733D82" w:rsidP="005007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F9A669C" w14:textId="77777777" w:rsidR="00733D82" w:rsidRDefault="00733D82" w:rsidP="00733D8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68701238"/>
      <w:docPartObj>
        <w:docPartGallery w:val="Page Numbers (Bottom of Page)"/>
        <w:docPartUnique/>
      </w:docPartObj>
    </w:sdtPr>
    <w:sdtContent>
      <w:p w14:paraId="61542B7B" w14:textId="4905C0A6" w:rsidR="00733D82" w:rsidRDefault="00733D82" w:rsidP="005007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44E0CF7" w14:textId="77777777" w:rsidR="00733D82" w:rsidRDefault="00733D82" w:rsidP="00733D8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CE971" w14:textId="77777777" w:rsidR="007E0435" w:rsidRDefault="007E0435" w:rsidP="0079152C">
      <w:r>
        <w:separator/>
      </w:r>
    </w:p>
  </w:footnote>
  <w:footnote w:type="continuationSeparator" w:id="0">
    <w:p w14:paraId="7A500230" w14:textId="77777777" w:rsidR="007E0435" w:rsidRDefault="007E0435" w:rsidP="00791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839F9" w14:textId="77777777" w:rsidR="0079152C" w:rsidRPr="0079152C" w:rsidRDefault="0079152C" w:rsidP="0079152C">
    <w:pPr>
      <w:pStyle w:val="H1"/>
      <w:jc w:val="center"/>
      <w:rPr>
        <w:rFonts w:ascii="Times New Roman" w:hAnsi="Times New Roman" w:cs="Times New Roman"/>
        <w:color w:val="000000" w:themeColor="text1"/>
        <w:sz w:val="20"/>
        <w:szCs w:val="20"/>
        <w:u w:val="single"/>
      </w:rPr>
    </w:pPr>
    <w:r w:rsidRPr="0079152C">
      <w:rPr>
        <w:rFonts w:ascii="Times New Roman" w:hAnsi="Times New Roman" w:cs="Times New Roman"/>
        <w:color w:val="000000" w:themeColor="text1"/>
        <w:sz w:val="20"/>
        <w:szCs w:val="20"/>
        <w:u w:val="single"/>
      </w:rPr>
      <w:t>Supplementary</w:t>
    </w:r>
  </w:p>
  <w:p w14:paraId="35017C85" w14:textId="77777777" w:rsidR="0079152C" w:rsidRDefault="007915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086B"/>
    <w:multiLevelType w:val="hybridMultilevel"/>
    <w:tmpl w:val="3ED4976E"/>
    <w:lvl w:ilvl="0" w:tplc="E22416C2">
      <w:start w:val="1"/>
      <w:numFmt w:val="bullet"/>
      <w:lvlText w:val=""/>
      <w:lvlJc w:val="left"/>
      <w:pPr>
        <w:tabs>
          <w:tab w:val="num" w:pos="900"/>
        </w:tabs>
        <w:ind w:left="540" w:hanging="360"/>
      </w:pPr>
      <w:rPr>
        <w:rFonts w:ascii="Symbol" w:hAnsi="Symbol" w:hint="default"/>
      </w:rPr>
    </w:lvl>
    <w:lvl w:ilvl="1" w:tplc="815E9182">
      <w:numFmt w:val="decimal"/>
      <w:lvlText w:val=""/>
      <w:lvlJc w:val="left"/>
    </w:lvl>
    <w:lvl w:ilvl="2" w:tplc="C9EE64E4">
      <w:numFmt w:val="decimal"/>
      <w:lvlText w:val=""/>
      <w:lvlJc w:val="left"/>
    </w:lvl>
    <w:lvl w:ilvl="3" w:tplc="E41C81B0">
      <w:numFmt w:val="decimal"/>
      <w:lvlText w:val=""/>
      <w:lvlJc w:val="left"/>
    </w:lvl>
    <w:lvl w:ilvl="4" w:tplc="9A981FA0">
      <w:numFmt w:val="decimal"/>
      <w:lvlText w:val=""/>
      <w:lvlJc w:val="left"/>
    </w:lvl>
    <w:lvl w:ilvl="5" w:tplc="8B26D00C">
      <w:numFmt w:val="decimal"/>
      <w:lvlText w:val=""/>
      <w:lvlJc w:val="left"/>
    </w:lvl>
    <w:lvl w:ilvl="6" w:tplc="05888B5C">
      <w:numFmt w:val="decimal"/>
      <w:lvlText w:val=""/>
      <w:lvlJc w:val="left"/>
    </w:lvl>
    <w:lvl w:ilvl="7" w:tplc="AFE8FD84">
      <w:numFmt w:val="decimal"/>
      <w:lvlText w:val=""/>
      <w:lvlJc w:val="left"/>
    </w:lvl>
    <w:lvl w:ilvl="8" w:tplc="79DEC416">
      <w:numFmt w:val="decimal"/>
      <w:lvlText w:val=""/>
      <w:lvlJc w:val="left"/>
    </w:lvl>
  </w:abstractNum>
  <w:abstractNum w:abstractNumId="1" w15:restartNumberingAfterBreak="0">
    <w:nsid w:val="10E96B1F"/>
    <w:multiLevelType w:val="hybridMultilevel"/>
    <w:tmpl w:val="9906FD9A"/>
    <w:lvl w:ilvl="0" w:tplc="A85A05A6">
      <w:start w:val="1"/>
      <w:numFmt w:val="bullet"/>
      <w:lvlText w:val=""/>
      <w:lvlJc w:val="left"/>
      <w:pPr>
        <w:tabs>
          <w:tab w:val="num" w:pos="900"/>
        </w:tabs>
        <w:ind w:left="540" w:hanging="360"/>
      </w:pPr>
      <w:rPr>
        <w:rFonts w:ascii="Symbol" w:hAnsi="Symbol" w:hint="default"/>
      </w:rPr>
    </w:lvl>
    <w:lvl w:ilvl="1" w:tplc="32EAC990">
      <w:numFmt w:val="decimal"/>
      <w:lvlText w:val=""/>
      <w:lvlJc w:val="left"/>
    </w:lvl>
    <w:lvl w:ilvl="2" w:tplc="42BCB3D0">
      <w:numFmt w:val="decimal"/>
      <w:lvlText w:val=""/>
      <w:lvlJc w:val="left"/>
    </w:lvl>
    <w:lvl w:ilvl="3" w:tplc="C6FC30DE">
      <w:numFmt w:val="decimal"/>
      <w:lvlText w:val=""/>
      <w:lvlJc w:val="left"/>
    </w:lvl>
    <w:lvl w:ilvl="4" w:tplc="2626E5BC">
      <w:numFmt w:val="decimal"/>
      <w:lvlText w:val=""/>
      <w:lvlJc w:val="left"/>
    </w:lvl>
    <w:lvl w:ilvl="5" w:tplc="F6B2D72E">
      <w:numFmt w:val="decimal"/>
      <w:lvlText w:val=""/>
      <w:lvlJc w:val="left"/>
    </w:lvl>
    <w:lvl w:ilvl="6" w:tplc="88965EA6">
      <w:numFmt w:val="decimal"/>
      <w:lvlText w:val=""/>
      <w:lvlJc w:val="left"/>
    </w:lvl>
    <w:lvl w:ilvl="7" w:tplc="A542581C">
      <w:numFmt w:val="decimal"/>
      <w:lvlText w:val=""/>
      <w:lvlJc w:val="left"/>
    </w:lvl>
    <w:lvl w:ilvl="8" w:tplc="93D0F9BA">
      <w:numFmt w:val="decimal"/>
      <w:lvlText w:val=""/>
      <w:lvlJc w:val="left"/>
    </w:lvl>
  </w:abstractNum>
  <w:abstractNum w:abstractNumId="2" w15:restartNumberingAfterBreak="0">
    <w:nsid w:val="1A710870"/>
    <w:multiLevelType w:val="hybridMultilevel"/>
    <w:tmpl w:val="DCE6F83C"/>
    <w:lvl w:ilvl="0" w:tplc="AEEC1F10">
      <w:start w:val="1"/>
      <w:numFmt w:val="bullet"/>
      <w:lvlText w:val=""/>
      <w:lvlJc w:val="left"/>
      <w:pPr>
        <w:tabs>
          <w:tab w:val="num" w:pos="900"/>
        </w:tabs>
        <w:ind w:left="540" w:hanging="360"/>
      </w:pPr>
      <w:rPr>
        <w:rFonts w:ascii="Symbol" w:hAnsi="Symbol" w:hint="default"/>
      </w:rPr>
    </w:lvl>
    <w:lvl w:ilvl="1" w:tplc="01D80078">
      <w:numFmt w:val="decimal"/>
      <w:lvlText w:val=""/>
      <w:lvlJc w:val="left"/>
    </w:lvl>
    <w:lvl w:ilvl="2" w:tplc="4328C4EE">
      <w:numFmt w:val="decimal"/>
      <w:lvlText w:val=""/>
      <w:lvlJc w:val="left"/>
    </w:lvl>
    <w:lvl w:ilvl="3" w:tplc="7F86A69E">
      <w:numFmt w:val="decimal"/>
      <w:lvlText w:val=""/>
      <w:lvlJc w:val="left"/>
    </w:lvl>
    <w:lvl w:ilvl="4" w:tplc="900A5214">
      <w:numFmt w:val="decimal"/>
      <w:lvlText w:val=""/>
      <w:lvlJc w:val="left"/>
    </w:lvl>
    <w:lvl w:ilvl="5" w:tplc="42948808">
      <w:numFmt w:val="decimal"/>
      <w:lvlText w:val=""/>
      <w:lvlJc w:val="left"/>
    </w:lvl>
    <w:lvl w:ilvl="6" w:tplc="1818A8BA">
      <w:numFmt w:val="decimal"/>
      <w:lvlText w:val=""/>
      <w:lvlJc w:val="left"/>
    </w:lvl>
    <w:lvl w:ilvl="7" w:tplc="58A4023E">
      <w:numFmt w:val="decimal"/>
      <w:lvlText w:val=""/>
      <w:lvlJc w:val="left"/>
    </w:lvl>
    <w:lvl w:ilvl="8" w:tplc="7BAA90AE">
      <w:numFmt w:val="decimal"/>
      <w:lvlText w:val=""/>
      <w:lvlJc w:val="left"/>
    </w:lvl>
  </w:abstractNum>
  <w:abstractNum w:abstractNumId="3" w15:restartNumberingAfterBreak="0">
    <w:nsid w:val="1C4C570B"/>
    <w:multiLevelType w:val="hybridMultilevel"/>
    <w:tmpl w:val="0150A9A0"/>
    <w:lvl w:ilvl="0" w:tplc="F6082A14">
      <w:start w:val="1"/>
      <w:numFmt w:val="bullet"/>
      <w:lvlText w:val=""/>
      <w:lvlJc w:val="left"/>
      <w:pPr>
        <w:tabs>
          <w:tab w:val="num" w:pos="900"/>
        </w:tabs>
        <w:ind w:left="540" w:hanging="360"/>
      </w:pPr>
      <w:rPr>
        <w:rFonts w:ascii="Symbol" w:hAnsi="Symbol" w:hint="default"/>
      </w:rPr>
    </w:lvl>
    <w:lvl w:ilvl="1" w:tplc="A7026320">
      <w:numFmt w:val="decimal"/>
      <w:lvlText w:val=""/>
      <w:lvlJc w:val="left"/>
    </w:lvl>
    <w:lvl w:ilvl="2" w:tplc="5C06E93E">
      <w:numFmt w:val="decimal"/>
      <w:lvlText w:val=""/>
      <w:lvlJc w:val="left"/>
    </w:lvl>
    <w:lvl w:ilvl="3" w:tplc="AE42C9C4">
      <w:numFmt w:val="decimal"/>
      <w:lvlText w:val=""/>
      <w:lvlJc w:val="left"/>
    </w:lvl>
    <w:lvl w:ilvl="4" w:tplc="090C9598">
      <w:numFmt w:val="decimal"/>
      <w:lvlText w:val=""/>
      <w:lvlJc w:val="left"/>
    </w:lvl>
    <w:lvl w:ilvl="5" w:tplc="91200332">
      <w:numFmt w:val="decimal"/>
      <w:lvlText w:val=""/>
      <w:lvlJc w:val="left"/>
    </w:lvl>
    <w:lvl w:ilvl="6" w:tplc="F8406320">
      <w:numFmt w:val="decimal"/>
      <w:lvlText w:val=""/>
      <w:lvlJc w:val="left"/>
    </w:lvl>
    <w:lvl w:ilvl="7" w:tplc="28DC04C0">
      <w:numFmt w:val="decimal"/>
      <w:lvlText w:val=""/>
      <w:lvlJc w:val="left"/>
    </w:lvl>
    <w:lvl w:ilvl="8" w:tplc="A8369816">
      <w:numFmt w:val="decimal"/>
      <w:lvlText w:val=""/>
      <w:lvlJc w:val="left"/>
    </w:lvl>
  </w:abstractNum>
  <w:abstractNum w:abstractNumId="4" w15:restartNumberingAfterBreak="0">
    <w:nsid w:val="1D0338AC"/>
    <w:multiLevelType w:val="multilevel"/>
    <w:tmpl w:val="9B50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F14896"/>
    <w:multiLevelType w:val="hybridMultilevel"/>
    <w:tmpl w:val="EB06FF62"/>
    <w:lvl w:ilvl="0" w:tplc="EEBEB218">
      <w:start w:val="1"/>
      <w:numFmt w:val="bullet"/>
      <w:lvlText w:val=""/>
      <w:lvlJc w:val="left"/>
      <w:pPr>
        <w:tabs>
          <w:tab w:val="num" w:pos="900"/>
        </w:tabs>
        <w:ind w:left="540" w:hanging="360"/>
      </w:pPr>
      <w:rPr>
        <w:rFonts w:ascii="Symbol" w:hAnsi="Symbol" w:hint="default"/>
      </w:rPr>
    </w:lvl>
    <w:lvl w:ilvl="1" w:tplc="AFD4026E">
      <w:numFmt w:val="decimal"/>
      <w:lvlText w:val=""/>
      <w:lvlJc w:val="left"/>
    </w:lvl>
    <w:lvl w:ilvl="2" w:tplc="A69E6F0C">
      <w:numFmt w:val="decimal"/>
      <w:lvlText w:val=""/>
      <w:lvlJc w:val="left"/>
    </w:lvl>
    <w:lvl w:ilvl="3" w:tplc="AD2C00B8">
      <w:numFmt w:val="decimal"/>
      <w:lvlText w:val=""/>
      <w:lvlJc w:val="left"/>
    </w:lvl>
    <w:lvl w:ilvl="4" w:tplc="005867C8">
      <w:numFmt w:val="decimal"/>
      <w:lvlText w:val=""/>
      <w:lvlJc w:val="left"/>
    </w:lvl>
    <w:lvl w:ilvl="5" w:tplc="F33E3406">
      <w:numFmt w:val="decimal"/>
      <w:lvlText w:val=""/>
      <w:lvlJc w:val="left"/>
    </w:lvl>
    <w:lvl w:ilvl="6" w:tplc="28BE553E">
      <w:numFmt w:val="decimal"/>
      <w:lvlText w:val=""/>
      <w:lvlJc w:val="left"/>
    </w:lvl>
    <w:lvl w:ilvl="7" w:tplc="AEC407F4">
      <w:numFmt w:val="decimal"/>
      <w:lvlText w:val=""/>
      <w:lvlJc w:val="left"/>
    </w:lvl>
    <w:lvl w:ilvl="8" w:tplc="79B0E624">
      <w:numFmt w:val="decimal"/>
      <w:lvlText w:val=""/>
      <w:lvlJc w:val="left"/>
    </w:lvl>
  </w:abstractNum>
  <w:abstractNum w:abstractNumId="6" w15:restartNumberingAfterBreak="0">
    <w:nsid w:val="2BA17B51"/>
    <w:multiLevelType w:val="multilevel"/>
    <w:tmpl w:val="278EC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2C4960"/>
    <w:multiLevelType w:val="hybridMultilevel"/>
    <w:tmpl w:val="572CB77C"/>
    <w:lvl w:ilvl="0" w:tplc="C9A0B51E">
      <w:start w:val="1"/>
      <w:numFmt w:val="bullet"/>
      <w:lvlText w:val=""/>
      <w:lvlJc w:val="left"/>
      <w:pPr>
        <w:tabs>
          <w:tab w:val="num" w:pos="900"/>
        </w:tabs>
        <w:ind w:left="540" w:hanging="360"/>
      </w:pPr>
      <w:rPr>
        <w:rFonts w:ascii="Symbol" w:hAnsi="Symbol" w:hint="default"/>
      </w:rPr>
    </w:lvl>
    <w:lvl w:ilvl="1" w:tplc="E60C10E0">
      <w:numFmt w:val="decimal"/>
      <w:lvlText w:val=""/>
      <w:lvlJc w:val="left"/>
    </w:lvl>
    <w:lvl w:ilvl="2" w:tplc="D0F4A436">
      <w:numFmt w:val="decimal"/>
      <w:lvlText w:val=""/>
      <w:lvlJc w:val="left"/>
    </w:lvl>
    <w:lvl w:ilvl="3" w:tplc="19264B42">
      <w:numFmt w:val="decimal"/>
      <w:lvlText w:val=""/>
      <w:lvlJc w:val="left"/>
    </w:lvl>
    <w:lvl w:ilvl="4" w:tplc="8BFA6C0A">
      <w:numFmt w:val="decimal"/>
      <w:lvlText w:val=""/>
      <w:lvlJc w:val="left"/>
    </w:lvl>
    <w:lvl w:ilvl="5" w:tplc="2FF2E0FE">
      <w:numFmt w:val="decimal"/>
      <w:lvlText w:val=""/>
      <w:lvlJc w:val="left"/>
    </w:lvl>
    <w:lvl w:ilvl="6" w:tplc="361062B6">
      <w:numFmt w:val="decimal"/>
      <w:lvlText w:val=""/>
      <w:lvlJc w:val="left"/>
    </w:lvl>
    <w:lvl w:ilvl="7" w:tplc="717884B4">
      <w:numFmt w:val="decimal"/>
      <w:lvlText w:val=""/>
      <w:lvlJc w:val="left"/>
    </w:lvl>
    <w:lvl w:ilvl="8" w:tplc="4CBC6170">
      <w:numFmt w:val="decimal"/>
      <w:lvlText w:val=""/>
      <w:lvlJc w:val="left"/>
    </w:lvl>
  </w:abstractNum>
  <w:abstractNum w:abstractNumId="8" w15:restartNumberingAfterBreak="0">
    <w:nsid w:val="317216BC"/>
    <w:multiLevelType w:val="multilevel"/>
    <w:tmpl w:val="CC1A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B207E3"/>
    <w:multiLevelType w:val="multilevel"/>
    <w:tmpl w:val="9F0C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9F3A8E"/>
    <w:multiLevelType w:val="hybridMultilevel"/>
    <w:tmpl w:val="5608C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7E5906"/>
    <w:multiLevelType w:val="hybridMultilevel"/>
    <w:tmpl w:val="1FF8D358"/>
    <w:lvl w:ilvl="0" w:tplc="7B74A2F4">
      <w:start w:val="1"/>
      <w:numFmt w:val="bullet"/>
      <w:lvlText w:val=""/>
      <w:lvlJc w:val="left"/>
      <w:pPr>
        <w:tabs>
          <w:tab w:val="num" w:pos="900"/>
        </w:tabs>
        <w:ind w:left="540" w:hanging="360"/>
      </w:pPr>
      <w:rPr>
        <w:rFonts w:ascii="Symbol" w:hAnsi="Symbol" w:hint="default"/>
      </w:rPr>
    </w:lvl>
    <w:lvl w:ilvl="1" w:tplc="10E46AEC">
      <w:numFmt w:val="decimal"/>
      <w:lvlText w:val=""/>
      <w:lvlJc w:val="left"/>
    </w:lvl>
    <w:lvl w:ilvl="2" w:tplc="5A888CF4">
      <w:numFmt w:val="decimal"/>
      <w:lvlText w:val=""/>
      <w:lvlJc w:val="left"/>
    </w:lvl>
    <w:lvl w:ilvl="3" w:tplc="0F963872">
      <w:numFmt w:val="decimal"/>
      <w:lvlText w:val=""/>
      <w:lvlJc w:val="left"/>
    </w:lvl>
    <w:lvl w:ilvl="4" w:tplc="BC9ACEF6">
      <w:numFmt w:val="decimal"/>
      <w:lvlText w:val=""/>
      <w:lvlJc w:val="left"/>
    </w:lvl>
    <w:lvl w:ilvl="5" w:tplc="68EEF4DC">
      <w:numFmt w:val="decimal"/>
      <w:lvlText w:val=""/>
      <w:lvlJc w:val="left"/>
    </w:lvl>
    <w:lvl w:ilvl="6" w:tplc="479EE9BC">
      <w:numFmt w:val="decimal"/>
      <w:lvlText w:val=""/>
      <w:lvlJc w:val="left"/>
    </w:lvl>
    <w:lvl w:ilvl="7" w:tplc="8212645E">
      <w:numFmt w:val="decimal"/>
      <w:lvlText w:val=""/>
      <w:lvlJc w:val="left"/>
    </w:lvl>
    <w:lvl w:ilvl="8" w:tplc="D47AC6A4">
      <w:numFmt w:val="decimal"/>
      <w:lvlText w:val=""/>
      <w:lvlJc w:val="left"/>
    </w:lvl>
  </w:abstractNum>
  <w:abstractNum w:abstractNumId="12" w15:restartNumberingAfterBreak="0">
    <w:nsid w:val="74E70D59"/>
    <w:multiLevelType w:val="multilevel"/>
    <w:tmpl w:val="8FA07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17361761">
    <w:abstractNumId w:val="5"/>
  </w:num>
  <w:num w:numId="2" w16cid:durableId="933511099">
    <w:abstractNumId w:val="1"/>
  </w:num>
  <w:num w:numId="3" w16cid:durableId="1947273040">
    <w:abstractNumId w:val="3"/>
  </w:num>
  <w:num w:numId="4" w16cid:durableId="1173186714">
    <w:abstractNumId w:val="4"/>
  </w:num>
  <w:num w:numId="5" w16cid:durableId="15156024">
    <w:abstractNumId w:val="12"/>
  </w:num>
  <w:num w:numId="6" w16cid:durableId="1499928638">
    <w:abstractNumId w:val="9"/>
  </w:num>
  <w:num w:numId="7" w16cid:durableId="637880314">
    <w:abstractNumId w:val="8"/>
  </w:num>
  <w:num w:numId="8" w16cid:durableId="59721192">
    <w:abstractNumId w:val="7"/>
  </w:num>
  <w:num w:numId="9" w16cid:durableId="1822230843">
    <w:abstractNumId w:val="10"/>
  </w:num>
  <w:num w:numId="10" w16cid:durableId="1728071064">
    <w:abstractNumId w:val="6"/>
  </w:num>
  <w:num w:numId="11" w16cid:durableId="1097016942">
    <w:abstractNumId w:val="2"/>
  </w:num>
  <w:num w:numId="12" w16cid:durableId="1790516145">
    <w:abstractNumId w:val="0"/>
  </w:num>
  <w:num w:numId="13" w16cid:durableId="870339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02D"/>
    <w:rsid w:val="000076B2"/>
    <w:rsid w:val="00063BEF"/>
    <w:rsid w:val="00066DFB"/>
    <w:rsid w:val="00082269"/>
    <w:rsid w:val="00086CAE"/>
    <w:rsid w:val="00092969"/>
    <w:rsid w:val="000A769A"/>
    <w:rsid w:val="000B23A0"/>
    <w:rsid w:val="000D1C5F"/>
    <w:rsid w:val="000D708B"/>
    <w:rsid w:val="000E7FA1"/>
    <w:rsid w:val="0010399A"/>
    <w:rsid w:val="001341F1"/>
    <w:rsid w:val="001C1306"/>
    <w:rsid w:val="001D3E4A"/>
    <w:rsid w:val="002134EF"/>
    <w:rsid w:val="00225C1B"/>
    <w:rsid w:val="00243AAC"/>
    <w:rsid w:val="00253E55"/>
    <w:rsid w:val="002630FB"/>
    <w:rsid w:val="00283E3A"/>
    <w:rsid w:val="002A09AF"/>
    <w:rsid w:val="002A131D"/>
    <w:rsid w:val="002B085A"/>
    <w:rsid w:val="002B541F"/>
    <w:rsid w:val="002B7A10"/>
    <w:rsid w:val="002C057B"/>
    <w:rsid w:val="00307150"/>
    <w:rsid w:val="00315825"/>
    <w:rsid w:val="0035282E"/>
    <w:rsid w:val="00362F93"/>
    <w:rsid w:val="00367AD5"/>
    <w:rsid w:val="0038127A"/>
    <w:rsid w:val="003A07CB"/>
    <w:rsid w:val="003A24B1"/>
    <w:rsid w:val="003B361A"/>
    <w:rsid w:val="003C6F55"/>
    <w:rsid w:val="003E04F9"/>
    <w:rsid w:val="003F78E1"/>
    <w:rsid w:val="00412688"/>
    <w:rsid w:val="00423C2B"/>
    <w:rsid w:val="0044477B"/>
    <w:rsid w:val="00493C7A"/>
    <w:rsid w:val="004B1BB3"/>
    <w:rsid w:val="004D3195"/>
    <w:rsid w:val="0050002F"/>
    <w:rsid w:val="00515289"/>
    <w:rsid w:val="005530D3"/>
    <w:rsid w:val="0055360B"/>
    <w:rsid w:val="0057575A"/>
    <w:rsid w:val="005A39AE"/>
    <w:rsid w:val="005B0187"/>
    <w:rsid w:val="005D2BFD"/>
    <w:rsid w:val="005D5692"/>
    <w:rsid w:val="005E7165"/>
    <w:rsid w:val="00610903"/>
    <w:rsid w:val="00612AA4"/>
    <w:rsid w:val="00646E5B"/>
    <w:rsid w:val="006C5868"/>
    <w:rsid w:val="006D7089"/>
    <w:rsid w:val="007170EC"/>
    <w:rsid w:val="00725485"/>
    <w:rsid w:val="00733D82"/>
    <w:rsid w:val="00736CEB"/>
    <w:rsid w:val="00762E49"/>
    <w:rsid w:val="00772114"/>
    <w:rsid w:val="0079152C"/>
    <w:rsid w:val="007E0435"/>
    <w:rsid w:val="007F74AC"/>
    <w:rsid w:val="008249FC"/>
    <w:rsid w:val="00841D30"/>
    <w:rsid w:val="008420C8"/>
    <w:rsid w:val="0096436A"/>
    <w:rsid w:val="009A0412"/>
    <w:rsid w:val="009C402D"/>
    <w:rsid w:val="00A05265"/>
    <w:rsid w:val="00A34288"/>
    <w:rsid w:val="00A5553D"/>
    <w:rsid w:val="00A61A01"/>
    <w:rsid w:val="00A64037"/>
    <w:rsid w:val="00A71EA7"/>
    <w:rsid w:val="00B272C6"/>
    <w:rsid w:val="00B5262D"/>
    <w:rsid w:val="00B67487"/>
    <w:rsid w:val="00B91CFC"/>
    <w:rsid w:val="00B95E26"/>
    <w:rsid w:val="00B969E6"/>
    <w:rsid w:val="00BE36B4"/>
    <w:rsid w:val="00BE4C47"/>
    <w:rsid w:val="00BF4AF6"/>
    <w:rsid w:val="00BF7176"/>
    <w:rsid w:val="00C1263E"/>
    <w:rsid w:val="00C631B0"/>
    <w:rsid w:val="00C73EFD"/>
    <w:rsid w:val="00C82F2A"/>
    <w:rsid w:val="00C95FCC"/>
    <w:rsid w:val="00CE4A88"/>
    <w:rsid w:val="00CE62D2"/>
    <w:rsid w:val="00CF6458"/>
    <w:rsid w:val="00D058A5"/>
    <w:rsid w:val="00DB5C71"/>
    <w:rsid w:val="00E01254"/>
    <w:rsid w:val="00E25325"/>
    <w:rsid w:val="00E7502D"/>
    <w:rsid w:val="00E82F2E"/>
    <w:rsid w:val="00E90AF1"/>
    <w:rsid w:val="00F1003C"/>
    <w:rsid w:val="00F1627E"/>
    <w:rsid w:val="00F31508"/>
    <w:rsid w:val="00F84C4B"/>
    <w:rsid w:val="00F85591"/>
    <w:rsid w:val="00FE7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54BF3"/>
  <w15:chartTrackingRefBased/>
  <w15:docId w15:val="{3E39CEE7-6F81-4155-853E-3F7B7A139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875"/>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9C4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02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02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C402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C402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C402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C402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C402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02D"/>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C402D"/>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C402D"/>
    <w:rPr>
      <w:rFonts w:asciiTheme="minorHAnsi" w:eastAsiaTheme="majorEastAsia" w:hAnsiTheme="minorHAnsi"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C402D"/>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C402D"/>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9C402D"/>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C402D"/>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9C402D"/>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C402D"/>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9C40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02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C402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02D"/>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C402D"/>
    <w:pPr>
      <w:spacing w:before="160"/>
      <w:jc w:val="center"/>
    </w:pPr>
    <w:rPr>
      <w:i/>
      <w:iCs/>
      <w:color w:val="404040" w:themeColor="text1" w:themeTint="BF"/>
    </w:rPr>
  </w:style>
  <w:style w:type="character" w:customStyle="1" w:styleId="QuoteChar">
    <w:name w:val="Quote Char"/>
    <w:basedOn w:val="DefaultParagraphFont"/>
    <w:link w:val="Quote"/>
    <w:uiPriority w:val="29"/>
    <w:rsid w:val="009C402D"/>
    <w:rPr>
      <w:i/>
      <w:iCs/>
      <w:color w:val="404040" w:themeColor="text1" w:themeTint="BF"/>
      <w:lang w:val="en-GB"/>
    </w:rPr>
  </w:style>
  <w:style w:type="paragraph" w:styleId="ListParagraph">
    <w:name w:val="List Paragraph"/>
    <w:basedOn w:val="Normal"/>
    <w:uiPriority w:val="34"/>
    <w:qFormat/>
    <w:rsid w:val="009C402D"/>
    <w:pPr>
      <w:ind w:left="720"/>
      <w:contextualSpacing/>
    </w:pPr>
  </w:style>
  <w:style w:type="character" w:styleId="IntenseEmphasis">
    <w:name w:val="Intense Emphasis"/>
    <w:basedOn w:val="DefaultParagraphFont"/>
    <w:uiPriority w:val="21"/>
    <w:qFormat/>
    <w:rsid w:val="009C402D"/>
    <w:rPr>
      <w:i/>
      <w:iCs/>
      <w:color w:val="0F4761" w:themeColor="accent1" w:themeShade="BF"/>
    </w:rPr>
  </w:style>
  <w:style w:type="paragraph" w:styleId="IntenseQuote">
    <w:name w:val="Intense Quote"/>
    <w:basedOn w:val="Normal"/>
    <w:next w:val="Normal"/>
    <w:link w:val="IntenseQuoteChar"/>
    <w:uiPriority w:val="30"/>
    <w:qFormat/>
    <w:rsid w:val="009C4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02D"/>
    <w:rPr>
      <w:i/>
      <w:iCs/>
      <w:color w:val="0F4761" w:themeColor="accent1" w:themeShade="BF"/>
      <w:lang w:val="en-GB"/>
    </w:rPr>
  </w:style>
  <w:style w:type="character" w:styleId="IntenseReference">
    <w:name w:val="Intense Reference"/>
    <w:basedOn w:val="DefaultParagraphFont"/>
    <w:uiPriority w:val="32"/>
    <w:qFormat/>
    <w:rsid w:val="009C402D"/>
    <w:rPr>
      <w:b/>
      <w:bCs/>
      <w:smallCaps/>
      <w:color w:val="0F4761" w:themeColor="accent1" w:themeShade="BF"/>
      <w:spacing w:val="5"/>
    </w:rPr>
  </w:style>
  <w:style w:type="paragraph" w:customStyle="1" w:styleId="H1">
    <w:name w:val="H1"/>
    <w:basedOn w:val="Normal"/>
    <w:rsid w:val="00B67487"/>
    <w:pPr>
      <w:autoSpaceDE w:val="0"/>
      <w:autoSpaceDN w:val="0"/>
      <w:adjustRightInd w:val="0"/>
      <w:spacing w:before="240"/>
    </w:pPr>
    <w:rPr>
      <w:rFonts w:ascii="Helvetica" w:hAnsi="Helvetica" w:cs="FormataOTF-Bold"/>
      <w:b/>
      <w:bCs/>
      <w:color w:val="00629B"/>
      <w:sz w:val="18"/>
      <w:szCs w:val="18"/>
    </w:rPr>
  </w:style>
  <w:style w:type="table" w:styleId="PlainTable2">
    <w:name w:val="Plain Table 2"/>
    <w:basedOn w:val="TableNormal"/>
    <w:uiPriority w:val="42"/>
    <w:rsid w:val="00B674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Title">
    <w:name w:val="Table Title"/>
    <w:basedOn w:val="Normal"/>
    <w:rsid w:val="00646E5B"/>
    <w:pPr>
      <w:jc w:val="center"/>
    </w:pPr>
    <w:rPr>
      <w:smallCaps/>
      <w:sz w:val="16"/>
      <w:szCs w:val="16"/>
    </w:rPr>
  </w:style>
  <w:style w:type="paragraph" w:styleId="Header">
    <w:name w:val="header"/>
    <w:basedOn w:val="Normal"/>
    <w:link w:val="HeaderChar"/>
    <w:uiPriority w:val="99"/>
    <w:unhideWhenUsed/>
    <w:rsid w:val="0079152C"/>
    <w:pPr>
      <w:tabs>
        <w:tab w:val="center" w:pos="4680"/>
        <w:tab w:val="right" w:pos="9360"/>
      </w:tabs>
    </w:pPr>
  </w:style>
  <w:style w:type="character" w:customStyle="1" w:styleId="HeaderChar">
    <w:name w:val="Header Char"/>
    <w:basedOn w:val="DefaultParagraphFont"/>
    <w:link w:val="Header"/>
    <w:uiPriority w:val="99"/>
    <w:rsid w:val="0079152C"/>
    <w:rPr>
      <w:lang w:val="en-GB"/>
    </w:rPr>
  </w:style>
  <w:style w:type="paragraph" w:styleId="Footer">
    <w:name w:val="footer"/>
    <w:basedOn w:val="Normal"/>
    <w:link w:val="FooterChar"/>
    <w:uiPriority w:val="99"/>
    <w:unhideWhenUsed/>
    <w:rsid w:val="0079152C"/>
    <w:pPr>
      <w:tabs>
        <w:tab w:val="center" w:pos="4680"/>
        <w:tab w:val="right" w:pos="9360"/>
      </w:tabs>
    </w:pPr>
  </w:style>
  <w:style w:type="character" w:customStyle="1" w:styleId="FooterChar">
    <w:name w:val="Footer Char"/>
    <w:basedOn w:val="DefaultParagraphFont"/>
    <w:link w:val="Footer"/>
    <w:uiPriority w:val="99"/>
    <w:rsid w:val="0079152C"/>
    <w:rPr>
      <w:lang w:val="en-GB"/>
    </w:rPr>
  </w:style>
  <w:style w:type="character" w:styleId="PageNumber">
    <w:name w:val="page number"/>
    <w:basedOn w:val="DefaultParagraphFont"/>
    <w:uiPriority w:val="99"/>
    <w:semiHidden/>
    <w:unhideWhenUsed/>
    <w:rsid w:val="00733D82"/>
  </w:style>
  <w:style w:type="character" w:styleId="PlaceholderText">
    <w:name w:val="Placeholder Text"/>
    <w:basedOn w:val="DefaultParagraphFont"/>
    <w:uiPriority w:val="99"/>
    <w:semiHidden/>
    <w:rsid w:val="002B541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3698</Words>
  <Characters>21079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Mohammad Fazle Rabbi</dc:creator>
  <cp:keywords/>
  <dc:description/>
  <cp:lastModifiedBy>Dr. Mohammad Fazle Rabbi</cp:lastModifiedBy>
  <cp:revision>3</cp:revision>
  <cp:lastPrinted>2026-01-24T09:11:00Z</cp:lastPrinted>
  <dcterms:created xsi:type="dcterms:W3CDTF">2026-01-24T09:11:00Z</dcterms:created>
  <dcterms:modified xsi:type="dcterms:W3CDTF">2026-01-24T09:12:00Z</dcterms:modified>
</cp:coreProperties>
</file>