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FA" w:rsidRPr="00BF0C76" w:rsidRDefault="00651CFA">
      <w:r w:rsidRPr="00BF0C76">
        <w:rPr>
          <w:rFonts w:ascii="Times New Roman" w:eastAsia="Times New Roman" w:hAnsi="Times New Roman"/>
        </w:rPr>
        <w:t>Table S1. Protocol transparency statement comparing the pre-defined review plan with the final executed review.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95"/>
        <w:gridCol w:w="4216"/>
        <w:gridCol w:w="3005"/>
      </w:tblGrid>
      <w:tr w:rsidR="00651CFA" w:rsidRPr="00BF0C76" w:rsidTr="00542DA5">
        <w:trPr>
          <w:jc w:val="center"/>
        </w:trPr>
        <w:tc>
          <w:tcPr>
            <w:tcW w:w="179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Protocol component</w:t>
            </w:r>
          </w:p>
        </w:tc>
        <w:tc>
          <w:tcPr>
            <w:tcW w:w="4216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Pre-defined plan</w:t>
            </w:r>
          </w:p>
        </w:tc>
        <w:tc>
          <w:tcPr>
            <w:tcW w:w="30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Final executed review / deviation</w:t>
            </w:r>
          </w:p>
        </w:tc>
      </w:tr>
      <w:tr w:rsidR="00651CFA" w:rsidRPr="00BF0C76" w:rsidTr="00542DA5">
        <w:trPr>
          <w:jc w:val="center"/>
        </w:trPr>
        <w:tc>
          <w:tcPr>
            <w:tcW w:w="179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Review question</w:t>
            </w:r>
          </w:p>
        </w:tc>
        <w:tc>
          <w:tcPr>
            <w:tcW w:w="4216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MRI-based deep learning brain tumour segmentation, with focus on robustness, uncertainty and clinical translation.</w:t>
            </w:r>
          </w:p>
        </w:tc>
        <w:tc>
          <w:tcPr>
            <w:tcW w:w="30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Unchanged. The final review retained the same methodological and translational focus.</w:t>
            </w:r>
          </w:p>
        </w:tc>
      </w:tr>
      <w:tr w:rsidR="00651CFA" w:rsidRPr="00BF0C76" w:rsidTr="00542DA5">
        <w:trPr>
          <w:jc w:val="center"/>
        </w:trPr>
        <w:tc>
          <w:tcPr>
            <w:tcW w:w="179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Eligibility criteria</w:t>
            </w:r>
          </w:p>
        </w:tc>
        <w:tc>
          <w:tcPr>
            <w:tcW w:w="4216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Human MRI studies using deep learning segmentation methods, published in English between January 2018 and March 2025, reporting quantitative segmentation metrics.</w:t>
            </w:r>
          </w:p>
        </w:tc>
        <w:tc>
          <w:tcPr>
            <w:tcW w:w="30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Unchanged. No post-hoc expansion was made after study outcomes were examined.</w:t>
            </w:r>
          </w:p>
        </w:tc>
      </w:tr>
      <w:tr w:rsidR="00651CFA" w:rsidRPr="00BF0C76" w:rsidTr="00542DA5">
        <w:trPr>
          <w:jc w:val="center"/>
        </w:trPr>
        <w:tc>
          <w:tcPr>
            <w:tcW w:w="179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Databases</w:t>
            </w:r>
          </w:p>
        </w:tc>
        <w:tc>
          <w:tcPr>
            <w:tcW w:w="4216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PubMed/MEDLINE, IEEE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Xplore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, Scopus, Web of Science,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arXiv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 and manual reference screening.</w:t>
            </w:r>
          </w:p>
        </w:tc>
        <w:tc>
          <w:tcPr>
            <w:tcW w:w="30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Unchanged. Search strings were adapted to database syntax only.</w:t>
            </w:r>
          </w:p>
        </w:tc>
      </w:tr>
      <w:tr w:rsidR="00651CFA" w:rsidRPr="00BF0C76" w:rsidTr="00542DA5">
        <w:trPr>
          <w:jc w:val="center"/>
        </w:trPr>
        <w:tc>
          <w:tcPr>
            <w:tcW w:w="179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Data extraction</w:t>
            </w:r>
          </w:p>
        </w:tc>
        <w:tc>
          <w:tcPr>
            <w:tcW w:w="4216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Architecture, dataset, modality,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preprocessing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, validation, metrics, uncertainty,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explainability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>, clinical/deployment information.</w:t>
            </w:r>
          </w:p>
        </w:tc>
        <w:tc>
          <w:tcPr>
            <w:tcW w:w="30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Unchanged, with additional explicit coding of model-variant extraction and calibration reporting following reviewer request.</w:t>
            </w:r>
          </w:p>
        </w:tc>
      </w:tr>
      <w:tr w:rsidR="00651CFA" w:rsidRPr="00BF0C76" w:rsidTr="00542DA5">
        <w:trPr>
          <w:jc w:val="center"/>
        </w:trPr>
        <w:tc>
          <w:tcPr>
            <w:tcW w:w="179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Synthesis plan</w:t>
            </w:r>
          </w:p>
        </w:tc>
        <w:tc>
          <w:tcPr>
            <w:tcW w:w="4216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Narrative synthesis grouped by architectural paradigm, with descriptive quantitative benchmarking where pooling was inappropriate.</w:t>
            </w:r>
          </w:p>
        </w:tc>
        <w:tc>
          <w:tcPr>
            <w:tcW w:w="30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Unchanged. Meta-analysis was not performed because of heterogeneity, but descriptive benchmarking ranges and validation-frequency summaries were strengthened.</w:t>
            </w:r>
          </w:p>
        </w:tc>
      </w:tr>
    </w:tbl>
    <w:p w:rsidR="00651CFA" w:rsidRDefault="00651CFA">
      <w:pPr>
        <w:rPr>
          <w:rFonts w:asciiTheme="majorBidi" w:eastAsia="Times New Roman" w:hAnsiTheme="majorBidi" w:cstheme="majorBidi"/>
        </w:rPr>
      </w:pPr>
    </w:p>
    <w:p w:rsidR="00370E81" w:rsidRPr="00BF0C76" w:rsidRDefault="00370E81"/>
    <w:p w:rsidR="00651CFA" w:rsidRPr="00BF0C76" w:rsidRDefault="00651CFA">
      <w:r w:rsidRPr="00BF0C76">
        <w:rPr>
          <w:rFonts w:ascii="Times New Roman" w:eastAsia="Times New Roman" w:hAnsi="Times New Roman"/>
        </w:rPr>
        <w:t>Table S2. Operational risk-of-bias rubric used for included deep learning segmentation studies.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1"/>
        <w:gridCol w:w="2624"/>
        <w:gridCol w:w="2254"/>
        <w:gridCol w:w="2253"/>
      </w:tblGrid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Domain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Low risk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Moderate risk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High risk</w:t>
            </w:r>
          </w:p>
        </w:tc>
      </w:tr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Dataset representativeness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Multi-centre or externally validated data with clear patient-level separation.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Single-centre or public benchmark plus limited additional validation.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Exclusive benchmark dependence or unclear dataset origin.</w:t>
            </w:r>
          </w:p>
        </w:tc>
      </w:tr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Train-test separation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Explicit patient-level split, no overlap, leakage controls described.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Split described but leakage controls incomplete.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Unclear split, slice-level split risk, or possible overlap.</w:t>
            </w:r>
          </w:p>
        </w:tc>
      </w:tr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Sample size and class imbalance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Adequate sample size for task; imbalance strategy reported.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Small/moderate sample or incomplete imbalance reporting.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Very small sample, rare-class neglect, or no imbalance handling.</w:t>
            </w:r>
          </w:p>
        </w:tc>
      </w:tr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External validation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Independent external test set or multi-institutional holdout.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Internal holdout/cross-validation only, with some robustness testing.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No independent validation and no robustness testing.</w:t>
            </w:r>
          </w:p>
        </w:tc>
      </w:tr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Reporting transparency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Architecture,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preprocessing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hyperparameters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>, metrics, and limitations reported.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Partial reporting with some reproducibility gaps.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Insufficient method detail or selective reporting likely.</w:t>
            </w:r>
          </w:p>
        </w:tc>
      </w:tr>
      <w:tr w:rsidR="00651CFA" w:rsidRPr="00BF0C76" w:rsidTr="006E4DE9">
        <w:trPr>
          <w:jc w:val="center"/>
        </w:trPr>
        <w:tc>
          <w:tcPr>
            <w:tcW w:w="188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Uncertainty/calibration</w:t>
            </w:r>
          </w:p>
        </w:tc>
        <w:tc>
          <w:tcPr>
            <w:tcW w:w="262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Uncertainty and calibration evaluated with actionable interpretation.</w:t>
            </w:r>
          </w:p>
        </w:tc>
        <w:tc>
          <w:tcPr>
            <w:tcW w:w="2254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Uncertainty or calibration mentioned but incomplete.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No uncertainty, calibration, or reliability assessment.</w:t>
            </w:r>
          </w:p>
        </w:tc>
      </w:tr>
    </w:tbl>
    <w:p w:rsidR="00651CFA" w:rsidRDefault="00651CFA" w:rsidP="004F0C93">
      <w:pPr>
        <w:tabs>
          <w:tab w:val="left" w:pos="360"/>
        </w:tabs>
        <w:ind w:left="-90" w:right="-514"/>
        <w:jc w:val="both"/>
        <w:rPr>
          <w:rFonts w:asciiTheme="majorBidi" w:hAnsiTheme="majorBidi" w:cstheme="majorBidi"/>
        </w:rPr>
      </w:pPr>
    </w:p>
    <w:p w:rsidR="00370E81" w:rsidRPr="00BF0C76" w:rsidRDefault="00370E81" w:rsidP="004F0C93">
      <w:pPr>
        <w:tabs>
          <w:tab w:val="left" w:pos="360"/>
        </w:tabs>
        <w:ind w:left="-90" w:right="-514"/>
        <w:jc w:val="both"/>
        <w:rPr>
          <w:rFonts w:asciiTheme="majorBidi" w:hAnsiTheme="majorBidi" w:cstheme="majorBidi"/>
        </w:rPr>
      </w:pPr>
    </w:p>
    <w:p w:rsidR="00651CFA" w:rsidRPr="00BF0C76" w:rsidRDefault="00651CFA">
      <w:r>
        <w:rPr>
          <w:rFonts w:ascii="Times New Roman" w:eastAsia="Times New Roman" w:hAnsi="Times New Roman"/>
        </w:rPr>
        <w:lastRenderedPageBreak/>
        <w:t>Table S3</w:t>
      </w:r>
      <w:r w:rsidRPr="00BF0C76">
        <w:rPr>
          <w:rFonts w:ascii="Times New Roman" w:eastAsia="Times New Roman" w:hAnsi="Times New Roman"/>
        </w:rPr>
        <w:t xml:space="preserve"> Proposed risk-aware calibration and decision-threshold framework for clinical brain </w:t>
      </w:r>
      <w:proofErr w:type="spellStart"/>
      <w:r w:rsidRPr="00BF0C76">
        <w:rPr>
          <w:rFonts w:ascii="Times New Roman" w:eastAsia="Times New Roman" w:hAnsi="Times New Roman"/>
        </w:rPr>
        <w:t>tumour</w:t>
      </w:r>
      <w:proofErr w:type="spellEnd"/>
      <w:r w:rsidRPr="00BF0C76">
        <w:rPr>
          <w:rFonts w:ascii="Times New Roman" w:eastAsia="Times New Roman" w:hAnsi="Times New Roman"/>
        </w:rPr>
        <w:t xml:space="preserve"> segmentation.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2803"/>
        <w:gridCol w:w="2255"/>
        <w:gridCol w:w="2253"/>
      </w:tblGrid>
      <w:tr w:rsidR="00651CFA" w:rsidRPr="00BF0C76" w:rsidTr="00A431E5">
        <w:trPr>
          <w:jc w:val="center"/>
        </w:trPr>
        <w:tc>
          <w:tcPr>
            <w:tcW w:w="17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Risk band</w:t>
            </w:r>
          </w:p>
        </w:tc>
        <w:tc>
          <w:tcPr>
            <w:tcW w:w="280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Model output pattern</w:t>
            </w:r>
          </w:p>
        </w:tc>
        <w:tc>
          <w:tcPr>
            <w:tcW w:w="225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Suggested action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Required reporting</w:t>
            </w:r>
          </w:p>
        </w:tc>
      </w:tr>
      <w:tr w:rsidR="00651CFA" w:rsidRPr="00BF0C76" w:rsidTr="00A431E5">
        <w:trPr>
          <w:jc w:val="center"/>
        </w:trPr>
        <w:tc>
          <w:tcPr>
            <w:tcW w:w="17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Low risk</w:t>
            </w:r>
          </w:p>
        </w:tc>
        <w:tc>
          <w:tcPr>
            <w:tcW w:w="280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High Dice proxy, low uncertainty, calibrated confidence.</w:t>
            </w:r>
          </w:p>
        </w:tc>
        <w:tc>
          <w:tcPr>
            <w:tcW w:w="225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Segmentation can support routine review but remains clinician-verified.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Reliability diagram, ECE, </w:t>
            </w:r>
            <w:proofErr w:type="spellStart"/>
            <w:r w:rsidRPr="00BF0C76">
              <w:rPr>
                <w:rFonts w:asciiTheme="majorBidi" w:hAnsiTheme="majorBidi" w:cstheme="majorBidi"/>
                <w:sz w:val="20"/>
                <w:szCs w:val="20"/>
              </w:rPr>
              <w:t>subregion</w:t>
            </w:r>
            <w:proofErr w:type="spellEnd"/>
            <w:r w:rsidRPr="00BF0C76">
              <w:rPr>
                <w:rFonts w:asciiTheme="majorBidi" w:hAnsiTheme="majorBidi" w:cstheme="majorBidi"/>
                <w:sz w:val="20"/>
                <w:szCs w:val="20"/>
              </w:rPr>
              <w:t xml:space="preserve"> Dice/HD.</w:t>
            </w:r>
          </w:p>
        </w:tc>
      </w:tr>
      <w:tr w:rsidR="00651CFA" w:rsidRPr="00BF0C76" w:rsidTr="00A431E5">
        <w:trPr>
          <w:jc w:val="center"/>
        </w:trPr>
        <w:tc>
          <w:tcPr>
            <w:tcW w:w="17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Intermediate risk</w:t>
            </w:r>
          </w:p>
        </w:tc>
        <w:tc>
          <w:tcPr>
            <w:tcW w:w="280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Moderate uncertainty or disagreement between ensemble/diffusion samples.</w:t>
            </w:r>
          </w:p>
        </w:tc>
        <w:tc>
          <w:tcPr>
            <w:tcW w:w="225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Flag for radiologist/neuro-oncology review before use in planning.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Threshold-sensitivity curve and uncertainty map.</w:t>
            </w:r>
          </w:p>
        </w:tc>
      </w:tr>
      <w:tr w:rsidR="00651CFA" w:rsidRPr="00BF0C76" w:rsidTr="00A431E5">
        <w:trPr>
          <w:jc w:val="center"/>
        </w:trPr>
        <w:tc>
          <w:tcPr>
            <w:tcW w:w="17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High risk</w:t>
            </w:r>
          </w:p>
        </w:tc>
        <w:tc>
          <w:tcPr>
            <w:tcW w:w="280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High uncertainty near ET boundary, small lesion, missing modality, or domain-shift indicator.</w:t>
            </w:r>
          </w:p>
        </w:tc>
        <w:tc>
          <w:tcPr>
            <w:tcW w:w="225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Do not auto-accept; request expert correction or repeat/complete imaging.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Failure-case analysis and escalation rule.</w:t>
            </w:r>
          </w:p>
        </w:tc>
      </w:tr>
      <w:tr w:rsidR="00651CFA" w:rsidRPr="00BF0C76" w:rsidTr="00A431E5">
        <w:trPr>
          <w:jc w:val="center"/>
        </w:trPr>
        <w:tc>
          <w:tcPr>
            <w:tcW w:w="170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Deployment monitoring</w:t>
            </w:r>
          </w:p>
        </w:tc>
        <w:tc>
          <w:tcPr>
            <w:tcW w:w="280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Performance drift or calibration drift over time.</w:t>
            </w:r>
          </w:p>
        </w:tc>
        <w:tc>
          <w:tcPr>
            <w:tcW w:w="2255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Periodic recalibration and audit against local ground truth.</w:t>
            </w:r>
          </w:p>
        </w:tc>
        <w:tc>
          <w:tcPr>
            <w:tcW w:w="2253" w:type="dxa"/>
            <w:shd w:val="clear" w:color="auto" w:fill="FFF2CC"/>
          </w:tcPr>
          <w:p w:rsidR="00651CFA" w:rsidRPr="00BF0C76" w:rsidRDefault="00651CF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F0C76">
              <w:rPr>
                <w:rFonts w:asciiTheme="majorBidi" w:hAnsiTheme="majorBidi" w:cstheme="majorBidi"/>
                <w:sz w:val="20"/>
                <w:szCs w:val="20"/>
              </w:rPr>
              <w:t>Prospective audit, drift statistics, governance log.</w:t>
            </w:r>
          </w:p>
        </w:tc>
      </w:tr>
    </w:tbl>
    <w:p w:rsidR="00651CFA" w:rsidRDefault="00651CFA">
      <w:pPr>
        <w:rPr>
          <w:rFonts w:ascii="Times New Roman" w:eastAsia="Times New Roman" w:hAnsi="Times New Roman"/>
        </w:rPr>
      </w:pPr>
      <w:bookmarkStart w:id="0" w:name="_GoBack"/>
      <w:bookmarkEnd w:id="0"/>
    </w:p>
    <w:sectPr w:rsidR="00651C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FA"/>
    <w:rsid w:val="00002351"/>
    <w:rsid w:val="00007B53"/>
    <w:rsid w:val="000247CB"/>
    <w:rsid w:val="00026EF6"/>
    <w:rsid w:val="00027DA4"/>
    <w:rsid w:val="00077B5D"/>
    <w:rsid w:val="00081F9A"/>
    <w:rsid w:val="0008782C"/>
    <w:rsid w:val="0009114B"/>
    <w:rsid w:val="000C6D73"/>
    <w:rsid w:val="001139F3"/>
    <w:rsid w:val="00122460"/>
    <w:rsid w:val="00123F27"/>
    <w:rsid w:val="00160C24"/>
    <w:rsid w:val="00161575"/>
    <w:rsid w:val="001B527F"/>
    <w:rsid w:val="001B7AFD"/>
    <w:rsid w:val="001C7F35"/>
    <w:rsid w:val="001D0FAE"/>
    <w:rsid w:val="001E4BFC"/>
    <w:rsid w:val="00200F5E"/>
    <w:rsid w:val="00262B37"/>
    <w:rsid w:val="00282BD1"/>
    <w:rsid w:val="0028472F"/>
    <w:rsid w:val="00296050"/>
    <w:rsid w:val="002C12B5"/>
    <w:rsid w:val="00323FD2"/>
    <w:rsid w:val="00331E8D"/>
    <w:rsid w:val="00343990"/>
    <w:rsid w:val="00370E81"/>
    <w:rsid w:val="003751CF"/>
    <w:rsid w:val="00385419"/>
    <w:rsid w:val="003D7C63"/>
    <w:rsid w:val="004A72C7"/>
    <w:rsid w:val="004B5DA6"/>
    <w:rsid w:val="004F40A8"/>
    <w:rsid w:val="00507000"/>
    <w:rsid w:val="00517E44"/>
    <w:rsid w:val="0054136D"/>
    <w:rsid w:val="00552ADA"/>
    <w:rsid w:val="0057560D"/>
    <w:rsid w:val="005D1024"/>
    <w:rsid w:val="005F0421"/>
    <w:rsid w:val="005F77C5"/>
    <w:rsid w:val="0061057E"/>
    <w:rsid w:val="00613014"/>
    <w:rsid w:val="00630EAF"/>
    <w:rsid w:val="0064706D"/>
    <w:rsid w:val="00651CFA"/>
    <w:rsid w:val="00654517"/>
    <w:rsid w:val="00674BB1"/>
    <w:rsid w:val="006A2A36"/>
    <w:rsid w:val="006A7945"/>
    <w:rsid w:val="006B1CDC"/>
    <w:rsid w:val="006C65BF"/>
    <w:rsid w:val="006D1EDB"/>
    <w:rsid w:val="0071079F"/>
    <w:rsid w:val="00724126"/>
    <w:rsid w:val="00737BEA"/>
    <w:rsid w:val="007423C2"/>
    <w:rsid w:val="00776307"/>
    <w:rsid w:val="00777F10"/>
    <w:rsid w:val="007856CD"/>
    <w:rsid w:val="00793CA9"/>
    <w:rsid w:val="00796C6A"/>
    <w:rsid w:val="007F783D"/>
    <w:rsid w:val="0081755C"/>
    <w:rsid w:val="00834520"/>
    <w:rsid w:val="00876861"/>
    <w:rsid w:val="00877179"/>
    <w:rsid w:val="008942FC"/>
    <w:rsid w:val="008B5329"/>
    <w:rsid w:val="008E768E"/>
    <w:rsid w:val="00901549"/>
    <w:rsid w:val="00911EEF"/>
    <w:rsid w:val="0094159F"/>
    <w:rsid w:val="00951AEB"/>
    <w:rsid w:val="009538B3"/>
    <w:rsid w:val="00980495"/>
    <w:rsid w:val="00990D26"/>
    <w:rsid w:val="00991E7A"/>
    <w:rsid w:val="00994667"/>
    <w:rsid w:val="009B6F05"/>
    <w:rsid w:val="00A035B4"/>
    <w:rsid w:val="00A0643A"/>
    <w:rsid w:val="00A236A4"/>
    <w:rsid w:val="00A60AAA"/>
    <w:rsid w:val="00AA53BD"/>
    <w:rsid w:val="00AC222E"/>
    <w:rsid w:val="00AC43A9"/>
    <w:rsid w:val="00AC4553"/>
    <w:rsid w:val="00AC7D7C"/>
    <w:rsid w:val="00B05F6D"/>
    <w:rsid w:val="00B173D6"/>
    <w:rsid w:val="00B175B6"/>
    <w:rsid w:val="00B31155"/>
    <w:rsid w:val="00B36370"/>
    <w:rsid w:val="00B4439C"/>
    <w:rsid w:val="00BB656A"/>
    <w:rsid w:val="00BB7CC3"/>
    <w:rsid w:val="00BF3378"/>
    <w:rsid w:val="00C0540D"/>
    <w:rsid w:val="00C1406A"/>
    <w:rsid w:val="00C27038"/>
    <w:rsid w:val="00C375F5"/>
    <w:rsid w:val="00C43629"/>
    <w:rsid w:val="00C46062"/>
    <w:rsid w:val="00C7094A"/>
    <w:rsid w:val="00C90422"/>
    <w:rsid w:val="00CB2912"/>
    <w:rsid w:val="00CE3FBE"/>
    <w:rsid w:val="00CE4731"/>
    <w:rsid w:val="00D03408"/>
    <w:rsid w:val="00D60429"/>
    <w:rsid w:val="00DA77D3"/>
    <w:rsid w:val="00DB2A0C"/>
    <w:rsid w:val="00DF0CCE"/>
    <w:rsid w:val="00DF11BC"/>
    <w:rsid w:val="00E7363D"/>
    <w:rsid w:val="00E7593A"/>
    <w:rsid w:val="00E83C4A"/>
    <w:rsid w:val="00E85886"/>
    <w:rsid w:val="00E8643D"/>
    <w:rsid w:val="00E932DB"/>
    <w:rsid w:val="00EA02B3"/>
    <w:rsid w:val="00F04097"/>
    <w:rsid w:val="00F07718"/>
    <w:rsid w:val="00F601E2"/>
    <w:rsid w:val="00F632C0"/>
    <w:rsid w:val="00F73F2D"/>
    <w:rsid w:val="00F90AA1"/>
    <w:rsid w:val="00F9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AECBB-6250-4B8A-989D-BE67CF02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CF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K</dc:creator>
  <cp:keywords/>
  <dc:description/>
  <cp:lastModifiedBy>Swetha K</cp:lastModifiedBy>
  <cp:revision>1</cp:revision>
  <dcterms:created xsi:type="dcterms:W3CDTF">2026-07-01T00:43:00Z</dcterms:created>
  <dcterms:modified xsi:type="dcterms:W3CDTF">2026-07-01T02:01:00Z</dcterms:modified>
</cp:coreProperties>
</file>