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23B9B" w14:textId="4912DE98" w:rsidR="00B33EEE" w:rsidRDefault="00B33EEE" w:rsidP="00706A86">
      <w:pPr>
        <w:pStyle w:val="u-mb-24"/>
        <w:spacing w:before="0" w:beforeAutospacing="0" w:after="0" w:afterAutospacing="0"/>
        <w:jc w:val="center"/>
        <w:rPr>
          <w:b/>
          <w:bCs/>
        </w:rPr>
      </w:pPr>
      <w:r w:rsidRPr="001D0F75">
        <w:rPr>
          <w:b/>
          <w:bCs/>
        </w:rPr>
        <w:t>Supplementary file</w:t>
      </w:r>
    </w:p>
    <w:p w14:paraId="73F243E8" w14:textId="77777777" w:rsidR="00D67DD1" w:rsidRDefault="00D67DD1" w:rsidP="00706A86">
      <w:pPr>
        <w:pStyle w:val="u-mb-24"/>
        <w:spacing w:before="0" w:beforeAutospacing="0" w:after="0" w:afterAutospacing="0"/>
        <w:jc w:val="center"/>
        <w:rPr>
          <w:b/>
          <w:bCs/>
        </w:rPr>
      </w:pPr>
    </w:p>
    <w:p w14:paraId="404467BD" w14:textId="77777777" w:rsidR="00D67DD1" w:rsidRPr="001B45D0" w:rsidRDefault="00D67DD1" w:rsidP="00D67DD1">
      <w:pPr>
        <w:spacing w:after="120" w:line="360" w:lineRule="auto"/>
        <w:jc w:val="center"/>
        <w:rPr>
          <w:rFonts w:ascii="Times New Roman" w:eastAsia="Times" w:hAnsi="Times New Roman" w:cs="Times New Roman"/>
          <w:b/>
          <w:color w:val="000000" w:themeColor="text1"/>
          <w:sz w:val="28"/>
          <w:szCs w:val="28"/>
          <w:lang w:val="en-GB"/>
        </w:rPr>
      </w:pPr>
      <w:r w:rsidRPr="001B45D0">
        <w:rPr>
          <w:rFonts w:ascii="Times New Roman" w:eastAsia="Times" w:hAnsi="Times New Roman" w:cs="Times New Roman"/>
          <w:b/>
          <w:color w:val="000000" w:themeColor="text1"/>
          <w:sz w:val="28"/>
          <w:szCs w:val="28"/>
          <w:lang w:val="en-GB"/>
        </w:rPr>
        <w:t>Artificial Intelligence Enabled Food Quality Assessment Through Digital Sensing and Explainable Analytics</w:t>
      </w:r>
    </w:p>
    <w:p w14:paraId="1B4C8A2A" w14:textId="77777777" w:rsidR="00D67DD1" w:rsidRPr="001B45D0" w:rsidRDefault="00D67DD1" w:rsidP="00D67DD1">
      <w:pPr>
        <w:spacing w:after="120"/>
        <w:jc w:val="center"/>
        <w:rPr>
          <w:rFonts w:ascii="Times New Roman" w:eastAsia="Times New Roman" w:hAnsi="Times New Roman" w:cs="Times New Roman"/>
          <w:color w:val="000000" w:themeColor="text1"/>
          <w:lang w:val="de-DE"/>
        </w:rPr>
      </w:pPr>
      <w:r w:rsidRPr="001B45D0">
        <w:rPr>
          <w:rFonts w:ascii="Times New Roman" w:hAnsi="Times New Roman" w:cs="Times New Roman"/>
          <w:color w:val="000000" w:themeColor="text1"/>
        </w:rPr>
        <w:t xml:space="preserve">Authors: </w:t>
      </w:r>
      <w:proofErr w:type="spellStart"/>
      <w:r w:rsidRPr="001B45D0">
        <w:rPr>
          <w:rFonts w:ascii="Times New Roman" w:hAnsi="Times New Roman" w:cs="Times New Roman"/>
          <w:color w:val="000000" w:themeColor="text1"/>
        </w:rPr>
        <w:t>Suraja</w:t>
      </w:r>
      <w:proofErr w:type="spellEnd"/>
      <w:r w:rsidRPr="001B45D0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1B45D0">
        <w:rPr>
          <w:rFonts w:ascii="Times New Roman" w:hAnsi="Times New Roman" w:cs="Times New Roman"/>
          <w:color w:val="000000" w:themeColor="text1"/>
        </w:rPr>
        <w:t>Parida</w:t>
      </w:r>
      <w:proofErr w:type="spellEnd"/>
      <w:r w:rsidRPr="001B45D0">
        <w:rPr>
          <w:rFonts w:ascii="Times New Roman" w:eastAsia="Times New Roman" w:hAnsi="Times New Roman" w:cs="Times New Roman"/>
          <w:color w:val="000000" w:themeColor="text1"/>
          <w:vertAlign w:val="superscript"/>
          <w:lang w:val="de-DE"/>
        </w:rPr>
        <w:t>1</w:t>
      </w:r>
      <w:r w:rsidRPr="001B45D0">
        <w:rPr>
          <w:rFonts w:ascii="Times New Roman" w:eastAsia="Wingdings" w:hAnsi="Times New Roman" w:cs="Times New Roman"/>
          <w:color w:val="000000" w:themeColor="text1"/>
          <w:lang w:val="de-DE"/>
        </w:rPr>
        <w:t xml:space="preserve">, </w:t>
      </w:r>
      <w:r w:rsidRPr="001B45D0">
        <w:rPr>
          <w:rFonts w:ascii="Times New Roman" w:hAnsi="Times New Roman" w:cs="Times New Roman"/>
          <w:color w:val="000000" w:themeColor="text1"/>
        </w:rPr>
        <w:t>Sanjukta Dasgupta</w:t>
      </w:r>
      <w:r w:rsidRPr="001B45D0">
        <w:rPr>
          <w:rFonts w:ascii="Times New Roman" w:eastAsia="Wingdings" w:hAnsi="Times New Roman" w:cs="Times New Roman"/>
          <w:color w:val="000000" w:themeColor="text1"/>
          <w:vertAlign w:val="superscript"/>
          <w:lang w:val="de-DE"/>
        </w:rPr>
        <w:t>1</w:t>
      </w:r>
      <w:r w:rsidRPr="001B45D0">
        <w:rPr>
          <w:rFonts w:ascii="Segoe UI Symbol" w:eastAsia="Wingdings" w:hAnsi="Segoe UI Symbol" w:cs="Segoe UI Symbol"/>
          <w:color w:val="000000" w:themeColor="text1"/>
          <w:vertAlign w:val="superscript"/>
          <w:lang w:val="de-DE"/>
        </w:rPr>
        <w:t>✉</w:t>
      </w:r>
    </w:p>
    <w:p w14:paraId="625D3231" w14:textId="77777777" w:rsidR="00D67DD1" w:rsidRPr="001B45D0" w:rsidRDefault="00D67DD1" w:rsidP="00D67DD1">
      <w:pPr>
        <w:ind w:left="142" w:right="4" w:hanging="142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</w:pPr>
      <w:r w:rsidRPr="001B45D0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vertAlign w:val="superscript"/>
          <w:lang w:val="en-GB"/>
        </w:rPr>
        <w:t>1</w:t>
      </w:r>
      <w:r w:rsidRPr="001B45D0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vertAlign w:val="superscript"/>
          <w:lang w:val="en-GB"/>
        </w:rPr>
        <w:tab/>
      </w:r>
      <w:r w:rsidRPr="001B45D0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Department of Biotechnology and Biosciences, Centre for Multidisciplinary Research and Innovations, </w:t>
      </w:r>
      <w:proofErr w:type="spellStart"/>
      <w:r w:rsidRPr="001B45D0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Brainware</w:t>
      </w:r>
      <w:proofErr w:type="spellEnd"/>
      <w:r w:rsidRPr="001B45D0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University, Kolkata, India</w:t>
      </w:r>
    </w:p>
    <w:p w14:paraId="2C5B5FD6" w14:textId="77777777" w:rsidR="00D67DD1" w:rsidRPr="001B45D0" w:rsidRDefault="00D67DD1" w:rsidP="00D67DD1">
      <w:pPr>
        <w:spacing w:line="360" w:lineRule="auto"/>
        <w:jc w:val="both"/>
        <w:rPr>
          <w:rFonts w:ascii="Segoe UI Symbol" w:eastAsia="Wingdings" w:hAnsi="Segoe UI Symbol" w:cs="Segoe UI Symbol"/>
          <w:i/>
          <w:iCs/>
          <w:color w:val="000000" w:themeColor="text1"/>
          <w:sz w:val="20"/>
          <w:szCs w:val="20"/>
          <w:vertAlign w:val="superscript"/>
          <w:lang w:val="en-GB"/>
        </w:rPr>
      </w:pPr>
    </w:p>
    <w:p w14:paraId="48786D02" w14:textId="77777777" w:rsidR="00D67DD1" w:rsidRPr="001B45D0" w:rsidRDefault="00D67DD1" w:rsidP="00D67DD1">
      <w:pPr>
        <w:spacing w:line="36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1B45D0">
        <w:rPr>
          <w:rFonts w:ascii="Segoe UI Symbol" w:eastAsia="Wingdings" w:hAnsi="Segoe UI Symbol" w:cs="Segoe UI Symbol"/>
          <w:i/>
          <w:iCs/>
          <w:color w:val="000000" w:themeColor="text1"/>
          <w:sz w:val="20"/>
          <w:szCs w:val="20"/>
          <w:vertAlign w:val="superscript"/>
          <w:lang w:val="en-GB"/>
        </w:rPr>
        <w:t>✉</w:t>
      </w:r>
      <w:r w:rsidRPr="001B45D0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val="en-GB"/>
        </w:rPr>
        <w:t xml:space="preserve">Corresponding author: </w:t>
      </w:r>
      <w:r w:rsidRPr="001B45D0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Sanjukta Dasgupta</w:t>
      </w:r>
    </w:p>
    <w:p w14:paraId="4EFABE84" w14:textId="77777777" w:rsidR="00D67DD1" w:rsidRPr="001B45D0" w:rsidRDefault="00D67DD1" w:rsidP="00D67DD1">
      <w:pPr>
        <w:spacing w:line="36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proofErr w:type="spellStart"/>
      <w:r w:rsidRPr="001B45D0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Brainware</w:t>
      </w:r>
      <w:proofErr w:type="spellEnd"/>
      <w:r w:rsidRPr="001B45D0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University, 398, </w:t>
      </w:r>
      <w:proofErr w:type="spellStart"/>
      <w:r w:rsidRPr="001B45D0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Ramkrishnapur</w:t>
      </w:r>
      <w:proofErr w:type="spellEnd"/>
      <w:r w:rsidRPr="001B45D0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Rd, near </w:t>
      </w:r>
      <w:proofErr w:type="spellStart"/>
      <w:r w:rsidRPr="001B45D0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Jagadighata</w:t>
      </w:r>
      <w:proofErr w:type="spellEnd"/>
      <w:r w:rsidRPr="001B45D0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Market, </w:t>
      </w:r>
      <w:proofErr w:type="spellStart"/>
      <w:r w:rsidRPr="001B45D0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Barasat</w:t>
      </w:r>
      <w:proofErr w:type="spellEnd"/>
      <w:r w:rsidRPr="001B45D0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, Kolkata, West Bengal 700125, India</w:t>
      </w:r>
    </w:p>
    <w:p w14:paraId="046BB12A" w14:textId="77777777" w:rsidR="00D67DD1" w:rsidRPr="001B45D0" w:rsidRDefault="00D67DD1" w:rsidP="00D67DD1">
      <w:pPr>
        <w:spacing w:line="36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1B45D0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Email id: sd.bt@brainwareuniversity.ac.in</w:t>
      </w:r>
    </w:p>
    <w:p w14:paraId="32783841" w14:textId="77777777" w:rsidR="00D67DD1" w:rsidRPr="001B45D0" w:rsidRDefault="00D67DD1" w:rsidP="00D67DD1">
      <w:pPr>
        <w:spacing w:line="36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proofErr w:type="spellStart"/>
      <w:r w:rsidRPr="001B45D0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Orcid</w:t>
      </w:r>
      <w:proofErr w:type="spellEnd"/>
      <w:r w:rsidRPr="001B45D0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ID: 0000-0002-9085-2658</w:t>
      </w:r>
    </w:p>
    <w:p w14:paraId="37367C1E" w14:textId="77777777" w:rsidR="00D67DD1" w:rsidRPr="001D0F75" w:rsidRDefault="00D67DD1" w:rsidP="00706A86">
      <w:pPr>
        <w:pStyle w:val="u-mb-24"/>
        <w:spacing w:before="0" w:beforeAutospacing="0" w:after="0" w:afterAutospacing="0"/>
        <w:jc w:val="center"/>
        <w:rPr>
          <w:b/>
          <w:bCs/>
        </w:rPr>
      </w:pPr>
    </w:p>
    <w:p w14:paraId="6F08C7C0" w14:textId="77777777" w:rsidR="00B33EEE" w:rsidRPr="001D0F75" w:rsidRDefault="00B33EEE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7B2E68FB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0ED3FD72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4810FED7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4C500378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411545B9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4775EFB4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603B737C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5F65586E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30577F02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2E6DEF18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4E0AE4CC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57446FC3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138498FD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226762E0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512C39BE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032D8657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5CAD7913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639AA51E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03AAD0D2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35873CE7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26C63B18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2E7ABC4F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786699B6" w14:textId="77777777" w:rsidR="002460E3" w:rsidRDefault="002460E3" w:rsidP="00D045CD">
      <w:pPr>
        <w:pStyle w:val="u-mb-24"/>
        <w:spacing w:before="0" w:beforeAutospacing="0" w:after="0" w:afterAutospacing="0"/>
        <w:rPr>
          <w:b/>
          <w:bCs/>
        </w:rPr>
      </w:pPr>
    </w:p>
    <w:p w14:paraId="78556186" w14:textId="3596E1F1" w:rsidR="00D045CD" w:rsidRPr="001D0F75" w:rsidRDefault="00B33EEE" w:rsidP="00D045CD">
      <w:pPr>
        <w:pStyle w:val="u-mb-24"/>
        <w:spacing w:before="0" w:beforeAutospacing="0" w:after="0" w:afterAutospacing="0"/>
        <w:rPr>
          <w:b/>
          <w:bCs/>
          <w:spacing w:val="2"/>
        </w:rPr>
      </w:pPr>
      <w:r w:rsidRPr="001D0F75">
        <w:rPr>
          <w:b/>
          <w:bCs/>
        </w:rPr>
        <w:lastRenderedPageBreak/>
        <w:t xml:space="preserve">Supplementary </w:t>
      </w:r>
      <w:r w:rsidR="00D045CD" w:rsidRPr="001D0F75">
        <w:rPr>
          <w:b/>
          <w:bCs/>
        </w:rPr>
        <w:t>Table</w:t>
      </w:r>
      <w:r w:rsidRPr="001D0F75">
        <w:rPr>
          <w:b/>
          <w:bCs/>
        </w:rPr>
        <w:t xml:space="preserve"> 1</w:t>
      </w:r>
      <w:r w:rsidR="00D045CD" w:rsidRPr="001D0F75">
        <w:rPr>
          <w:b/>
          <w:bCs/>
        </w:rPr>
        <w:t>. Major drivers of food loss and waste and the role of AI-driven solutions</w:t>
      </w:r>
    </w:p>
    <w:p w14:paraId="32216674" w14:textId="5F7CE34C" w:rsidR="00D22239" w:rsidRPr="001D0F75" w:rsidRDefault="00D2223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2"/>
        <w:gridCol w:w="2228"/>
        <w:gridCol w:w="2150"/>
        <w:gridCol w:w="2720"/>
      </w:tblGrid>
      <w:tr w:rsidR="003850D0" w:rsidRPr="001D0F75" w14:paraId="3C04B1E0" w14:textId="77777777" w:rsidTr="00230F7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288CB4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Food waste driver</w:t>
            </w:r>
          </w:p>
        </w:tc>
        <w:tc>
          <w:tcPr>
            <w:tcW w:w="0" w:type="auto"/>
            <w:vAlign w:val="center"/>
            <w:hideMark/>
          </w:tcPr>
          <w:p w14:paraId="43AA8C8A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AI-enabled solution</w:t>
            </w:r>
          </w:p>
        </w:tc>
        <w:tc>
          <w:tcPr>
            <w:tcW w:w="0" w:type="auto"/>
            <w:vAlign w:val="center"/>
            <w:hideMark/>
          </w:tcPr>
          <w:p w14:paraId="00DE57FD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Reported benefits</w:t>
            </w:r>
          </w:p>
        </w:tc>
        <w:tc>
          <w:tcPr>
            <w:tcW w:w="0" w:type="auto"/>
            <w:vAlign w:val="center"/>
            <w:hideMark/>
          </w:tcPr>
          <w:p w14:paraId="6CE22DD2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Current limitations</w:t>
            </w:r>
          </w:p>
        </w:tc>
      </w:tr>
      <w:tr w:rsidR="003850D0" w:rsidRPr="001D0F75" w14:paraId="041E95D6" w14:textId="77777777" w:rsidTr="00230F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8A2A3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Improper freshness assessment</w:t>
            </w:r>
          </w:p>
        </w:tc>
        <w:tc>
          <w:tcPr>
            <w:tcW w:w="0" w:type="auto"/>
            <w:vAlign w:val="center"/>
            <w:hideMark/>
          </w:tcPr>
          <w:p w14:paraId="00F40CE7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Computer vision, hyperspectral imaging, CNN-based freshness prediction</w:t>
            </w:r>
          </w:p>
        </w:tc>
        <w:tc>
          <w:tcPr>
            <w:tcW w:w="0" w:type="auto"/>
            <w:vAlign w:val="center"/>
            <w:hideMark/>
          </w:tcPr>
          <w:p w14:paraId="2D9FAA8C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Early spoilage detection and dynamic shelf-life estimation</w:t>
            </w:r>
          </w:p>
        </w:tc>
        <w:tc>
          <w:tcPr>
            <w:tcW w:w="0" w:type="auto"/>
            <w:vAlign w:val="center"/>
            <w:hideMark/>
          </w:tcPr>
          <w:p w14:paraId="615E9247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Performance decreases under heterogeneous storage conditions and limited external validation</w:t>
            </w:r>
          </w:p>
        </w:tc>
      </w:tr>
      <w:tr w:rsidR="003850D0" w:rsidRPr="001D0F75" w14:paraId="06597071" w14:textId="77777777" w:rsidTr="00230F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66DB0E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Temperature abuse during storage and transport</w:t>
            </w:r>
          </w:p>
        </w:tc>
        <w:tc>
          <w:tcPr>
            <w:tcW w:w="0" w:type="auto"/>
            <w:vAlign w:val="center"/>
            <w:hideMark/>
          </w:tcPr>
          <w:p w14:paraId="18EE774A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IoT sensors with predictive analytics and edge-AI</w:t>
            </w:r>
          </w:p>
        </w:tc>
        <w:tc>
          <w:tcPr>
            <w:tcW w:w="0" w:type="auto"/>
            <w:vAlign w:val="center"/>
            <w:hideMark/>
          </w:tcPr>
          <w:p w14:paraId="0F630523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Real-time monitoring and early warning systems</w:t>
            </w:r>
          </w:p>
        </w:tc>
        <w:tc>
          <w:tcPr>
            <w:tcW w:w="0" w:type="auto"/>
            <w:vAlign w:val="center"/>
            <w:hideMark/>
          </w:tcPr>
          <w:p w14:paraId="64C8CC7B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Sensor calibration instability and high implementation costs</w:t>
            </w:r>
          </w:p>
        </w:tc>
      </w:tr>
      <w:tr w:rsidR="003850D0" w:rsidRPr="001D0F75" w14:paraId="348ADB21" w14:textId="77777777" w:rsidTr="00230F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3B45CA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Manual sorting and grading errors</w:t>
            </w:r>
          </w:p>
        </w:tc>
        <w:tc>
          <w:tcPr>
            <w:tcW w:w="0" w:type="auto"/>
            <w:vAlign w:val="center"/>
            <w:hideMark/>
          </w:tcPr>
          <w:p w14:paraId="6CF12CB3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Automated vision-based inspection and defect detection systems</w:t>
            </w:r>
          </w:p>
        </w:tc>
        <w:tc>
          <w:tcPr>
            <w:tcW w:w="0" w:type="auto"/>
            <w:vAlign w:val="center"/>
            <w:hideMark/>
          </w:tcPr>
          <w:p w14:paraId="7B4CB274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Improved grading accuracy and reduced post-harvest losses</w:t>
            </w:r>
          </w:p>
        </w:tc>
        <w:tc>
          <w:tcPr>
            <w:tcW w:w="0" w:type="auto"/>
            <w:vAlign w:val="center"/>
            <w:hideMark/>
          </w:tcPr>
          <w:p w14:paraId="48670DD7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Requires large annotated datasets and high-quality imaging infrastructure</w:t>
            </w:r>
          </w:p>
        </w:tc>
      </w:tr>
      <w:tr w:rsidR="003850D0" w:rsidRPr="001D0F75" w14:paraId="67A802D5" w14:textId="77777777" w:rsidTr="00230F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055BA7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Delayed contamination detection</w:t>
            </w:r>
          </w:p>
        </w:tc>
        <w:tc>
          <w:tcPr>
            <w:tcW w:w="0" w:type="auto"/>
            <w:vAlign w:val="center"/>
            <w:hideMark/>
          </w:tcPr>
          <w:p w14:paraId="3E99E744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Biosensors integrated with ML algorithms</w:t>
            </w:r>
          </w:p>
        </w:tc>
        <w:tc>
          <w:tcPr>
            <w:tcW w:w="0" w:type="auto"/>
            <w:vAlign w:val="center"/>
            <w:hideMark/>
          </w:tcPr>
          <w:p w14:paraId="3149EE20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Rapid identification of microbial contamination and safety risks</w:t>
            </w:r>
          </w:p>
        </w:tc>
        <w:tc>
          <w:tcPr>
            <w:tcW w:w="0" w:type="auto"/>
            <w:vAlign w:val="center"/>
            <w:hideMark/>
          </w:tcPr>
          <w:p w14:paraId="7C4113F8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Limited scalability and regulatory standardization</w:t>
            </w:r>
          </w:p>
        </w:tc>
      </w:tr>
      <w:tr w:rsidR="003850D0" w:rsidRPr="001D0F75" w14:paraId="46790629" w14:textId="77777777" w:rsidTr="00230F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819B64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Supply-chain inefficiencies and inventory mismanagement</w:t>
            </w:r>
          </w:p>
        </w:tc>
        <w:tc>
          <w:tcPr>
            <w:tcW w:w="0" w:type="auto"/>
            <w:vAlign w:val="center"/>
            <w:hideMark/>
          </w:tcPr>
          <w:p w14:paraId="0E332864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AI-driven demand forecasting and predictive analytics</w:t>
            </w:r>
          </w:p>
        </w:tc>
        <w:tc>
          <w:tcPr>
            <w:tcW w:w="0" w:type="auto"/>
            <w:vAlign w:val="center"/>
            <w:hideMark/>
          </w:tcPr>
          <w:p w14:paraId="5BA14EBB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Improved inventory control and reduced unnecessary disposal</w:t>
            </w:r>
          </w:p>
        </w:tc>
        <w:tc>
          <w:tcPr>
            <w:tcW w:w="0" w:type="auto"/>
            <w:vAlign w:val="center"/>
            <w:hideMark/>
          </w:tcPr>
          <w:p w14:paraId="565643EF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Data integration challenges and poor interoperability across supply-chain platforms</w:t>
            </w:r>
          </w:p>
        </w:tc>
      </w:tr>
    </w:tbl>
    <w:p w14:paraId="5528CC0A" w14:textId="34A421F0" w:rsidR="00D045CD" w:rsidRPr="001D0F75" w:rsidRDefault="00D045CD">
      <w:pPr>
        <w:rPr>
          <w:rFonts w:ascii="Times New Roman" w:hAnsi="Times New Roman" w:cs="Times New Roman"/>
          <w:sz w:val="24"/>
          <w:szCs w:val="24"/>
        </w:rPr>
      </w:pPr>
    </w:p>
    <w:p w14:paraId="5A8C39E7" w14:textId="75B08E87" w:rsidR="00D045CD" w:rsidRPr="001D0F75" w:rsidRDefault="00E54753" w:rsidP="00D045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1D0F75">
        <w:rPr>
          <w:rFonts w:ascii="Times New Roman" w:hAnsi="Times New Roman" w:cs="Times New Roman"/>
          <w:b/>
          <w:bCs/>
          <w:sz w:val="24"/>
          <w:szCs w:val="24"/>
        </w:rPr>
        <w:t>Supplementary Table 2</w:t>
      </w:r>
      <w:r w:rsidR="00D045CD" w:rsidRPr="001D0F75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. Examples of sensor drift and proposed calibration strategies in AI-driven food quality monitoring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2188"/>
        <w:gridCol w:w="2841"/>
        <w:gridCol w:w="2488"/>
      </w:tblGrid>
      <w:tr w:rsidR="003850D0" w:rsidRPr="001D0F75" w14:paraId="37C5156A" w14:textId="77777777" w:rsidTr="00230F7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6A50CF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Sensor platform</w:t>
            </w:r>
          </w:p>
        </w:tc>
        <w:tc>
          <w:tcPr>
            <w:tcW w:w="0" w:type="auto"/>
            <w:vAlign w:val="center"/>
            <w:hideMark/>
          </w:tcPr>
          <w:p w14:paraId="37AAB951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Source of drift</w:t>
            </w:r>
          </w:p>
        </w:tc>
        <w:tc>
          <w:tcPr>
            <w:tcW w:w="0" w:type="auto"/>
            <w:vAlign w:val="center"/>
            <w:hideMark/>
          </w:tcPr>
          <w:p w14:paraId="2B942108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Effect on model performance</w:t>
            </w:r>
          </w:p>
        </w:tc>
        <w:tc>
          <w:tcPr>
            <w:tcW w:w="0" w:type="auto"/>
            <w:vAlign w:val="center"/>
            <w:hideMark/>
          </w:tcPr>
          <w:p w14:paraId="6CC40A1E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Proposed calibration protocol</w:t>
            </w:r>
          </w:p>
        </w:tc>
      </w:tr>
      <w:tr w:rsidR="003850D0" w:rsidRPr="001D0F75" w14:paraId="4526C40A" w14:textId="77777777" w:rsidTr="00230F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D3485F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Electronic nose (MOS sensors)</w:t>
            </w:r>
          </w:p>
        </w:tc>
        <w:tc>
          <w:tcPr>
            <w:tcW w:w="0" w:type="auto"/>
            <w:vAlign w:val="center"/>
            <w:hideMark/>
          </w:tcPr>
          <w:p w14:paraId="2A8C1537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Humidity, sensor aging, VOC accumulation</w:t>
            </w:r>
          </w:p>
        </w:tc>
        <w:tc>
          <w:tcPr>
            <w:tcW w:w="0" w:type="auto"/>
            <w:vAlign w:val="center"/>
            <w:hideMark/>
          </w:tcPr>
          <w:p w14:paraId="5B16BB5E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Accuracy reduction from ~95–98% to &lt;80–85% over prolonged operation</w:t>
            </w:r>
          </w:p>
        </w:tc>
        <w:tc>
          <w:tcPr>
            <w:tcW w:w="0" w:type="auto"/>
            <w:vAlign w:val="center"/>
            <w:hideMark/>
          </w:tcPr>
          <w:p w14:paraId="121EDD91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Daily baseline correction and periodic recalibration</w:t>
            </w:r>
          </w:p>
        </w:tc>
      </w:tr>
      <w:tr w:rsidR="003850D0" w:rsidRPr="001D0F75" w14:paraId="473185E9" w14:textId="77777777" w:rsidTr="00230F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3B8E98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Hyperspectral imaging</w:t>
            </w:r>
          </w:p>
        </w:tc>
        <w:tc>
          <w:tcPr>
            <w:tcW w:w="0" w:type="auto"/>
            <w:vAlign w:val="center"/>
            <w:hideMark/>
          </w:tcPr>
          <w:p w14:paraId="36DA4AB1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Illumination variation, detector aging</w:t>
            </w:r>
          </w:p>
        </w:tc>
        <w:tc>
          <w:tcPr>
            <w:tcW w:w="0" w:type="auto"/>
            <w:vAlign w:val="center"/>
            <w:hideMark/>
          </w:tcPr>
          <w:p w14:paraId="6F702A4F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Reduced spectral reproducibility and lower external prediction accuracy</w:t>
            </w:r>
          </w:p>
        </w:tc>
        <w:tc>
          <w:tcPr>
            <w:tcW w:w="0" w:type="auto"/>
            <w:vAlign w:val="center"/>
            <w:hideMark/>
          </w:tcPr>
          <w:p w14:paraId="3D1419E0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White-reference calibration and transfer learning updates</w:t>
            </w:r>
          </w:p>
        </w:tc>
      </w:tr>
      <w:tr w:rsidR="003850D0" w:rsidRPr="001D0F75" w14:paraId="3B15E8D0" w14:textId="77777777" w:rsidTr="00230F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EB05D3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Biosensors</w:t>
            </w:r>
          </w:p>
        </w:tc>
        <w:tc>
          <w:tcPr>
            <w:tcW w:w="0" w:type="auto"/>
            <w:vAlign w:val="center"/>
            <w:hideMark/>
          </w:tcPr>
          <w:p w14:paraId="404B42C0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Fouling and biochemical degradation</w:t>
            </w:r>
          </w:p>
        </w:tc>
        <w:tc>
          <w:tcPr>
            <w:tcW w:w="0" w:type="auto"/>
            <w:vAlign w:val="center"/>
            <w:hideMark/>
          </w:tcPr>
          <w:p w14:paraId="224C8416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Increased false-positive and false-negative rates</w:t>
            </w:r>
          </w:p>
        </w:tc>
        <w:tc>
          <w:tcPr>
            <w:tcW w:w="0" w:type="auto"/>
            <w:vAlign w:val="center"/>
            <w:hideMark/>
          </w:tcPr>
          <w:p w14:paraId="6C740CA4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Reference-standard calibration and sensor replacement schedules</w:t>
            </w:r>
          </w:p>
        </w:tc>
      </w:tr>
      <w:tr w:rsidR="003850D0" w:rsidRPr="001D0F75" w14:paraId="2ECD319A" w14:textId="77777777" w:rsidTr="00230F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914981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IoT environmental sensors</w:t>
            </w:r>
          </w:p>
        </w:tc>
        <w:tc>
          <w:tcPr>
            <w:tcW w:w="0" w:type="auto"/>
            <w:vAlign w:val="center"/>
            <w:hideMark/>
          </w:tcPr>
          <w:p w14:paraId="2ABDC0D1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Temperature fluctuations and hardware variability</w:t>
            </w:r>
          </w:p>
        </w:tc>
        <w:tc>
          <w:tcPr>
            <w:tcW w:w="0" w:type="auto"/>
            <w:vAlign w:val="center"/>
            <w:hideMark/>
          </w:tcPr>
          <w:p w14:paraId="4C9ADB6E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Reduced shelf-life prediction reliability</w:t>
            </w:r>
          </w:p>
        </w:tc>
        <w:tc>
          <w:tcPr>
            <w:tcW w:w="0" w:type="auto"/>
            <w:vAlign w:val="center"/>
            <w:hideMark/>
          </w:tcPr>
          <w:p w14:paraId="6BE0EC11" w14:textId="77777777" w:rsidR="00D045CD" w:rsidRPr="001D0F75" w:rsidRDefault="00D045CD" w:rsidP="0023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1D0F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Adaptive recalibration and continuous quality control monitoring</w:t>
            </w:r>
          </w:p>
        </w:tc>
      </w:tr>
    </w:tbl>
    <w:p w14:paraId="17B6CABC" w14:textId="5DCA7196" w:rsidR="00D045CD" w:rsidRPr="001D0F75" w:rsidRDefault="00D045CD">
      <w:pPr>
        <w:rPr>
          <w:rFonts w:ascii="Times New Roman" w:hAnsi="Times New Roman" w:cs="Times New Roman"/>
          <w:sz w:val="24"/>
          <w:szCs w:val="24"/>
        </w:rPr>
      </w:pPr>
    </w:p>
    <w:p w14:paraId="1D3CD1C3" w14:textId="61A4DE8E" w:rsidR="003850D0" w:rsidRPr="001D0F75" w:rsidRDefault="00322D89" w:rsidP="00EA3D23">
      <w:pPr>
        <w:pStyle w:val="NormalWeb"/>
        <w:jc w:val="center"/>
      </w:pPr>
      <w:r w:rsidRPr="001D0F75">
        <w:rPr>
          <w:b/>
          <w:bCs/>
        </w:rPr>
        <w:lastRenderedPageBreak/>
        <w:t>Supplementary Table 3</w:t>
      </w:r>
      <w:r w:rsidR="003850D0" w:rsidRPr="001D0F75">
        <w:rPr>
          <w:rStyle w:val="Strong"/>
        </w:rPr>
        <w:t xml:space="preserve">. Recommended </w:t>
      </w:r>
      <w:proofErr w:type="spellStart"/>
      <w:r w:rsidR="003850D0" w:rsidRPr="001D0F75">
        <w:rPr>
          <w:rStyle w:val="Strong"/>
        </w:rPr>
        <w:t>preprocessing</w:t>
      </w:r>
      <w:proofErr w:type="spellEnd"/>
      <w:r w:rsidR="003850D0" w:rsidRPr="001D0F75">
        <w:rPr>
          <w:rStyle w:val="Strong"/>
        </w:rPr>
        <w:t xml:space="preserve"> strategies for different sensor modalities and food matrices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3"/>
        <w:gridCol w:w="2195"/>
        <w:gridCol w:w="1634"/>
        <w:gridCol w:w="1966"/>
        <w:gridCol w:w="1932"/>
      </w:tblGrid>
      <w:tr w:rsidR="003850D0" w:rsidRPr="001D0F75" w14:paraId="7F87DA07" w14:textId="77777777" w:rsidTr="00230F7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C043FE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Sensor type</w:t>
            </w:r>
          </w:p>
        </w:tc>
        <w:tc>
          <w:tcPr>
            <w:tcW w:w="0" w:type="auto"/>
            <w:vAlign w:val="center"/>
            <w:hideMark/>
          </w:tcPr>
          <w:p w14:paraId="6FFD4BD3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Food matrix/application</w:t>
            </w:r>
          </w:p>
        </w:tc>
        <w:tc>
          <w:tcPr>
            <w:tcW w:w="0" w:type="auto"/>
            <w:vAlign w:val="center"/>
            <w:hideMark/>
          </w:tcPr>
          <w:p w14:paraId="6352D4B6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Major source of variability</w:t>
            </w:r>
          </w:p>
        </w:tc>
        <w:tc>
          <w:tcPr>
            <w:tcW w:w="0" w:type="auto"/>
            <w:vAlign w:val="center"/>
            <w:hideMark/>
          </w:tcPr>
          <w:p w14:paraId="7BB73C14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Recommended preprocessing methods</w:t>
            </w:r>
          </w:p>
        </w:tc>
        <w:tc>
          <w:tcPr>
            <w:tcW w:w="0" w:type="auto"/>
            <w:vAlign w:val="center"/>
            <w:hideMark/>
          </w:tcPr>
          <w:p w14:paraId="3F88D608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Rationale</w:t>
            </w:r>
          </w:p>
        </w:tc>
      </w:tr>
      <w:tr w:rsidR="003850D0" w:rsidRPr="001D0F75" w14:paraId="1FD6D326" w14:textId="77777777" w:rsidTr="00230F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C438AE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Hyperspectral imaging (VIS/NIR)</w:t>
            </w:r>
          </w:p>
        </w:tc>
        <w:tc>
          <w:tcPr>
            <w:tcW w:w="0" w:type="auto"/>
            <w:vAlign w:val="center"/>
            <w:hideMark/>
          </w:tcPr>
          <w:p w14:paraId="17BF21B0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Fruits, vegetables, grains</w:t>
            </w:r>
          </w:p>
        </w:tc>
        <w:tc>
          <w:tcPr>
            <w:tcW w:w="0" w:type="auto"/>
            <w:vAlign w:val="center"/>
            <w:hideMark/>
          </w:tcPr>
          <w:p w14:paraId="1A7C1270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Light scattering, particle size, uneven illumination</w:t>
            </w:r>
          </w:p>
        </w:tc>
        <w:tc>
          <w:tcPr>
            <w:tcW w:w="0" w:type="auto"/>
            <w:vAlign w:val="center"/>
            <w:hideMark/>
          </w:tcPr>
          <w:p w14:paraId="24DC20B1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 xml:space="preserve">SNV, MSC, </w:t>
            </w:r>
            <w:proofErr w:type="spellStart"/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Savitzky</w:t>
            </w:r>
            <w:proofErr w:type="spellEnd"/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Golay</w:t>
            </w:r>
            <w:proofErr w:type="spellEnd"/>
            <w:r w:rsidRPr="001D0F75">
              <w:rPr>
                <w:rFonts w:ascii="Times New Roman" w:hAnsi="Times New Roman" w:cs="Times New Roman"/>
                <w:sz w:val="24"/>
                <w:szCs w:val="24"/>
              </w:rPr>
              <w:t xml:space="preserve"> derivatives, wavelength selection</w:t>
            </w:r>
          </w:p>
        </w:tc>
        <w:tc>
          <w:tcPr>
            <w:tcW w:w="0" w:type="auto"/>
            <w:vAlign w:val="center"/>
            <w:hideMark/>
          </w:tcPr>
          <w:p w14:paraId="2BDEDD26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Corrects scattering effects and enhances subtle spectral differences</w:t>
            </w:r>
          </w:p>
        </w:tc>
      </w:tr>
      <w:tr w:rsidR="003850D0" w:rsidRPr="001D0F75" w14:paraId="2CADD945" w14:textId="77777777" w:rsidTr="00230F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6F1234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FTIR spectroscopy</w:t>
            </w:r>
          </w:p>
        </w:tc>
        <w:tc>
          <w:tcPr>
            <w:tcW w:w="0" w:type="auto"/>
            <w:vAlign w:val="center"/>
            <w:hideMark/>
          </w:tcPr>
          <w:p w14:paraId="331A0D9D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Dairy products, meat, oils</w:t>
            </w:r>
          </w:p>
        </w:tc>
        <w:tc>
          <w:tcPr>
            <w:tcW w:w="0" w:type="auto"/>
            <w:vAlign w:val="center"/>
            <w:hideMark/>
          </w:tcPr>
          <w:p w14:paraId="098906C5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Baseline drift and overlapping absorption bands</w:t>
            </w:r>
          </w:p>
        </w:tc>
        <w:tc>
          <w:tcPr>
            <w:tcW w:w="0" w:type="auto"/>
            <w:vAlign w:val="center"/>
            <w:hideMark/>
          </w:tcPr>
          <w:p w14:paraId="68D57906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MSC, first derivative, normalization, autoscaling</w:t>
            </w:r>
          </w:p>
        </w:tc>
        <w:tc>
          <w:tcPr>
            <w:tcW w:w="0" w:type="auto"/>
            <w:vAlign w:val="center"/>
            <w:hideMark/>
          </w:tcPr>
          <w:p w14:paraId="6090C3A1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Improves peak resolution and spectral comparability</w:t>
            </w:r>
          </w:p>
        </w:tc>
      </w:tr>
      <w:tr w:rsidR="003850D0" w:rsidRPr="001D0F75" w14:paraId="6A1C49D2" w14:textId="77777777" w:rsidTr="00230F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75077B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Raman spectroscopy</w:t>
            </w:r>
          </w:p>
        </w:tc>
        <w:tc>
          <w:tcPr>
            <w:tcW w:w="0" w:type="auto"/>
            <w:vAlign w:val="center"/>
            <w:hideMark/>
          </w:tcPr>
          <w:p w14:paraId="38ACC43D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Honey, oils, adulteration studies</w:t>
            </w:r>
          </w:p>
        </w:tc>
        <w:tc>
          <w:tcPr>
            <w:tcW w:w="0" w:type="auto"/>
            <w:vAlign w:val="center"/>
            <w:hideMark/>
          </w:tcPr>
          <w:p w14:paraId="56F127BC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Fluorescence background and spectral noise</w:t>
            </w:r>
          </w:p>
        </w:tc>
        <w:tc>
          <w:tcPr>
            <w:tcW w:w="0" w:type="auto"/>
            <w:vAlign w:val="center"/>
            <w:hideMark/>
          </w:tcPr>
          <w:p w14:paraId="7C8E2D63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Baseline correction, smoothing, normalization</w:t>
            </w:r>
          </w:p>
        </w:tc>
        <w:tc>
          <w:tcPr>
            <w:tcW w:w="0" w:type="auto"/>
            <w:vAlign w:val="center"/>
            <w:hideMark/>
          </w:tcPr>
          <w:p w14:paraId="757023DA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Removes fluorescence interference and improves signal quality</w:t>
            </w:r>
          </w:p>
        </w:tc>
      </w:tr>
      <w:tr w:rsidR="003850D0" w:rsidRPr="001D0F75" w14:paraId="15599474" w14:textId="77777777" w:rsidTr="00230F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48DF38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Electronic nose</w:t>
            </w:r>
          </w:p>
        </w:tc>
        <w:tc>
          <w:tcPr>
            <w:tcW w:w="0" w:type="auto"/>
            <w:vAlign w:val="center"/>
            <w:hideMark/>
          </w:tcPr>
          <w:p w14:paraId="38A850B2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Meat freshness, fermentation monitoring</w:t>
            </w:r>
          </w:p>
        </w:tc>
        <w:tc>
          <w:tcPr>
            <w:tcW w:w="0" w:type="auto"/>
            <w:vAlign w:val="center"/>
            <w:hideMark/>
          </w:tcPr>
          <w:p w14:paraId="2C2C7EFA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Sensor drift, humidity and temperature effects</w:t>
            </w:r>
          </w:p>
        </w:tc>
        <w:tc>
          <w:tcPr>
            <w:tcW w:w="0" w:type="auto"/>
            <w:vAlign w:val="center"/>
            <w:hideMark/>
          </w:tcPr>
          <w:p w14:paraId="42100D25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Baseline correction, normalization, drift compensation</w:t>
            </w:r>
          </w:p>
        </w:tc>
        <w:tc>
          <w:tcPr>
            <w:tcW w:w="0" w:type="auto"/>
            <w:vAlign w:val="center"/>
            <w:hideMark/>
          </w:tcPr>
          <w:p w14:paraId="7CD5137D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Reduces long-term sensor instability and environmental variability</w:t>
            </w:r>
          </w:p>
        </w:tc>
      </w:tr>
      <w:tr w:rsidR="003850D0" w:rsidRPr="001D0F75" w14:paraId="5FBF2232" w14:textId="77777777" w:rsidTr="00230F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A0EB4D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Electronic tongue</w:t>
            </w:r>
          </w:p>
        </w:tc>
        <w:tc>
          <w:tcPr>
            <w:tcW w:w="0" w:type="auto"/>
            <w:vAlign w:val="center"/>
            <w:hideMark/>
          </w:tcPr>
          <w:p w14:paraId="406FB58D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Beverage quality and flavor profiling</w:t>
            </w:r>
          </w:p>
        </w:tc>
        <w:tc>
          <w:tcPr>
            <w:tcW w:w="0" w:type="auto"/>
            <w:vAlign w:val="center"/>
            <w:hideMark/>
          </w:tcPr>
          <w:p w14:paraId="1894AE21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Sensor variability and signal fluctuations</w:t>
            </w:r>
          </w:p>
        </w:tc>
        <w:tc>
          <w:tcPr>
            <w:tcW w:w="0" w:type="auto"/>
            <w:vAlign w:val="center"/>
            <w:hideMark/>
          </w:tcPr>
          <w:p w14:paraId="1AE8DB8B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Normalization, PCA-based outlier detection</w:t>
            </w:r>
          </w:p>
        </w:tc>
        <w:tc>
          <w:tcPr>
            <w:tcW w:w="0" w:type="auto"/>
            <w:vAlign w:val="center"/>
            <w:hideMark/>
          </w:tcPr>
          <w:p w14:paraId="723B15C5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Improves reproducibility and sample discrimination</w:t>
            </w:r>
          </w:p>
        </w:tc>
      </w:tr>
      <w:tr w:rsidR="003850D0" w:rsidRPr="001D0F75" w14:paraId="32319DE0" w14:textId="77777777" w:rsidTr="00230F7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FCD47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Smart packaging/IoT sensors</w:t>
            </w:r>
          </w:p>
        </w:tc>
        <w:tc>
          <w:tcPr>
            <w:tcW w:w="0" w:type="auto"/>
            <w:vAlign w:val="center"/>
            <w:hideMark/>
          </w:tcPr>
          <w:p w14:paraId="21C2F2F6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Shelf-life prediction and cold-chain monitoring</w:t>
            </w:r>
          </w:p>
        </w:tc>
        <w:tc>
          <w:tcPr>
            <w:tcW w:w="0" w:type="auto"/>
            <w:vAlign w:val="center"/>
            <w:hideMark/>
          </w:tcPr>
          <w:p w14:paraId="4EEF9CDC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Time-series noise and missing data</w:t>
            </w:r>
          </w:p>
        </w:tc>
        <w:tc>
          <w:tcPr>
            <w:tcW w:w="0" w:type="auto"/>
            <w:vAlign w:val="center"/>
            <w:hideMark/>
          </w:tcPr>
          <w:p w14:paraId="5961876D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Smoothing, moving averages, temporal feature extraction</w:t>
            </w:r>
          </w:p>
        </w:tc>
        <w:tc>
          <w:tcPr>
            <w:tcW w:w="0" w:type="auto"/>
            <w:vAlign w:val="center"/>
            <w:hideMark/>
          </w:tcPr>
          <w:p w14:paraId="0D9542D5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Enhances robustness of dynamic measurements</w:t>
            </w:r>
          </w:p>
        </w:tc>
      </w:tr>
      <w:tr w:rsidR="003850D0" w:rsidRPr="001D0F75" w14:paraId="03122FFC" w14:textId="77777777" w:rsidTr="00230F70">
        <w:trPr>
          <w:trHeight w:val="930"/>
          <w:tblCellSpacing w:w="15" w:type="dxa"/>
        </w:trPr>
        <w:tc>
          <w:tcPr>
            <w:tcW w:w="0" w:type="auto"/>
            <w:vAlign w:val="center"/>
            <w:hideMark/>
          </w:tcPr>
          <w:p w14:paraId="34827291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Biosensors</w:t>
            </w:r>
          </w:p>
        </w:tc>
        <w:tc>
          <w:tcPr>
            <w:tcW w:w="0" w:type="auto"/>
            <w:vAlign w:val="center"/>
            <w:hideMark/>
          </w:tcPr>
          <w:p w14:paraId="0B71F680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Pathogen and toxin detection</w:t>
            </w:r>
          </w:p>
        </w:tc>
        <w:tc>
          <w:tcPr>
            <w:tcW w:w="0" w:type="auto"/>
            <w:vAlign w:val="center"/>
            <w:hideMark/>
          </w:tcPr>
          <w:p w14:paraId="2E0A4D77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Baseline fluctuations and batch effects</w:t>
            </w:r>
          </w:p>
        </w:tc>
        <w:tc>
          <w:tcPr>
            <w:tcW w:w="0" w:type="auto"/>
            <w:vAlign w:val="center"/>
            <w:hideMark/>
          </w:tcPr>
          <w:p w14:paraId="5C4A9436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Baseline correction, normalization, outlier detection</w:t>
            </w:r>
          </w:p>
        </w:tc>
        <w:tc>
          <w:tcPr>
            <w:tcW w:w="0" w:type="auto"/>
            <w:vAlign w:val="center"/>
            <w:hideMark/>
          </w:tcPr>
          <w:p w14:paraId="3424CE7C" w14:textId="77777777" w:rsidR="003850D0" w:rsidRPr="001D0F75" w:rsidRDefault="003850D0" w:rsidP="00230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F75">
              <w:rPr>
                <w:rFonts w:ascii="Times New Roman" w:hAnsi="Times New Roman" w:cs="Times New Roman"/>
                <w:sz w:val="24"/>
                <w:szCs w:val="24"/>
              </w:rPr>
              <w:t>Improves analytical consistency and reduces false predictions</w:t>
            </w:r>
          </w:p>
        </w:tc>
      </w:tr>
    </w:tbl>
    <w:p w14:paraId="3A745DBC" w14:textId="62CB3714" w:rsidR="003850D0" w:rsidRDefault="003850D0">
      <w:pPr>
        <w:rPr>
          <w:rFonts w:ascii="Times New Roman" w:hAnsi="Times New Roman" w:cs="Times New Roman"/>
          <w:sz w:val="24"/>
          <w:szCs w:val="24"/>
        </w:rPr>
      </w:pPr>
    </w:p>
    <w:p w14:paraId="290CE723" w14:textId="051B0BB6" w:rsidR="0019041D" w:rsidRDefault="0019041D">
      <w:pPr>
        <w:rPr>
          <w:rFonts w:ascii="Times New Roman" w:hAnsi="Times New Roman" w:cs="Times New Roman"/>
          <w:sz w:val="24"/>
          <w:szCs w:val="24"/>
        </w:rPr>
      </w:pPr>
    </w:p>
    <w:p w14:paraId="799CE555" w14:textId="1316F221" w:rsidR="0019041D" w:rsidRDefault="0019041D">
      <w:pPr>
        <w:rPr>
          <w:rFonts w:ascii="Times New Roman" w:hAnsi="Times New Roman" w:cs="Times New Roman"/>
          <w:sz w:val="24"/>
          <w:szCs w:val="24"/>
        </w:rPr>
      </w:pPr>
    </w:p>
    <w:p w14:paraId="7253A664" w14:textId="77777777" w:rsidR="0019041D" w:rsidRDefault="0019041D">
      <w:pPr>
        <w:rPr>
          <w:rFonts w:ascii="Times New Roman" w:hAnsi="Times New Roman" w:cs="Times New Roman"/>
          <w:sz w:val="24"/>
          <w:szCs w:val="24"/>
        </w:rPr>
      </w:pPr>
    </w:p>
    <w:p w14:paraId="66F7A5AB" w14:textId="4CC2A5EF" w:rsidR="00100342" w:rsidRPr="00100342" w:rsidRDefault="00100342" w:rsidP="002460E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IN"/>
          <w14:ligatures w14:val="none"/>
        </w:rPr>
      </w:pPr>
      <w:r w:rsidRPr="001003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IN"/>
          <w14:ligatures w14:val="none"/>
        </w:rPr>
        <w:t xml:space="preserve">Supplementary Table </w:t>
      </w:r>
      <w:r w:rsidR="004A4A3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IN"/>
          <w14:ligatures w14:val="none"/>
        </w:rPr>
        <w:t>4</w:t>
      </w:r>
      <w:r w:rsidRPr="0010034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IN" w:eastAsia="en-IN"/>
          <w14:ligatures w14:val="none"/>
        </w:rPr>
        <w:t>. Computational characteristics and deployment suitability of commonly used AI models in food quality assessment</w:t>
      </w:r>
    </w:p>
    <w:tbl>
      <w:tblPr>
        <w:tblW w:w="10490" w:type="dxa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4"/>
        <w:gridCol w:w="1406"/>
        <w:gridCol w:w="1106"/>
        <w:gridCol w:w="1418"/>
        <w:gridCol w:w="1627"/>
        <w:gridCol w:w="1503"/>
        <w:gridCol w:w="2046"/>
      </w:tblGrid>
      <w:tr w:rsidR="00100342" w:rsidRPr="00100342" w14:paraId="473704D6" w14:textId="77777777" w:rsidTr="00E5591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9B882F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  <w:t>AI Model</w:t>
            </w:r>
          </w:p>
        </w:tc>
        <w:tc>
          <w:tcPr>
            <w:tcW w:w="0" w:type="auto"/>
            <w:vAlign w:val="center"/>
            <w:hideMark/>
          </w:tcPr>
          <w:p w14:paraId="7AC43E99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  <w:t>Predictive Performance</w:t>
            </w:r>
          </w:p>
        </w:tc>
        <w:tc>
          <w:tcPr>
            <w:tcW w:w="0" w:type="auto"/>
            <w:vAlign w:val="center"/>
            <w:hideMark/>
          </w:tcPr>
          <w:p w14:paraId="55A27761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  <w:t>Inference Time</w:t>
            </w:r>
          </w:p>
        </w:tc>
        <w:tc>
          <w:tcPr>
            <w:tcW w:w="0" w:type="auto"/>
            <w:vAlign w:val="center"/>
            <w:hideMark/>
          </w:tcPr>
          <w:p w14:paraId="54CAB18F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  <w:t>Memory Requirement</w:t>
            </w:r>
          </w:p>
        </w:tc>
        <w:tc>
          <w:tcPr>
            <w:tcW w:w="0" w:type="auto"/>
            <w:vAlign w:val="center"/>
            <w:hideMark/>
          </w:tcPr>
          <w:p w14:paraId="7F0A954F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  <w:t>Computational Complexity</w:t>
            </w:r>
          </w:p>
        </w:tc>
        <w:tc>
          <w:tcPr>
            <w:tcW w:w="0" w:type="auto"/>
            <w:vAlign w:val="center"/>
            <w:hideMark/>
          </w:tcPr>
          <w:p w14:paraId="540EFA26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  <w:t>Edge-Device Compatibility</w:t>
            </w:r>
          </w:p>
        </w:tc>
        <w:tc>
          <w:tcPr>
            <w:tcW w:w="2001" w:type="dxa"/>
            <w:vAlign w:val="center"/>
            <w:hideMark/>
          </w:tcPr>
          <w:p w14:paraId="5D9F66C9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  <w:t>Typical Applications</w:t>
            </w:r>
          </w:p>
        </w:tc>
      </w:tr>
      <w:tr w:rsidR="00100342" w:rsidRPr="00100342" w14:paraId="1A1F783F" w14:textId="77777777" w:rsidTr="00E559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C15B16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SVM</w:t>
            </w:r>
          </w:p>
        </w:tc>
        <w:tc>
          <w:tcPr>
            <w:tcW w:w="0" w:type="auto"/>
            <w:vAlign w:val="center"/>
            <w:hideMark/>
          </w:tcPr>
          <w:p w14:paraId="28D03090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14:paraId="55E3C86C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Fast</w:t>
            </w:r>
          </w:p>
        </w:tc>
        <w:tc>
          <w:tcPr>
            <w:tcW w:w="0" w:type="auto"/>
            <w:vAlign w:val="center"/>
            <w:hideMark/>
          </w:tcPr>
          <w:p w14:paraId="1E8CB559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Low</w:t>
            </w:r>
          </w:p>
        </w:tc>
        <w:tc>
          <w:tcPr>
            <w:tcW w:w="0" w:type="auto"/>
            <w:vAlign w:val="center"/>
            <w:hideMark/>
          </w:tcPr>
          <w:p w14:paraId="1715D035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Low–Moderate</w:t>
            </w:r>
          </w:p>
        </w:tc>
        <w:tc>
          <w:tcPr>
            <w:tcW w:w="0" w:type="auto"/>
            <w:vAlign w:val="center"/>
            <w:hideMark/>
          </w:tcPr>
          <w:p w14:paraId="3AE12F8F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High</w:t>
            </w:r>
          </w:p>
        </w:tc>
        <w:tc>
          <w:tcPr>
            <w:tcW w:w="2001" w:type="dxa"/>
            <w:vAlign w:val="center"/>
            <w:hideMark/>
          </w:tcPr>
          <w:p w14:paraId="6BEA6487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Spectral classification, food authentication</w:t>
            </w:r>
          </w:p>
        </w:tc>
      </w:tr>
      <w:tr w:rsidR="00100342" w:rsidRPr="00100342" w14:paraId="27C49D5D" w14:textId="77777777" w:rsidTr="00E559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54BD43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Random Forest</w:t>
            </w:r>
          </w:p>
        </w:tc>
        <w:tc>
          <w:tcPr>
            <w:tcW w:w="0" w:type="auto"/>
            <w:vAlign w:val="center"/>
            <w:hideMark/>
          </w:tcPr>
          <w:p w14:paraId="01ED8BE9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14:paraId="111D1196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Fast</w:t>
            </w:r>
          </w:p>
        </w:tc>
        <w:tc>
          <w:tcPr>
            <w:tcW w:w="0" w:type="auto"/>
            <w:vAlign w:val="center"/>
            <w:hideMark/>
          </w:tcPr>
          <w:p w14:paraId="233853DB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42F5B10E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66963E46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High</w:t>
            </w:r>
          </w:p>
        </w:tc>
        <w:tc>
          <w:tcPr>
            <w:tcW w:w="2001" w:type="dxa"/>
            <w:vAlign w:val="center"/>
            <w:hideMark/>
          </w:tcPr>
          <w:p w14:paraId="2CDFFB9E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Quality grading, contamination detection</w:t>
            </w:r>
          </w:p>
        </w:tc>
      </w:tr>
      <w:tr w:rsidR="00100342" w:rsidRPr="00100342" w14:paraId="103FD3E9" w14:textId="77777777" w:rsidTr="00E559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D5BEC5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k-NN</w:t>
            </w:r>
          </w:p>
        </w:tc>
        <w:tc>
          <w:tcPr>
            <w:tcW w:w="0" w:type="auto"/>
            <w:vAlign w:val="center"/>
            <w:hideMark/>
          </w:tcPr>
          <w:p w14:paraId="6F045811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Moderate–High</w:t>
            </w:r>
          </w:p>
        </w:tc>
        <w:tc>
          <w:tcPr>
            <w:tcW w:w="0" w:type="auto"/>
            <w:vAlign w:val="center"/>
            <w:hideMark/>
          </w:tcPr>
          <w:p w14:paraId="14B36F7A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Moderate–Slow</w:t>
            </w:r>
          </w:p>
        </w:tc>
        <w:tc>
          <w:tcPr>
            <w:tcW w:w="0" w:type="auto"/>
            <w:vAlign w:val="center"/>
            <w:hideMark/>
          </w:tcPr>
          <w:p w14:paraId="42C852FE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Low</w:t>
            </w:r>
          </w:p>
        </w:tc>
        <w:tc>
          <w:tcPr>
            <w:tcW w:w="0" w:type="auto"/>
            <w:vAlign w:val="center"/>
            <w:hideMark/>
          </w:tcPr>
          <w:p w14:paraId="1A24B28B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Low training, high prediction cost</w:t>
            </w:r>
          </w:p>
        </w:tc>
        <w:tc>
          <w:tcPr>
            <w:tcW w:w="0" w:type="auto"/>
            <w:vAlign w:val="center"/>
            <w:hideMark/>
          </w:tcPr>
          <w:p w14:paraId="0CE230ED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Moderate</w:t>
            </w:r>
          </w:p>
        </w:tc>
        <w:tc>
          <w:tcPr>
            <w:tcW w:w="2001" w:type="dxa"/>
            <w:vAlign w:val="center"/>
            <w:hideMark/>
          </w:tcPr>
          <w:p w14:paraId="5C7BB0F0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Similarity-based classification</w:t>
            </w:r>
          </w:p>
        </w:tc>
      </w:tr>
      <w:tr w:rsidR="00100342" w:rsidRPr="00100342" w14:paraId="294889CA" w14:textId="77777777" w:rsidTr="00E559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B15A9F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ANN</w:t>
            </w:r>
          </w:p>
        </w:tc>
        <w:tc>
          <w:tcPr>
            <w:tcW w:w="0" w:type="auto"/>
            <w:vAlign w:val="center"/>
            <w:hideMark/>
          </w:tcPr>
          <w:p w14:paraId="5DEE82D1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14:paraId="221D6BE9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5DC19745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66D512CC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173F090F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Moderate</w:t>
            </w:r>
          </w:p>
        </w:tc>
        <w:tc>
          <w:tcPr>
            <w:tcW w:w="2001" w:type="dxa"/>
            <w:vAlign w:val="center"/>
            <w:hideMark/>
          </w:tcPr>
          <w:p w14:paraId="684B3BF8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Nonlinear prediction and regression</w:t>
            </w:r>
          </w:p>
        </w:tc>
      </w:tr>
      <w:tr w:rsidR="00100342" w:rsidRPr="00100342" w14:paraId="72597D11" w14:textId="77777777" w:rsidTr="00E559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DAC50D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CNN</w:t>
            </w:r>
          </w:p>
        </w:tc>
        <w:tc>
          <w:tcPr>
            <w:tcW w:w="0" w:type="auto"/>
            <w:vAlign w:val="center"/>
            <w:hideMark/>
          </w:tcPr>
          <w:p w14:paraId="09C6662F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Very High</w:t>
            </w:r>
          </w:p>
        </w:tc>
        <w:tc>
          <w:tcPr>
            <w:tcW w:w="0" w:type="auto"/>
            <w:vAlign w:val="center"/>
            <w:hideMark/>
          </w:tcPr>
          <w:p w14:paraId="1B4AC01D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Moderate–Slow</w:t>
            </w:r>
          </w:p>
        </w:tc>
        <w:tc>
          <w:tcPr>
            <w:tcW w:w="0" w:type="auto"/>
            <w:vAlign w:val="center"/>
            <w:hideMark/>
          </w:tcPr>
          <w:p w14:paraId="1DB8E45D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14:paraId="591D96BB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14:paraId="5F2C60B1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Moderate–Low</w:t>
            </w:r>
          </w:p>
        </w:tc>
        <w:tc>
          <w:tcPr>
            <w:tcW w:w="2001" w:type="dxa"/>
            <w:vAlign w:val="center"/>
            <w:hideMark/>
          </w:tcPr>
          <w:p w14:paraId="4486618F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Image-based defect and freshness detection</w:t>
            </w:r>
          </w:p>
        </w:tc>
      </w:tr>
      <w:tr w:rsidR="00100342" w:rsidRPr="00100342" w14:paraId="76B64558" w14:textId="77777777" w:rsidTr="00E559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FF85F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Deep CNN (</w:t>
            </w:r>
            <w:proofErr w:type="spellStart"/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ResNet</w:t>
            </w:r>
            <w:proofErr w:type="spellEnd"/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, VGG, Inception)</w:t>
            </w:r>
          </w:p>
        </w:tc>
        <w:tc>
          <w:tcPr>
            <w:tcW w:w="0" w:type="auto"/>
            <w:vAlign w:val="center"/>
            <w:hideMark/>
          </w:tcPr>
          <w:p w14:paraId="5B8856D0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Very High</w:t>
            </w:r>
          </w:p>
        </w:tc>
        <w:tc>
          <w:tcPr>
            <w:tcW w:w="0" w:type="auto"/>
            <w:vAlign w:val="center"/>
            <w:hideMark/>
          </w:tcPr>
          <w:p w14:paraId="18773E9C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Slow</w:t>
            </w:r>
          </w:p>
        </w:tc>
        <w:tc>
          <w:tcPr>
            <w:tcW w:w="0" w:type="auto"/>
            <w:vAlign w:val="center"/>
            <w:hideMark/>
          </w:tcPr>
          <w:p w14:paraId="31A9A05E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Very High</w:t>
            </w:r>
          </w:p>
        </w:tc>
        <w:tc>
          <w:tcPr>
            <w:tcW w:w="0" w:type="auto"/>
            <w:vAlign w:val="center"/>
            <w:hideMark/>
          </w:tcPr>
          <w:p w14:paraId="537A0ABE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Very High</w:t>
            </w:r>
          </w:p>
        </w:tc>
        <w:tc>
          <w:tcPr>
            <w:tcW w:w="0" w:type="auto"/>
            <w:vAlign w:val="center"/>
            <w:hideMark/>
          </w:tcPr>
          <w:p w14:paraId="0BFAF7A3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Low</w:t>
            </w:r>
          </w:p>
        </w:tc>
        <w:tc>
          <w:tcPr>
            <w:tcW w:w="2001" w:type="dxa"/>
            <w:vAlign w:val="center"/>
            <w:hideMark/>
          </w:tcPr>
          <w:p w14:paraId="35FAEF2C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Complex image classification tasks</w:t>
            </w:r>
          </w:p>
        </w:tc>
      </w:tr>
      <w:tr w:rsidR="00100342" w:rsidRPr="00100342" w14:paraId="00BAFDBD" w14:textId="77777777" w:rsidTr="00E559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8F436B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CNN-LSTM</w:t>
            </w:r>
          </w:p>
        </w:tc>
        <w:tc>
          <w:tcPr>
            <w:tcW w:w="0" w:type="auto"/>
            <w:vAlign w:val="center"/>
            <w:hideMark/>
          </w:tcPr>
          <w:p w14:paraId="181A42DB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Very High</w:t>
            </w:r>
          </w:p>
        </w:tc>
        <w:tc>
          <w:tcPr>
            <w:tcW w:w="0" w:type="auto"/>
            <w:vAlign w:val="center"/>
            <w:hideMark/>
          </w:tcPr>
          <w:p w14:paraId="42837D03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Slow</w:t>
            </w:r>
          </w:p>
        </w:tc>
        <w:tc>
          <w:tcPr>
            <w:tcW w:w="0" w:type="auto"/>
            <w:vAlign w:val="center"/>
            <w:hideMark/>
          </w:tcPr>
          <w:p w14:paraId="495FB16F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Very High</w:t>
            </w:r>
          </w:p>
        </w:tc>
        <w:tc>
          <w:tcPr>
            <w:tcW w:w="0" w:type="auto"/>
            <w:vAlign w:val="center"/>
            <w:hideMark/>
          </w:tcPr>
          <w:p w14:paraId="7726C4E4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Very High</w:t>
            </w:r>
          </w:p>
        </w:tc>
        <w:tc>
          <w:tcPr>
            <w:tcW w:w="0" w:type="auto"/>
            <w:vAlign w:val="center"/>
            <w:hideMark/>
          </w:tcPr>
          <w:p w14:paraId="255C494E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Low</w:t>
            </w:r>
          </w:p>
        </w:tc>
        <w:tc>
          <w:tcPr>
            <w:tcW w:w="2001" w:type="dxa"/>
            <w:vAlign w:val="center"/>
            <w:hideMark/>
          </w:tcPr>
          <w:p w14:paraId="6074ED28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Time-series and multimodal data analysis</w:t>
            </w:r>
          </w:p>
        </w:tc>
      </w:tr>
      <w:tr w:rsidR="00100342" w:rsidRPr="00100342" w14:paraId="2300F11A" w14:textId="77777777" w:rsidTr="00E559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A4E5D9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proofErr w:type="spellStart"/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MobileNet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12736C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14:paraId="6BE2E769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Fast</w:t>
            </w:r>
          </w:p>
        </w:tc>
        <w:tc>
          <w:tcPr>
            <w:tcW w:w="0" w:type="auto"/>
            <w:vAlign w:val="center"/>
            <w:hideMark/>
          </w:tcPr>
          <w:p w14:paraId="7AD4A266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Low</w:t>
            </w:r>
          </w:p>
        </w:tc>
        <w:tc>
          <w:tcPr>
            <w:tcW w:w="0" w:type="auto"/>
            <w:vAlign w:val="center"/>
            <w:hideMark/>
          </w:tcPr>
          <w:p w14:paraId="4A671B9D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Low</w:t>
            </w:r>
          </w:p>
        </w:tc>
        <w:tc>
          <w:tcPr>
            <w:tcW w:w="0" w:type="auto"/>
            <w:vAlign w:val="center"/>
            <w:hideMark/>
          </w:tcPr>
          <w:p w14:paraId="709B39E9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High</w:t>
            </w:r>
          </w:p>
        </w:tc>
        <w:tc>
          <w:tcPr>
            <w:tcW w:w="2001" w:type="dxa"/>
            <w:vAlign w:val="center"/>
            <w:hideMark/>
          </w:tcPr>
          <w:p w14:paraId="0E09A4B8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Real-time mobile and embedded applications</w:t>
            </w:r>
          </w:p>
        </w:tc>
      </w:tr>
      <w:tr w:rsidR="00100342" w:rsidRPr="00100342" w14:paraId="35027E72" w14:textId="77777777" w:rsidTr="00E559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2E2625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EfficientNet-B0</w:t>
            </w:r>
          </w:p>
        </w:tc>
        <w:tc>
          <w:tcPr>
            <w:tcW w:w="0" w:type="auto"/>
            <w:vAlign w:val="center"/>
            <w:hideMark/>
          </w:tcPr>
          <w:p w14:paraId="637A4004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14:paraId="63F6CCEA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0E2029B1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02EC285F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Moderate</w:t>
            </w:r>
          </w:p>
        </w:tc>
        <w:tc>
          <w:tcPr>
            <w:tcW w:w="0" w:type="auto"/>
            <w:vAlign w:val="center"/>
            <w:hideMark/>
          </w:tcPr>
          <w:p w14:paraId="38D57969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Moderate–High</w:t>
            </w:r>
          </w:p>
        </w:tc>
        <w:tc>
          <w:tcPr>
            <w:tcW w:w="2001" w:type="dxa"/>
            <w:vAlign w:val="center"/>
            <w:hideMark/>
          </w:tcPr>
          <w:p w14:paraId="709F9420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Edge-AI image classification</w:t>
            </w:r>
          </w:p>
        </w:tc>
      </w:tr>
      <w:tr w:rsidR="00100342" w:rsidRPr="00100342" w14:paraId="51958494" w14:textId="77777777" w:rsidTr="00E559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B9A7C4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Transformer-based models</w:t>
            </w:r>
          </w:p>
        </w:tc>
        <w:tc>
          <w:tcPr>
            <w:tcW w:w="0" w:type="auto"/>
            <w:vAlign w:val="center"/>
            <w:hideMark/>
          </w:tcPr>
          <w:p w14:paraId="5C65E790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Very High</w:t>
            </w:r>
          </w:p>
        </w:tc>
        <w:tc>
          <w:tcPr>
            <w:tcW w:w="0" w:type="auto"/>
            <w:vAlign w:val="center"/>
            <w:hideMark/>
          </w:tcPr>
          <w:p w14:paraId="4C716597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Slow</w:t>
            </w:r>
          </w:p>
        </w:tc>
        <w:tc>
          <w:tcPr>
            <w:tcW w:w="0" w:type="auto"/>
            <w:vAlign w:val="center"/>
            <w:hideMark/>
          </w:tcPr>
          <w:p w14:paraId="3553295F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Very High</w:t>
            </w:r>
          </w:p>
        </w:tc>
        <w:tc>
          <w:tcPr>
            <w:tcW w:w="0" w:type="auto"/>
            <w:vAlign w:val="center"/>
            <w:hideMark/>
          </w:tcPr>
          <w:p w14:paraId="52670158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Extremely High</w:t>
            </w:r>
          </w:p>
        </w:tc>
        <w:tc>
          <w:tcPr>
            <w:tcW w:w="0" w:type="auto"/>
            <w:vAlign w:val="center"/>
            <w:hideMark/>
          </w:tcPr>
          <w:p w14:paraId="54AB7305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Low</w:t>
            </w:r>
          </w:p>
        </w:tc>
        <w:tc>
          <w:tcPr>
            <w:tcW w:w="2001" w:type="dxa"/>
            <w:vAlign w:val="center"/>
            <w:hideMark/>
          </w:tcPr>
          <w:p w14:paraId="50686FCA" w14:textId="77777777" w:rsidR="00100342" w:rsidRPr="00100342" w:rsidRDefault="00100342" w:rsidP="00E55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10034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Multimodal learning and large-scale datasets</w:t>
            </w:r>
          </w:p>
        </w:tc>
      </w:tr>
    </w:tbl>
    <w:p w14:paraId="7C677332" w14:textId="77777777" w:rsidR="00B03D62" w:rsidRPr="001D0F75" w:rsidRDefault="00B03D62">
      <w:pPr>
        <w:rPr>
          <w:rFonts w:ascii="Times New Roman" w:hAnsi="Times New Roman" w:cs="Times New Roman"/>
          <w:sz w:val="24"/>
          <w:szCs w:val="24"/>
        </w:rPr>
      </w:pPr>
    </w:p>
    <w:p w14:paraId="6BAADF2C" w14:textId="47354E85" w:rsidR="008011E9" w:rsidRPr="001D0F75" w:rsidRDefault="009D1D1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312232C" wp14:editId="05080FF8">
            <wp:extent cx="5943600" cy="445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89735" w14:textId="77777777" w:rsidR="00B03D62" w:rsidRPr="00B03D62" w:rsidRDefault="008011E9" w:rsidP="00B03D62">
      <w:pPr>
        <w:pStyle w:val="NormalWeb"/>
        <w:jc w:val="center"/>
        <w:rPr>
          <w14:ligatures w14:val="none"/>
        </w:rPr>
      </w:pPr>
      <w:r w:rsidRPr="001D0F75">
        <w:rPr>
          <w:b/>
          <w:bCs/>
        </w:rPr>
        <w:t>Supplementary figure 1</w:t>
      </w:r>
      <w:r w:rsidR="00225B01">
        <w:rPr>
          <w:b/>
          <w:bCs/>
        </w:rPr>
        <w:t xml:space="preserve">: </w:t>
      </w:r>
      <w:r w:rsidR="00B03D62" w:rsidRPr="00B03D62">
        <w:rPr>
          <w14:ligatures w14:val="none"/>
        </w:rPr>
        <w:t xml:space="preserve">Decision framework illustrating the selection of </w:t>
      </w:r>
      <w:proofErr w:type="spellStart"/>
      <w:r w:rsidR="00B03D62" w:rsidRPr="00B03D62">
        <w:rPr>
          <w14:ligatures w14:val="none"/>
        </w:rPr>
        <w:t>preprocessing</w:t>
      </w:r>
      <w:proofErr w:type="spellEnd"/>
      <w:r w:rsidR="00B03D62" w:rsidRPr="00B03D62">
        <w:rPr>
          <w14:ligatures w14:val="none"/>
        </w:rPr>
        <w:t xml:space="preserve"> techniques according to sensor modality and dominant sources of signal variability in AI-driven food quality assessment systems.</w:t>
      </w:r>
    </w:p>
    <w:p w14:paraId="0826836B" w14:textId="2B9DD274" w:rsidR="00B03D62" w:rsidRDefault="00B03D62" w:rsidP="00B03D62">
      <w:pPr>
        <w:pStyle w:val="u-mb-24"/>
        <w:spacing w:before="0" w:beforeAutospacing="0" w:after="0" w:afterAutospacing="0"/>
        <w:jc w:val="both"/>
        <w:rPr>
          <w:rFonts w:ascii="Helvetica" w:hAnsi="Helvetica" w:cs="Helvetica"/>
          <w:color w:val="222222"/>
          <w:spacing w:val="2"/>
        </w:rPr>
      </w:pPr>
    </w:p>
    <w:p w14:paraId="10D10849" w14:textId="488C573E" w:rsidR="008011E9" w:rsidRPr="001D0F75" w:rsidRDefault="008011E9" w:rsidP="008011E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011E9" w:rsidRPr="001D0F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5CD"/>
    <w:rsid w:val="00100342"/>
    <w:rsid w:val="0019041D"/>
    <w:rsid w:val="001D0F75"/>
    <w:rsid w:val="00220AF9"/>
    <w:rsid w:val="00225B01"/>
    <w:rsid w:val="002460E3"/>
    <w:rsid w:val="00322D89"/>
    <w:rsid w:val="003449B7"/>
    <w:rsid w:val="003850D0"/>
    <w:rsid w:val="00437EB3"/>
    <w:rsid w:val="004A4A36"/>
    <w:rsid w:val="00706A86"/>
    <w:rsid w:val="008011E9"/>
    <w:rsid w:val="009C6C41"/>
    <w:rsid w:val="009D1D1C"/>
    <w:rsid w:val="00A4227A"/>
    <w:rsid w:val="00B03D62"/>
    <w:rsid w:val="00B33EEE"/>
    <w:rsid w:val="00C20BCA"/>
    <w:rsid w:val="00C74813"/>
    <w:rsid w:val="00D045CD"/>
    <w:rsid w:val="00D22239"/>
    <w:rsid w:val="00D32584"/>
    <w:rsid w:val="00D67DD1"/>
    <w:rsid w:val="00E54753"/>
    <w:rsid w:val="00E5591A"/>
    <w:rsid w:val="00EA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DC310"/>
  <w15:chartTrackingRefBased/>
  <w15:docId w15:val="{04D596EC-E022-4E8F-9E60-1E82A767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003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en-IN" w:eastAsia="en-IN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1003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IN"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-mb-24">
    <w:name w:val="u-mb-24"/>
    <w:basedOn w:val="Normal"/>
    <w:rsid w:val="00D04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</w:rPr>
  </w:style>
  <w:style w:type="paragraph" w:styleId="NormalWeb">
    <w:name w:val="Normal (Web)"/>
    <w:basedOn w:val="Normal"/>
    <w:uiPriority w:val="99"/>
    <w:unhideWhenUsed/>
    <w:rsid w:val="00385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</w:rPr>
  </w:style>
  <w:style w:type="character" w:styleId="Strong">
    <w:name w:val="Strong"/>
    <w:basedOn w:val="DefaultParagraphFont"/>
    <w:uiPriority w:val="22"/>
    <w:qFormat/>
    <w:rsid w:val="003850D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100342"/>
    <w:rPr>
      <w:rFonts w:ascii="Times New Roman" w:eastAsia="Times New Roman" w:hAnsi="Times New Roman" w:cs="Times New Roman"/>
      <w:b/>
      <w:bCs/>
      <w:kern w:val="0"/>
      <w:sz w:val="36"/>
      <w:szCs w:val="36"/>
      <w:lang w:val="en-IN" w:eastAsia="en-I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00342"/>
    <w:rPr>
      <w:rFonts w:ascii="Times New Roman" w:eastAsia="Times New Roman" w:hAnsi="Times New Roman" w:cs="Times New Roman"/>
      <w:b/>
      <w:bCs/>
      <w:kern w:val="0"/>
      <w:sz w:val="27"/>
      <w:szCs w:val="27"/>
      <w:lang w:val="en-IN"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2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3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2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345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888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Suraj</dc:creator>
  <cp:keywords/>
  <dc:description/>
  <cp:lastModifiedBy>DELL</cp:lastModifiedBy>
  <cp:revision>5</cp:revision>
  <dcterms:created xsi:type="dcterms:W3CDTF">2026-06-25T10:20:00Z</dcterms:created>
  <dcterms:modified xsi:type="dcterms:W3CDTF">2026-06-30T11:24:00Z</dcterms:modified>
</cp:coreProperties>
</file>