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7F4" w:rsidRPr="0057382F" w:rsidRDefault="00D247F4" w:rsidP="00D247F4">
      <w:pPr>
        <w:spacing w:line="276" w:lineRule="auto"/>
        <w:rPr>
          <w:rFonts w:ascii="Times New Roman" w:hAnsi="Times New Roman" w:cs="Times New Roman"/>
        </w:rPr>
      </w:pPr>
      <w:r w:rsidRPr="0057382F">
        <w:rPr>
          <w:rFonts w:ascii="Times New Roman" w:hAnsi="Times New Roman" w:cs="Times New Roman"/>
        </w:rPr>
        <w:t>SUPPLEMENTARY INFORMATION</w:t>
      </w:r>
    </w:p>
    <w:p w:rsidR="00D247F4" w:rsidRPr="00ED4BE5" w:rsidRDefault="00D247F4" w:rsidP="00D247F4">
      <w:pPr>
        <w:pStyle w:val="Heading3"/>
        <w:spacing w:line="360" w:lineRule="auto"/>
        <w:jc w:val="both"/>
        <w:rPr>
          <w:rFonts w:asciiTheme="majorBidi" w:hAnsiTheme="majorBidi"/>
          <w:b/>
          <w:bCs/>
          <w:color w:val="000000" w:themeColor="text1"/>
        </w:rPr>
      </w:pPr>
      <w:r w:rsidRPr="00C91FED">
        <w:rPr>
          <w:rFonts w:asciiTheme="majorBidi" w:hAnsiTheme="majorBidi"/>
          <w:b/>
          <w:bCs/>
          <w:color w:val="000000" w:themeColor="text1"/>
        </w:rPr>
        <w:t>Bioelectronic delivery of potassium ions controls membrane voltage and growth dynamics of bacteria biofilms</w:t>
      </w:r>
    </w:p>
    <w:p w:rsidR="00D247F4" w:rsidRDefault="00D247F4" w:rsidP="00D247F4">
      <w:pPr>
        <w:pStyle w:val="Heading3"/>
        <w:spacing w:line="276" w:lineRule="auto"/>
        <w:jc w:val="both"/>
        <w:rPr>
          <w:rFonts w:ascii="Times New Roman" w:hAnsi="Times New Roman" w:cs="Times New Roman"/>
          <w:color w:val="000000" w:themeColor="text1"/>
        </w:rPr>
      </w:pPr>
      <w:r w:rsidRPr="0057382F">
        <w:rPr>
          <w:rFonts w:ascii="Times New Roman" w:hAnsi="Times New Roman" w:cs="Times New Roman"/>
          <w:color w:val="000000" w:themeColor="text1"/>
        </w:rPr>
        <w:t>Harika Dechiraju*, Yixiang Li*, Colin Comerci, Le Luo, Niloofar Asefi, Sydnie Figuerres, Ansel Trevino, Alexie Barbee, Maryam Tebyani, Prabhat Baniya, Mircea Teodorescu, Gurol Suel, Marco Rolandi</w:t>
      </w:r>
    </w:p>
    <w:p w:rsidR="00D247F4" w:rsidRPr="00ED4BE5" w:rsidRDefault="00D247F4" w:rsidP="00D247F4"/>
    <w:p w:rsidR="00D247F4" w:rsidRPr="0057382F" w:rsidRDefault="00D247F4" w:rsidP="00D247F4">
      <w:pPr>
        <w:pStyle w:val="ListParagraph"/>
        <w:numPr>
          <w:ilvl w:val="0"/>
          <w:numId w:val="1"/>
        </w:numPr>
        <w:spacing w:line="276" w:lineRule="auto"/>
        <w:ind w:left="360"/>
        <w:rPr>
          <w:rFonts w:ascii="Times New Roman" w:hAnsi="Times New Roman" w:cs="Times New Roman"/>
        </w:rPr>
      </w:pPr>
      <w:r w:rsidRPr="0057382F">
        <w:rPr>
          <w:rFonts w:ascii="Times New Roman" w:hAnsi="Times New Roman" w:cs="Times New Roman"/>
        </w:rPr>
        <w:t>Fabrication Schematic</w:t>
      </w:r>
    </w:p>
    <w:p w:rsidR="00D247F4" w:rsidRPr="0057382F" w:rsidRDefault="00D247F4" w:rsidP="00D247F4">
      <w:pPr>
        <w:spacing w:line="276" w:lineRule="auto"/>
        <w:ind w:left="1440" w:firstLine="720"/>
        <w:jc w:val="both"/>
        <w:rPr>
          <w:rFonts w:ascii="Times New Roman" w:hAnsi="Times New Roman" w:cs="Times New Roman"/>
          <w:color w:val="000000" w:themeColor="text1"/>
        </w:rPr>
      </w:pPr>
      <w:r w:rsidRPr="0057382F">
        <w:rPr>
          <w:rFonts w:ascii="Times New Roman" w:hAnsi="Times New Roman" w:cs="Times New Roman"/>
          <w:noProof/>
          <w:color w:val="000000" w:themeColor="text1"/>
        </w:rPr>
        <w:drawing>
          <wp:inline distT="0" distB="0" distL="0" distR="0" wp14:anchorId="5C10041C" wp14:editId="6D7A8EC5">
            <wp:extent cx="3268512" cy="2908897"/>
            <wp:effectExtent l="0" t="0" r="0" b="0"/>
            <wp:docPr id="2003124651" name="Picture 3" descr="Diagram of a circular object with different compon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124651" name="Picture 3" descr="Diagram of a circular object with different components&#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91453" cy="2929314"/>
                    </a:xfrm>
                    <a:prstGeom prst="rect">
                      <a:avLst/>
                    </a:prstGeom>
                  </pic:spPr>
                </pic:pic>
              </a:graphicData>
            </a:graphic>
          </wp:inline>
        </w:drawing>
      </w:r>
    </w:p>
    <w:p w:rsidR="00D247F4" w:rsidRPr="00C84E98" w:rsidRDefault="00D247F4" w:rsidP="00D247F4">
      <w:pPr>
        <w:pStyle w:val="Caption"/>
        <w:spacing w:line="276" w:lineRule="auto"/>
        <w:rPr>
          <w:rFonts w:ascii="Times New Roman" w:hAnsi="Times New Roman" w:cs="Times New Roman"/>
          <w:color w:val="000000" w:themeColor="text1"/>
          <w:sz w:val="24"/>
          <w:szCs w:val="24"/>
        </w:rPr>
      </w:pPr>
      <w:bookmarkStart w:id="0" w:name="_Toc152161674"/>
      <w:r>
        <w:rPr>
          <w:rFonts w:ascii="Times New Roman" w:hAnsi="Times New Roman" w:cs="Times New Roman"/>
          <w:color w:val="000000" w:themeColor="text1"/>
          <w:sz w:val="24"/>
          <w:szCs w:val="24"/>
        </w:rPr>
        <w:t xml:space="preserve">Figure S1 </w:t>
      </w:r>
      <w:r w:rsidRPr="0057382F">
        <w:rPr>
          <w:rFonts w:ascii="Times New Roman" w:hAnsi="Times New Roman" w:cs="Times New Roman"/>
          <w:color w:val="000000" w:themeColor="text1"/>
          <w:sz w:val="24"/>
          <w:szCs w:val="24"/>
        </w:rPr>
        <w:t xml:space="preserve">Fabrication schematic of the ion pump. Reproduced </w:t>
      </w:r>
      <w:r>
        <w:rPr>
          <w:rFonts w:ascii="Times New Roman" w:hAnsi="Times New Roman" w:cs="Times New Roman"/>
          <w:color w:val="000000" w:themeColor="text1"/>
          <w:sz w:val="24"/>
          <w:szCs w:val="24"/>
        </w:rPr>
        <w:t xml:space="preserve">with permission from </w:t>
      </w:r>
      <w:bookmarkEnd w:id="0"/>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EN.CITE &lt;EndNote&gt;&lt;Cite&gt;&lt;Author&gt;Baniya&lt;/Author&gt;&lt;Year&gt;2023&lt;/Year&gt;&lt;RecNum&gt;33&lt;/RecNum&gt;&lt;DisplayText&gt;[36]&lt;/DisplayText&gt;&lt;record&gt;&lt;rec-number&gt;33&lt;/rec-number&gt;&lt;foreign-keys&gt;&lt;key app="EN" db-id="zfff0evdl2wazse5ffr5ea0h2p9z2tp2e5rf" timestamp="1714683843"&gt;33&lt;/key&gt;&lt;/foreign-keys&gt;&lt;ref-type name="Journal Article"&gt;17&lt;/ref-type&gt;&lt;contributors&gt;&lt;authors&gt;&lt;author&gt;Baniya, Prabhat&lt;/author&gt;&lt;author&gt;Tebyani, Maryam&lt;/author&gt;&lt;author&gt;Asefifeyzabadi, Narges&lt;/author&gt;&lt;author&gt;Nguyen, Tiffany&lt;/author&gt;&lt;author&gt;Hernandez, Cristian&lt;/author&gt;&lt;author&gt;Zhu, Kan&lt;/author&gt;&lt;author&gt;Li, Houpu&lt;/author&gt;&lt;author&gt;Selberg, John&lt;/author&gt;&lt;author&gt;Hsieh, Hao-Chieh&lt;/author&gt;&lt;author&gt;Pansodtee, Pattawong&lt;/author&gt;&lt;author&gt;Yang, Hsin-ya&lt;/author&gt;&lt;author&gt;Recendez, Cynthia&lt;/author&gt;&lt;author&gt;Keller, Gordon&lt;/author&gt;&lt;author&gt;Hee, Wan Shen&lt;/author&gt;&lt;author&gt;Aslankoohi, Elham&lt;/author&gt;&lt;author&gt;Isseroff, Roslyn Rivkah&lt;/author&gt;&lt;author&gt;Zhao, Min&lt;/author&gt;&lt;author&gt;Gomez, Marcella&lt;/author&gt;&lt;author&gt;Rolandi, Marco&lt;/author&gt;&lt;author&gt;Teodorescu, Mircea&lt;/author&gt;&lt;/authors&gt;&lt;/contributors&gt;&lt;titles&gt;&lt;title&gt;A system for bioelectronic delivery of treatment directed toward wound healing&lt;/title&gt;&lt;secondary-title&gt;Scientific Reports&lt;/secondary-title&gt;&lt;/titles&gt;&lt;periodical&gt;&lt;full-title&gt;Scientific Reports&lt;/full-title&gt;&lt;/periodical&gt;&lt;pages&gt;14766&lt;/pages&gt;&lt;volume&gt;13&lt;/volume&gt;&lt;number&gt;1&lt;/number&gt;&lt;dates&gt;&lt;year&gt;2023&lt;/year&gt;&lt;pub-dates&gt;&lt;date&gt;2023/09/07&lt;/date&gt;&lt;/pub-dates&gt;&lt;/dates&gt;&lt;isbn&gt;2045-2322&lt;/isbn&gt;&lt;urls&gt;&lt;related-urls&gt;&lt;url&gt;https://doi.org/10.1038/s41598-023-41572-w&lt;/url&gt;&lt;/related-urls&gt;&lt;/urls&gt;&lt;electronic-resource-num&gt;10.1038/s41598-023-41572-w&lt;/electronic-resource-num&gt;&lt;/record&gt;&lt;/Cite&gt;&lt;/EndNote&gt;</w:instrText>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[36]</w:t>
      </w:r>
      <w:r>
        <w:rPr>
          <w:rFonts w:ascii="Times New Roman" w:hAnsi="Times New Roman" w:cs="Times New Roman"/>
          <w:color w:val="000000" w:themeColor="text1"/>
          <w:sz w:val="24"/>
          <w:szCs w:val="24"/>
        </w:rPr>
        <w:fldChar w:fldCharType="end"/>
      </w:r>
    </w:p>
    <w:p w:rsidR="00D247F4" w:rsidRPr="00ED4BE5" w:rsidRDefault="00D247F4" w:rsidP="00D247F4"/>
    <w:p w:rsidR="00D247F4" w:rsidRPr="0057382F" w:rsidRDefault="00D247F4" w:rsidP="00D247F4">
      <w:pPr>
        <w:pStyle w:val="ListParagraph"/>
        <w:numPr>
          <w:ilvl w:val="0"/>
          <w:numId w:val="1"/>
        </w:numPr>
        <w:spacing w:line="276" w:lineRule="auto"/>
        <w:ind w:left="360"/>
        <w:rPr>
          <w:rFonts w:ascii="Times New Roman" w:hAnsi="Times New Roman" w:cs="Times New Roman"/>
        </w:rPr>
      </w:pPr>
      <w:r w:rsidRPr="0057382F">
        <w:rPr>
          <w:rFonts w:ascii="Times New Roman" w:hAnsi="Times New Roman" w:cs="Times New Roman"/>
        </w:rPr>
        <w:t>Optimization of K+ delivery</w:t>
      </w:r>
    </w:p>
    <w:p w:rsidR="00D247F4" w:rsidRPr="0057382F" w:rsidRDefault="00D247F4" w:rsidP="00D247F4">
      <w:pPr>
        <w:spacing w:line="276" w:lineRule="auto"/>
        <w:jc w:val="both"/>
        <w:rPr>
          <w:rFonts w:ascii="Times New Roman" w:hAnsi="Times New Roman" w:cs="Times New Roman"/>
        </w:rPr>
      </w:pPr>
      <w:r w:rsidRPr="152A666F">
        <w:rPr>
          <w:rFonts w:ascii="Times New Roman" w:hAnsi="Times New Roman" w:cs="Times New Roman"/>
          <w:color w:val="000000" w:themeColor="text1"/>
        </w:rPr>
        <w:t>In order to achieve a higher delivery dosage, it is crucial to optimize the delivery parameters, such as the current produced and the duration of delivery. According to Ohm’s Law, the current produced is primarily dictated by the voltage, V</w:t>
      </w:r>
      <w:r w:rsidRPr="152A666F">
        <w:rPr>
          <w:rFonts w:ascii="Times New Roman" w:hAnsi="Times New Roman" w:cs="Times New Roman"/>
          <w:color w:val="000000" w:themeColor="text1"/>
          <w:vertAlign w:val="subscript"/>
        </w:rPr>
        <w:t>K+</w:t>
      </w:r>
      <w:r w:rsidRPr="152A666F">
        <w:rPr>
          <w:rFonts w:ascii="Times New Roman" w:hAnsi="Times New Roman" w:cs="Times New Roman"/>
          <w:color w:val="000000" w:themeColor="text1"/>
        </w:rPr>
        <w:t>, and the resistances in the circuit. Fig 2 shows a simplified circuit diagram of the ion pump schematic. The main resistances that contribute to the overall resistance of the ion pump include the resistance of the electrodes, electrolytes in the reservoir, and the ion exchange membrane. The effect of reservoir concentration and V</w:t>
      </w:r>
      <w:r w:rsidRPr="152A666F">
        <w:rPr>
          <w:rFonts w:ascii="Times New Roman" w:hAnsi="Times New Roman" w:cs="Times New Roman"/>
          <w:color w:val="000000" w:themeColor="text1"/>
          <w:vertAlign w:val="subscript"/>
        </w:rPr>
        <w:t xml:space="preserve">K+ </w:t>
      </w:r>
      <w:r w:rsidRPr="152A666F">
        <w:rPr>
          <w:rFonts w:ascii="Times New Roman" w:hAnsi="Times New Roman" w:cs="Times New Roman"/>
          <w:color w:val="000000" w:themeColor="text1"/>
        </w:rPr>
        <w:t xml:space="preserve">on delivery efficiency has previously been discussed in a study by Dechiraju et. al [23]. Here, we will discuss how to optimize the resistance of the electrodes and the ion exchange membrane to ensure that we can meet the required delivery dosage. </w:t>
      </w:r>
    </w:p>
    <w:p w:rsidR="00D247F4" w:rsidRPr="0057382F" w:rsidRDefault="00D247F4" w:rsidP="00D247F4">
      <w:pPr>
        <w:pStyle w:val="ListParagraph"/>
        <w:spacing w:line="276" w:lineRule="auto"/>
        <w:jc w:val="both"/>
        <w:rPr>
          <w:rFonts w:ascii="Times New Roman" w:eastAsiaTheme="minorEastAsia" w:hAnsi="Times New Roman" w:cs="Times New Roman"/>
          <w:color w:val="000000" w:themeColor="text1"/>
        </w:rPr>
      </w:pPr>
      <m:oMathPara>
        <m:oMath>
          <m:r>
            <w:rPr>
              <w:rFonts w:ascii="Cambria Math" w:hAnsi="Cambria Math" w:cs="Times New Roman"/>
              <w:color w:val="000000" w:themeColor="text1"/>
            </w:rPr>
            <m:t>V=IR</m:t>
          </m:r>
        </m:oMath>
      </m:oMathPara>
    </w:p>
    <w:p w:rsidR="00D247F4" w:rsidRPr="0057382F" w:rsidRDefault="00D247F4" w:rsidP="00D247F4">
      <w:pPr>
        <w:pStyle w:val="ListParagraph"/>
        <w:spacing w:line="276" w:lineRule="auto"/>
        <w:jc w:val="both"/>
        <w:rPr>
          <w:rFonts w:ascii="Times New Roman" w:eastAsiaTheme="minorEastAsia" w:hAnsi="Times New Roman" w:cs="Times New Roman"/>
          <w:color w:val="000000" w:themeColor="text1"/>
        </w:rPr>
      </w:pPr>
      <m:oMathPara>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R</m:t>
              </m:r>
            </m:e>
            <m:sub>
              <m:r>
                <w:rPr>
                  <w:rFonts w:ascii="Cambria Math" w:eastAsiaTheme="minorEastAsia" w:hAnsi="Cambria Math" w:cs="Times New Roman"/>
                  <w:color w:val="000000" w:themeColor="text1"/>
                </w:rPr>
                <m:t>total</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R</m:t>
              </m:r>
            </m:e>
            <m:sub>
              <m:r>
                <w:rPr>
                  <w:rFonts w:ascii="Cambria Math" w:eastAsiaTheme="minorEastAsia" w:hAnsi="Cambria Math" w:cs="Times New Roman"/>
                  <w:color w:val="000000" w:themeColor="text1"/>
                </w:rPr>
                <m:t>electrode</m:t>
              </m:r>
            </m:sub>
          </m:sSub>
          <m:r>
            <w:rPr>
              <w:rFonts w:ascii="Cambria Math" w:eastAsiaTheme="minorEastAsia" w:hAnsi="Cambria Math" w:cs="Times New Roman"/>
              <w:color w:val="000000" w:themeColor="text1"/>
            </w:rPr>
            <m:t xml:space="preserve">+ </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R</m:t>
              </m:r>
            </m:e>
            <m:sub>
              <m:r>
                <w:rPr>
                  <w:rFonts w:ascii="Cambria Math" w:eastAsiaTheme="minorEastAsia" w:hAnsi="Cambria Math" w:cs="Times New Roman"/>
                  <w:color w:val="000000" w:themeColor="text1"/>
                </w:rPr>
                <m:t>electrolyte</m:t>
              </m:r>
            </m:sub>
          </m:sSub>
          <m:r>
            <w:rPr>
              <w:rFonts w:ascii="Cambria Math" w:eastAsiaTheme="minorEastAsia" w:hAnsi="Cambria Math" w:cs="Times New Roman"/>
              <w:color w:val="000000" w:themeColor="text1"/>
            </w:rPr>
            <m:t xml:space="preserve">+ </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R</m:t>
              </m:r>
            </m:e>
            <m:sub>
              <m:r>
                <w:rPr>
                  <w:rFonts w:ascii="Cambria Math" w:eastAsiaTheme="minorEastAsia" w:hAnsi="Cambria Math" w:cs="Times New Roman"/>
                  <w:color w:val="000000" w:themeColor="text1"/>
                </w:rPr>
                <m:t>IEM</m:t>
              </m:r>
            </m:sub>
          </m:sSub>
        </m:oMath>
      </m:oMathPara>
    </w:p>
    <w:p w:rsidR="00D247F4" w:rsidRPr="0057382F" w:rsidRDefault="00D247F4" w:rsidP="00D247F4">
      <w:pPr>
        <w:spacing w:line="276" w:lineRule="auto"/>
        <w:jc w:val="both"/>
        <w:rPr>
          <w:rFonts w:ascii="Times New Roman" w:hAnsi="Times New Roman" w:cs="Times New Roman"/>
          <w:color w:val="000000" w:themeColor="text1"/>
        </w:rPr>
      </w:pPr>
      <w:r w:rsidRPr="0057382F">
        <w:rPr>
          <w:rFonts w:ascii="Times New Roman" w:hAnsi="Times New Roman" w:cs="Times New Roman"/>
          <w:color w:val="000000" w:themeColor="text1"/>
        </w:rPr>
        <w:t>Resistance depends on the resistivity (</w:t>
      </w:r>
      <w:r w:rsidRPr="0057382F">
        <w:rPr>
          <w:rFonts w:ascii="Times New Roman" w:eastAsia="Symbol" w:hAnsi="Times New Roman" w:cs="Times New Roman"/>
          <w:color w:val="000000" w:themeColor="text1"/>
        </w:rPr>
        <w:t>r</w:t>
      </w:r>
      <w:r w:rsidRPr="0057382F">
        <w:rPr>
          <w:rFonts w:ascii="Times New Roman" w:hAnsi="Times New Roman" w:cs="Times New Roman"/>
          <w:color w:val="000000" w:themeColor="text1"/>
        </w:rPr>
        <w:t>), length (L), and cross-sectional area (A)</w:t>
      </w:r>
    </w:p>
    <w:p w:rsidR="00D247F4" w:rsidRPr="0057382F" w:rsidRDefault="00D247F4" w:rsidP="00D247F4">
      <w:pPr>
        <w:pStyle w:val="ListParagraph"/>
        <w:spacing w:line="276" w:lineRule="auto"/>
        <w:jc w:val="both"/>
        <w:rPr>
          <w:rFonts w:ascii="Times New Roman" w:eastAsiaTheme="minorEastAsia" w:hAnsi="Times New Roman" w:cs="Times New Roman"/>
          <w:color w:val="000000" w:themeColor="text1"/>
        </w:rPr>
      </w:pPr>
      <m:oMathPara>
        <m:oMath>
          <m:r>
            <w:rPr>
              <w:rFonts w:ascii="Cambria Math" w:hAnsi="Cambria Math" w:cs="Times New Roman"/>
              <w:color w:val="000000" w:themeColor="text1"/>
            </w:rPr>
            <w:lastRenderedPageBreak/>
            <m:t xml:space="preserve">R= </m:t>
          </m:r>
          <m:r>
            <m:rPr>
              <m:sty m:val="p"/>
            </m:rPr>
            <w:rPr>
              <w:rFonts w:ascii="Cambria Math" w:hAnsi="Cambria Math" w:cs="Times New Roman"/>
              <w:color w:val="000000" w:themeColor="text1"/>
            </w:rPr>
            <m:t>r</m:t>
          </m:r>
          <m:f>
            <m:fPr>
              <m:ctrlPr>
                <w:rPr>
                  <w:rFonts w:ascii="Cambria Math" w:hAnsi="Cambria Math" w:cs="Times New Roman"/>
                  <w:color w:val="000000" w:themeColor="text1"/>
                </w:rPr>
              </m:ctrlPr>
            </m:fPr>
            <m:num>
              <m:r>
                <w:rPr>
                  <w:rFonts w:ascii="Cambria Math" w:hAnsi="Cambria Math" w:cs="Times New Roman"/>
                  <w:color w:val="000000" w:themeColor="text1"/>
                </w:rPr>
                <m:t>L</m:t>
              </m:r>
            </m:num>
            <m:den>
              <m:r>
                <w:rPr>
                  <w:rFonts w:ascii="Cambria Math" w:hAnsi="Cambria Math" w:cs="Times New Roman"/>
                  <w:color w:val="000000" w:themeColor="text1"/>
                </w:rPr>
                <m:t>A</m:t>
              </m:r>
            </m:den>
          </m:f>
        </m:oMath>
      </m:oMathPara>
    </w:p>
    <w:p w:rsidR="00D247F4" w:rsidRPr="0057382F" w:rsidRDefault="00D247F4" w:rsidP="00D247F4">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 xml:space="preserve">For a given length and material of a conductor, increasing the cross-sectional area results in a reduction of the resistance. </w:t>
      </w:r>
    </w:p>
    <w:p w:rsidR="00D247F4" w:rsidRPr="0057382F" w:rsidRDefault="00D247F4" w:rsidP="00D247F4">
      <w:pPr>
        <w:pStyle w:val="ListParagraph"/>
        <w:spacing w:line="276" w:lineRule="auto"/>
        <w:ind w:left="2160" w:firstLine="720"/>
        <w:rPr>
          <w:rFonts w:ascii="Times New Roman" w:eastAsiaTheme="minorEastAsia" w:hAnsi="Times New Roman" w:cs="Times New Roman"/>
          <w:color w:val="000000" w:themeColor="text1"/>
        </w:rPr>
      </w:pPr>
      <w:r w:rsidRPr="0057382F">
        <w:rPr>
          <w:rFonts w:ascii="Times New Roman" w:hAnsi="Times New Roman" w:cs="Times New Roman"/>
          <w:noProof/>
        </w:rPr>
        <w:drawing>
          <wp:inline distT="0" distB="0" distL="0" distR="0" wp14:anchorId="11C416C0" wp14:editId="2AA98EE8">
            <wp:extent cx="2616200" cy="1450284"/>
            <wp:effectExtent l="0" t="0" r="0" b="0"/>
            <wp:docPr id="459748097" name="Picture 4" descr="A diagram of a diagram of a devi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48097" name="Picture 4" descr="A diagram of a diagram of a device&#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16200" cy="1450284"/>
                    </a:xfrm>
                    <a:prstGeom prst="rect">
                      <a:avLst/>
                    </a:prstGeom>
                  </pic:spPr>
                </pic:pic>
              </a:graphicData>
            </a:graphic>
          </wp:inline>
        </w:drawing>
      </w:r>
    </w:p>
    <w:p w:rsidR="00D247F4" w:rsidRPr="0057382F" w:rsidRDefault="00D247F4" w:rsidP="00D247F4">
      <w:pPr>
        <w:pStyle w:val="Caption"/>
        <w:spacing w:line="276" w:lineRule="auto"/>
        <w:rPr>
          <w:rFonts w:ascii="Times New Roman" w:hAnsi="Times New Roman" w:cs="Times New Roman"/>
          <w:color w:val="000000" w:themeColor="text1"/>
          <w:sz w:val="24"/>
          <w:szCs w:val="24"/>
        </w:rPr>
      </w:pPr>
      <w:bookmarkStart w:id="1" w:name="_Toc152161671"/>
      <w:r>
        <w:rPr>
          <w:rFonts w:ascii="Times New Roman" w:hAnsi="Times New Roman" w:cs="Times New Roman"/>
          <w:color w:val="000000" w:themeColor="text1"/>
          <w:sz w:val="24"/>
          <w:szCs w:val="24"/>
        </w:rPr>
        <w:t>Figure S2</w:t>
      </w:r>
      <w:r w:rsidRPr="0057382F">
        <w:rPr>
          <w:rFonts w:ascii="Times New Roman" w:hAnsi="Times New Roman" w:cs="Times New Roman"/>
          <w:color w:val="000000" w:themeColor="text1"/>
          <w:sz w:val="24"/>
          <w:szCs w:val="24"/>
        </w:rPr>
        <w:t xml:space="preserve"> Circuit diagram of ion pump with the associated resistances</w:t>
      </w:r>
      <w:bookmarkEnd w:id="1"/>
      <w:r w:rsidRPr="0057382F">
        <w:rPr>
          <w:rFonts w:ascii="Times New Roman" w:hAnsi="Times New Roman" w:cs="Times New Roman"/>
          <w:color w:val="000000" w:themeColor="text1"/>
          <w:sz w:val="24"/>
          <w:szCs w:val="24"/>
        </w:rPr>
        <w:t xml:space="preserve"> </w:t>
      </w:r>
    </w:p>
    <w:p w:rsidR="00D247F4" w:rsidRPr="0057382F" w:rsidRDefault="00D247F4" w:rsidP="00D247F4">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To reduce resistance associated with the electrodes (R</w:t>
      </w:r>
      <w:r w:rsidRPr="0057382F">
        <w:rPr>
          <w:rFonts w:ascii="Times New Roman" w:eastAsiaTheme="minorEastAsia" w:hAnsi="Times New Roman" w:cs="Times New Roman"/>
          <w:color w:val="000000" w:themeColor="text1"/>
          <w:vertAlign w:val="subscript"/>
        </w:rPr>
        <w:t>electrode</w:t>
      </w:r>
      <w:r w:rsidRPr="0057382F">
        <w:rPr>
          <w:rFonts w:ascii="Times New Roman" w:eastAsiaTheme="minorEastAsia" w:hAnsi="Times New Roman" w:cs="Times New Roman"/>
          <w:color w:val="000000" w:themeColor="text1"/>
        </w:rPr>
        <w:t>), we increased the thickness of the wire used from 0.1 mm diameter to 0.25 mm diameter. To reduce the resistance associated with the hydrogel (R</w:t>
      </w:r>
      <w:r w:rsidRPr="0057382F">
        <w:rPr>
          <w:rFonts w:ascii="Times New Roman" w:eastAsiaTheme="minorEastAsia" w:hAnsi="Times New Roman" w:cs="Times New Roman"/>
          <w:color w:val="000000" w:themeColor="text1"/>
          <w:vertAlign w:val="subscript"/>
        </w:rPr>
        <w:t>IEM</w:t>
      </w:r>
      <w:r w:rsidRPr="0057382F">
        <w:rPr>
          <w:rFonts w:ascii="Times New Roman" w:eastAsiaTheme="minorEastAsia" w:hAnsi="Times New Roman" w:cs="Times New Roman"/>
          <w:color w:val="000000" w:themeColor="text1"/>
        </w:rPr>
        <w:t>), we increased the thickness of the glass capillary from a 100</w:t>
      </w:r>
      <w:r w:rsidRPr="0057382F">
        <w:rPr>
          <w:rFonts w:ascii="Times New Roman" w:hAnsi="Times New Roman" w:cs="Times New Roman"/>
        </w:rPr>
        <w:t xml:space="preserve"> µm</w:t>
      </w:r>
      <w:r w:rsidRPr="0057382F">
        <w:rPr>
          <w:rFonts w:ascii="Times New Roman" w:eastAsiaTheme="minorEastAsia" w:hAnsi="Times New Roman" w:cs="Times New Roman"/>
          <w:color w:val="000000" w:themeColor="text1"/>
        </w:rPr>
        <w:t xml:space="preserve"> inner diameter to 800</w:t>
      </w:r>
      <w:r w:rsidRPr="0057382F">
        <w:rPr>
          <w:rFonts w:ascii="Times New Roman" w:hAnsi="Times New Roman" w:cs="Times New Roman"/>
        </w:rPr>
        <w:t xml:space="preserve"> µm</w:t>
      </w:r>
      <w:r w:rsidRPr="0057382F">
        <w:rPr>
          <w:rFonts w:ascii="Times New Roman" w:eastAsiaTheme="minorEastAsia" w:hAnsi="Times New Roman" w:cs="Times New Roman"/>
          <w:color w:val="000000" w:themeColor="text1"/>
        </w:rPr>
        <w:t xml:space="preserve"> inner diameter. The change in the current produced at each step is tracked and reported in table 1. </w:t>
      </w:r>
    </w:p>
    <w:p w:rsidR="00D247F4" w:rsidRPr="0057382F" w:rsidRDefault="00D247F4" w:rsidP="00D247F4">
      <w:pPr>
        <w:spacing w:line="276" w:lineRule="auto"/>
        <w:jc w:val="both"/>
        <w:rPr>
          <w:rFonts w:ascii="Times New Roman" w:eastAsiaTheme="minorEastAsia" w:hAnsi="Times New Roman" w:cs="Times New Roman"/>
          <w:i/>
          <w:iCs/>
          <w:color w:val="000000" w:themeColor="text1"/>
        </w:rPr>
      </w:pPr>
      <w:r w:rsidRPr="0057382F">
        <w:rPr>
          <w:rFonts w:ascii="Times New Roman" w:eastAsiaTheme="minorEastAsia" w:hAnsi="Times New Roman" w:cs="Times New Roman"/>
          <w:i/>
          <w:iCs/>
          <w:color w:val="000000" w:themeColor="text1"/>
        </w:rPr>
        <w:t xml:space="preserve"> </w:t>
      </w:r>
      <w:r w:rsidRPr="0057382F">
        <w:rPr>
          <w:rFonts w:ascii="Times New Roman" w:eastAsiaTheme="minorEastAsia" w:hAnsi="Times New Roman" w:cs="Times New Roman"/>
          <w:i/>
          <w:iCs/>
          <w:color w:val="000000" w:themeColor="text1"/>
        </w:rPr>
        <w:tab/>
      </w:r>
      <w:r w:rsidRPr="0057382F">
        <w:rPr>
          <w:rFonts w:ascii="Times New Roman" w:eastAsiaTheme="minorEastAsia" w:hAnsi="Times New Roman" w:cs="Times New Roman"/>
          <w:i/>
          <w:iCs/>
          <w:color w:val="000000" w:themeColor="text1"/>
        </w:rPr>
        <w:tab/>
        <w:t>Table 1: Comparison of current for different electrode and IEM diameters</w:t>
      </w:r>
    </w:p>
    <w:tbl>
      <w:tblPr>
        <w:tblStyle w:val="TableGrid"/>
        <w:tblW w:w="8720" w:type="dxa"/>
        <w:tblLook w:val="04A0" w:firstRow="1" w:lastRow="0" w:firstColumn="1" w:lastColumn="0" w:noHBand="0" w:noVBand="1"/>
      </w:tblPr>
      <w:tblGrid>
        <w:gridCol w:w="2906"/>
        <w:gridCol w:w="2907"/>
        <w:gridCol w:w="2907"/>
      </w:tblGrid>
      <w:tr w:rsidR="00D247F4" w:rsidRPr="0057382F" w:rsidTr="00F07778">
        <w:trPr>
          <w:trHeight w:val="510"/>
        </w:trPr>
        <w:tc>
          <w:tcPr>
            <w:tcW w:w="2906"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Diameter of electrode (mm)</w:t>
            </w:r>
          </w:p>
        </w:tc>
        <w:tc>
          <w:tcPr>
            <w:tcW w:w="2907"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Diameter of capillary (</w:t>
            </w:r>
            <w:r w:rsidRPr="0057382F">
              <w:rPr>
                <w:rFonts w:ascii="Times New Roman" w:hAnsi="Times New Roman" w:cs="Times New Roman"/>
              </w:rPr>
              <w:t>µm)</w:t>
            </w:r>
          </w:p>
        </w:tc>
        <w:tc>
          <w:tcPr>
            <w:tcW w:w="2907"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Current, I (</w:t>
            </w:r>
            <w:r w:rsidRPr="0057382F">
              <w:rPr>
                <w:rFonts w:ascii="Times New Roman" w:hAnsi="Times New Roman" w:cs="Times New Roman"/>
              </w:rPr>
              <w:t>µA)</w:t>
            </w:r>
          </w:p>
        </w:tc>
      </w:tr>
      <w:tr w:rsidR="00D247F4" w:rsidRPr="0057382F" w:rsidTr="00F07778">
        <w:trPr>
          <w:trHeight w:val="536"/>
        </w:trPr>
        <w:tc>
          <w:tcPr>
            <w:tcW w:w="2906"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0.1</w:t>
            </w:r>
          </w:p>
        </w:tc>
        <w:tc>
          <w:tcPr>
            <w:tcW w:w="2907"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100</w:t>
            </w:r>
          </w:p>
        </w:tc>
        <w:tc>
          <w:tcPr>
            <w:tcW w:w="2907"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2</w:t>
            </w:r>
          </w:p>
        </w:tc>
      </w:tr>
      <w:tr w:rsidR="00D247F4" w:rsidRPr="0057382F" w:rsidTr="00F07778">
        <w:trPr>
          <w:trHeight w:val="536"/>
        </w:trPr>
        <w:tc>
          <w:tcPr>
            <w:tcW w:w="2906"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0.1</w:t>
            </w:r>
          </w:p>
        </w:tc>
        <w:tc>
          <w:tcPr>
            <w:tcW w:w="2907"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400</w:t>
            </w:r>
          </w:p>
        </w:tc>
        <w:tc>
          <w:tcPr>
            <w:tcW w:w="2907"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12</w:t>
            </w:r>
          </w:p>
        </w:tc>
      </w:tr>
      <w:tr w:rsidR="00D247F4" w:rsidRPr="0057382F" w:rsidTr="00F07778">
        <w:trPr>
          <w:trHeight w:val="536"/>
        </w:trPr>
        <w:tc>
          <w:tcPr>
            <w:tcW w:w="2906"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0.1</w:t>
            </w:r>
          </w:p>
        </w:tc>
        <w:tc>
          <w:tcPr>
            <w:tcW w:w="2907"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800</w:t>
            </w:r>
          </w:p>
        </w:tc>
        <w:tc>
          <w:tcPr>
            <w:tcW w:w="2907"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20</w:t>
            </w:r>
          </w:p>
        </w:tc>
      </w:tr>
      <w:tr w:rsidR="00D247F4" w:rsidRPr="0057382F" w:rsidTr="00F07778">
        <w:trPr>
          <w:trHeight w:val="536"/>
        </w:trPr>
        <w:tc>
          <w:tcPr>
            <w:tcW w:w="2906"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0.25</w:t>
            </w:r>
          </w:p>
        </w:tc>
        <w:tc>
          <w:tcPr>
            <w:tcW w:w="2907"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800</w:t>
            </w:r>
          </w:p>
        </w:tc>
        <w:tc>
          <w:tcPr>
            <w:tcW w:w="2907" w:type="dxa"/>
          </w:tcPr>
          <w:p w:rsidR="00D247F4" w:rsidRPr="0057382F" w:rsidRDefault="00D247F4" w:rsidP="00F07778">
            <w:pPr>
              <w:spacing w:line="276" w:lineRule="auto"/>
              <w:jc w:val="both"/>
              <w:rPr>
                <w:rFonts w:ascii="Times New Roman" w:eastAsiaTheme="minorEastAsia" w:hAnsi="Times New Roman" w:cs="Times New Roman"/>
                <w:color w:val="000000" w:themeColor="text1"/>
              </w:rPr>
            </w:pPr>
            <w:r w:rsidRPr="0057382F">
              <w:rPr>
                <w:rFonts w:ascii="Times New Roman" w:eastAsiaTheme="minorEastAsia" w:hAnsi="Times New Roman" w:cs="Times New Roman"/>
                <w:color w:val="000000" w:themeColor="text1"/>
              </w:rPr>
              <w:t>80</w:t>
            </w:r>
          </w:p>
        </w:tc>
      </w:tr>
    </w:tbl>
    <w:p w:rsidR="00D247F4" w:rsidRDefault="00D247F4" w:rsidP="00D247F4">
      <w:pPr>
        <w:spacing w:line="276" w:lineRule="auto"/>
        <w:jc w:val="both"/>
        <w:rPr>
          <w:rFonts w:ascii="Times New Roman" w:hAnsi="Times New Roman" w:cs="Times New Roman"/>
        </w:rPr>
      </w:pPr>
      <w:r w:rsidRPr="0057382F">
        <w:rPr>
          <w:rFonts w:ascii="Times New Roman" w:eastAsiaTheme="minorEastAsia" w:hAnsi="Times New Roman" w:cs="Times New Roman"/>
          <w:color w:val="000000" w:themeColor="text1"/>
        </w:rPr>
        <w:t xml:space="preserve">We observe 40 times increase in the current produced when the electrode diameter is increased to 0.25 mm and the capillary diameter is increased to 800 </w:t>
      </w:r>
      <w:r w:rsidRPr="0057382F">
        <w:rPr>
          <w:rFonts w:ascii="Times New Roman" w:hAnsi="Times New Roman" w:cs="Times New Roman"/>
        </w:rPr>
        <w:t xml:space="preserve">µm. </w:t>
      </w:r>
    </w:p>
    <w:p w:rsidR="00D247F4" w:rsidRDefault="00D247F4" w:rsidP="00D247F4">
      <w:pPr>
        <w:spacing w:line="276" w:lineRule="auto"/>
        <w:jc w:val="both"/>
        <w:rPr>
          <w:rFonts w:ascii="Times New Roman" w:hAnsi="Times New Roman" w:cs="Times New Roman"/>
        </w:rPr>
      </w:pPr>
    </w:p>
    <w:p w:rsidR="00D247F4" w:rsidRPr="00B63F50" w:rsidRDefault="00D247F4" w:rsidP="00D247F4">
      <w:pPr>
        <w:pStyle w:val="ListParagraph"/>
        <w:numPr>
          <w:ilvl w:val="0"/>
          <w:numId w:val="1"/>
        </w:numPr>
        <w:spacing w:line="276" w:lineRule="auto"/>
        <w:ind w:left="360"/>
        <w:rPr>
          <w:rFonts w:ascii="Times New Roman" w:hAnsi="Times New Roman" w:cs="Times New Roman"/>
        </w:rPr>
      </w:pPr>
      <w:r w:rsidRPr="00B63F50">
        <w:rPr>
          <w:rFonts w:ascii="Times New Roman" w:hAnsi="Times New Roman" w:cs="Times New Roman"/>
        </w:rPr>
        <w:t>Calibration curve for IPG-4</w:t>
      </w:r>
    </w:p>
    <w:p w:rsidR="00D247F4" w:rsidRPr="0057382F" w:rsidRDefault="00D247F4" w:rsidP="00D247F4">
      <w:pPr>
        <w:spacing w:line="276" w:lineRule="auto"/>
        <w:jc w:val="center"/>
        <w:rPr>
          <w:rFonts w:ascii="Times New Roman" w:hAnsi="Times New Roman" w:cs="Times New Roman"/>
        </w:rPr>
      </w:pPr>
      <w:r>
        <w:rPr>
          <w:rFonts w:ascii="Times New Roman" w:hAnsi="Times New Roman" w:cs="Times New Roman"/>
          <w:noProof/>
          <w14:ligatures w14:val="standardContextual"/>
        </w:rPr>
        <w:lastRenderedPageBreak/>
        <w:drawing>
          <wp:inline distT="0" distB="0" distL="0" distR="0" wp14:anchorId="45DC14E0" wp14:editId="2719B0DD">
            <wp:extent cx="3972301" cy="2965622"/>
            <wp:effectExtent l="0" t="0" r="3175" b="0"/>
            <wp:docPr id="2306560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56065" name="Picture 2306560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39066" cy="3015467"/>
                    </a:xfrm>
                    <a:prstGeom prst="rect">
                      <a:avLst/>
                    </a:prstGeom>
                  </pic:spPr>
                </pic:pic>
              </a:graphicData>
            </a:graphic>
          </wp:inline>
        </w:drawing>
      </w:r>
    </w:p>
    <w:p w:rsidR="00D247F4" w:rsidRDefault="00D247F4" w:rsidP="00D247F4">
      <w:pPr>
        <w:spacing w:line="276" w:lineRule="auto"/>
        <w:jc w:val="both"/>
        <w:rPr>
          <w:rFonts w:ascii="Times New Roman" w:eastAsiaTheme="minorEastAsia" w:hAnsi="Times New Roman" w:cs="Times New Roman"/>
          <w:i/>
          <w:iCs/>
          <w:color w:val="000000" w:themeColor="text1"/>
        </w:rPr>
      </w:pPr>
      <w:r w:rsidRPr="196D2E75">
        <w:rPr>
          <w:rFonts w:ascii="Times New Roman" w:eastAsiaTheme="minorEastAsia" w:hAnsi="Times New Roman" w:cs="Times New Roman"/>
          <w:i/>
          <w:iCs/>
          <w:color w:val="000000" w:themeColor="text1"/>
        </w:rPr>
        <w:t xml:space="preserve">Figure </w:t>
      </w:r>
      <w:r>
        <w:rPr>
          <w:rFonts w:ascii="Times New Roman" w:eastAsiaTheme="minorEastAsia" w:hAnsi="Times New Roman" w:cs="Times New Roman"/>
          <w:i/>
          <w:iCs/>
          <w:color w:val="000000" w:themeColor="text1"/>
        </w:rPr>
        <w:t>S</w:t>
      </w:r>
      <w:r w:rsidRPr="196D2E75">
        <w:rPr>
          <w:rFonts w:ascii="Times New Roman" w:eastAsiaTheme="minorEastAsia" w:hAnsi="Times New Roman" w:cs="Times New Roman"/>
          <w:i/>
          <w:iCs/>
          <w:color w:val="000000" w:themeColor="text1"/>
        </w:rPr>
        <w:t>3 Calibration curve of IPG-4 generated using KCl solution with known concentrations showing the relationship between [K+] and fluorescence intensity of IPG-4 dye</w:t>
      </w:r>
    </w:p>
    <w:p w:rsidR="00D247F4" w:rsidRDefault="00D247F4" w:rsidP="00D247F4">
      <w:pPr>
        <w:spacing w:line="276" w:lineRule="auto"/>
        <w:ind w:left="360"/>
        <w:rPr>
          <w:rFonts w:ascii="Times New Roman" w:eastAsiaTheme="minorEastAsia" w:hAnsi="Times New Roman" w:cs="Times New Roman"/>
          <w:i/>
          <w:iCs/>
          <w:color w:val="000000" w:themeColor="text1"/>
        </w:rPr>
      </w:pPr>
    </w:p>
    <w:p w:rsidR="00D247F4" w:rsidRDefault="00D247F4" w:rsidP="00D247F4">
      <w:pPr>
        <w:pStyle w:val="ListParagraph"/>
        <w:numPr>
          <w:ilvl w:val="0"/>
          <w:numId w:val="1"/>
        </w:numPr>
        <w:spacing w:line="276" w:lineRule="auto"/>
        <w:ind w:left="360"/>
        <w:rPr>
          <w:rFonts w:ascii="Times New Roman" w:hAnsi="Times New Roman" w:cs="Times New Roman"/>
        </w:rPr>
      </w:pPr>
      <w:r>
        <w:rPr>
          <w:rFonts w:ascii="Times New Roman" w:hAnsi="Times New Roman" w:cs="Times New Roman"/>
        </w:rPr>
        <w:t>Fluorescence response of the ion pump</w:t>
      </w:r>
    </w:p>
    <w:p w:rsidR="00D247F4" w:rsidRPr="00B63F50" w:rsidRDefault="00D247F4" w:rsidP="00D247F4">
      <w:pPr>
        <w:pStyle w:val="ListParagraph"/>
        <w:spacing w:line="276" w:lineRule="auto"/>
        <w:rPr>
          <w:rFonts w:ascii="Times New Roman" w:hAnsi="Times New Roman" w:cs="Times New Roman"/>
        </w:rPr>
      </w:pPr>
    </w:p>
    <w:p w:rsidR="00D247F4" w:rsidRDefault="00D247F4" w:rsidP="00D247F4">
      <w:pPr>
        <w:spacing w:line="276" w:lineRule="auto"/>
        <w:jc w:val="center"/>
        <w:rPr>
          <w:rFonts w:ascii="Times New Roman" w:hAnsi="Times New Roman" w:cs="Times New Roman"/>
        </w:rPr>
      </w:pPr>
      <w:r>
        <w:rPr>
          <w:rFonts w:ascii="Times New Roman" w:hAnsi="Times New Roman" w:cs="Times New Roman"/>
          <w:noProof/>
        </w:rPr>
        <w:drawing>
          <wp:inline distT="0" distB="0" distL="0" distR="0" wp14:anchorId="1FA2DFCF" wp14:editId="4670D3A7">
            <wp:extent cx="4312508" cy="2835800"/>
            <wp:effectExtent l="0" t="0" r="5715" b="0"/>
            <wp:docPr id="1916626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26274" name="Picture 19166262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48755" cy="2859635"/>
                    </a:xfrm>
                    <a:prstGeom prst="rect">
                      <a:avLst/>
                    </a:prstGeom>
                  </pic:spPr>
                </pic:pic>
              </a:graphicData>
            </a:graphic>
          </wp:inline>
        </w:drawing>
      </w:r>
    </w:p>
    <w:p w:rsidR="00D247F4" w:rsidRPr="00220FFF" w:rsidRDefault="00D247F4" w:rsidP="00D247F4">
      <w:pPr>
        <w:spacing w:line="36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i/>
          <w:iCs/>
          <w:color w:val="000000" w:themeColor="text1"/>
        </w:rPr>
        <w:t>Figure S4</w:t>
      </w:r>
      <w:r w:rsidRPr="47C03179">
        <w:rPr>
          <w:rFonts w:ascii="Times New Roman" w:eastAsia="Times New Roman" w:hAnsi="Times New Roman" w:cs="Times New Roman"/>
          <w:i/>
          <w:iCs/>
          <w:color w:val="000000" w:themeColor="text1"/>
        </w:rPr>
        <w:t xml:space="preserve"> Fluorescence response of the ion pump captured using IPG-4 dye for a</w:t>
      </w:r>
      <w:r>
        <w:rPr>
          <w:rFonts w:ascii="Times New Roman" w:eastAsia="Times New Roman" w:hAnsi="Times New Roman" w:cs="Times New Roman"/>
          <w:i/>
          <w:iCs/>
          <w:color w:val="000000" w:themeColor="text1"/>
        </w:rPr>
        <w:t xml:space="preserve"> series of alternating</w:t>
      </w:r>
      <w:r w:rsidRPr="47C03179">
        <w:rPr>
          <w:rFonts w:ascii="Times New Roman" w:eastAsia="Times New Roman" w:hAnsi="Times New Roman" w:cs="Times New Roman"/>
          <w:i/>
          <w:iCs/>
          <w:color w:val="000000" w:themeColor="text1"/>
        </w:rPr>
        <w:t xml:space="preserve"> V</w:t>
      </w:r>
      <w:r w:rsidRPr="47C03179">
        <w:rPr>
          <w:rFonts w:ascii="Times New Roman" w:eastAsia="Times New Roman" w:hAnsi="Times New Roman" w:cs="Times New Roman"/>
          <w:i/>
          <w:iCs/>
          <w:color w:val="000000" w:themeColor="text1"/>
          <w:vertAlign w:val="subscript"/>
        </w:rPr>
        <w:t>K+</w:t>
      </w:r>
      <w:r>
        <w:rPr>
          <w:rFonts w:ascii="Times New Roman" w:eastAsia="Times New Roman" w:hAnsi="Times New Roman" w:cs="Times New Roman"/>
          <w:i/>
          <w:iCs/>
          <w:color w:val="000000" w:themeColor="text1"/>
          <w:vertAlign w:val="subscript"/>
        </w:rPr>
        <w:t xml:space="preserve"> </w:t>
      </w:r>
      <w:r>
        <w:rPr>
          <w:rFonts w:ascii="Times New Roman" w:eastAsia="Times New Roman" w:hAnsi="Times New Roman" w:cs="Times New Roman"/>
          <w:i/>
          <w:iCs/>
          <w:color w:val="000000" w:themeColor="text1"/>
        </w:rPr>
        <w:t>over 6 cycles</w:t>
      </w:r>
      <w:r w:rsidRPr="47C03179">
        <w:rPr>
          <w:rFonts w:ascii="Times New Roman" w:eastAsia="Times New Roman" w:hAnsi="Times New Roman" w:cs="Times New Roman"/>
          <w:i/>
          <w:iCs/>
          <w:color w:val="000000" w:themeColor="text1"/>
        </w:rPr>
        <w:t>.</w:t>
      </w:r>
      <w:r>
        <w:rPr>
          <w:rFonts w:ascii="Times New Roman" w:eastAsia="Times New Roman" w:hAnsi="Times New Roman" w:cs="Times New Roman"/>
          <w:i/>
          <w:iCs/>
          <w:color w:val="000000" w:themeColor="text1"/>
        </w:rPr>
        <w:t xml:space="preserve"> Based on the calibration curve, the total change of K</w:t>
      </w:r>
      <w:r w:rsidRPr="00220FFF">
        <w:rPr>
          <w:rFonts w:ascii="Times New Roman" w:eastAsia="Times New Roman" w:hAnsi="Times New Roman" w:cs="Times New Roman"/>
          <w:i/>
          <w:iCs/>
          <w:color w:val="000000" w:themeColor="text1"/>
          <w:vertAlign w:val="superscript"/>
        </w:rPr>
        <w:t>+</w:t>
      </w:r>
      <w:r>
        <w:rPr>
          <w:rFonts w:ascii="Times New Roman" w:eastAsia="Times New Roman" w:hAnsi="Times New Roman" w:cs="Times New Roman"/>
          <w:i/>
          <w:iCs/>
          <w:color w:val="000000" w:themeColor="text1"/>
          <w:vertAlign w:val="superscript"/>
        </w:rPr>
        <w:t xml:space="preserve"> </w:t>
      </w:r>
      <w:r>
        <w:rPr>
          <w:rFonts w:ascii="Times New Roman" w:eastAsia="Times New Roman" w:hAnsi="Times New Roman" w:cs="Times New Roman"/>
          <w:i/>
          <w:iCs/>
          <w:color w:val="000000" w:themeColor="text1"/>
        </w:rPr>
        <w:t>concentration during the 6 cycles is approximately 100 mM.</w:t>
      </w:r>
    </w:p>
    <w:p w:rsidR="00D247F4" w:rsidRPr="00B63F50" w:rsidRDefault="00D247F4" w:rsidP="00D247F4">
      <w:pPr>
        <w:spacing w:line="276" w:lineRule="auto"/>
        <w:rPr>
          <w:rFonts w:ascii="Times New Roman" w:hAnsi="Times New Roman" w:cs="Times New Roman"/>
        </w:rPr>
      </w:pPr>
    </w:p>
    <w:p w:rsidR="00D247F4" w:rsidRPr="00A57DAA" w:rsidRDefault="00D247F4" w:rsidP="00D247F4">
      <w:pPr>
        <w:pStyle w:val="ListParagraph"/>
        <w:numPr>
          <w:ilvl w:val="0"/>
          <w:numId w:val="1"/>
        </w:numPr>
        <w:spacing w:line="276" w:lineRule="auto"/>
        <w:ind w:left="360"/>
        <w:rPr>
          <w:rFonts w:ascii="Times New Roman" w:hAnsi="Times New Roman" w:cs="Times New Roman"/>
        </w:rPr>
      </w:pPr>
      <w:r w:rsidRPr="009E7A9A">
        <w:rPr>
          <w:rFonts w:asciiTheme="majorBidi" w:eastAsia="Times New Roman" w:hAnsiTheme="majorBidi" w:cstheme="majorBidi"/>
          <w:color w:val="000000" w:themeColor="text1"/>
        </w:rPr>
        <w:lastRenderedPageBreak/>
        <w:t>[K</w:t>
      </w:r>
      <w:r w:rsidRPr="009E7A9A">
        <w:rPr>
          <w:rFonts w:asciiTheme="majorBidi" w:eastAsia="Times New Roman" w:hAnsiTheme="majorBidi" w:cstheme="majorBidi"/>
          <w:color w:val="000000" w:themeColor="text1"/>
          <w:vertAlign w:val="superscript"/>
        </w:rPr>
        <w:t>+</w:t>
      </w:r>
      <w:r w:rsidRPr="009E7A9A">
        <w:rPr>
          <w:rFonts w:asciiTheme="majorBidi" w:eastAsia="Times New Roman" w:hAnsiTheme="majorBidi" w:cstheme="majorBidi"/>
          <w:color w:val="000000" w:themeColor="text1"/>
        </w:rPr>
        <w:t>] as a function of time</w:t>
      </w:r>
    </w:p>
    <w:p w:rsidR="00D247F4" w:rsidRDefault="00D247F4" w:rsidP="00D247F4">
      <w:pPr>
        <w:spacing w:line="276" w:lineRule="auto"/>
        <w:jc w:val="center"/>
        <w:rPr>
          <w:rFonts w:ascii="Times New Roman" w:hAnsi="Times New Roman" w:cs="Times New Roman"/>
        </w:rPr>
      </w:pPr>
    </w:p>
    <w:p w:rsidR="00D247F4" w:rsidRPr="0057382F" w:rsidRDefault="00D247F4" w:rsidP="00D247F4">
      <w:pPr>
        <w:spacing w:line="276" w:lineRule="auto"/>
        <w:jc w:val="center"/>
        <w:rPr>
          <w:rFonts w:ascii="Times New Roman" w:hAnsi="Times New Roman" w:cs="Times New Roman"/>
        </w:rPr>
      </w:pPr>
      <w:r>
        <w:rPr>
          <w:rFonts w:ascii="Times New Roman" w:eastAsiaTheme="minorEastAsia" w:hAnsi="Times New Roman" w:cs="Times New Roman"/>
          <w:i/>
          <w:iCs/>
          <w:noProof/>
          <w:color w:val="000000" w:themeColor="text1"/>
        </w:rPr>
        <w:drawing>
          <wp:inline distT="0" distB="0" distL="0" distR="0" wp14:anchorId="71748422" wp14:editId="1DFDFDB8">
            <wp:extent cx="5486400" cy="2512255"/>
            <wp:effectExtent l="0" t="0" r="0" b="2540"/>
            <wp:docPr id="1794199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199873" name="Picture 179419987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36097" cy="2535012"/>
                    </a:xfrm>
                    <a:prstGeom prst="rect">
                      <a:avLst/>
                    </a:prstGeom>
                  </pic:spPr>
                </pic:pic>
              </a:graphicData>
            </a:graphic>
          </wp:inline>
        </w:drawing>
      </w:r>
    </w:p>
    <w:p w:rsidR="00D247F4" w:rsidRDefault="00D247F4" w:rsidP="00D247F4">
      <w:pPr>
        <w:spacing w:line="276" w:lineRule="auto"/>
        <w:jc w:val="both"/>
        <w:rPr>
          <w:rFonts w:ascii="Times New Roman" w:eastAsiaTheme="minorEastAsia" w:hAnsi="Times New Roman" w:cs="Times New Roman"/>
          <w:i/>
          <w:iCs/>
          <w:color w:val="000000" w:themeColor="text1"/>
        </w:rPr>
      </w:pPr>
      <w:r w:rsidRPr="196D2E75">
        <w:rPr>
          <w:rFonts w:ascii="Times New Roman" w:eastAsiaTheme="minorEastAsia" w:hAnsi="Times New Roman" w:cs="Times New Roman"/>
          <w:i/>
          <w:iCs/>
          <w:color w:val="000000" w:themeColor="text1"/>
        </w:rPr>
        <w:t xml:space="preserve">Figure </w:t>
      </w:r>
      <w:r>
        <w:rPr>
          <w:rFonts w:ascii="Times New Roman" w:eastAsiaTheme="minorEastAsia" w:hAnsi="Times New Roman" w:cs="Times New Roman"/>
          <w:i/>
          <w:iCs/>
          <w:color w:val="000000" w:themeColor="text1"/>
        </w:rPr>
        <w:t>S5</w:t>
      </w:r>
      <w:r w:rsidRPr="196D2E75">
        <w:rPr>
          <w:rFonts w:ascii="Times New Roman" w:eastAsiaTheme="minorEastAsia" w:hAnsi="Times New Roman" w:cs="Times New Roman"/>
          <w:i/>
          <w:iCs/>
          <w:color w:val="000000" w:themeColor="text1"/>
        </w:rPr>
        <w:t xml:space="preserve"> </w:t>
      </w:r>
      <w:r w:rsidRPr="009E7A9A">
        <w:rPr>
          <w:rFonts w:asciiTheme="majorBidi" w:eastAsia="Times New Roman" w:hAnsiTheme="majorBidi" w:cstheme="majorBidi"/>
          <w:i/>
          <w:iCs/>
          <w:color w:val="000000" w:themeColor="text1"/>
        </w:rPr>
        <w:t>Fluorescent microscope images capturing WE at various stages throughout the actuation cycle (top row), showing the On-Off trend due to the change of [K</w:t>
      </w:r>
      <w:r w:rsidRPr="009E7A9A">
        <w:rPr>
          <w:rFonts w:asciiTheme="majorBidi" w:eastAsia="Times New Roman" w:hAnsiTheme="majorBidi" w:cstheme="majorBidi"/>
          <w:i/>
          <w:iCs/>
          <w:color w:val="000000" w:themeColor="text1"/>
          <w:vertAlign w:val="superscript"/>
        </w:rPr>
        <w:t>+</w:t>
      </w:r>
      <w:r w:rsidRPr="009E7A9A">
        <w:rPr>
          <w:rFonts w:asciiTheme="majorBidi" w:eastAsia="Times New Roman" w:hAnsiTheme="majorBidi" w:cstheme="majorBidi"/>
          <w:i/>
          <w:iCs/>
          <w:color w:val="000000" w:themeColor="text1"/>
        </w:rPr>
        <w:t>]. Corresponding COMSOL simulation results depicting the change in [K</w:t>
      </w:r>
      <w:r w:rsidRPr="009E7A9A">
        <w:rPr>
          <w:rFonts w:asciiTheme="majorBidi" w:eastAsia="Times New Roman" w:hAnsiTheme="majorBidi" w:cstheme="majorBidi"/>
          <w:i/>
          <w:iCs/>
          <w:color w:val="000000" w:themeColor="text1"/>
          <w:vertAlign w:val="superscript"/>
        </w:rPr>
        <w:t>+</w:t>
      </w:r>
      <w:r w:rsidRPr="009E7A9A">
        <w:rPr>
          <w:rFonts w:asciiTheme="majorBidi" w:eastAsia="Times New Roman" w:hAnsiTheme="majorBidi" w:cstheme="majorBidi"/>
          <w:i/>
          <w:iCs/>
          <w:color w:val="000000" w:themeColor="text1"/>
        </w:rPr>
        <w:t>] at the WE (bottom row). Scale bar = 500 µm.</w:t>
      </w:r>
    </w:p>
    <w:p w:rsidR="00D247F4" w:rsidRDefault="00D247F4" w:rsidP="00D247F4">
      <w:pPr>
        <w:spacing w:line="276" w:lineRule="auto"/>
        <w:rPr>
          <w:rFonts w:ascii="Times New Roman" w:eastAsiaTheme="minorEastAsia" w:hAnsi="Times New Roman" w:cs="Times New Roman"/>
          <w:i/>
          <w:iCs/>
          <w:color w:val="000000" w:themeColor="text1"/>
        </w:rPr>
      </w:pPr>
    </w:p>
    <w:p w:rsidR="00D247F4" w:rsidRPr="00A57DAA" w:rsidRDefault="00D247F4" w:rsidP="00D247F4">
      <w:pPr>
        <w:pStyle w:val="ListParagraph"/>
        <w:numPr>
          <w:ilvl w:val="0"/>
          <w:numId w:val="1"/>
        </w:numPr>
        <w:spacing w:line="276" w:lineRule="auto"/>
        <w:ind w:left="360"/>
        <w:rPr>
          <w:rFonts w:ascii="Times New Roman" w:hAnsi="Times New Roman" w:cs="Times New Roman"/>
        </w:rPr>
      </w:pPr>
      <w:r>
        <w:rPr>
          <w:rFonts w:ascii="Times New Roman" w:hAnsi="Times New Roman" w:cs="Times New Roman"/>
        </w:rPr>
        <w:t>Calibration curve of [K+]</w:t>
      </w:r>
    </w:p>
    <w:p w:rsidR="00D247F4" w:rsidRDefault="00D247F4" w:rsidP="00D247F4">
      <w:pPr>
        <w:spacing w:line="276" w:lineRule="auto"/>
        <w:ind w:left="360"/>
        <w:jc w:val="center"/>
        <w:rPr>
          <w:rFonts w:ascii="Times New Roman" w:eastAsiaTheme="minorEastAsia" w:hAnsi="Times New Roman" w:cs="Times New Roman"/>
          <w:i/>
          <w:iCs/>
          <w:color w:val="000000" w:themeColor="text1"/>
        </w:rPr>
      </w:pPr>
      <w:r>
        <w:rPr>
          <w:rFonts w:ascii="Times New Roman" w:eastAsiaTheme="minorEastAsia" w:hAnsi="Times New Roman" w:cs="Times New Roman"/>
          <w:i/>
          <w:iCs/>
          <w:noProof/>
          <w:color w:val="000000" w:themeColor="text1"/>
          <w14:ligatures w14:val="standardContextual"/>
        </w:rPr>
        <w:drawing>
          <wp:inline distT="0" distB="0" distL="0" distR="0" wp14:anchorId="33FB4EF1" wp14:editId="4B1037E3">
            <wp:extent cx="4114449" cy="3002692"/>
            <wp:effectExtent l="0" t="0" r="635" b="0"/>
            <wp:docPr id="1375992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99223" name="Picture 13759922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63874" cy="3038762"/>
                    </a:xfrm>
                    <a:prstGeom prst="rect">
                      <a:avLst/>
                    </a:prstGeom>
                  </pic:spPr>
                </pic:pic>
              </a:graphicData>
            </a:graphic>
          </wp:inline>
        </w:drawing>
      </w:r>
    </w:p>
    <w:p w:rsidR="00D247F4" w:rsidRDefault="00D247F4" w:rsidP="00D247F4">
      <w:pPr>
        <w:spacing w:line="276" w:lineRule="auto"/>
        <w:ind w:left="360"/>
        <w:rPr>
          <w:rFonts w:ascii="Times New Roman" w:eastAsiaTheme="minorEastAsia" w:hAnsi="Times New Roman" w:cs="Times New Roman"/>
          <w:i/>
          <w:iCs/>
          <w:color w:val="000000" w:themeColor="text1"/>
        </w:rPr>
      </w:pPr>
    </w:p>
    <w:p w:rsidR="00D247F4" w:rsidRPr="009E7A9A" w:rsidRDefault="00D247F4" w:rsidP="00D247F4">
      <w:pPr>
        <w:spacing w:line="480" w:lineRule="auto"/>
        <w:jc w:val="both"/>
        <w:rPr>
          <w:rFonts w:asciiTheme="majorBidi" w:eastAsia="Times New Roman" w:hAnsiTheme="majorBidi" w:cstheme="majorBidi"/>
          <w:color w:val="000000" w:themeColor="text1"/>
        </w:rPr>
      </w:pPr>
      <w:r w:rsidRPr="196D2E75">
        <w:rPr>
          <w:rFonts w:ascii="Times New Roman" w:eastAsiaTheme="minorEastAsia" w:hAnsi="Times New Roman" w:cs="Times New Roman"/>
          <w:i/>
          <w:iCs/>
          <w:color w:val="000000" w:themeColor="text1"/>
        </w:rPr>
        <w:t xml:space="preserve">Figure </w:t>
      </w:r>
      <w:r>
        <w:rPr>
          <w:rFonts w:ascii="Times New Roman" w:eastAsiaTheme="minorEastAsia" w:hAnsi="Times New Roman" w:cs="Times New Roman"/>
          <w:i/>
          <w:iCs/>
          <w:color w:val="000000" w:themeColor="text1"/>
        </w:rPr>
        <w:t>S6</w:t>
      </w:r>
      <w:r w:rsidRPr="196D2E75">
        <w:rPr>
          <w:rFonts w:ascii="Times New Roman" w:eastAsiaTheme="minorEastAsia" w:hAnsi="Times New Roman" w:cs="Times New Roman"/>
          <w:i/>
          <w:iCs/>
          <w:color w:val="000000" w:themeColor="text1"/>
        </w:rPr>
        <w:t xml:space="preserve"> COMSOL simulation depicting [K</w:t>
      </w:r>
      <w:r w:rsidRPr="196D2E75">
        <w:rPr>
          <w:rFonts w:ascii="Times New Roman" w:eastAsiaTheme="minorEastAsia" w:hAnsi="Times New Roman" w:cs="Times New Roman"/>
          <w:i/>
          <w:iCs/>
          <w:color w:val="000000" w:themeColor="text1"/>
          <w:vertAlign w:val="superscript"/>
        </w:rPr>
        <w:t>+</w:t>
      </w:r>
      <w:r w:rsidRPr="196D2E75">
        <w:rPr>
          <w:rFonts w:ascii="Times New Roman" w:eastAsiaTheme="minorEastAsia" w:hAnsi="Times New Roman" w:cs="Times New Roman"/>
          <w:i/>
          <w:iCs/>
          <w:color w:val="000000" w:themeColor="text1"/>
        </w:rPr>
        <w:t>] a function of the distance from the center of WE. The blue shading represents the area of WE.</w:t>
      </w:r>
    </w:p>
    <w:p w:rsidR="00D247F4" w:rsidRDefault="00D247F4" w:rsidP="00D247F4">
      <w:pPr>
        <w:pStyle w:val="ListParagraph"/>
        <w:spacing w:line="276" w:lineRule="auto"/>
        <w:rPr>
          <w:rFonts w:ascii="Times New Roman" w:hAnsi="Times New Roman" w:cs="Times New Roman"/>
        </w:rPr>
      </w:pPr>
    </w:p>
    <w:p w:rsidR="00D247F4" w:rsidRDefault="00D247F4" w:rsidP="00D247F4">
      <w:pPr>
        <w:pStyle w:val="ListParagraph"/>
        <w:numPr>
          <w:ilvl w:val="0"/>
          <w:numId w:val="1"/>
        </w:numPr>
        <w:spacing w:line="276" w:lineRule="auto"/>
        <w:ind w:left="360"/>
        <w:rPr>
          <w:rFonts w:ascii="Times New Roman" w:hAnsi="Times New Roman" w:cs="Times New Roman"/>
        </w:rPr>
      </w:pPr>
      <w:r w:rsidRPr="196D2E75">
        <w:rPr>
          <w:rFonts w:ascii="Times New Roman" w:hAnsi="Times New Roman" w:cs="Times New Roman"/>
        </w:rPr>
        <w:t>Biofilm images with different [K+] using IPG-4</w:t>
      </w:r>
    </w:p>
    <w:p w:rsidR="00D247F4" w:rsidRPr="00C06BB4" w:rsidRDefault="00D247F4" w:rsidP="00D247F4">
      <w:pPr>
        <w:spacing w:line="276" w:lineRule="auto"/>
        <w:ind w:left="360"/>
        <w:jc w:val="center"/>
        <w:rPr>
          <w:rFonts w:ascii="Times New Roman" w:hAnsi="Times New Roman" w:cs="Times New Roman"/>
        </w:rPr>
      </w:pPr>
      <w:r>
        <w:rPr>
          <w:noProof/>
        </w:rPr>
        <w:drawing>
          <wp:inline distT="0" distB="0" distL="0" distR="0" wp14:anchorId="483CCC1E" wp14:editId="5F6F6DC4">
            <wp:extent cx="5155054" cy="4099810"/>
            <wp:effectExtent l="0" t="0" r="1270" b="2540"/>
            <wp:docPr id="819197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9736" name="Picture 819197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79723" cy="4119429"/>
                    </a:xfrm>
                    <a:prstGeom prst="rect">
                      <a:avLst/>
                    </a:prstGeom>
                  </pic:spPr>
                </pic:pic>
              </a:graphicData>
            </a:graphic>
          </wp:inline>
        </w:drawing>
      </w:r>
    </w:p>
    <w:p w:rsidR="00D247F4" w:rsidRPr="00C06BB4" w:rsidRDefault="00D247F4" w:rsidP="00D247F4">
      <w:pPr>
        <w:spacing w:line="276" w:lineRule="auto"/>
        <w:ind w:left="360"/>
        <w:rPr>
          <w:rFonts w:ascii="Times New Roman" w:eastAsiaTheme="minorEastAsia" w:hAnsi="Times New Roman" w:cs="Times New Roman"/>
          <w:color w:val="000000" w:themeColor="text1"/>
        </w:rPr>
      </w:pPr>
    </w:p>
    <w:p w:rsidR="00D247F4" w:rsidRDefault="00D247F4" w:rsidP="00D247F4">
      <w:pPr>
        <w:spacing w:line="360" w:lineRule="auto"/>
        <w:jc w:val="both"/>
        <w:rPr>
          <w:rFonts w:ascii="Times New Roman" w:eastAsia="Times New Roman" w:hAnsi="Times New Roman" w:cs="Times New Roman"/>
          <w:color w:val="000000" w:themeColor="text1"/>
        </w:rPr>
      </w:pPr>
      <w:r w:rsidRPr="196D2E75">
        <w:rPr>
          <w:rFonts w:ascii="Times New Roman" w:eastAsiaTheme="minorEastAsia" w:hAnsi="Times New Roman" w:cs="Times New Roman"/>
          <w:i/>
          <w:iCs/>
          <w:color w:val="000000" w:themeColor="text1"/>
        </w:rPr>
        <w:t xml:space="preserve">Figure </w:t>
      </w:r>
      <w:r>
        <w:rPr>
          <w:rFonts w:ascii="Times New Roman" w:eastAsiaTheme="minorEastAsia" w:hAnsi="Times New Roman" w:cs="Times New Roman"/>
          <w:i/>
          <w:iCs/>
          <w:color w:val="000000" w:themeColor="text1"/>
        </w:rPr>
        <w:t>S7</w:t>
      </w:r>
      <w:r w:rsidRPr="196D2E75">
        <w:rPr>
          <w:rFonts w:ascii="Times New Roman" w:eastAsiaTheme="minorEastAsia" w:hAnsi="Times New Roman" w:cs="Times New Roman"/>
          <w:i/>
          <w:iCs/>
          <w:color w:val="000000" w:themeColor="text1"/>
        </w:rPr>
        <w:t xml:space="preserve"> Fluorescence image of the biofilm with IPG-4 dye. The top row are images under [K+] change of 250 mM. (a) the onset and (b) the conclusion. The bottom row are images under [K+] change of 150 mM. (c) the onset and (d) the conclusion. White dashed circle indicates the position of WE. </w:t>
      </w:r>
      <w:r w:rsidRPr="196D2E75">
        <w:rPr>
          <w:rFonts w:ascii="Times New Roman" w:eastAsia="Times New Roman" w:hAnsi="Times New Roman" w:cs="Times New Roman"/>
          <w:i/>
          <w:iCs/>
          <w:color w:val="000000" w:themeColor="text1"/>
        </w:rPr>
        <w:t>Scale bar = 400 µm.</w:t>
      </w:r>
    </w:p>
    <w:p w:rsidR="00206E53" w:rsidRDefault="00206E53">
      <w:bookmarkStart w:id="2" w:name="_GoBack"/>
      <w:bookmarkEnd w:id="2"/>
    </w:p>
    <w:sectPr w:rsidR="00206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C49F2"/>
    <w:multiLevelType w:val="hybridMultilevel"/>
    <w:tmpl w:val="66C4D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7F4"/>
    <w:rsid w:val="000C3887"/>
    <w:rsid w:val="001D52E1"/>
    <w:rsid w:val="001F4EA8"/>
    <w:rsid w:val="00206E53"/>
    <w:rsid w:val="00261FE6"/>
    <w:rsid w:val="003E342C"/>
    <w:rsid w:val="003E4F1F"/>
    <w:rsid w:val="0043202D"/>
    <w:rsid w:val="00465C24"/>
    <w:rsid w:val="004D1559"/>
    <w:rsid w:val="0057004C"/>
    <w:rsid w:val="005E5694"/>
    <w:rsid w:val="005F4CF2"/>
    <w:rsid w:val="00670FFB"/>
    <w:rsid w:val="00905471"/>
    <w:rsid w:val="009421B7"/>
    <w:rsid w:val="0094516B"/>
    <w:rsid w:val="00952CA8"/>
    <w:rsid w:val="009F3237"/>
    <w:rsid w:val="00A060AF"/>
    <w:rsid w:val="00A21A6D"/>
    <w:rsid w:val="00AB169F"/>
    <w:rsid w:val="00AD01A2"/>
    <w:rsid w:val="00AE2C9D"/>
    <w:rsid w:val="00B02481"/>
    <w:rsid w:val="00CA6D53"/>
    <w:rsid w:val="00D000A9"/>
    <w:rsid w:val="00D20CCF"/>
    <w:rsid w:val="00D247F4"/>
    <w:rsid w:val="00D76125"/>
    <w:rsid w:val="00DA52EF"/>
    <w:rsid w:val="00DB7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05BC0B-6D2B-4BCF-81AA-A8996F25B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D247F4"/>
    <w:pPr>
      <w:keepNext/>
      <w:keepLines/>
      <w:spacing w:before="40" w:after="0" w:line="240"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47F4"/>
    <w:rPr>
      <w:rFonts w:asciiTheme="majorHAnsi" w:eastAsiaTheme="majorEastAsia" w:hAnsiTheme="majorHAnsi" w:cstheme="majorBidi"/>
      <w:color w:val="1F4D78" w:themeColor="accent1" w:themeShade="7F"/>
      <w:sz w:val="24"/>
      <w:szCs w:val="24"/>
    </w:rPr>
  </w:style>
  <w:style w:type="paragraph" w:styleId="Caption">
    <w:name w:val="caption"/>
    <w:basedOn w:val="Normal"/>
    <w:next w:val="Normal"/>
    <w:link w:val="CaptionChar"/>
    <w:uiPriority w:val="35"/>
    <w:unhideWhenUsed/>
    <w:qFormat/>
    <w:rsid w:val="00D247F4"/>
    <w:pPr>
      <w:spacing w:after="200" w:line="240" w:lineRule="auto"/>
    </w:pPr>
    <w:rPr>
      <w:rFonts w:eastAsiaTheme="minorEastAsia"/>
      <w:i/>
      <w:iCs/>
      <w:color w:val="44546A" w:themeColor="text2"/>
      <w:sz w:val="18"/>
      <w:szCs w:val="18"/>
    </w:rPr>
  </w:style>
  <w:style w:type="table" w:styleId="TableGrid">
    <w:name w:val="Table Grid"/>
    <w:basedOn w:val="TableNormal"/>
    <w:uiPriority w:val="39"/>
    <w:rsid w:val="00D247F4"/>
    <w:pPr>
      <w:spacing w:after="0" w:line="240" w:lineRule="auto"/>
    </w:pPr>
    <w:rPr>
      <w:rFonts w:eastAsia="SimSu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47F4"/>
    <w:pPr>
      <w:spacing w:after="0" w:line="240" w:lineRule="auto"/>
      <w:ind w:left="720"/>
      <w:contextualSpacing/>
    </w:pPr>
    <w:rPr>
      <w:kern w:val="2"/>
      <w:sz w:val="24"/>
      <w:szCs w:val="24"/>
      <w14:ligatures w14:val="standardContextual"/>
    </w:rPr>
  </w:style>
  <w:style w:type="character" w:customStyle="1" w:styleId="CaptionChar">
    <w:name w:val="Caption Char"/>
    <w:basedOn w:val="DefaultParagraphFont"/>
    <w:link w:val="Caption"/>
    <w:uiPriority w:val="35"/>
    <w:rsid w:val="00D247F4"/>
    <w:rPr>
      <w:rFonts w:eastAsiaTheme="minorEastAsia"/>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799</Words>
  <Characters>4560</Characters>
  <Application>Microsoft Office Word</Application>
  <DocSecurity>0</DocSecurity>
  <Lines>38</Lines>
  <Paragraphs>10</Paragraphs>
  <ScaleCrop>false</ScaleCrop>
  <Company/>
  <LinksUpToDate>false</LinksUpToDate>
  <CharactersWithSpaces>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Aruna</dc:creator>
  <cp:keywords/>
  <dc:description/>
  <cp:lastModifiedBy>S Aruna</cp:lastModifiedBy>
  <cp:revision>1</cp:revision>
  <dcterms:created xsi:type="dcterms:W3CDTF">2024-06-26T05:28:00Z</dcterms:created>
  <dcterms:modified xsi:type="dcterms:W3CDTF">2024-06-26T05:29:00Z</dcterms:modified>
</cp:coreProperties>
</file>