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BE2F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MATERIAL</w:t>
      </w:r>
    </w:p>
    <w:p w14:paraId="78359E42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ascii="Times New Roman" w:hAnsi="Times New Roman" w:cs="Times New Roman"/>
        </w:rPr>
        <w:t>Table S1. Pairwise comparisons for skill assessment metrics</w:t>
      </w:r>
      <w:r>
        <w:rPr>
          <w:rFonts w:hint="default" w:ascii="Times New Roman" w:hAnsi="Times New Roman" w:cs="Times New Roman"/>
          <w:lang w:val="en-US"/>
        </w:rPr>
        <w:t xml:space="preserve"> among three groups: Expert (E), Intermediate (I), and Novice (N). Each table cell shows data in the format:</w:t>
      </w:r>
      <w:r>
        <w:rPr>
          <w:rFonts w:ascii="Times New Roman" w:hAnsi="Times New Roman" w:cs="Times New Roman"/>
        </w:rPr>
        <w:t xml:space="preserve"> mean difference (standard error, p-value). T</w:t>
      </w:r>
      <w:r>
        <w:rPr>
          <w:rFonts w:hint="default" w:ascii="Times New Roman" w:hAnsi="Times New Roman" w:cs="Times New Roman"/>
          <w:lang w:val="en-US"/>
        </w:rPr>
        <w:t xml:space="preserve">able </w:t>
      </w:r>
      <w:r>
        <w:rPr>
          <w:rFonts w:ascii="Times New Roman" w:hAnsi="Times New Roman" w:cs="Times New Roman"/>
        </w:rPr>
        <w:t>cell</w:t>
      </w:r>
      <w:r>
        <w:rPr>
          <w:rFonts w:hint="default"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</w:rPr>
        <w:t xml:space="preserve"> with</w:t>
      </w:r>
      <w:r>
        <w:rPr>
          <w:rFonts w:ascii="Times New Roman" w:hAnsi="Times New Roman" w:cs="Times New Roman" w:eastAsiaTheme="minorEastAsia"/>
          <w:lang w:eastAsia="zh-CN"/>
        </w:rPr>
        <w:t xml:space="preserve"> p&lt;0.05 is highlighted in bold</w:t>
      </w:r>
      <w:r>
        <w:rPr>
          <w:rFonts w:hint="default" w:ascii="Times New Roman" w:hAnsi="Times New Roman" w:cs="Times New Roman" w:eastAsiaTheme="minorEastAsia"/>
          <w:lang w:val="en-US" w:eastAsia="zh-CN"/>
        </w:rPr>
        <w:t>. The table shows results at surface and depth conditions</w:t>
      </w:r>
    </w:p>
    <w:tbl>
      <w:tblPr>
        <w:tblStyle w:val="3"/>
        <w:tblW w:w="107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1532"/>
        <w:gridCol w:w="1440"/>
        <w:gridCol w:w="1440"/>
        <w:gridCol w:w="1415"/>
        <w:gridCol w:w="1415"/>
        <w:gridCol w:w="1415"/>
      </w:tblGrid>
      <w:tr w14:paraId="4263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975" w:type="dxa"/>
            <w:vAlign w:val="center"/>
          </w:tcPr>
          <w:p w14:paraId="357B10F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8" w:type="dxa"/>
            <w:vAlign w:val="center"/>
          </w:tcPr>
          <w:p w14:paraId="4D46576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vs. I (surface)</w:t>
            </w:r>
          </w:p>
        </w:tc>
        <w:tc>
          <w:tcPr>
            <w:tcW w:w="1453" w:type="dxa"/>
            <w:vAlign w:val="center"/>
          </w:tcPr>
          <w:p w14:paraId="1E93E0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vs. N (surface)</w:t>
            </w:r>
          </w:p>
        </w:tc>
        <w:tc>
          <w:tcPr>
            <w:tcW w:w="1453" w:type="dxa"/>
            <w:tcBorders>
              <w:right w:val="double" w:color="auto" w:sz="4" w:space="0"/>
            </w:tcBorders>
            <w:vAlign w:val="center"/>
          </w:tcPr>
          <w:p w14:paraId="2A15F0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vs. N (surface)</w:t>
            </w:r>
          </w:p>
        </w:tc>
        <w:tc>
          <w:tcPr>
            <w:tcW w:w="1431" w:type="dxa"/>
            <w:tcBorders>
              <w:left w:val="double" w:color="auto" w:sz="4" w:space="0"/>
            </w:tcBorders>
            <w:vAlign w:val="center"/>
          </w:tcPr>
          <w:p w14:paraId="26AE66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vs. I (depth)</w:t>
            </w:r>
          </w:p>
        </w:tc>
        <w:tc>
          <w:tcPr>
            <w:tcW w:w="1431" w:type="dxa"/>
            <w:vAlign w:val="center"/>
          </w:tcPr>
          <w:p w14:paraId="0B96468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 vs. N (depth)</w:t>
            </w:r>
          </w:p>
        </w:tc>
        <w:tc>
          <w:tcPr>
            <w:tcW w:w="1431" w:type="dxa"/>
            <w:vAlign w:val="center"/>
          </w:tcPr>
          <w:p w14:paraId="1F1D4EC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vs. N (depth)</w:t>
            </w:r>
          </w:p>
        </w:tc>
      </w:tr>
      <w:tr w14:paraId="41DB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97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AE1AACF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TipPathLen</w:t>
            </w:r>
          </w:p>
        </w:tc>
        <w:tc>
          <w:tcPr>
            <w:tcW w:w="154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2D1B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NimbusRomNo9L-Regu" w:cs="Times New Roman"/>
                <w:sz w:val="16"/>
                <w:szCs w:val="16"/>
                <w:lang w:eastAsia="zh-CN"/>
                <w14:ligatures w14:val="standardContextual"/>
              </w:rPr>
              <w:t>0.72(0.86, 0.4)</w:t>
            </w:r>
          </w:p>
        </w:tc>
        <w:tc>
          <w:tcPr>
            <w:tcW w:w="145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3A5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-14.4(2.07, &lt;0.01)</w:t>
            </w:r>
          </w:p>
        </w:tc>
        <w:tc>
          <w:tcPr>
            <w:tcW w:w="1453" w:type="dxa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96B1C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-15.2(2.08, &lt;0.01)</w:t>
            </w:r>
          </w:p>
        </w:tc>
        <w:tc>
          <w:tcPr>
            <w:tcW w:w="1431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23E7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0.93(1.75, 0.6)</w:t>
            </w:r>
          </w:p>
        </w:tc>
        <w:tc>
          <w:tcPr>
            <w:tcW w:w="14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3F3F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-32(3.49, &lt;0.01)</w:t>
            </w:r>
          </w:p>
        </w:tc>
        <w:tc>
          <w:tcPr>
            <w:tcW w:w="143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603FB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-32.9(3.43, &lt;0.01)</w:t>
            </w:r>
          </w:p>
        </w:tc>
      </w:tr>
      <w:tr w14:paraId="03260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7999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SweptArea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789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NimbusRomNo9L-Regu" w:cs="Times New Roman"/>
                <w:sz w:val="16"/>
                <w:szCs w:val="16"/>
                <w:lang w:eastAsia="zh-CN"/>
                <w14:ligatures w14:val="standardContextual"/>
              </w:rPr>
              <w:t>-1.23(1.06, 0.24)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B3C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-21.2(1.58,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D3460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-20(1.64,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935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-6.44(1.47,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789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-36.1(2.07,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B7719C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-29.7(2.11, &lt;0.01)</w:t>
            </w:r>
          </w:p>
        </w:tc>
      </w:tr>
      <w:tr w14:paraId="43D53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F11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SwayLen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9885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-0.04(0.04, 0.26)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FFF2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-0.58(0.05,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3DCE9B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-0.54(0.05,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DEA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-0.26(0.05,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ED66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-0.86(0.06,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744574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-0.6(0.06, &lt;0.01)</w:t>
            </w:r>
          </w:p>
        </w:tc>
      </w:tr>
      <w:tr w14:paraId="0AF4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9BCE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StitchLen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1887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-0.38(0.12,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C47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-1.44(0.13,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826453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-1.06(0.13,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902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-0.59(0.12,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8DB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-1.64(0.13,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D73B5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-1.05(0.13, &lt;0.01)</w:t>
            </w:r>
          </w:p>
        </w:tc>
      </w:tr>
      <w:tr w14:paraId="6E31A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53D9E">
            <w:pPr>
              <w:spacing w:after="0"/>
              <w:jc w:val="center"/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Range(NAngle)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9A4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-0.44(1.28, 0.73)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79A2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-16(1.56,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B81050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-15.6(1.56,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A04D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-5.49(1.71,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81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-27(2.01,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EC317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-21.5(1.99, &lt;0.01)</w:t>
            </w:r>
          </w:p>
        </w:tc>
      </w:tr>
      <w:tr w14:paraId="5761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E154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AVG(NAngle)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334F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-0.23(0.31, 0.45)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397F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-3.86(0.36,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44A8E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-3.63(0.37,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939A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-3.11(0.46,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EF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-6.13(0.5,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C52D2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-3.02(0.53, &lt;0.01)</w:t>
            </w:r>
          </w:p>
        </w:tc>
      </w:tr>
      <w:tr w14:paraId="5B17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8E4CB">
            <w:pPr>
              <w:spacing w:after="0"/>
              <w:jc w:val="center"/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Range(TipOrth)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E2D4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0.05(0.09, 0.54)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C5F2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-1.41(0.12,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70B2A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-1.46(0.12,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C30B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-0.6(0.14,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6439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-2.77(0.17,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3C15A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-2.17(0.17, &lt;0.01)</w:t>
            </w:r>
          </w:p>
        </w:tc>
      </w:tr>
      <w:tr w14:paraId="41173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975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2E3D1E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RemovalTime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F9583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-0.29(0.11,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B973F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-1.63(0.14, &lt;0.01)</w:t>
            </w:r>
          </w:p>
        </w:tc>
        <w:tc>
          <w:tcPr>
            <w:tcW w:w="1453" w:type="dxa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25A2C9F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-1.33(0.14, &lt;0.01)</w:t>
            </w:r>
          </w:p>
        </w:tc>
        <w:tc>
          <w:tcPr>
            <w:tcW w:w="1431" w:type="dxa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712AA62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-0.38(0.11,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35F4F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-1.86(0.16, &lt;0.01)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D02D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-1.48(0.17, &lt;0.01)</w:t>
            </w:r>
          </w:p>
        </w:tc>
      </w:tr>
    </w:tbl>
    <w:p w14:paraId="46A4A5D7">
      <w:pPr>
        <w:rPr>
          <w:rFonts w:ascii="Times New Roman" w:hAnsi="Times New Roman" w:cs="Times New Roman"/>
        </w:rPr>
      </w:pPr>
    </w:p>
    <w:p w14:paraId="14407744"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 xml:space="preserve">Table S2. Suture classifier: Area under curve (AUC) for </w:t>
      </w:r>
      <w:r>
        <w:rPr>
          <w:rFonts w:ascii="Times New Roman" w:hAnsi="Times New Roman" w:cs="Times New Roman"/>
        </w:rPr>
        <w:t>skill assessment metrics</w:t>
      </w:r>
      <w:r>
        <w:rPr>
          <w:rFonts w:hint="default" w:ascii="Times New Roman" w:hAnsi="Times New Roman" w:cs="Times New Roman"/>
          <w:lang w:val="en-US"/>
        </w:rPr>
        <w:t xml:space="preserve"> among three groups: Expert (E), Intermediate (I), and Novice (N). The largest value in each column is highlighted in bold. The table only shows results at depth condition </w:t>
      </w:r>
    </w:p>
    <w:tbl>
      <w:tblPr>
        <w:tblStyle w:val="3"/>
        <w:tblpPr w:leftFromText="180" w:rightFromText="180" w:vertAnchor="text" w:horzAnchor="page" w:tblpX="725" w:tblpY="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1558"/>
        <w:gridCol w:w="1442"/>
        <w:gridCol w:w="1414"/>
      </w:tblGrid>
      <w:tr w14:paraId="2DAE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</w:trPr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507CB267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</w:p>
        </w:tc>
        <w:tc>
          <w:tcPr>
            <w:tcW w:w="1558" w:type="dxa"/>
            <w:tcBorders>
              <w:bottom w:val="single" w:color="auto" w:sz="4" w:space="0"/>
            </w:tcBorders>
            <w:vAlign w:val="center"/>
          </w:tcPr>
          <w:p w14:paraId="46BDC0BF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E vs. I</w:t>
            </w:r>
          </w:p>
          <w:p w14:paraId="0E65EE2B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(depth)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vAlign w:val="center"/>
          </w:tcPr>
          <w:p w14:paraId="773842DB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E vs. N</w:t>
            </w:r>
          </w:p>
          <w:p w14:paraId="0E50FEAB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(depth)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 w14:paraId="7135F2A9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I vs. N</w:t>
            </w:r>
          </w:p>
          <w:p w14:paraId="4EC67190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(depth)</w:t>
            </w:r>
          </w:p>
        </w:tc>
      </w:tr>
      <w:tr w14:paraId="5714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F9D5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TipPathLen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F771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0.501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53F3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0.69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BA96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0.698</w:t>
            </w:r>
          </w:p>
        </w:tc>
      </w:tr>
      <w:tr w14:paraId="34C44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EB1BD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SweptArea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DCB6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0.581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B347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  <w:t>0.76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870B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  <w:t>0.704</w:t>
            </w:r>
          </w:p>
        </w:tc>
      </w:tr>
      <w:tr w14:paraId="30CD6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C335D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SwayLen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CC4F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0.561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272C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0.707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83ED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0.655</w:t>
            </w:r>
          </w:p>
        </w:tc>
      </w:tr>
      <w:tr w14:paraId="5AFE5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DD301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StitchLen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053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0.565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37FC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0.684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2F27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0.639</w:t>
            </w:r>
          </w:p>
        </w:tc>
      </w:tr>
      <w:tr w14:paraId="65D31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1E1AF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Range(NAngle)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B3B2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0.566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DD9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0.696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3B45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0.649</w:t>
            </w:r>
          </w:p>
        </w:tc>
      </w:tr>
      <w:tr w14:paraId="6861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E5448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AVG(NAngle)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527C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  <w:t>0.599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00DD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0.668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8AE3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0.58</w:t>
            </w:r>
          </w:p>
        </w:tc>
      </w:tr>
      <w:tr w14:paraId="53CFB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5B689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Range(TipOrth)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75E2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0.544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E6CC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0.718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8F58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0.688</w:t>
            </w:r>
          </w:p>
        </w:tc>
      </w:tr>
      <w:tr w14:paraId="5B98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97DF8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RemovalTime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1013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0.527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3D51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0.67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08C5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0.643</w:t>
            </w:r>
          </w:p>
        </w:tc>
      </w:tr>
    </w:tbl>
    <w:p w14:paraId="25945D20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4373ACD0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541CC519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292525BF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03852A74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470D32FF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71B32E40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56C26465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264346AA">
      <w:pPr>
        <w:jc w:val="left"/>
        <w:rPr>
          <w:rFonts w:hint="eastAsia" w:ascii="Times New Roman" w:hAnsi="Times New Roman" w:cs="Times New Roman"/>
          <w:lang w:val="en-US" w:eastAsia="zh-CN"/>
        </w:rPr>
      </w:pPr>
    </w:p>
    <w:p w14:paraId="2392DF20">
      <w:pPr>
        <w:jc w:val="left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Table S3. Trial classifier: </w:t>
      </w:r>
      <w:r>
        <w:rPr>
          <w:rFonts w:hint="default" w:ascii="Times New Roman" w:hAnsi="Times New Roman" w:cs="Times New Roman"/>
          <w:lang w:val="en-US"/>
        </w:rPr>
        <w:t>Area under curve</w:t>
      </w:r>
      <w:r>
        <w:rPr>
          <w:rFonts w:hint="default" w:ascii="Times New Roman" w:hAnsi="Times New Roman" w:cs="Times New Roman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lang w:val="en-US"/>
        </w:rPr>
        <w:t>AUC)</w:t>
      </w:r>
      <w:bookmarkStart w:id="0" w:name="_GoBack"/>
      <w:bookmarkEnd w:id="0"/>
      <w:r>
        <w:rPr>
          <w:rFonts w:hint="default" w:ascii="Times New Roman" w:hAnsi="Times New Roman" w:cs="Times New Roman"/>
          <w:lang w:val="en-US"/>
        </w:rPr>
        <w:t xml:space="preserve"> for </w:t>
      </w:r>
      <w:r>
        <w:rPr>
          <w:rFonts w:ascii="Times New Roman" w:hAnsi="Times New Roman" w:cs="Times New Roman"/>
        </w:rPr>
        <w:t>skill assessment metrics</w:t>
      </w:r>
      <w:r>
        <w:rPr>
          <w:rFonts w:hint="default" w:ascii="Times New Roman" w:hAnsi="Times New Roman" w:cs="Times New Roman"/>
          <w:lang w:val="en-US"/>
        </w:rPr>
        <w:t xml:space="preserve"> among three groups: Expert (E), Intermediate (I), and Novice (N). The largest value in each column is highlighted in bold. The table only shows results at depth condition </w:t>
      </w:r>
    </w:p>
    <w:tbl>
      <w:tblPr>
        <w:tblStyle w:val="3"/>
        <w:tblpPr w:leftFromText="180" w:rightFromText="180" w:vertAnchor="text" w:horzAnchor="page" w:tblpX="724" w:tblpY="1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1558"/>
        <w:gridCol w:w="1442"/>
        <w:gridCol w:w="1414"/>
      </w:tblGrid>
      <w:tr w14:paraId="3D6E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exact"/>
        </w:trPr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6F9A59F4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</w:p>
        </w:tc>
        <w:tc>
          <w:tcPr>
            <w:tcW w:w="1558" w:type="dxa"/>
            <w:tcBorders>
              <w:bottom w:val="single" w:color="auto" w:sz="4" w:space="0"/>
            </w:tcBorders>
            <w:vAlign w:val="center"/>
          </w:tcPr>
          <w:p w14:paraId="2AA44AF8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E vs. I</w:t>
            </w:r>
          </w:p>
          <w:p w14:paraId="3AE5668F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(depth)</w:t>
            </w:r>
          </w:p>
        </w:tc>
        <w:tc>
          <w:tcPr>
            <w:tcW w:w="1442" w:type="dxa"/>
            <w:tcBorders>
              <w:bottom w:val="single" w:color="auto" w:sz="4" w:space="0"/>
            </w:tcBorders>
            <w:vAlign w:val="center"/>
          </w:tcPr>
          <w:p w14:paraId="5F3DBF36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E vs. N</w:t>
            </w:r>
          </w:p>
          <w:p w14:paraId="4F5C1A53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(depth)</w:t>
            </w:r>
          </w:p>
        </w:tc>
        <w:tc>
          <w:tcPr>
            <w:tcW w:w="1414" w:type="dxa"/>
            <w:tcBorders>
              <w:bottom w:val="single" w:color="auto" w:sz="4" w:space="0"/>
            </w:tcBorders>
            <w:vAlign w:val="center"/>
          </w:tcPr>
          <w:p w14:paraId="215F0D8C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I vs. N</w:t>
            </w:r>
          </w:p>
          <w:p w14:paraId="615DEDC2">
            <w:pPr>
              <w:spacing w:after="0"/>
              <w:jc w:val="center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(depth)</w:t>
            </w:r>
          </w:p>
        </w:tc>
      </w:tr>
      <w:tr w14:paraId="60357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CC3C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TipPathLen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C65F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0.482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CA4C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0.806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24E5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  <w:t>0.838</w:t>
            </w:r>
          </w:p>
        </w:tc>
      </w:tr>
      <w:tr w14:paraId="5BEA5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75523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SweptArea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D6E5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0.609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8410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  <w:t>0.863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5684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0.783</w:t>
            </w:r>
          </w:p>
        </w:tc>
      </w:tr>
      <w:tr w14:paraId="05D97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E58A5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SwayLen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37AD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0.632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14E7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0.811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2ABF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0.725</w:t>
            </w:r>
          </w:p>
        </w:tc>
      </w:tr>
      <w:tr w14:paraId="020A5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13E85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StitchLen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0009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0.595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DA72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0.755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8310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0.703</w:t>
            </w:r>
          </w:p>
        </w:tc>
      </w:tr>
      <w:tr w14:paraId="61B28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355F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Range(NAngle)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8C76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0.615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C743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0.782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F673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0.72</w:t>
            </w:r>
          </w:p>
        </w:tc>
      </w:tr>
      <w:tr w14:paraId="2519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C40D7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AVG(NAngle)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6947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/>
              </w:rPr>
              <w:t>0.657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F118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0.731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F3FB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0.615</w:t>
            </w:r>
          </w:p>
        </w:tc>
      </w:tr>
      <w:tr w14:paraId="69EC6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DFC9A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Range(TipOrth)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E2C9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0.604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107A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0.836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FEEC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0.777</w:t>
            </w:r>
          </w:p>
        </w:tc>
      </w:tr>
      <w:tr w14:paraId="69216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2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FD6C5">
            <w:pPr>
              <w:spacing w:after="0"/>
              <w:jc w:val="center"/>
              <w:rPr>
                <w:rFonts w:hint="default" w:ascii="Courier New" w:hAnsi="Courier New" w:eastAsia="NimbusMonL-Regu-Extend_850" w:cs="Courier New"/>
                <w:lang w:val="en-US" w:eastAsia="zh-CN"/>
                <w14:ligatures w14:val="standardContextual"/>
              </w:rPr>
            </w:pPr>
            <w:r>
              <w:rPr>
                <w:rFonts w:ascii="Courier New" w:hAnsi="Courier New" w:eastAsia="NimbusMonL-Regu-Extend_850" w:cs="Courier New"/>
                <w:lang w:eastAsia="zh-CN"/>
                <w14:ligatures w14:val="standardContextual"/>
              </w:rPr>
              <w:t>RemovalTime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2FC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0.547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CDF6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0.709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FBA6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0.652</w:t>
            </w:r>
          </w:p>
        </w:tc>
      </w:tr>
    </w:tbl>
    <w:p w14:paraId="1BB803C4">
      <w:pPr>
        <w:spacing w:after="0" w:line="240" w:lineRule="auto"/>
        <w:jc w:val="left"/>
        <w:rPr>
          <w:rFonts w:hint="default" w:ascii="Times New Roman" w:hAnsi="Times New Roman" w:cs="Times New Roman"/>
          <w:lang w:val="en-US" w:eastAsia="zh-CN"/>
        </w:rPr>
      </w:pPr>
    </w:p>
    <w:sectPr>
      <w:pgSz w:w="12240" w:h="15840"/>
      <w:pgMar w:top="720" w:right="720" w:bottom="720" w:left="72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imbusMonL-Regu-Extend_850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NimbusRomNo9L-Regu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MR1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I1MrEwMTAyNjI0NLdQ0lEKTi0uzszPAykwrgUALh9QOCwAAAA="/>
  </w:docVars>
  <w:rsids>
    <w:rsidRoot w:val="00B34889"/>
    <w:rsid w:val="00356478"/>
    <w:rsid w:val="005D6872"/>
    <w:rsid w:val="006213EA"/>
    <w:rsid w:val="00686506"/>
    <w:rsid w:val="006E5256"/>
    <w:rsid w:val="00902B65"/>
    <w:rsid w:val="00B34889"/>
    <w:rsid w:val="00BB7609"/>
    <w:rsid w:val="00CD5309"/>
    <w:rsid w:val="00F60BEC"/>
    <w:rsid w:val="00F72ED4"/>
    <w:rsid w:val="11C47E98"/>
    <w:rsid w:val="263128BE"/>
    <w:rsid w:val="4B8116A8"/>
    <w:rsid w:val="51F20E45"/>
    <w:rsid w:val="5A350E92"/>
    <w:rsid w:val="5E1E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1778</Characters>
  <Lines>8</Lines>
  <Paragraphs>2</Paragraphs>
  <TotalTime>6</TotalTime>
  <ScaleCrop>false</ScaleCrop>
  <LinksUpToDate>false</LinksUpToDate>
  <CharactersWithSpaces>1915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2024-02-16T02:40:00Z</dcterms:created>
  <dc:creator>Jianxin Gao</dc:creator>
  <cp:lastModifiedBy>阿新</cp:lastModifiedBy>
  <dcterms:modified xsi:type="dcterms:W3CDTF">2026-08-02T16:44:08Z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eyJoZGlkIjoiMWU3OTllYjM2NTk5M2NhN2FjYmI3YmU2MmQxMzNmNzkiLCJ1c2VySWQiOiIyNzYyNjg1NDMifQ==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96BE6A66CE3E4B569BFD866909F4F664_12</vt:lpwstr>
  </property>
</Properties>
</file>