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B1FA2" w14:textId="77777777" w:rsidR="0023079D" w:rsidRPr="003A52ED" w:rsidRDefault="00000000">
      <w:pPr>
        <w:spacing w:after="80"/>
        <w:jc w:val="center"/>
        <w:rPr>
          <w:rFonts w:ascii="Times New Roman" w:hAnsi="Times New Roman" w:cs="Times New Roman"/>
        </w:rPr>
      </w:pPr>
      <w:r w:rsidRPr="003A52ED">
        <w:rPr>
          <w:rFonts w:ascii="Times New Roman" w:hAnsi="Times New Roman" w:cs="Times New Roman"/>
          <w:b/>
          <w:bCs/>
          <w:color w:val="1F3864"/>
          <w:sz w:val="32"/>
          <w:szCs w:val="32"/>
        </w:rPr>
        <w:t>Appendix 4. Theme Development Table</w:t>
      </w:r>
    </w:p>
    <w:p w14:paraId="67F943D8" w14:textId="77777777" w:rsidR="0023079D" w:rsidRPr="003A52ED" w:rsidRDefault="00000000">
      <w:pPr>
        <w:spacing w:after="240"/>
        <w:jc w:val="center"/>
        <w:rPr>
          <w:rFonts w:ascii="Times New Roman" w:hAnsi="Times New Roman" w:cs="Times New Roman"/>
        </w:rPr>
      </w:pPr>
      <w:r w:rsidRPr="003A52ED">
        <w:rPr>
          <w:rFonts w:ascii="Times New Roman" w:hAnsi="Times New Roman" w:cs="Times New Roman"/>
          <w:i/>
          <w:iCs/>
          <w:sz w:val="24"/>
          <w:szCs w:val="24"/>
        </w:rPr>
        <w:t>Standard Setting in the Era of Workplace-Based Assessment: A Pilot Exploration</w:t>
      </w:r>
    </w:p>
    <w:p w14:paraId="45FC28A1" w14:textId="7DDDECA2" w:rsidR="0023079D" w:rsidRPr="003A52ED" w:rsidRDefault="00000000" w:rsidP="003A52ED">
      <w:pPr>
        <w:spacing w:after="160" w:line="320" w:lineRule="auto"/>
        <w:rPr>
          <w:rFonts w:ascii="Times New Roman" w:hAnsi="Times New Roman" w:cs="Times New Roman"/>
        </w:rPr>
      </w:pPr>
      <w:r w:rsidRPr="003A52ED">
        <w:rPr>
          <w:rFonts w:ascii="Times New Roman" w:hAnsi="Times New Roman" w:cs="Times New Roman"/>
        </w:rPr>
        <w:t xml:space="preserve">The table below organizes the qualitative analysis into a three-level structure: overarching Theme, Method or Category (for Theme 1, which is organized by standard-setting method; for Theme 2, this column is not applicable and is marked with a dash), and specific Subtheme (representing a discrete finding within that grouping). For each subtheme, the table lists the codes from the NVivo codebook that constitute that subtheme and illustrative de-identified excerpts from the panel transcript. </w:t>
      </w:r>
    </w:p>
    <w:tbl>
      <w:tblPr>
        <w:tblStyle w:val="a"/>
        <w:tblW w:w="134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0"/>
        <w:gridCol w:w="1700"/>
        <w:gridCol w:w="2400"/>
        <w:gridCol w:w="3600"/>
        <w:gridCol w:w="3800"/>
      </w:tblGrid>
      <w:tr w:rsidR="0023079D" w:rsidRPr="003A52ED" w14:paraId="0F7FC931" w14:textId="77777777">
        <w:trPr>
          <w:tblHeader/>
        </w:trPr>
        <w:tc>
          <w:tcPr>
            <w:tcW w:w="1900" w:type="dxa"/>
            <w:tcBorders>
              <w:top w:val="single" w:sz="6" w:space="0" w:color="999999"/>
              <w:left w:val="single" w:sz="6" w:space="0" w:color="999999"/>
              <w:bottom w:val="single" w:sz="6" w:space="0" w:color="999999"/>
              <w:right w:val="single" w:sz="6" w:space="0" w:color="999999"/>
            </w:tcBorders>
            <w:shd w:val="clear" w:color="auto" w:fill="1F3864"/>
            <w:tcMar>
              <w:top w:w="100" w:type="dxa"/>
              <w:left w:w="140" w:type="dxa"/>
              <w:bottom w:w="100" w:type="dxa"/>
              <w:right w:w="140" w:type="dxa"/>
            </w:tcMar>
          </w:tcPr>
          <w:p w14:paraId="75AF92E2" w14:textId="77777777" w:rsidR="0023079D" w:rsidRPr="003A52ED" w:rsidRDefault="00000000">
            <w:pPr>
              <w:rPr>
                <w:rFonts w:ascii="Times New Roman" w:hAnsi="Times New Roman" w:cs="Times New Roman"/>
              </w:rPr>
            </w:pPr>
            <w:r w:rsidRPr="003A52ED">
              <w:rPr>
                <w:rFonts w:ascii="Times New Roman" w:hAnsi="Times New Roman" w:cs="Times New Roman"/>
                <w:b/>
                <w:bCs/>
                <w:color w:val="FFFFFF"/>
              </w:rPr>
              <w:t>Theme</w:t>
            </w:r>
          </w:p>
        </w:tc>
        <w:tc>
          <w:tcPr>
            <w:tcW w:w="1700" w:type="dxa"/>
            <w:tcBorders>
              <w:top w:val="single" w:sz="6" w:space="0" w:color="999999"/>
              <w:left w:val="single" w:sz="6" w:space="0" w:color="999999"/>
              <w:bottom w:val="single" w:sz="6" w:space="0" w:color="999999"/>
              <w:right w:val="single" w:sz="6" w:space="0" w:color="999999"/>
            </w:tcBorders>
            <w:shd w:val="clear" w:color="auto" w:fill="1F3864"/>
            <w:tcMar>
              <w:top w:w="100" w:type="dxa"/>
              <w:left w:w="140" w:type="dxa"/>
              <w:bottom w:w="100" w:type="dxa"/>
              <w:right w:w="140" w:type="dxa"/>
            </w:tcMar>
          </w:tcPr>
          <w:p w14:paraId="6BA2E59B" w14:textId="77777777" w:rsidR="0023079D" w:rsidRPr="003A52ED" w:rsidRDefault="00000000">
            <w:pPr>
              <w:rPr>
                <w:rFonts w:ascii="Times New Roman" w:hAnsi="Times New Roman" w:cs="Times New Roman"/>
              </w:rPr>
            </w:pPr>
            <w:r w:rsidRPr="003A52ED">
              <w:rPr>
                <w:rFonts w:ascii="Times New Roman" w:hAnsi="Times New Roman" w:cs="Times New Roman"/>
                <w:b/>
                <w:bCs/>
                <w:color w:val="FFFFFF"/>
              </w:rPr>
              <w:t>Method / Category</w:t>
            </w:r>
          </w:p>
        </w:tc>
        <w:tc>
          <w:tcPr>
            <w:tcW w:w="2400" w:type="dxa"/>
            <w:tcBorders>
              <w:top w:val="single" w:sz="6" w:space="0" w:color="999999"/>
              <w:left w:val="single" w:sz="6" w:space="0" w:color="999999"/>
              <w:bottom w:val="single" w:sz="6" w:space="0" w:color="999999"/>
              <w:right w:val="single" w:sz="6" w:space="0" w:color="999999"/>
            </w:tcBorders>
            <w:shd w:val="clear" w:color="auto" w:fill="1F3864"/>
            <w:tcMar>
              <w:top w:w="100" w:type="dxa"/>
              <w:left w:w="140" w:type="dxa"/>
              <w:bottom w:w="100" w:type="dxa"/>
              <w:right w:w="140" w:type="dxa"/>
            </w:tcMar>
          </w:tcPr>
          <w:p w14:paraId="634F4EBD" w14:textId="77777777" w:rsidR="0023079D" w:rsidRPr="003A52ED" w:rsidRDefault="00000000">
            <w:pPr>
              <w:rPr>
                <w:rFonts w:ascii="Times New Roman" w:hAnsi="Times New Roman" w:cs="Times New Roman"/>
              </w:rPr>
            </w:pPr>
            <w:r w:rsidRPr="003A52ED">
              <w:rPr>
                <w:rFonts w:ascii="Times New Roman" w:hAnsi="Times New Roman" w:cs="Times New Roman"/>
                <w:b/>
                <w:bCs/>
                <w:color w:val="FFFFFF"/>
              </w:rPr>
              <w:t>Subtheme (specific finding)</w:t>
            </w:r>
          </w:p>
        </w:tc>
        <w:tc>
          <w:tcPr>
            <w:tcW w:w="3600" w:type="dxa"/>
            <w:tcBorders>
              <w:top w:val="single" w:sz="6" w:space="0" w:color="999999"/>
              <w:left w:val="single" w:sz="6" w:space="0" w:color="999999"/>
              <w:bottom w:val="single" w:sz="6" w:space="0" w:color="999999"/>
              <w:right w:val="single" w:sz="6" w:space="0" w:color="999999"/>
            </w:tcBorders>
            <w:shd w:val="clear" w:color="auto" w:fill="1F3864"/>
            <w:tcMar>
              <w:top w:w="100" w:type="dxa"/>
              <w:left w:w="140" w:type="dxa"/>
              <w:bottom w:w="100" w:type="dxa"/>
              <w:right w:w="140" w:type="dxa"/>
            </w:tcMar>
          </w:tcPr>
          <w:p w14:paraId="748C83FF" w14:textId="77777777" w:rsidR="0023079D" w:rsidRPr="003A52ED" w:rsidRDefault="00000000">
            <w:pPr>
              <w:rPr>
                <w:rFonts w:ascii="Times New Roman" w:hAnsi="Times New Roman" w:cs="Times New Roman"/>
              </w:rPr>
            </w:pPr>
            <w:r w:rsidRPr="003A52ED">
              <w:rPr>
                <w:rFonts w:ascii="Times New Roman" w:hAnsi="Times New Roman" w:cs="Times New Roman"/>
                <w:b/>
                <w:bCs/>
                <w:color w:val="FFFFFF"/>
              </w:rPr>
              <w:t>Illustrative codes (from NVivo codebook)</w:t>
            </w:r>
          </w:p>
        </w:tc>
        <w:tc>
          <w:tcPr>
            <w:tcW w:w="3800" w:type="dxa"/>
            <w:tcBorders>
              <w:top w:val="single" w:sz="6" w:space="0" w:color="999999"/>
              <w:left w:val="single" w:sz="6" w:space="0" w:color="999999"/>
              <w:bottom w:val="single" w:sz="6" w:space="0" w:color="999999"/>
              <w:right w:val="single" w:sz="6" w:space="0" w:color="999999"/>
            </w:tcBorders>
            <w:shd w:val="clear" w:color="auto" w:fill="1F3864"/>
            <w:tcMar>
              <w:top w:w="100" w:type="dxa"/>
              <w:left w:w="140" w:type="dxa"/>
              <w:bottom w:w="100" w:type="dxa"/>
              <w:right w:w="140" w:type="dxa"/>
            </w:tcMar>
          </w:tcPr>
          <w:p w14:paraId="4DB0B796" w14:textId="77777777" w:rsidR="0023079D" w:rsidRPr="003A52ED" w:rsidRDefault="00000000">
            <w:pPr>
              <w:rPr>
                <w:rFonts w:ascii="Times New Roman" w:hAnsi="Times New Roman" w:cs="Times New Roman"/>
              </w:rPr>
            </w:pPr>
            <w:r w:rsidRPr="003A52ED">
              <w:rPr>
                <w:rFonts w:ascii="Times New Roman" w:hAnsi="Times New Roman" w:cs="Times New Roman"/>
                <w:b/>
                <w:bCs/>
                <w:color w:val="FFFFFF"/>
              </w:rPr>
              <w:t>Illustrative de-identified excerpts</w:t>
            </w:r>
          </w:p>
        </w:tc>
      </w:tr>
      <w:tr w:rsidR="0023079D" w:rsidRPr="003A52ED" w14:paraId="7BA08A31" w14:textId="77777777">
        <w:tc>
          <w:tcPr>
            <w:tcW w:w="1900" w:type="dxa"/>
            <w:vMerge w:val="restart"/>
            <w:tcBorders>
              <w:top w:val="single" w:sz="6" w:space="0" w:color="999999"/>
              <w:left w:val="single" w:sz="6" w:space="0" w:color="999999"/>
              <w:bottom w:val="single" w:sz="6" w:space="0" w:color="999999"/>
              <w:right w:val="single" w:sz="6" w:space="0" w:color="999999"/>
            </w:tcBorders>
            <w:shd w:val="clear" w:color="auto" w:fill="D9E2F3"/>
            <w:tcMar>
              <w:top w:w="100" w:type="dxa"/>
              <w:left w:w="140" w:type="dxa"/>
              <w:bottom w:w="100" w:type="dxa"/>
              <w:right w:w="140" w:type="dxa"/>
            </w:tcMar>
          </w:tcPr>
          <w:p w14:paraId="34560C28" w14:textId="77777777" w:rsidR="0023079D" w:rsidRPr="003A52ED" w:rsidRDefault="00000000">
            <w:pPr>
              <w:rPr>
                <w:rFonts w:ascii="Times New Roman" w:hAnsi="Times New Roman" w:cs="Times New Roman"/>
              </w:rPr>
            </w:pPr>
            <w:r w:rsidRPr="003A52ED">
              <w:rPr>
                <w:rFonts w:ascii="Times New Roman" w:hAnsi="Times New Roman" w:cs="Times New Roman"/>
                <w:b/>
                <w:bCs/>
                <w:color w:val="1F3864"/>
              </w:rPr>
              <w:t>Theme 1: Feedback on specific methods</w:t>
            </w:r>
          </w:p>
        </w:tc>
        <w:tc>
          <w:tcPr>
            <w:tcW w:w="1700" w:type="dxa"/>
            <w:vMerge w:val="restart"/>
            <w:tcBorders>
              <w:top w:val="single" w:sz="6" w:space="0" w:color="999999"/>
              <w:left w:val="single" w:sz="6" w:space="0" w:color="999999"/>
              <w:bottom w:val="single" w:sz="6" w:space="0" w:color="999999"/>
              <w:right w:val="single" w:sz="6" w:space="0" w:color="999999"/>
            </w:tcBorders>
            <w:shd w:val="clear" w:color="auto" w:fill="E8EEF7"/>
            <w:tcMar>
              <w:top w:w="100" w:type="dxa"/>
              <w:left w:w="140" w:type="dxa"/>
              <w:bottom w:w="100" w:type="dxa"/>
              <w:right w:w="140" w:type="dxa"/>
            </w:tcMar>
          </w:tcPr>
          <w:p w14:paraId="641D2C93" w14:textId="77777777" w:rsidR="0023079D" w:rsidRPr="003A52ED" w:rsidRDefault="00000000">
            <w:pPr>
              <w:rPr>
                <w:rFonts w:ascii="Times New Roman" w:hAnsi="Times New Roman" w:cs="Times New Roman"/>
              </w:rPr>
            </w:pPr>
            <w:proofErr w:type="spellStart"/>
            <w:r w:rsidRPr="003A52ED">
              <w:rPr>
                <w:rFonts w:ascii="Times New Roman" w:hAnsi="Times New Roman" w:cs="Times New Roman"/>
                <w:b/>
                <w:bCs/>
                <w:color w:val="2E5597"/>
                <w:sz w:val="20"/>
                <w:szCs w:val="20"/>
              </w:rPr>
              <w:t>Angoff</w:t>
            </w:r>
            <w:proofErr w:type="spellEnd"/>
            <w:r w:rsidRPr="003A52ED">
              <w:rPr>
                <w:rFonts w:ascii="Times New Roman" w:hAnsi="Times New Roman" w:cs="Times New Roman"/>
                <w:b/>
                <w:bCs/>
                <w:color w:val="2E5597"/>
                <w:sz w:val="20"/>
                <w:szCs w:val="20"/>
              </w:rPr>
              <w:t xml:space="preserve"> method</w:t>
            </w:r>
          </w:p>
        </w:tc>
        <w:tc>
          <w:tcPr>
            <w:tcW w:w="2400" w:type="dxa"/>
            <w:tcBorders>
              <w:top w:val="single" w:sz="6" w:space="0" w:color="999999"/>
              <w:left w:val="single" w:sz="6" w:space="0" w:color="999999"/>
              <w:bottom w:val="single" w:sz="6" w:space="0" w:color="999999"/>
              <w:right w:val="single" w:sz="6" w:space="0" w:color="999999"/>
            </w:tcBorders>
            <w:shd w:val="clear" w:color="auto" w:fill="F2F2F2"/>
            <w:tcMar>
              <w:top w:w="100" w:type="dxa"/>
              <w:left w:w="140" w:type="dxa"/>
              <w:bottom w:w="100" w:type="dxa"/>
              <w:right w:w="140" w:type="dxa"/>
            </w:tcMar>
          </w:tcPr>
          <w:p w14:paraId="4E43FFA2" w14:textId="77777777" w:rsidR="0023079D" w:rsidRPr="003A52ED" w:rsidRDefault="00000000">
            <w:pPr>
              <w:rPr>
                <w:rFonts w:ascii="Times New Roman" w:hAnsi="Times New Roman" w:cs="Times New Roman"/>
              </w:rPr>
            </w:pPr>
            <w:r w:rsidRPr="003A52ED">
              <w:rPr>
                <w:rFonts w:ascii="Times New Roman" w:hAnsi="Times New Roman" w:cs="Times New Roman"/>
                <w:b/>
                <w:bCs/>
                <w:sz w:val="20"/>
                <w:szCs w:val="20"/>
              </w:rPr>
              <w:t>Over-complicated and high cognitive load</w:t>
            </w:r>
          </w:p>
        </w:tc>
        <w:tc>
          <w:tcPr>
            <w:tcW w:w="36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21B2C9D6"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w:t>
            </w:r>
            <w:proofErr w:type="spellStart"/>
            <w:r w:rsidRPr="003A52ED">
              <w:rPr>
                <w:rFonts w:ascii="Times New Roman" w:hAnsi="Times New Roman" w:cs="Times New Roman"/>
                <w:sz w:val="20"/>
                <w:szCs w:val="20"/>
              </w:rPr>
              <w:t>Angoff</w:t>
            </w:r>
            <w:proofErr w:type="spellEnd"/>
            <w:r w:rsidRPr="003A52ED">
              <w:rPr>
                <w:rFonts w:ascii="Times New Roman" w:hAnsi="Times New Roman" w:cs="Times New Roman"/>
                <w:sz w:val="20"/>
                <w:szCs w:val="20"/>
              </w:rPr>
              <w:t xml:space="preserve"> is challenging in needing to conceptualize MCGT for each procedure</w:t>
            </w:r>
          </w:p>
          <w:p w14:paraId="62F5E45E" w14:textId="2D8D36F6"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Concern about internal consistency (within individual)</w:t>
            </w:r>
          </w:p>
          <w:p w14:paraId="0E46CAE2" w14:textId="6082493E"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Perception that </w:t>
            </w:r>
            <w:proofErr w:type="spellStart"/>
            <w:r w:rsidRPr="003A52ED">
              <w:rPr>
                <w:rFonts w:ascii="Times New Roman" w:hAnsi="Times New Roman" w:cs="Times New Roman"/>
                <w:sz w:val="20"/>
                <w:szCs w:val="20"/>
              </w:rPr>
              <w:t>Angoff</w:t>
            </w:r>
            <w:proofErr w:type="spellEnd"/>
            <w:r w:rsidRPr="003A52ED">
              <w:rPr>
                <w:rFonts w:ascii="Times New Roman" w:hAnsi="Times New Roman" w:cs="Times New Roman"/>
                <w:sz w:val="20"/>
                <w:szCs w:val="20"/>
              </w:rPr>
              <w:t xml:space="preserve"> may have been simpler </w:t>
            </w:r>
            <w:r w:rsidR="002C7125">
              <w:rPr>
                <w:rFonts w:ascii="Times New Roman" w:hAnsi="Times New Roman" w:cs="Times New Roman"/>
                <w:sz w:val="20"/>
                <w:szCs w:val="20"/>
              </w:rPr>
              <w:t>with prior</w:t>
            </w:r>
            <w:r w:rsidRPr="003A52ED">
              <w:rPr>
                <w:rFonts w:ascii="Times New Roman" w:hAnsi="Times New Roman" w:cs="Times New Roman"/>
                <w:sz w:val="20"/>
                <w:szCs w:val="20"/>
              </w:rPr>
              <w:t xml:space="preserve"> concordance on MCGT </w:t>
            </w:r>
          </w:p>
        </w:tc>
        <w:tc>
          <w:tcPr>
            <w:tcW w:w="38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4CE206AF" w14:textId="77777777" w:rsidR="0023079D" w:rsidRPr="003A52ED" w:rsidRDefault="00000000">
            <w:pPr>
              <w:spacing w:after="80"/>
              <w:rPr>
                <w:rFonts w:ascii="Times New Roman" w:hAnsi="Times New Roman" w:cs="Times New Roman"/>
                <w:color w:val="000000" w:themeColor="text1"/>
                <w:sz w:val="20"/>
                <w:szCs w:val="20"/>
              </w:rPr>
            </w:pPr>
            <w:r w:rsidRPr="003A52ED">
              <w:rPr>
                <w:rFonts w:ascii="Times New Roman" w:hAnsi="Times New Roman" w:cs="Times New Roman"/>
                <w:i/>
                <w:iCs/>
                <w:color w:val="000000" w:themeColor="text1"/>
                <w:sz w:val="20"/>
                <w:szCs w:val="20"/>
              </w:rPr>
              <w:t xml:space="preserve">P2: “I think the </w:t>
            </w:r>
            <w:proofErr w:type="spellStart"/>
            <w:r w:rsidRPr="003A52ED">
              <w:rPr>
                <w:rFonts w:ascii="Times New Roman" w:hAnsi="Times New Roman" w:cs="Times New Roman"/>
                <w:i/>
                <w:iCs/>
                <w:color w:val="000000" w:themeColor="text1"/>
                <w:sz w:val="20"/>
                <w:szCs w:val="20"/>
              </w:rPr>
              <w:t>Angoff</w:t>
            </w:r>
            <w:proofErr w:type="spellEnd"/>
            <w:r w:rsidRPr="003A52ED">
              <w:rPr>
                <w:rFonts w:ascii="Times New Roman" w:hAnsi="Times New Roman" w:cs="Times New Roman"/>
                <w:i/>
                <w:iCs/>
                <w:color w:val="000000" w:themeColor="text1"/>
                <w:sz w:val="20"/>
                <w:szCs w:val="20"/>
              </w:rPr>
              <w:t xml:space="preserve"> method might have seemed a bit harder than it really was, just because within that method, we were kind of gaining group concordance on what does it mean to be a minimally competent graduating trainee.”</w:t>
            </w:r>
          </w:p>
          <w:p w14:paraId="16274576" w14:textId="77777777" w:rsidR="0023079D" w:rsidRPr="003A52ED" w:rsidRDefault="00000000">
            <w:pPr>
              <w:rPr>
                <w:rFonts w:ascii="Times New Roman" w:hAnsi="Times New Roman" w:cs="Times New Roman"/>
                <w:color w:val="000000" w:themeColor="text1"/>
                <w:sz w:val="20"/>
                <w:szCs w:val="20"/>
              </w:rPr>
            </w:pPr>
            <w:r w:rsidRPr="003A52ED">
              <w:rPr>
                <w:rFonts w:ascii="Times New Roman" w:hAnsi="Times New Roman" w:cs="Times New Roman"/>
                <w:i/>
                <w:iCs/>
                <w:color w:val="000000" w:themeColor="text1"/>
                <w:sz w:val="20"/>
                <w:szCs w:val="20"/>
              </w:rPr>
              <w:t xml:space="preserve">P9: “I wonder how I would score </w:t>
            </w:r>
            <w:proofErr w:type="gramStart"/>
            <w:r w:rsidRPr="003A52ED">
              <w:rPr>
                <w:rFonts w:ascii="Times New Roman" w:hAnsi="Times New Roman" w:cs="Times New Roman"/>
                <w:i/>
                <w:iCs/>
                <w:color w:val="000000" w:themeColor="text1"/>
                <w:sz w:val="20"/>
                <w:szCs w:val="20"/>
              </w:rPr>
              <w:t>all of</w:t>
            </w:r>
            <w:proofErr w:type="gramEnd"/>
            <w:r w:rsidRPr="003A52ED">
              <w:rPr>
                <w:rFonts w:ascii="Times New Roman" w:hAnsi="Times New Roman" w:cs="Times New Roman"/>
                <w:i/>
                <w:iCs/>
                <w:color w:val="000000" w:themeColor="text1"/>
                <w:sz w:val="20"/>
                <w:szCs w:val="20"/>
              </w:rPr>
              <w:t xml:space="preserve"> those procedures the next time I answer the exact same question. It almost, in a way, depends on how you're thinking of the question at that exact moment that you're answering it”</w:t>
            </w:r>
          </w:p>
        </w:tc>
      </w:tr>
      <w:tr w:rsidR="0023079D" w:rsidRPr="003A52ED" w14:paraId="3851DF34" w14:textId="77777777">
        <w:tc>
          <w:tcPr>
            <w:tcW w:w="1900" w:type="dxa"/>
            <w:vMerge/>
            <w:tcBorders>
              <w:top w:val="single" w:sz="6" w:space="0" w:color="999999"/>
              <w:left w:val="single" w:sz="6" w:space="0" w:color="999999"/>
              <w:bottom w:val="single" w:sz="6" w:space="0" w:color="999999"/>
              <w:right w:val="single" w:sz="6" w:space="0" w:color="999999"/>
            </w:tcBorders>
            <w:shd w:val="clear" w:color="auto" w:fill="D9E2F3"/>
            <w:tcMar>
              <w:top w:w="100" w:type="dxa"/>
              <w:left w:w="140" w:type="dxa"/>
              <w:bottom w:w="100" w:type="dxa"/>
              <w:right w:w="140" w:type="dxa"/>
            </w:tcMar>
          </w:tcPr>
          <w:p w14:paraId="58E28132" w14:textId="77777777" w:rsidR="0023079D" w:rsidRPr="003A52ED" w:rsidRDefault="0023079D">
            <w:pPr>
              <w:widowControl w:val="0"/>
              <w:pBdr>
                <w:top w:val="nil"/>
                <w:left w:val="nil"/>
                <w:bottom w:val="nil"/>
                <w:right w:val="nil"/>
                <w:between w:val="nil"/>
              </w:pBdr>
              <w:spacing w:line="276" w:lineRule="auto"/>
              <w:rPr>
                <w:rFonts w:ascii="Times New Roman" w:hAnsi="Times New Roman" w:cs="Times New Roman"/>
              </w:rPr>
            </w:pPr>
          </w:p>
        </w:tc>
        <w:tc>
          <w:tcPr>
            <w:tcW w:w="1700" w:type="dxa"/>
            <w:vMerge/>
            <w:tcBorders>
              <w:top w:val="single" w:sz="6" w:space="0" w:color="999999"/>
              <w:left w:val="single" w:sz="6" w:space="0" w:color="999999"/>
              <w:bottom w:val="single" w:sz="6" w:space="0" w:color="999999"/>
              <w:right w:val="single" w:sz="6" w:space="0" w:color="999999"/>
            </w:tcBorders>
            <w:shd w:val="clear" w:color="auto" w:fill="E8EEF7"/>
            <w:tcMar>
              <w:top w:w="100" w:type="dxa"/>
              <w:left w:w="140" w:type="dxa"/>
              <w:bottom w:w="100" w:type="dxa"/>
              <w:right w:w="140" w:type="dxa"/>
            </w:tcMar>
          </w:tcPr>
          <w:p w14:paraId="04833DB3" w14:textId="77777777" w:rsidR="0023079D" w:rsidRPr="003A52ED" w:rsidRDefault="0023079D">
            <w:pPr>
              <w:widowControl w:val="0"/>
              <w:pBdr>
                <w:top w:val="nil"/>
                <w:left w:val="nil"/>
                <w:bottom w:val="nil"/>
                <w:right w:val="nil"/>
                <w:between w:val="nil"/>
              </w:pBdr>
              <w:spacing w:line="276" w:lineRule="auto"/>
              <w:rPr>
                <w:rFonts w:ascii="Times New Roman" w:hAnsi="Times New Roman" w:cs="Times New Roman"/>
              </w:rPr>
            </w:pPr>
          </w:p>
        </w:tc>
        <w:tc>
          <w:tcPr>
            <w:tcW w:w="2400" w:type="dxa"/>
            <w:tcBorders>
              <w:top w:val="single" w:sz="6" w:space="0" w:color="999999"/>
              <w:left w:val="single" w:sz="6" w:space="0" w:color="999999"/>
              <w:bottom w:val="single" w:sz="6" w:space="0" w:color="999999"/>
              <w:right w:val="single" w:sz="6" w:space="0" w:color="999999"/>
            </w:tcBorders>
            <w:shd w:val="clear" w:color="auto" w:fill="F2F2F2"/>
            <w:tcMar>
              <w:top w:w="100" w:type="dxa"/>
              <w:left w:w="140" w:type="dxa"/>
              <w:bottom w:w="100" w:type="dxa"/>
              <w:right w:w="140" w:type="dxa"/>
            </w:tcMar>
          </w:tcPr>
          <w:p w14:paraId="39E2AA09" w14:textId="77777777" w:rsidR="0023079D" w:rsidRPr="003A52ED" w:rsidRDefault="00000000">
            <w:pPr>
              <w:rPr>
                <w:rFonts w:ascii="Times New Roman" w:hAnsi="Times New Roman" w:cs="Times New Roman"/>
              </w:rPr>
            </w:pPr>
            <w:r w:rsidRPr="003A52ED">
              <w:rPr>
                <w:rFonts w:ascii="Times New Roman" w:hAnsi="Times New Roman" w:cs="Times New Roman"/>
                <w:b/>
                <w:bCs/>
                <w:sz w:val="20"/>
                <w:szCs w:val="20"/>
              </w:rPr>
              <w:t>Interpretation of results</w:t>
            </w:r>
          </w:p>
        </w:tc>
        <w:tc>
          <w:tcPr>
            <w:tcW w:w="36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47A1E2FA" w14:textId="2B1F292A"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w:t>
            </w:r>
            <w:proofErr w:type="spellStart"/>
            <w:r w:rsidRPr="003A52ED">
              <w:rPr>
                <w:rFonts w:ascii="Times New Roman" w:hAnsi="Times New Roman" w:cs="Times New Roman"/>
                <w:sz w:val="20"/>
                <w:szCs w:val="20"/>
              </w:rPr>
              <w:t>Angoff</w:t>
            </w:r>
            <w:proofErr w:type="spellEnd"/>
            <w:r w:rsidRPr="003A52ED">
              <w:rPr>
                <w:rFonts w:ascii="Times New Roman" w:hAnsi="Times New Roman" w:cs="Times New Roman"/>
                <w:sz w:val="20"/>
                <w:szCs w:val="20"/>
              </w:rPr>
              <w:t xml:space="preserve"> — massive differences in standard deviations </w:t>
            </w:r>
          </w:p>
          <w:p w14:paraId="288D6424" w14:textId="6DB92491"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w:t>
            </w:r>
            <w:proofErr w:type="spellStart"/>
            <w:r w:rsidRPr="003A52ED">
              <w:rPr>
                <w:rFonts w:ascii="Times New Roman" w:hAnsi="Times New Roman" w:cs="Times New Roman"/>
                <w:sz w:val="20"/>
                <w:szCs w:val="20"/>
              </w:rPr>
              <w:t>Angoff</w:t>
            </w:r>
            <w:proofErr w:type="spellEnd"/>
            <w:r w:rsidRPr="003A52ED">
              <w:rPr>
                <w:rFonts w:ascii="Times New Roman" w:hAnsi="Times New Roman" w:cs="Times New Roman"/>
                <w:sz w:val="20"/>
                <w:szCs w:val="20"/>
              </w:rPr>
              <w:t xml:space="preserve"> — smaller SD for procedures with higher score</w:t>
            </w:r>
            <w:r w:rsidR="00566952">
              <w:rPr>
                <w:rFonts w:ascii="Times New Roman" w:hAnsi="Times New Roman" w:cs="Times New Roman"/>
                <w:sz w:val="20"/>
                <w:szCs w:val="20"/>
              </w:rPr>
              <w:t>s</w:t>
            </w:r>
            <w:r w:rsidRPr="003A52ED">
              <w:rPr>
                <w:rFonts w:ascii="Times New Roman" w:hAnsi="Times New Roman" w:cs="Times New Roman"/>
                <w:sz w:val="20"/>
                <w:szCs w:val="20"/>
              </w:rPr>
              <w:t xml:space="preserve"> (easier) vs. lower (harder)</w:t>
            </w:r>
          </w:p>
          <w:p w14:paraId="53479251" w14:textId="4CCBE198"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Reflection that </w:t>
            </w:r>
            <w:proofErr w:type="spellStart"/>
            <w:r w:rsidRPr="003A52ED">
              <w:rPr>
                <w:rFonts w:ascii="Times New Roman" w:hAnsi="Times New Roman" w:cs="Times New Roman"/>
                <w:sz w:val="20"/>
                <w:szCs w:val="20"/>
              </w:rPr>
              <w:t>Angoff</w:t>
            </w:r>
            <w:proofErr w:type="spellEnd"/>
            <w:r w:rsidRPr="003A52ED">
              <w:rPr>
                <w:rFonts w:ascii="Times New Roman" w:hAnsi="Times New Roman" w:cs="Times New Roman"/>
                <w:sz w:val="20"/>
                <w:szCs w:val="20"/>
              </w:rPr>
              <w:t xml:space="preserve"> results seem in alignment with prior studies </w:t>
            </w:r>
            <w:r w:rsidR="002C7125">
              <w:rPr>
                <w:rFonts w:ascii="Times New Roman" w:hAnsi="Times New Roman" w:cs="Times New Roman"/>
                <w:sz w:val="20"/>
                <w:szCs w:val="20"/>
              </w:rPr>
              <w:t>looking at</w:t>
            </w:r>
            <w:r w:rsidRPr="003A52ED">
              <w:rPr>
                <w:rFonts w:ascii="Times New Roman" w:hAnsi="Times New Roman" w:cs="Times New Roman"/>
                <w:sz w:val="20"/>
                <w:szCs w:val="20"/>
              </w:rPr>
              <w:t xml:space="preserve"> SIMPL data</w:t>
            </w:r>
          </w:p>
          <w:p w14:paraId="7BC51413" w14:textId="473EC3D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w:t>
            </w:r>
            <w:proofErr w:type="spellStart"/>
            <w:r w:rsidRPr="003A52ED">
              <w:rPr>
                <w:rFonts w:ascii="Times New Roman" w:hAnsi="Times New Roman" w:cs="Times New Roman"/>
                <w:sz w:val="20"/>
                <w:szCs w:val="20"/>
              </w:rPr>
              <w:t>Angoff</w:t>
            </w:r>
            <w:proofErr w:type="spellEnd"/>
            <w:r w:rsidRPr="003A52ED">
              <w:rPr>
                <w:rFonts w:ascii="Times New Roman" w:hAnsi="Times New Roman" w:cs="Times New Roman"/>
                <w:sz w:val="20"/>
                <w:szCs w:val="20"/>
              </w:rPr>
              <w:t xml:space="preserve"> — observation that results appeared similar to the </w:t>
            </w:r>
            <w:r w:rsidR="00566952">
              <w:rPr>
                <w:rFonts w:ascii="Times New Roman" w:hAnsi="Times New Roman" w:cs="Times New Roman"/>
                <w:sz w:val="20"/>
                <w:szCs w:val="20"/>
              </w:rPr>
              <w:t>c</w:t>
            </w:r>
            <w:r w:rsidRPr="003A52ED">
              <w:rPr>
                <w:rFonts w:ascii="Times New Roman" w:hAnsi="Times New Roman" w:cs="Times New Roman"/>
                <w:sz w:val="20"/>
                <w:szCs w:val="20"/>
              </w:rPr>
              <w:t xml:space="preserve">onstruct </w:t>
            </w:r>
            <w:r w:rsidR="00566952">
              <w:rPr>
                <w:rFonts w:ascii="Times New Roman" w:hAnsi="Times New Roman" w:cs="Times New Roman"/>
                <w:sz w:val="20"/>
                <w:szCs w:val="20"/>
              </w:rPr>
              <w:t>m</w:t>
            </w:r>
            <w:r w:rsidRPr="003A52ED">
              <w:rPr>
                <w:rFonts w:ascii="Times New Roman" w:hAnsi="Times New Roman" w:cs="Times New Roman"/>
                <w:sz w:val="20"/>
                <w:szCs w:val="20"/>
              </w:rPr>
              <w:t>apping figure</w:t>
            </w:r>
          </w:p>
        </w:tc>
        <w:tc>
          <w:tcPr>
            <w:tcW w:w="38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52A01742"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P9: “I also see that the standard deviation for the procedures that we grade with a higher score seems to be smaller than the standard deviation for the procedures we grade with a lower score…  We do so many of them that and they generally are easier, whereas the ones that we do fewer of, and I think we all collectively think they're a little harder, there's going to be a wider difference in how we feel about the likelihood of a trainee being practice ready”</w:t>
            </w:r>
          </w:p>
          <w:p w14:paraId="62A930A4" w14:textId="77777777" w:rsidR="0023079D" w:rsidRPr="003A52ED" w:rsidRDefault="0023079D">
            <w:pPr>
              <w:rPr>
                <w:rFonts w:ascii="Times New Roman" w:hAnsi="Times New Roman" w:cs="Times New Roman"/>
                <w:i/>
                <w:iCs/>
                <w:color w:val="000000" w:themeColor="text1"/>
                <w:sz w:val="20"/>
                <w:szCs w:val="20"/>
              </w:rPr>
            </w:pPr>
          </w:p>
          <w:p w14:paraId="0FBBF27A" w14:textId="0C9889A5"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 xml:space="preserve">P9: “Just also thinking, if I'm remembering those early papers </w:t>
            </w:r>
            <w:r w:rsidR="008F655D" w:rsidRPr="003A52ED">
              <w:rPr>
                <w:rFonts w:ascii="Times New Roman" w:hAnsi="Times New Roman" w:cs="Times New Roman"/>
                <w:i/>
                <w:iCs/>
                <w:color w:val="000000" w:themeColor="text1"/>
                <w:sz w:val="20"/>
                <w:szCs w:val="20"/>
              </w:rPr>
              <w:t>for the</w:t>
            </w:r>
            <w:r w:rsidRPr="003A52ED">
              <w:rPr>
                <w:rFonts w:ascii="Times New Roman" w:hAnsi="Times New Roman" w:cs="Times New Roman"/>
                <w:i/>
                <w:iCs/>
                <w:color w:val="000000" w:themeColor="text1"/>
                <w:sz w:val="20"/>
                <w:szCs w:val="20"/>
              </w:rPr>
              <w:t xml:space="preserve"> original trial, </w:t>
            </w:r>
            <w:r w:rsidRPr="003A52ED">
              <w:rPr>
                <w:rFonts w:ascii="Times New Roman" w:hAnsi="Times New Roman" w:cs="Times New Roman"/>
                <w:i/>
                <w:iCs/>
                <w:color w:val="000000" w:themeColor="text1"/>
                <w:sz w:val="20"/>
                <w:szCs w:val="20"/>
              </w:rPr>
              <w:lastRenderedPageBreak/>
              <w:t xml:space="preserve">you know, roughly in my mind, correlate, or, you know, they seem </w:t>
            </w:r>
            <w:proofErr w:type="gramStart"/>
            <w:r w:rsidRPr="003A52ED">
              <w:rPr>
                <w:rFonts w:ascii="Times New Roman" w:hAnsi="Times New Roman" w:cs="Times New Roman"/>
                <w:i/>
                <w:iCs/>
                <w:color w:val="000000" w:themeColor="text1"/>
                <w:sz w:val="20"/>
                <w:szCs w:val="20"/>
              </w:rPr>
              <w:t>pretty similar</w:t>
            </w:r>
            <w:proofErr w:type="gramEnd"/>
            <w:r w:rsidRPr="003A52ED">
              <w:rPr>
                <w:rFonts w:ascii="Times New Roman" w:hAnsi="Times New Roman" w:cs="Times New Roman"/>
                <w:i/>
                <w:iCs/>
                <w:color w:val="000000" w:themeColor="text1"/>
                <w:sz w:val="20"/>
                <w:szCs w:val="20"/>
              </w:rPr>
              <w:t>. And that was based on the original, you know, several months of data and now it looks like, you know, if these correlate amongst 10 or 11 surgeons. And then it's got the face validity amongst people who are doing this regularly”</w:t>
            </w:r>
          </w:p>
        </w:tc>
      </w:tr>
      <w:tr w:rsidR="0023079D" w:rsidRPr="003A52ED" w14:paraId="09671311" w14:textId="77777777">
        <w:tc>
          <w:tcPr>
            <w:tcW w:w="1900" w:type="dxa"/>
            <w:vMerge/>
            <w:tcBorders>
              <w:top w:val="single" w:sz="6" w:space="0" w:color="999999"/>
              <w:left w:val="single" w:sz="6" w:space="0" w:color="999999"/>
              <w:bottom w:val="single" w:sz="6" w:space="0" w:color="999999"/>
              <w:right w:val="single" w:sz="6" w:space="0" w:color="999999"/>
            </w:tcBorders>
            <w:shd w:val="clear" w:color="auto" w:fill="D9E2F3"/>
            <w:tcMar>
              <w:top w:w="100" w:type="dxa"/>
              <w:left w:w="140" w:type="dxa"/>
              <w:bottom w:w="100" w:type="dxa"/>
              <w:right w:w="140" w:type="dxa"/>
            </w:tcMar>
          </w:tcPr>
          <w:p w14:paraId="37ECA02A" w14:textId="77777777" w:rsidR="0023079D" w:rsidRPr="003A52ED" w:rsidRDefault="0023079D">
            <w:pPr>
              <w:widowControl w:val="0"/>
              <w:pBdr>
                <w:top w:val="nil"/>
                <w:left w:val="nil"/>
                <w:bottom w:val="nil"/>
                <w:right w:val="nil"/>
                <w:between w:val="nil"/>
              </w:pBdr>
              <w:spacing w:line="276" w:lineRule="auto"/>
              <w:rPr>
                <w:rFonts w:ascii="Times New Roman" w:hAnsi="Times New Roman" w:cs="Times New Roman"/>
              </w:rPr>
            </w:pPr>
          </w:p>
        </w:tc>
        <w:tc>
          <w:tcPr>
            <w:tcW w:w="1700" w:type="dxa"/>
            <w:tcBorders>
              <w:top w:val="single" w:sz="6" w:space="0" w:color="999999"/>
              <w:left w:val="single" w:sz="6" w:space="0" w:color="999999"/>
              <w:bottom w:val="single" w:sz="6" w:space="0" w:color="999999"/>
              <w:right w:val="single" w:sz="6" w:space="0" w:color="999999"/>
            </w:tcBorders>
            <w:shd w:val="clear" w:color="auto" w:fill="E8EEF7"/>
            <w:tcMar>
              <w:top w:w="100" w:type="dxa"/>
              <w:left w:w="140" w:type="dxa"/>
              <w:bottom w:w="100" w:type="dxa"/>
              <w:right w:w="140" w:type="dxa"/>
            </w:tcMar>
          </w:tcPr>
          <w:p w14:paraId="0BC92FAC" w14:textId="77777777" w:rsidR="0023079D" w:rsidRPr="003A52ED" w:rsidRDefault="00000000">
            <w:pPr>
              <w:rPr>
                <w:rFonts w:ascii="Times New Roman" w:hAnsi="Times New Roman" w:cs="Times New Roman"/>
              </w:rPr>
            </w:pPr>
            <w:r w:rsidRPr="003A52ED">
              <w:rPr>
                <w:rFonts w:ascii="Times New Roman" w:hAnsi="Times New Roman" w:cs="Times New Roman"/>
                <w:b/>
                <w:bCs/>
                <w:color w:val="2E5597"/>
                <w:sz w:val="20"/>
                <w:szCs w:val="20"/>
              </w:rPr>
              <w:t>Bookmark method</w:t>
            </w:r>
          </w:p>
        </w:tc>
        <w:tc>
          <w:tcPr>
            <w:tcW w:w="2400" w:type="dxa"/>
            <w:tcBorders>
              <w:top w:val="single" w:sz="6" w:space="0" w:color="999999"/>
              <w:left w:val="single" w:sz="6" w:space="0" w:color="999999"/>
              <w:bottom w:val="single" w:sz="6" w:space="0" w:color="999999"/>
              <w:right w:val="single" w:sz="6" w:space="0" w:color="999999"/>
            </w:tcBorders>
            <w:shd w:val="clear" w:color="auto" w:fill="F2F2F2"/>
            <w:tcMar>
              <w:top w:w="100" w:type="dxa"/>
              <w:left w:w="140" w:type="dxa"/>
              <w:bottom w:w="100" w:type="dxa"/>
              <w:right w:w="140" w:type="dxa"/>
            </w:tcMar>
          </w:tcPr>
          <w:p w14:paraId="403686BE" w14:textId="77777777" w:rsidR="0023079D" w:rsidRPr="003A52ED" w:rsidRDefault="00000000">
            <w:pPr>
              <w:rPr>
                <w:rFonts w:ascii="Times New Roman" w:hAnsi="Times New Roman" w:cs="Times New Roman"/>
              </w:rPr>
            </w:pPr>
            <w:r w:rsidRPr="003A52ED">
              <w:rPr>
                <w:rFonts w:ascii="Times New Roman" w:hAnsi="Times New Roman" w:cs="Times New Roman"/>
                <w:b/>
                <w:bCs/>
                <w:sz w:val="20"/>
                <w:szCs w:val="20"/>
              </w:rPr>
              <w:t>Challenges with lack of agreement in the pre-determined list of procedures</w:t>
            </w:r>
          </w:p>
        </w:tc>
        <w:tc>
          <w:tcPr>
            <w:tcW w:w="36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06DBF5C7"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Lack of agreement in pre-created list of procedures for Bookmark</w:t>
            </w:r>
          </w:p>
          <w:p w14:paraId="3F708319" w14:textId="41D6A006"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Pre-created list</w:t>
            </w:r>
            <w:r w:rsidR="002C7125">
              <w:rPr>
                <w:rFonts w:ascii="Times New Roman" w:hAnsi="Times New Roman" w:cs="Times New Roman"/>
                <w:sz w:val="20"/>
                <w:szCs w:val="20"/>
              </w:rPr>
              <w:t xml:space="preserve"> of procedures</w:t>
            </w:r>
            <w:r w:rsidRPr="003A52ED">
              <w:rPr>
                <w:rFonts w:ascii="Times New Roman" w:hAnsi="Times New Roman" w:cs="Times New Roman"/>
                <w:sz w:val="20"/>
                <w:szCs w:val="20"/>
              </w:rPr>
              <w:t xml:space="preserve"> (based on data) </w:t>
            </w:r>
            <w:r w:rsidR="002C7125">
              <w:rPr>
                <w:rFonts w:ascii="Times New Roman" w:hAnsi="Times New Roman" w:cs="Times New Roman"/>
                <w:sz w:val="20"/>
                <w:szCs w:val="20"/>
              </w:rPr>
              <w:t xml:space="preserve">for Bookmark method </w:t>
            </w:r>
            <w:r w:rsidRPr="003A52ED">
              <w:rPr>
                <w:rFonts w:ascii="Times New Roman" w:hAnsi="Times New Roman" w:cs="Times New Roman"/>
                <w:sz w:val="20"/>
                <w:szCs w:val="20"/>
              </w:rPr>
              <w:t>not lining up conceptually</w:t>
            </w:r>
          </w:p>
          <w:p w14:paraId="5A622B93"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Bookmark — challenge in having combinations of relatively different procedures</w:t>
            </w:r>
          </w:p>
          <w:p w14:paraId="032E89E9"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Details matter in the ordering and combining of procedures</w:t>
            </w:r>
          </w:p>
          <w:p w14:paraId="2B6D6B84"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Perception that if you lump open vs. lap, would default to easiest</w:t>
            </w:r>
          </w:p>
          <w:p w14:paraId="1FC25F74"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Perception that it could take a long time to align on an order</w:t>
            </w:r>
          </w:p>
          <w:p w14:paraId="7ED4ADF8"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Bookmark method challenging because there needs to be alignment on the list of procedures</w:t>
            </w:r>
          </w:p>
          <w:p w14:paraId="4022F236"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Suggestion of using the same list of procedures as in </w:t>
            </w:r>
            <w:proofErr w:type="spellStart"/>
            <w:r w:rsidRPr="003A52ED">
              <w:rPr>
                <w:rFonts w:ascii="Times New Roman" w:hAnsi="Times New Roman" w:cs="Times New Roman"/>
                <w:sz w:val="20"/>
                <w:szCs w:val="20"/>
              </w:rPr>
              <w:t>Angoff</w:t>
            </w:r>
            <w:proofErr w:type="spellEnd"/>
            <w:r w:rsidRPr="003A52ED">
              <w:rPr>
                <w:rFonts w:ascii="Times New Roman" w:hAnsi="Times New Roman" w:cs="Times New Roman"/>
                <w:sz w:val="20"/>
                <w:szCs w:val="20"/>
              </w:rPr>
              <w:t xml:space="preserve"> and Construct Mapping</w:t>
            </w:r>
          </w:p>
          <w:p w14:paraId="17B2E9D8" w14:textId="3ABE7D35"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w:t>
            </w:r>
            <w:r w:rsidR="002C7125">
              <w:rPr>
                <w:rFonts w:ascii="Times New Roman" w:hAnsi="Times New Roman" w:cs="Times New Roman"/>
                <w:sz w:val="20"/>
                <w:szCs w:val="20"/>
              </w:rPr>
              <w:t>Bookmark - s</w:t>
            </w:r>
            <w:r w:rsidRPr="003A52ED">
              <w:rPr>
                <w:rFonts w:ascii="Times New Roman" w:hAnsi="Times New Roman" w:cs="Times New Roman"/>
                <w:sz w:val="20"/>
                <w:szCs w:val="20"/>
              </w:rPr>
              <w:t>uggestion of gaining consensus on list of procedures prior to placing bookmark</w:t>
            </w:r>
          </w:p>
        </w:tc>
        <w:tc>
          <w:tcPr>
            <w:tcW w:w="38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45C1D058" w14:textId="77777777" w:rsidR="0023079D" w:rsidRPr="003A52ED" w:rsidRDefault="00000000">
            <w:pPr>
              <w:spacing w:after="80"/>
              <w:rPr>
                <w:rFonts w:ascii="Times New Roman" w:hAnsi="Times New Roman" w:cs="Times New Roman"/>
                <w:color w:val="000000" w:themeColor="text1"/>
                <w:sz w:val="20"/>
                <w:szCs w:val="20"/>
              </w:rPr>
            </w:pPr>
            <w:r w:rsidRPr="003A52ED">
              <w:rPr>
                <w:rFonts w:ascii="Times New Roman" w:hAnsi="Times New Roman" w:cs="Times New Roman"/>
                <w:i/>
                <w:iCs/>
                <w:color w:val="000000" w:themeColor="text1"/>
                <w:sz w:val="20"/>
                <w:szCs w:val="20"/>
              </w:rPr>
              <w:t xml:space="preserve">P6: “I guess one observation I do think details really matter for things like colostomy and colostomy closure. I think you </w:t>
            </w:r>
            <w:proofErr w:type="gramStart"/>
            <w:r w:rsidRPr="003A52ED">
              <w:rPr>
                <w:rFonts w:ascii="Times New Roman" w:hAnsi="Times New Roman" w:cs="Times New Roman"/>
                <w:i/>
                <w:iCs/>
                <w:color w:val="000000" w:themeColor="text1"/>
                <w:sz w:val="20"/>
                <w:szCs w:val="20"/>
              </w:rPr>
              <w:t>have to</w:t>
            </w:r>
            <w:proofErr w:type="gramEnd"/>
            <w:r w:rsidRPr="003A52ED">
              <w:rPr>
                <w:rFonts w:ascii="Times New Roman" w:hAnsi="Times New Roman" w:cs="Times New Roman"/>
                <w:i/>
                <w:iCs/>
                <w:color w:val="000000" w:themeColor="text1"/>
                <w:sz w:val="20"/>
                <w:szCs w:val="20"/>
              </w:rPr>
              <w:t xml:space="preserve"> have, yeah, like related to the group consensus idea. At some point, X said, just use the easier of the two procedures. But I didn't do that in the </w:t>
            </w:r>
            <w:proofErr w:type="spellStart"/>
            <w:r w:rsidRPr="003A52ED">
              <w:rPr>
                <w:rFonts w:ascii="Times New Roman" w:hAnsi="Times New Roman" w:cs="Times New Roman"/>
                <w:i/>
                <w:iCs/>
                <w:color w:val="000000" w:themeColor="text1"/>
                <w:sz w:val="20"/>
                <w:szCs w:val="20"/>
              </w:rPr>
              <w:t>Angoff</w:t>
            </w:r>
            <w:proofErr w:type="spellEnd"/>
            <w:r w:rsidRPr="003A52ED">
              <w:rPr>
                <w:rFonts w:ascii="Times New Roman" w:hAnsi="Times New Roman" w:cs="Times New Roman"/>
                <w:i/>
                <w:iCs/>
                <w:color w:val="000000" w:themeColor="text1"/>
                <w:sz w:val="20"/>
                <w:szCs w:val="20"/>
              </w:rPr>
              <w:t xml:space="preserve"> method phase, because he hadn't made that comment yet. But it changed how I thought about that </w:t>
            </w:r>
            <w:proofErr w:type="gramStart"/>
            <w:r w:rsidRPr="003A52ED">
              <w:rPr>
                <w:rFonts w:ascii="Times New Roman" w:hAnsi="Times New Roman" w:cs="Times New Roman"/>
                <w:i/>
                <w:iCs/>
                <w:color w:val="000000" w:themeColor="text1"/>
                <w:sz w:val="20"/>
                <w:szCs w:val="20"/>
              </w:rPr>
              <w:t>particular procedure</w:t>
            </w:r>
            <w:proofErr w:type="gramEnd"/>
            <w:r w:rsidRPr="003A52ED">
              <w:rPr>
                <w:rFonts w:ascii="Times New Roman" w:hAnsi="Times New Roman" w:cs="Times New Roman"/>
                <w:i/>
                <w:iCs/>
                <w:color w:val="000000" w:themeColor="text1"/>
                <w:sz w:val="20"/>
                <w:szCs w:val="20"/>
              </w:rPr>
              <w:t>.”</w:t>
            </w:r>
          </w:p>
          <w:p w14:paraId="3762A7BF" w14:textId="77777777" w:rsidR="0023079D" w:rsidRPr="003A52ED" w:rsidRDefault="00000000">
            <w:pPr>
              <w:spacing w:after="80"/>
              <w:rPr>
                <w:rFonts w:ascii="Times New Roman" w:hAnsi="Times New Roman" w:cs="Times New Roman"/>
                <w:color w:val="000000" w:themeColor="text1"/>
                <w:sz w:val="20"/>
                <w:szCs w:val="20"/>
              </w:rPr>
            </w:pPr>
            <w:r w:rsidRPr="003A52ED">
              <w:rPr>
                <w:rFonts w:ascii="Times New Roman" w:hAnsi="Times New Roman" w:cs="Times New Roman"/>
                <w:i/>
                <w:iCs/>
                <w:color w:val="000000" w:themeColor="text1"/>
                <w:sz w:val="20"/>
                <w:szCs w:val="20"/>
              </w:rPr>
              <w:t>P2: “Looking at that variance, I also kind of wonder whether we'd see the same variance if we had this group kind of do two tasks, like one, gain consensus on the order in which these procedures would appear, and then, and then do bookmarking, because I bet if we did that, we would have put open splenectomy higher on the list than laparoscopic splenectomy. And I think that that sort of would go along with maybe some of the other methods. And so maybe two stages would get would gain more kind of harmony within the group.”</w:t>
            </w:r>
          </w:p>
          <w:p w14:paraId="5ECA13D1" w14:textId="77777777" w:rsidR="0023079D" w:rsidRPr="003A52ED" w:rsidRDefault="00000000">
            <w:pPr>
              <w:rPr>
                <w:rFonts w:ascii="Times New Roman" w:hAnsi="Times New Roman" w:cs="Times New Roman"/>
                <w:color w:val="000000" w:themeColor="text1"/>
                <w:sz w:val="20"/>
                <w:szCs w:val="20"/>
              </w:rPr>
            </w:pPr>
            <w:r w:rsidRPr="003A52ED">
              <w:rPr>
                <w:rFonts w:ascii="Times New Roman" w:hAnsi="Times New Roman" w:cs="Times New Roman"/>
                <w:i/>
                <w:iCs/>
                <w:color w:val="000000" w:themeColor="text1"/>
                <w:sz w:val="20"/>
                <w:szCs w:val="20"/>
              </w:rPr>
              <w:t xml:space="preserve">P7: “I wonder if you had given us the list from activity one where the cutoff would have been, because it's the same list for activity three as well. And I think there is less variability among different training programs. Like everybody is theoretically </w:t>
            </w:r>
            <w:r w:rsidRPr="003A52ED">
              <w:rPr>
                <w:rFonts w:ascii="Times New Roman" w:hAnsi="Times New Roman" w:cs="Times New Roman"/>
                <w:i/>
                <w:iCs/>
                <w:color w:val="000000" w:themeColor="text1"/>
                <w:sz w:val="20"/>
                <w:szCs w:val="20"/>
              </w:rPr>
              <w:lastRenderedPageBreak/>
              <w:t xml:space="preserve">seeing </w:t>
            </w:r>
            <w:proofErr w:type="gramStart"/>
            <w:r w:rsidRPr="003A52ED">
              <w:rPr>
                <w:rFonts w:ascii="Times New Roman" w:hAnsi="Times New Roman" w:cs="Times New Roman"/>
                <w:i/>
                <w:iCs/>
                <w:color w:val="000000" w:themeColor="text1"/>
                <w:sz w:val="20"/>
                <w:szCs w:val="20"/>
              </w:rPr>
              <w:t>all of</w:t>
            </w:r>
            <w:proofErr w:type="gramEnd"/>
            <w:r w:rsidRPr="003A52ED">
              <w:rPr>
                <w:rFonts w:ascii="Times New Roman" w:hAnsi="Times New Roman" w:cs="Times New Roman"/>
                <w:i/>
                <w:iCs/>
                <w:color w:val="000000" w:themeColor="text1"/>
                <w:sz w:val="20"/>
                <w:szCs w:val="20"/>
              </w:rPr>
              <w:t xml:space="preserve"> those operations with some frequency.”</w:t>
            </w:r>
          </w:p>
        </w:tc>
      </w:tr>
      <w:tr w:rsidR="0023079D" w:rsidRPr="003A52ED" w14:paraId="6BE76D40" w14:textId="77777777">
        <w:tc>
          <w:tcPr>
            <w:tcW w:w="1900" w:type="dxa"/>
            <w:vMerge/>
            <w:tcBorders>
              <w:top w:val="single" w:sz="6" w:space="0" w:color="999999"/>
              <w:left w:val="single" w:sz="6" w:space="0" w:color="999999"/>
              <w:bottom w:val="single" w:sz="6" w:space="0" w:color="999999"/>
              <w:right w:val="single" w:sz="6" w:space="0" w:color="999999"/>
            </w:tcBorders>
            <w:shd w:val="clear" w:color="auto" w:fill="D9E2F3"/>
            <w:tcMar>
              <w:top w:w="100" w:type="dxa"/>
              <w:left w:w="140" w:type="dxa"/>
              <w:bottom w:w="100" w:type="dxa"/>
              <w:right w:w="140" w:type="dxa"/>
            </w:tcMar>
          </w:tcPr>
          <w:p w14:paraId="52533A5B" w14:textId="77777777" w:rsidR="0023079D" w:rsidRPr="003A52ED" w:rsidRDefault="0023079D">
            <w:pPr>
              <w:widowControl w:val="0"/>
              <w:pBdr>
                <w:top w:val="nil"/>
                <w:left w:val="nil"/>
                <w:bottom w:val="nil"/>
                <w:right w:val="nil"/>
                <w:between w:val="nil"/>
              </w:pBdr>
              <w:spacing w:line="276" w:lineRule="auto"/>
              <w:rPr>
                <w:rFonts w:ascii="Times New Roman" w:hAnsi="Times New Roman" w:cs="Times New Roman"/>
              </w:rPr>
            </w:pPr>
          </w:p>
        </w:tc>
        <w:tc>
          <w:tcPr>
            <w:tcW w:w="1700" w:type="dxa"/>
            <w:vMerge w:val="restart"/>
            <w:tcBorders>
              <w:top w:val="single" w:sz="6" w:space="0" w:color="999999"/>
              <w:left w:val="single" w:sz="6" w:space="0" w:color="999999"/>
              <w:bottom w:val="single" w:sz="6" w:space="0" w:color="999999"/>
              <w:right w:val="single" w:sz="6" w:space="0" w:color="999999"/>
            </w:tcBorders>
            <w:shd w:val="clear" w:color="auto" w:fill="E8EEF7"/>
            <w:tcMar>
              <w:top w:w="100" w:type="dxa"/>
              <w:left w:w="140" w:type="dxa"/>
              <w:bottom w:w="100" w:type="dxa"/>
              <w:right w:w="140" w:type="dxa"/>
            </w:tcMar>
          </w:tcPr>
          <w:p w14:paraId="5DF2A453" w14:textId="77777777" w:rsidR="0023079D" w:rsidRPr="003A52ED" w:rsidRDefault="00000000">
            <w:pPr>
              <w:rPr>
                <w:rFonts w:ascii="Times New Roman" w:hAnsi="Times New Roman" w:cs="Times New Roman"/>
              </w:rPr>
            </w:pPr>
            <w:r w:rsidRPr="003A52ED">
              <w:rPr>
                <w:rFonts w:ascii="Times New Roman" w:hAnsi="Times New Roman" w:cs="Times New Roman"/>
                <w:b/>
                <w:bCs/>
                <w:color w:val="2E5597"/>
                <w:sz w:val="20"/>
                <w:szCs w:val="20"/>
              </w:rPr>
              <w:t>Construct Mapping method</w:t>
            </w:r>
          </w:p>
        </w:tc>
        <w:tc>
          <w:tcPr>
            <w:tcW w:w="2400" w:type="dxa"/>
            <w:tcBorders>
              <w:top w:val="single" w:sz="6" w:space="0" w:color="999999"/>
              <w:left w:val="single" w:sz="6" w:space="0" w:color="999999"/>
              <w:bottom w:val="single" w:sz="6" w:space="0" w:color="999999"/>
              <w:right w:val="single" w:sz="6" w:space="0" w:color="999999"/>
            </w:tcBorders>
            <w:shd w:val="clear" w:color="auto" w:fill="F2F2F2"/>
            <w:tcMar>
              <w:top w:w="100" w:type="dxa"/>
              <w:left w:w="140" w:type="dxa"/>
              <w:bottom w:w="100" w:type="dxa"/>
              <w:right w:w="140" w:type="dxa"/>
            </w:tcMar>
          </w:tcPr>
          <w:p w14:paraId="4096FA3D" w14:textId="77777777" w:rsidR="0023079D" w:rsidRPr="003A52ED" w:rsidRDefault="00000000">
            <w:pPr>
              <w:rPr>
                <w:rFonts w:ascii="Times New Roman" w:hAnsi="Times New Roman" w:cs="Times New Roman"/>
              </w:rPr>
            </w:pPr>
            <w:r w:rsidRPr="003A52ED">
              <w:rPr>
                <w:rFonts w:ascii="Times New Roman" w:hAnsi="Times New Roman" w:cs="Times New Roman"/>
                <w:b/>
                <w:bCs/>
                <w:sz w:val="20"/>
                <w:szCs w:val="20"/>
              </w:rPr>
              <w:t>Perceived high utility (efficiency, blended criterion- and norm-referencing, translation across procedures)</w:t>
            </w:r>
          </w:p>
        </w:tc>
        <w:tc>
          <w:tcPr>
            <w:tcW w:w="36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7B0ADA30"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Construct Mapping as incorporating criterion- and norm-referenced aspects</w:t>
            </w:r>
          </w:p>
          <w:p w14:paraId="6A615015" w14:textId="26FFB195"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Somewhat able to gauge disease competency in Construct Mapping </w:t>
            </w:r>
            <w:r w:rsidR="002C7125">
              <w:rPr>
                <w:rFonts w:ascii="Times New Roman" w:hAnsi="Times New Roman" w:cs="Times New Roman"/>
                <w:sz w:val="20"/>
                <w:szCs w:val="20"/>
              </w:rPr>
              <w:t>method</w:t>
            </w:r>
          </w:p>
          <w:p w14:paraId="324A1E01" w14:textId="5B27BE1C"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Construct Mapping method requires people to have taken the 'test' and</w:t>
            </w:r>
            <w:r w:rsidR="002C7125">
              <w:rPr>
                <w:rFonts w:ascii="Times New Roman" w:hAnsi="Times New Roman" w:cs="Times New Roman"/>
                <w:sz w:val="20"/>
                <w:szCs w:val="20"/>
              </w:rPr>
              <w:t xml:space="preserve"> </w:t>
            </w:r>
            <w:r w:rsidR="002C7125" w:rsidRPr="002C7125">
              <w:rPr>
                <w:rFonts w:ascii="Times New Roman" w:hAnsi="Times New Roman" w:cs="Times New Roman"/>
                <w:sz w:val="20"/>
                <w:szCs w:val="20"/>
                <w:lang w:val="en"/>
              </w:rPr>
              <w:t>translation of performance levels into probabilities</w:t>
            </w:r>
          </w:p>
        </w:tc>
        <w:tc>
          <w:tcPr>
            <w:tcW w:w="38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606DE72D"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P2: “I did find something I kind of liked about the third method was you could look across that list and say, well, I can live with them, you know, having a low probability of practice ready performance on laparoscopic splenectomy If I know they can remove a spleen safely by an open technique and that third method really allows for that in a like, super visual, intuitive way.”</w:t>
            </w:r>
          </w:p>
          <w:p w14:paraId="734A88E1" w14:textId="77777777" w:rsidR="0023079D" w:rsidRPr="003A52ED" w:rsidRDefault="0023079D">
            <w:pPr>
              <w:rPr>
                <w:rFonts w:ascii="Times New Roman" w:hAnsi="Times New Roman" w:cs="Times New Roman"/>
                <w:i/>
                <w:iCs/>
                <w:color w:val="000000" w:themeColor="text1"/>
                <w:sz w:val="20"/>
                <w:szCs w:val="20"/>
              </w:rPr>
            </w:pPr>
          </w:p>
          <w:p w14:paraId="0D721049"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 xml:space="preserve">P1: “I was thinking about this is all PGYs and I want, like, most of the PGY fives to be competent. </w:t>
            </w:r>
            <w:proofErr w:type="gramStart"/>
            <w:r w:rsidRPr="003A52ED">
              <w:rPr>
                <w:rFonts w:ascii="Times New Roman" w:hAnsi="Times New Roman" w:cs="Times New Roman"/>
                <w:i/>
                <w:iCs/>
                <w:color w:val="000000" w:themeColor="text1"/>
                <w:sz w:val="20"/>
                <w:szCs w:val="20"/>
              </w:rPr>
              <w:t>So</w:t>
            </w:r>
            <w:proofErr w:type="gramEnd"/>
            <w:r w:rsidRPr="003A52ED">
              <w:rPr>
                <w:rFonts w:ascii="Times New Roman" w:hAnsi="Times New Roman" w:cs="Times New Roman"/>
                <w:i/>
                <w:iCs/>
                <w:color w:val="000000" w:themeColor="text1"/>
                <w:sz w:val="20"/>
                <w:szCs w:val="20"/>
              </w:rPr>
              <w:t xml:space="preserve"> like, I was bumping it up. That's what I was saying before it was, like, </w:t>
            </w:r>
            <w:proofErr w:type="gramStart"/>
            <w:r w:rsidRPr="003A52ED">
              <w:rPr>
                <w:rFonts w:ascii="Times New Roman" w:hAnsi="Times New Roman" w:cs="Times New Roman"/>
                <w:i/>
                <w:iCs/>
                <w:color w:val="000000" w:themeColor="text1"/>
                <w:sz w:val="20"/>
                <w:szCs w:val="20"/>
              </w:rPr>
              <w:t>pretty squished</w:t>
            </w:r>
            <w:proofErr w:type="gramEnd"/>
            <w:r w:rsidRPr="003A52ED">
              <w:rPr>
                <w:rFonts w:ascii="Times New Roman" w:hAnsi="Times New Roman" w:cs="Times New Roman"/>
                <w:i/>
                <w:iCs/>
                <w:color w:val="000000" w:themeColor="text1"/>
                <w:sz w:val="20"/>
                <w:szCs w:val="20"/>
              </w:rPr>
              <w:t xml:space="preserve">, you know. </w:t>
            </w:r>
            <w:proofErr w:type="gramStart"/>
            <w:r w:rsidRPr="003A52ED">
              <w:rPr>
                <w:rFonts w:ascii="Times New Roman" w:hAnsi="Times New Roman" w:cs="Times New Roman"/>
                <w:i/>
                <w:iCs/>
                <w:color w:val="000000" w:themeColor="text1"/>
                <w:sz w:val="20"/>
                <w:szCs w:val="20"/>
              </w:rPr>
              <w:t>So</w:t>
            </w:r>
            <w:proofErr w:type="gramEnd"/>
            <w:r w:rsidRPr="003A52ED">
              <w:rPr>
                <w:rFonts w:ascii="Times New Roman" w:hAnsi="Times New Roman" w:cs="Times New Roman"/>
                <w:i/>
                <w:iCs/>
                <w:color w:val="000000" w:themeColor="text1"/>
                <w:sz w:val="20"/>
                <w:szCs w:val="20"/>
              </w:rPr>
              <w:t xml:space="preserve"> I was trying to be at the, like, 95th percentile, basically, because that's the 80th percentile of PGY fives was my estimate, you know, but I also kind of, I was looking at the numbers too. I wasn't just doing it that way… I was thinking, like, I want everyone to be able to do a lap </w:t>
            </w:r>
            <w:proofErr w:type="spellStart"/>
            <w:r w:rsidRPr="003A52ED">
              <w:rPr>
                <w:rFonts w:ascii="Times New Roman" w:hAnsi="Times New Roman" w:cs="Times New Roman"/>
                <w:i/>
                <w:iCs/>
                <w:color w:val="000000" w:themeColor="text1"/>
                <w:sz w:val="20"/>
                <w:szCs w:val="20"/>
              </w:rPr>
              <w:t>appy</w:t>
            </w:r>
            <w:proofErr w:type="spellEnd"/>
            <w:r w:rsidRPr="003A52ED">
              <w:rPr>
                <w:rFonts w:ascii="Times New Roman" w:hAnsi="Times New Roman" w:cs="Times New Roman"/>
                <w:i/>
                <w:iCs/>
                <w:color w:val="000000" w:themeColor="text1"/>
                <w:sz w:val="20"/>
                <w:szCs w:val="20"/>
              </w:rPr>
              <w:t>…”</w:t>
            </w:r>
          </w:p>
        </w:tc>
      </w:tr>
      <w:tr w:rsidR="0023079D" w:rsidRPr="003A52ED" w14:paraId="71F07D66" w14:textId="77777777">
        <w:tc>
          <w:tcPr>
            <w:tcW w:w="1900" w:type="dxa"/>
            <w:vMerge/>
            <w:tcBorders>
              <w:top w:val="single" w:sz="6" w:space="0" w:color="999999"/>
              <w:left w:val="single" w:sz="6" w:space="0" w:color="999999"/>
              <w:bottom w:val="single" w:sz="6" w:space="0" w:color="999999"/>
              <w:right w:val="single" w:sz="6" w:space="0" w:color="999999"/>
            </w:tcBorders>
            <w:shd w:val="clear" w:color="auto" w:fill="D9E2F3"/>
            <w:tcMar>
              <w:top w:w="100" w:type="dxa"/>
              <w:left w:w="140" w:type="dxa"/>
              <w:bottom w:w="100" w:type="dxa"/>
              <w:right w:w="140" w:type="dxa"/>
            </w:tcMar>
          </w:tcPr>
          <w:p w14:paraId="28571AF3" w14:textId="77777777" w:rsidR="0023079D" w:rsidRPr="003A52ED" w:rsidRDefault="0023079D">
            <w:pPr>
              <w:widowControl w:val="0"/>
              <w:pBdr>
                <w:top w:val="nil"/>
                <w:left w:val="nil"/>
                <w:bottom w:val="nil"/>
                <w:right w:val="nil"/>
                <w:between w:val="nil"/>
              </w:pBdr>
              <w:spacing w:line="276" w:lineRule="auto"/>
              <w:rPr>
                <w:rFonts w:ascii="Times New Roman" w:hAnsi="Times New Roman" w:cs="Times New Roman"/>
              </w:rPr>
            </w:pPr>
          </w:p>
        </w:tc>
        <w:tc>
          <w:tcPr>
            <w:tcW w:w="1700" w:type="dxa"/>
            <w:vMerge/>
            <w:tcBorders>
              <w:top w:val="single" w:sz="6" w:space="0" w:color="999999"/>
              <w:left w:val="single" w:sz="6" w:space="0" w:color="999999"/>
              <w:bottom w:val="single" w:sz="6" w:space="0" w:color="999999"/>
              <w:right w:val="single" w:sz="6" w:space="0" w:color="999999"/>
            </w:tcBorders>
            <w:shd w:val="clear" w:color="auto" w:fill="E8EEF7"/>
            <w:tcMar>
              <w:top w:w="100" w:type="dxa"/>
              <w:left w:w="140" w:type="dxa"/>
              <w:bottom w:w="100" w:type="dxa"/>
              <w:right w:w="140" w:type="dxa"/>
            </w:tcMar>
          </w:tcPr>
          <w:p w14:paraId="30B1A8EE" w14:textId="77777777" w:rsidR="0023079D" w:rsidRPr="003A52ED" w:rsidRDefault="0023079D">
            <w:pPr>
              <w:widowControl w:val="0"/>
              <w:pBdr>
                <w:top w:val="nil"/>
                <w:left w:val="nil"/>
                <w:bottom w:val="nil"/>
                <w:right w:val="nil"/>
                <w:between w:val="nil"/>
              </w:pBdr>
              <w:spacing w:line="276" w:lineRule="auto"/>
              <w:rPr>
                <w:rFonts w:ascii="Times New Roman" w:hAnsi="Times New Roman" w:cs="Times New Roman"/>
              </w:rPr>
            </w:pPr>
          </w:p>
        </w:tc>
        <w:tc>
          <w:tcPr>
            <w:tcW w:w="2400" w:type="dxa"/>
            <w:tcBorders>
              <w:top w:val="single" w:sz="6" w:space="0" w:color="999999"/>
              <w:left w:val="single" w:sz="6" w:space="0" w:color="999999"/>
              <w:bottom w:val="single" w:sz="6" w:space="0" w:color="999999"/>
              <w:right w:val="single" w:sz="6" w:space="0" w:color="999999"/>
            </w:tcBorders>
            <w:shd w:val="clear" w:color="auto" w:fill="F2F2F2"/>
            <w:tcMar>
              <w:top w:w="100" w:type="dxa"/>
              <w:left w:w="140" w:type="dxa"/>
              <w:bottom w:w="100" w:type="dxa"/>
              <w:right w:w="140" w:type="dxa"/>
            </w:tcMar>
          </w:tcPr>
          <w:p w14:paraId="2AAA8555" w14:textId="77777777" w:rsidR="0023079D" w:rsidRPr="003A52ED" w:rsidRDefault="00000000">
            <w:pPr>
              <w:rPr>
                <w:rFonts w:ascii="Times New Roman" w:hAnsi="Times New Roman" w:cs="Times New Roman"/>
              </w:rPr>
            </w:pPr>
            <w:r w:rsidRPr="003A52ED">
              <w:rPr>
                <w:rFonts w:ascii="Times New Roman" w:hAnsi="Times New Roman" w:cs="Times New Roman"/>
                <w:b/>
                <w:bCs/>
                <w:sz w:val="20"/>
                <w:szCs w:val="20"/>
              </w:rPr>
              <w:t>Challenges in interpreting the heat map</w:t>
            </w:r>
          </w:p>
        </w:tc>
        <w:tc>
          <w:tcPr>
            <w:tcW w:w="36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6AC9E3AB"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Consideration of whether Construct Mapping table should only represent PGY-5s</w:t>
            </w:r>
          </w:p>
          <w:p w14:paraId="5E30167F" w14:textId="161F2634"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Construct Mapping —</w:t>
            </w:r>
            <w:r w:rsidR="002C7125">
              <w:rPr>
                <w:rFonts w:ascii="Times New Roman" w:hAnsi="Times New Roman" w:cs="Times New Roman"/>
                <w:sz w:val="20"/>
                <w:szCs w:val="20"/>
              </w:rPr>
              <w:t xml:space="preserve"> </w:t>
            </w:r>
            <w:r w:rsidRPr="003A52ED">
              <w:rPr>
                <w:rFonts w:ascii="Times New Roman" w:hAnsi="Times New Roman" w:cs="Times New Roman"/>
                <w:sz w:val="20"/>
                <w:szCs w:val="20"/>
              </w:rPr>
              <w:t xml:space="preserve">challenges with interpreting percentiles </w:t>
            </w:r>
            <w:r w:rsidR="002C7125">
              <w:rPr>
                <w:rFonts w:ascii="Times New Roman" w:hAnsi="Times New Roman" w:cs="Times New Roman"/>
                <w:sz w:val="20"/>
                <w:szCs w:val="20"/>
              </w:rPr>
              <w:t>across</w:t>
            </w:r>
            <w:r w:rsidRPr="003A52ED">
              <w:rPr>
                <w:rFonts w:ascii="Times New Roman" w:hAnsi="Times New Roman" w:cs="Times New Roman"/>
                <w:sz w:val="20"/>
                <w:szCs w:val="20"/>
              </w:rPr>
              <w:t xml:space="preserve"> PGY 1–5</w:t>
            </w:r>
            <w:r w:rsidR="002C7125">
              <w:rPr>
                <w:rFonts w:ascii="Times New Roman" w:hAnsi="Times New Roman" w:cs="Times New Roman"/>
                <w:sz w:val="20"/>
                <w:szCs w:val="20"/>
              </w:rPr>
              <w:t>s</w:t>
            </w:r>
          </w:p>
        </w:tc>
        <w:tc>
          <w:tcPr>
            <w:tcW w:w="38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75DBFE3E"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 xml:space="preserve">P1: “I wonder what this would look like for PGY five, because in my head I was thinking, okay, the top 20 to 50th, 20 to 30th percentile are mostly PGY fives. I, I hope, right. And </w:t>
            </w:r>
            <w:proofErr w:type="gramStart"/>
            <w:r w:rsidRPr="003A52ED">
              <w:rPr>
                <w:rFonts w:ascii="Times New Roman" w:hAnsi="Times New Roman" w:cs="Times New Roman"/>
                <w:i/>
                <w:iCs/>
                <w:color w:val="000000" w:themeColor="text1"/>
                <w:sz w:val="20"/>
                <w:szCs w:val="20"/>
              </w:rPr>
              <w:t>so</w:t>
            </w:r>
            <w:proofErr w:type="gramEnd"/>
            <w:r w:rsidRPr="003A52ED">
              <w:rPr>
                <w:rFonts w:ascii="Times New Roman" w:hAnsi="Times New Roman" w:cs="Times New Roman"/>
                <w:i/>
                <w:iCs/>
                <w:color w:val="000000" w:themeColor="text1"/>
                <w:sz w:val="20"/>
                <w:szCs w:val="20"/>
              </w:rPr>
              <w:t xml:space="preserve"> I was </w:t>
            </w:r>
            <w:proofErr w:type="gramStart"/>
            <w:r w:rsidRPr="003A52ED">
              <w:rPr>
                <w:rFonts w:ascii="Times New Roman" w:hAnsi="Times New Roman" w:cs="Times New Roman"/>
                <w:i/>
                <w:iCs/>
                <w:color w:val="000000" w:themeColor="text1"/>
                <w:sz w:val="20"/>
                <w:szCs w:val="20"/>
              </w:rPr>
              <w:t>actually like</w:t>
            </w:r>
            <w:proofErr w:type="gramEnd"/>
            <w:r w:rsidRPr="003A52ED">
              <w:rPr>
                <w:rFonts w:ascii="Times New Roman" w:hAnsi="Times New Roman" w:cs="Times New Roman"/>
                <w:i/>
                <w:iCs/>
                <w:color w:val="000000" w:themeColor="text1"/>
                <w:sz w:val="20"/>
                <w:szCs w:val="20"/>
              </w:rPr>
              <w:t xml:space="preserve">, trying to bump up </w:t>
            </w:r>
            <w:proofErr w:type="gramStart"/>
            <w:r w:rsidRPr="003A52ED">
              <w:rPr>
                <w:rFonts w:ascii="Times New Roman" w:hAnsi="Times New Roman" w:cs="Times New Roman"/>
                <w:i/>
                <w:iCs/>
                <w:color w:val="000000" w:themeColor="text1"/>
                <w:sz w:val="20"/>
                <w:szCs w:val="20"/>
              </w:rPr>
              <w:t>pretty high</w:t>
            </w:r>
            <w:proofErr w:type="gramEnd"/>
            <w:r w:rsidRPr="003A52ED">
              <w:rPr>
                <w:rFonts w:ascii="Times New Roman" w:hAnsi="Times New Roman" w:cs="Times New Roman"/>
                <w:i/>
                <w:iCs/>
                <w:color w:val="000000" w:themeColor="text1"/>
                <w:sz w:val="20"/>
                <w:szCs w:val="20"/>
              </w:rPr>
              <w:t xml:space="preserve"> in that. And I wonder if, like, the fact that it has everyone on this is a little bit, it's hard to imagine, for me, at least, like, what does, what does part of like a minimally competent surgeon look like when it's so squished together, </w:t>
            </w:r>
            <w:r w:rsidRPr="003A52ED">
              <w:rPr>
                <w:rFonts w:ascii="Times New Roman" w:hAnsi="Times New Roman" w:cs="Times New Roman"/>
                <w:i/>
                <w:iCs/>
                <w:color w:val="000000" w:themeColor="text1"/>
                <w:sz w:val="20"/>
                <w:szCs w:val="20"/>
              </w:rPr>
              <w:lastRenderedPageBreak/>
              <w:t>you know, like I want a little more kind of spread”</w:t>
            </w:r>
          </w:p>
          <w:p w14:paraId="13B5973F" w14:textId="77777777" w:rsidR="0023079D" w:rsidRPr="003A52ED" w:rsidRDefault="0023079D">
            <w:pPr>
              <w:rPr>
                <w:rFonts w:ascii="Times New Roman" w:hAnsi="Times New Roman" w:cs="Times New Roman"/>
                <w:i/>
                <w:iCs/>
                <w:color w:val="000000" w:themeColor="text1"/>
                <w:sz w:val="20"/>
                <w:szCs w:val="20"/>
              </w:rPr>
            </w:pPr>
          </w:p>
          <w:p w14:paraId="387815FE"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 xml:space="preserve">P7: “I looked at those numbers. I thought it was interesting, because I was doing some of the same math of like, </w:t>
            </w:r>
            <w:proofErr w:type="gramStart"/>
            <w:r w:rsidRPr="003A52ED">
              <w:rPr>
                <w:rFonts w:ascii="Times New Roman" w:hAnsi="Times New Roman" w:cs="Times New Roman"/>
                <w:i/>
                <w:iCs/>
                <w:color w:val="000000" w:themeColor="text1"/>
                <w:sz w:val="20"/>
                <w:szCs w:val="20"/>
              </w:rPr>
              <w:t>All</w:t>
            </w:r>
            <w:proofErr w:type="gramEnd"/>
            <w:r w:rsidRPr="003A52ED">
              <w:rPr>
                <w:rFonts w:ascii="Times New Roman" w:hAnsi="Times New Roman" w:cs="Times New Roman"/>
                <w:i/>
                <w:iCs/>
                <w:color w:val="000000" w:themeColor="text1"/>
                <w:sz w:val="20"/>
                <w:szCs w:val="20"/>
              </w:rPr>
              <w:t xml:space="preserve"> right, well, 20% of people are PGY fives, but we </w:t>
            </w:r>
            <w:proofErr w:type="gramStart"/>
            <w:r w:rsidRPr="003A52ED">
              <w:rPr>
                <w:rFonts w:ascii="Times New Roman" w:hAnsi="Times New Roman" w:cs="Times New Roman"/>
                <w:i/>
                <w:iCs/>
                <w:color w:val="000000" w:themeColor="text1"/>
                <w:sz w:val="20"/>
                <w:szCs w:val="20"/>
              </w:rPr>
              <w:t>definitely have</w:t>
            </w:r>
            <w:proofErr w:type="gramEnd"/>
            <w:r w:rsidRPr="003A52ED">
              <w:rPr>
                <w:rFonts w:ascii="Times New Roman" w:hAnsi="Times New Roman" w:cs="Times New Roman"/>
                <w:i/>
                <w:iCs/>
                <w:color w:val="000000" w:themeColor="text1"/>
                <w:sz w:val="20"/>
                <w:szCs w:val="20"/>
              </w:rPr>
              <w:t xml:space="preserve"> some PGY fours who perform better than maybe a graduating PGY five, right? So that's that kind of jumbles who's </w:t>
            </w:r>
            <w:proofErr w:type="gramStart"/>
            <w:r w:rsidRPr="003A52ED">
              <w:rPr>
                <w:rFonts w:ascii="Times New Roman" w:hAnsi="Times New Roman" w:cs="Times New Roman"/>
                <w:i/>
                <w:iCs/>
                <w:color w:val="000000" w:themeColor="text1"/>
                <w:sz w:val="20"/>
                <w:szCs w:val="20"/>
              </w:rPr>
              <w:t>actually in</w:t>
            </w:r>
            <w:proofErr w:type="gramEnd"/>
            <w:r w:rsidRPr="003A52ED">
              <w:rPr>
                <w:rFonts w:ascii="Times New Roman" w:hAnsi="Times New Roman" w:cs="Times New Roman"/>
                <w:i/>
                <w:iCs/>
                <w:color w:val="000000" w:themeColor="text1"/>
                <w:sz w:val="20"/>
                <w:szCs w:val="20"/>
              </w:rPr>
              <w:t xml:space="preserve"> that 20th percentile?”</w:t>
            </w:r>
          </w:p>
        </w:tc>
      </w:tr>
      <w:tr w:rsidR="0023079D" w:rsidRPr="003A52ED" w14:paraId="489F972A" w14:textId="77777777">
        <w:tc>
          <w:tcPr>
            <w:tcW w:w="1900" w:type="dxa"/>
            <w:vMerge w:val="restart"/>
            <w:tcBorders>
              <w:top w:val="single" w:sz="6" w:space="0" w:color="999999"/>
              <w:left w:val="single" w:sz="6" w:space="0" w:color="999999"/>
              <w:bottom w:val="single" w:sz="6" w:space="0" w:color="999999"/>
              <w:right w:val="single" w:sz="6" w:space="0" w:color="999999"/>
            </w:tcBorders>
            <w:shd w:val="clear" w:color="auto" w:fill="D9E2F3"/>
            <w:tcMar>
              <w:top w:w="100" w:type="dxa"/>
              <w:left w:w="140" w:type="dxa"/>
              <w:bottom w:w="100" w:type="dxa"/>
              <w:right w:w="140" w:type="dxa"/>
            </w:tcMar>
          </w:tcPr>
          <w:p w14:paraId="3207A0E0" w14:textId="77777777" w:rsidR="0023079D" w:rsidRPr="003A52ED" w:rsidRDefault="00000000">
            <w:pPr>
              <w:rPr>
                <w:rFonts w:ascii="Times New Roman" w:hAnsi="Times New Roman" w:cs="Times New Roman"/>
              </w:rPr>
            </w:pPr>
            <w:r w:rsidRPr="003A52ED">
              <w:rPr>
                <w:rFonts w:ascii="Times New Roman" w:hAnsi="Times New Roman" w:cs="Times New Roman"/>
                <w:b/>
                <w:bCs/>
                <w:color w:val="1F3864"/>
              </w:rPr>
              <w:lastRenderedPageBreak/>
              <w:t>Theme 2: Reflections on the standard-setting process</w:t>
            </w:r>
          </w:p>
        </w:tc>
        <w:tc>
          <w:tcPr>
            <w:tcW w:w="1700" w:type="dxa"/>
            <w:tcBorders>
              <w:top w:val="single" w:sz="6" w:space="0" w:color="999999"/>
              <w:left w:val="single" w:sz="6" w:space="0" w:color="999999"/>
              <w:bottom w:val="single" w:sz="6" w:space="0" w:color="999999"/>
              <w:right w:val="single" w:sz="6" w:space="0" w:color="999999"/>
            </w:tcBorders>
            <w:shd w:val="clear" w:color="auto" w:fill="FAFAFA"/>
            <w:tcMar>
              <w:top w:w="100" w:type="dxa"/>
              <w:left w:w="140" w:type="dxa"/>
              <w:bottom w:w="100" w:type="dxa"/>
              <w:right w:w="140" w:type="dxa"/>
            </w:tcMar>
          </w:tcPr>
          <w:p w14:paraId="69B37DBA" w14:textId="77777777" w:rsidR="0023079D" w:rsidRPr="003A52ED" w:rsidRDefault="00000000">
            <w:pPr>
              <w:jc w:val="center"/>
              <w:rPr>
                <w:rFonts w:ascii="Times New Roman" w:hAnsi="Times New Roman" w:cs="Times New Roman"/>
              </w:rPr>
            </w:pPr>
            <w:r w:rsidRPr="003A52ED">
              <w:rPr>
                <w:rFonts w:ascii="Times New Roman" w:hAnsi="Times New Roman" w:cs="Times New Roman"/>
                <w:color w:val="999999"/>
                <w:sz w:val="20"/>
                <w:szCs w:val="20"/>
              </w:rPr>
              <w:t>—</w:t>
            </w:r>
          </w:p>
        </w:tc>
        <w:tc>
          <w:tcPr>
            <w:tcW w:w="2400" w:type="dxa"/>
            <w:tcBorders>
              <w:top w:val="single" w:sz="6" w:space="0" w:color="999999"/>
              <w:left w:val="single" w:sz="6" w:space="0" w:color="999999"/>
              <w:bottom w:val="single" w:sz="6" w:space="0" w:color="999999"/>
              <w:right w:val="single" w:sz="6" w:space="0" w:color="999999"/>
            </w:tcBorders>
            <w:shd w:val="clear" w:color="auto" w:fill="F2F2F2"/>
            <w:tcMar>
              <w:top w:w="100" w:type="dxa"/>
              <w:left w:w="140" w:type="dxa"/>
              <w:bottom w:w="100" w:type="dxa"/>
              <w:right w:w="140" w:type="dxa"/>
            </w:tcMar>
          </w:tcPr>
          <w:p w14:paraId="25EB25EF" w14:textId="77777777" w:rsidR="0023079D" w:rsidRPr="003A52ED" w:rsidRDefault="00000000">
            <w:pPr>
              <w:rPr>
                <w:rFonts w:ascii="Times New Roman" w:hAnsi="Times New Roman" w:cs="Times New Roman"/>
              </w:rPr>
            </w:pPr>
            <w:r w:rsidRPr="003A52ED">
              <w:rPr>
                <w:rFonts w:ascii="Times New Roman" w:hAnsi="Times New Roman" w:cs="Times New Roman"/>
                <w:b/>
                <w:bCs/>
                <w:sz w:val="20"/>
                <w:szCs w:val="20"/>
              </w:rPr>
              <w:t>Defining the minimally competent graduating trainee (MCGT)</w:t>
            </w:r>
          </w:p>
        </w:tc>
        <w:tc>
          <w:tcPr>
            <w:tcW w:w="36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491B01BD" w14:textId="4A265CB6"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'Would' vs 'should' </w:t>
            </w:r>
            <w:r w:rsidR="002C7125">
              <w:rPr>
                <w:rFonts w:ascii="Times New Roman" w:eastAsia="Times New Roman" w:hAnsi="Times New Roman" w:cs="Times New Roman"/>
                <w:sz w:val="20"/>
                <w:szCs w:val="20"/>
              </w:rPr>
              <w:t>in conceptualizing</w:t>
            </w:r>
          </w:p>
          <w:p w14:paraId="1EAB1A4B" w14:textId="2E3FE617" w:rsidR="002C7125"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Question of whether standard setting should be based on 'would' (</w:t>
            </w:r>
            <w:r w:rsidR="002C7125">
              <w:rPr>
                <w:rFonts w:ascii="Times New Roman" w:hAnsi="Times New Roman" w:cs="Times New Roman"/>
                <w:sz w:val="20"/>
                <w:szCs w:val="20"/>
              </w:rPr>
              <w:t xml:space="preserve">prior </w:t>
            </w:r>
            <w:r w:rsidRPr="003A52ED">
              <w:rPr>
                <w:rFonts w:ascii="Times New Roman" w:hAnsi="Times New Roman" w:cs="Times New Roman"/>
                <w:sz w:val="20"/>
                <w:szCs w:val="20"/>
              </w:rPr>
              <w:t>experience) vs 'should' (ideal)</w:t>
            </w:r>
          </w:p>
          <w:p w14:paraId="2A34A92F" w14:textId="2843FC5A"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Challenging for all panelists to have the same frame of reference</w:t>
            </w:r>
            <w:r w:rsidR="002C7125">
              <w:rPr>
                <w:rFonts w:ascii="Times New Roman" w:hAnsi="Times New Roman" w:cs="Times New Roman"/>
                <w:sz w:val="20"/>
                <w:szCs w:val="20"/>
              </w:rPr>
              <w:t>, specifically</w:t>
            </w:r>
            <w:r w:rsidRPr="003A52ED">
              <w:rPr>
                <w:rFonts w:ascii="Times New Roman" w:hAnsi="Times New Roman" w:cs="Times New Roman"/>
                <w:sz w:val="20"/>
                <w:szCs w:val="20"/>
              </w:rPr>
              <w:t xml:space="preserve"> for MCGT</w:t>
            </w:r>
          </w:p>
          <w:p w14:paraId="414B2FC3"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Conceptualizing MCGT as trainee vs. early-career surgeon</w:t>
            </w:r>
          </w:p>
          <w:p w14:paraId="7C7434D0"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Challenging to conceptualize 'competent trainee' without relating to independent practice</w:t>
            </w:r>
          </w:p>
          <w:p w14:paraId="111AFBC3"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Conceptualizing MCGT as day-1 early-career surgeon</w:t>
            </w:r>
          </w:p>
          <w:p w14:paraId="53392667"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Focusing on the training period prior to graduation rather than post-training</w:t>
            </w:r>
          </w:p>
          <w:p w14:paraId="528330F5"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Perception that no one is going to be an expert in any case prior to graduation</w:t>
            </w:r>
          </w:p>
          <w:p w14:paraId="0DFA044B"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Historically, post-graduate surgeons had close apprenticeship / 'finishing school'</w:t>
            </w:r>
          </w:p>
          <w:p w14:paraId="4B836A31"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'Minimally competent' as 'I guess I'll graduate them'</w:t>
            </w:r>
          </w:p>
          <w:p w14:paraId="0B8DB571" w14:textId="09D6627E"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Perception that without a shared mental model</w:t>
            </w:r>
            <w:r w:rsidR="002C7125">
              <w:rPr>
                <w:rFonts w:ascii="Times New Roman" w:hAnsi="Times New Roman" w:cs="Times New Roman"/>
                <w:sz w:val="20"/>
                <w:szCs w:val="20"/>
              </w:rPr>
              <w:t xml:space="preserve"> </w:t>
            </w:r>
            <w:r w:rsidR="002C7125">
              <w:rPr>
                <w:rFonts w:ascii="Times New Roman" w:eastAsia="Times New Roman" w:hAnsi="Times New Roman" w:cs="Times New Roman"/>
                <w:sz w:val="20"/>
                <w:szCs w:val="20"/>
              </w:rPr>
              <w:t xml:space="preserve">of the minimally competent </w:t>
            </w:r>
            <w:r w:rsidR="002C7125">
              <w:rPr>
                <w:rFonts w:ascii="Times New Roman" w:eastAsia="Times New Roman" w:hAnsi="Times New Roman" w:cs="Times New Roman"/>
                <w:sz w:val="20"/>
                <w:szCs w:val="20"/>
              </w:rPr>
              <w:lastRenderedPageBreak/>
              <w:t>trainee</w:t>
            </w:r>
            <w:r w:rsidRPr="003A52ED">
              <w:rPr>
                <w:rFonts w:ascii="Times New Roman" w:hAnsi="Times New Roman" w:cs="Times New Roman"/>
                <w:sz w:val="20"/>
                <w:szCs w:val="20"/>
              </w:rPr>
              <w:t>, the standards will be meaningless</w:t>
            </w:r>
          </w:p>
          <w:p w14:paraId="56766925"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Importance of all panelists being on the same page and having a shared understanding of the task</w:t>
            </w:r>
          </w:p>
        </w:tc>
        <w:tc>
          <w:tcPr>
            <w:tcW w:w="38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17AC9A05"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lastRenderedPageBreak/>
              <w:t xml:space="preserve">P5: “"I think having a shared understanding of what is required is important. Because I think the first </w:t>
            </w:r>
            <w:proofErr w:type="gramStart"/>
            <w:r w:rsidRPr="003A52ED">
              <w:rPr>
                <w:rFonts w:ascii="Times New Roman" w:hAnsi="Times New Roman" w:cs="Times New Roman"/>
                <w:i/>
                <w:iCs/>
                <w:color w:val="000000" w:themeColor="text1"/>
                <w:sz w:val="20"/>
                <w:szCs w:val="20"/>
              </w:rPr>
              <w:t>time</w:t>
            </w:r>
            <w:proofErr w:type="gramEnd"/>
            <w:r w:rsidRPr="003A52ED">
              <w:rPr>
                <w:rFonts w:ascii="Times New Roman" w:hAnsi="Times New Roman" w:cs="Times New Roman"/>
                <w:i/>
                <w:iCs/>
                <w:color w:val="000000" w:themeColor="text1"/>
                <w:sz w:val="20"/>
                <w:szCs w:val="20"/>
              </w:rPr>
              <w:t xml:space="preserve"> I did this, I assumed people knew what we're doing, and then we ended up with very divergent like results, and that was a little problematic. So yes, that would be the thing. </w:t>
            </w:r>
            <w:proofErr w:type="gramStart"/>
            <w:r w:rsidRPr="003A52ED">
              <w:rPr>
                <w:rFonts w:ascii="Times New Roman" w:hAnsi="Times New Roman" w:cs="Times New Roman"/>
                <w:i/>
                <w:iCs/>
                <w:color w:val="000000" w:themeColor="text1"/>
                <w:sz w:val="20"/>
                <w:szCs w:val="20"/>
              </w:rPr>
              <w:t>So</w:t>
            </w:r>
            <w:proofErr w:type="gramEnd"/>
            <w:r w:rsidRPr="003A52ED">
              <w:rPr>
                <w:rFonts w:ascii="Times New Roman" w:hAnsi="Times New Roman" w:cs="Times New Roman"/>
                <w:i/>
                <w:iCs/>
                <w:color w:val="000000" w:themeColor="text1"/>
                <w:sz w:val="20"/>
                <w:szCs w:val="20"/>
              </w:rPr>
              <w:t xml:space="preserve"> I think what you're doing is right, getting everybody on the same page."</w:t>
            </w:r>
          </w:p>
          <w:p w14:paraId="539D62AB" w14:textId="77777777" w:rsidR="0023079D" w:rsidRPr="003A52ED" w:rsidRDefault="0023079D">
            <w:pPr>
              <w:rPr>
                <w:rFonts w:ascii="Times New Roman" w:hAnsi="Times New Roman" w:cs="Times New Roman"/>
                <w:i/>
                <w:iCs/>
                <w:color w:val="000000" w:themeColor="text1"/>
                <w:sz w:val="20"/>
                <w:szCs w:val="20"/>
              </w:rPr>
            </w:pPr>
          </w:p>
          <w:p w14:paraId="57DF2471"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 xml:space="preserve">P1: “Is it fair to ask that if this minimally competent trainee, I think about like an early career surgeon, like day one of practice, they can ask for help, right? I mean, we're not, unless you're a rural surgeon, like there's somebody you can ask for help. And </w:t>
            </w:r>
            <w:proofErr w:type="gramStart"/>
            <w:r w:rsidRPr="003A52ED">
              <w:rPr>
                <w:rFonts w:ascii="Times New Roman" w:hAnsi="Times New Roman" w:cs="Times New Roman"/>
                <w:i/>
                <w:iCs/>
                <w:color w:val="000000" w:themeColor="text1"/>
                <w:sz w:val="20"/>
                <w:szCs w:val="20"/>
              </w:rPr>
              <w:t>so</w:t>
            </w:r>
            <w:proofErr w:type="gramEnd"/>
            <w:r w:rsidRPr="003A52ED">
              <w:rPr>
                <w:rFonts w:ascii="Times New Roman" w:hAnsi="Times New Roman" w:cs="Times New Roman"/>
                <w:i/>
                <w:iCs/>
                <w:color w:val="000000" w:themeColor="text1"/>
                <w:sz w:val="20"/>
                <w:szCs w:val="20"/>
              </w:rPr>
              <w:t xml:space="preserve"> is it the probability that they… would our minimally competent surgeon would ask for help? Is that fair? Like, because, I mean, otherwise I'm going to say everyone should be 100% is what I'm struggling with.”</w:t>
            </w:r>
          </w:p>
          <w:p w14:paraId="2685F997" w14:textId="77777777" w:rsidR="0023079D" w:rsidRPr="003A52ED" w:rsidRDefault="0023079D">
            <w:pPr>
              <w:rPr>
                <w:rFonts w:ascii="Times New Roman" w:hAnsi="Times New Roman" w:cs="Times New Roman"/>
                <w:i/>
                <w:iCs/>
                <w:color w:val="000000" w:themeColor="text1"/>
                <w:sz w:val="20"/>
                <w:szCs w:val="20"/>
              </w:rPr>
            </w:pPr>
          </w:p>
          <w:p w14:paraId="7CC4D6F7"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 xml:space="preserve">P10: “I almost had in my mind what I </w:t>
            </w:r>
            <w:proofErr w:type="gramStart"/>
            <w:r w:rsidRPr="003A52ED">
              <w:rPr>
                <w:rFonts w:ascii="Times New Roman" w:hAnsi="Times New Roman" w:cs="Times New Roman"/>
                <w:i/>
                <w:iCs/>
                <w:color w:val="000000" w:themeColor="text1"/>
                <w:sz w:val="20"/>
                <w:szCs w:val="20"/>
              </w:rPr>
              <w:t>actually saw</w:t>
            </w:r>
            <w:proofErr w:type="gramEnd"/>
            <w:r w:rsidRPr="003A52ED">
              <w:rPr>
                <w:rFonts w:ascii="Times New Roman" w:hAnsi="Times New Roman" w:cs="Times New Roman"/>
                <w:i/>
                <w:iCs/>
                <w:color w:val="000000" w:themeColor="text1"/>
                <w:sz w:val="20"/>
                <w:szCs w:val="20"/>
              </w:rPr>
              <w:t xml:space="preserve"> in graduating chief residents, how often they can get through an entire </w:t>
            </w:r>
            <w:r w:rsidRPr="003A52ED">
              <w:rPr>
                <w:rFonts w:ascii="Times New Roman" w:hAnsi="Times New Roman" w:cs="Times New Roman"/>
                <w:i/>
                <w:iCs/>
                <w:color w:val="000000" w:themeColor="text1"/>
                <w:sz w:val="20"/>
                <w:szCs w:val="20"/>
              </w:rPr>
              <w:lastRenderedPageBreak/>
              <w:t>case without having me touch or say a single thing. Whereas the very last method is almost more of an expectation thing. I almost expect that every graduating resident should be able to get through 90% of those straightforward cases.”</w:t>
            </w:r>
          </w:p>
          <w:p w14:paraId="2677BC04" w14:textId="77777777" w:rsidR="0023079D" w:rsidRPr="003A52ED" w:rsidRDefault="0023079D">
            <w:pPr>
              <w:rPr>
                <w:rFonts w:ascii="Times New Roman" w:hAnsi="Times New Roman" w:cs="Times New Roman"/>
                <w:i/>
                <w:iCs/>
                <w:color w:val="000000" w:themeColor="text1"/>
                <w:sz w:val="20"/>
                <w:szCs w:val="20"/>
              </w:rPr>
            </w:pPr>
          </w:p>
          <w:p w14:paraId="5A74A9B6"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P4: “Because, realistically, nobody is going to be an expert in any cases they do when you consider the fact that, even for cholecystectomy, the average number they do is, I think around what 75 or 80 throughout the entire residency career…”</w:t>
            </w:r>
          </w:p>
        </w:tc>
      </w:tr>
      <w:tr w:rsidR="0023079D" w:rsidRPr="003A52ED" w14:paraId="4F7B3E37" w14:textId="77777777">
        <w:tc>
          <w:tcPr>
            <w:tcW w:w="1900" w:type="dxa"/>
            <w:vMerge/>
            <w:tcBorders>
              <w:top w:val="single" w:sz="6" w:space="0" w:color="999999"/>
              <w:left w:val="single" w:sz="6" w:space="0" w:color="999999"/>
              <w:bottom w:val="single" w:sz="6" w:space="0" w:color="999999"/>
              <w:right w:val="single" w:sz="6" w:space="0" w:color="999999"/>
            </w:tcBorders>
            <w:shd w:val="clear" w:color="auto" w:fill="D9E2F3"/>
            <w:tcMar>
              <w:top w:w="100" w:type="dxa"/>
              <w:left w:w="140" w:type="dxa"/>
              <w:bottom w:w="100" w:type="dxa"/>
              <w:right w:w="140" w:type="dxa"/>
            </w:tcMar>
          </w:tcPr>
          <w:p w14:paraId="2D76FD40" w14:textId="77777777" w:rsidR="0023079D" w:rsidRPr="003A52ED" w:rsidRDefault="0023079D">
            <w:pPr>
              <w:widowControl w:val="0"/>
              <w:pBdr>
                <w:top w:val="nil"/>
                <w:left w:val="nil"/>
                <w:bottom w:val="nil"/>
                <w:right w:val="nil"/>
                <w:between w:val="nil"/>
              </w:pBdr>
              <w:spacing w:line="276" w:lineRule="auto"/>
              <w:rPr>
                <w:rFonts w:ascii="Times New Roman" w:hAnsi="Times New Roman" w:cs="Times New Roman"/>
              </w:rPr>
            </w:pPr>
          </w:p>
        </w:tc>
        <w:tc>
          <w:tcPr>
            <w:tcW w:w="1700" w:type="dxa"/>
            <w:tcBorders>
              <w:top w:val="single" w:sz="6" w:space="0" w:color="999999"/>
              <w:left w:val="single" w:sz="6" w:space="0" w:color="999999"/>
              <w:bottom w:val="single" w:sz="6" w:space="0" w:color="999999"/>
              <w:right w:val="single" w:sz="6" w:space="0" w:color="999999"/>
            </w:tcBorders>
            <w:shd w:val="clear" w:color="auto" w:fill="FAFAFA"/>
            <w:tcMar>
              <w:top w:w="100" w:type="dxa"/>
              <w:left w:w="140" w:type="dxa"/>
              <w:bottom w:w="100" w:type="dxa"/>
              <w:right w:w="140" w:type="dxa"/>
            </w:tcMar>
          </w:tcPr>
          <w:p w14:paraId="48DE55AB" w14:textId="77777777" w:rsidR="0023079D" w:rsidRPr="003A52ED" w:rsidRDefault="00000000">
            <w:pPr>
              <w:jc w:val="center"/>
              <w:rPr>
                <w:rFonts w:ascii="Times New Roman" w:hAnsi="Times New Roman" w:cs="Times New Roman"/>
              </w:rPr>
            </w:pPr>
            <w:r w:rsidRPr="003A52ED">
              <w:rPr>
                <w:rFonts w:ascii="Times New Roman" w:hAnsi="Times New Roman" w:cs="Times New Roman"/>
                <w:color w:val="999999"/>
                <w:sz w:val="20"/>
                <w:szCs w:val="20"/>
              </w:rPr>
              <w:t>—</w:t>
            </w:r>
          </w:p>
        </w:tc>
        <w:tc>
          <w:tcPr>
            <w:tcW w:w="2400" w:type="dxa"/>
            <w:tcBorders>
              <w:top w:val="single" w:sz="6" w:space="0" w:color="999999"/>
              <w:left w:val="single" w:sz="6" w:space="0" w:color="999999"/>
              <w:bottom w:val="single" w:sz="6" w:space="0" w:color="999999"/>
              <w:right w:val="single" w:sz="6" w:space="0" w:color="999999"/>
            </w:tcBorders>
            <w:shd w:val="clear" w:color="auto" w:fill="F2F2F2"/>
            <w:tcMar>
              <w:top w:w="100" w:type="dxa"/>
              <w:left w:w="140" w:type="dxa"/>
              <w:bottom w:w="100" w:type="dxa"/>
              <w:right w:w="140" w:type="dxa"/>
            </w:tcMar>
          </w:tcPr>
          <w:p w14:paraId="14895DA9" w14:textId="77777777" w:rsidR="0023079D" w:rsidRPr="003A52ED" w:rsidRDefault="00000000">
            <w:pPr>
              <w:rPr>
                <w:rFonts w:ascii="Times New Roman" w:hAnsi="Times New Roman" w:cs="Times New Roman"/>
              </w:rPr>
            </w:pPr>
            <w:r w:rsidRPr="003A52ED">
              <w:rPr>
                <w:rFonts w:ascii="Times New Roman" w:hAnsi="Times New Roman" w:cs="Times New Roman"/>
                <w:b/>
                <w:bCs/>
                <w:sz w:val="20"/>
                <w:szCs w:val="20"/>
              </w:rPr>
              <w:t>Disease management vs. procedural competence</w:t>
            </w:r>
          </w:p>
        </w:tc>
        <w:tc>
          <w:tcPr>
            <w:tcW w:w="36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74DADC61"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Discussion of whether competence should be for disease management or specific operation</w:t>
            </w:r>
          </w:p>
          <w:p w14:paraId="0B457A17"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Question of whether someone needs to be competent in open AND laparoscopic, or just one</w:t>
            </w:r>
          </w:p>
          <w:p w14:paraId="036979C9" w14:textId="04941B61"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w:t>
            </w:r>
            <w:r w:rsidR="002C7125">
              <w:rPr>
                <w:rFonts w:ascii="Times New Roman" w:hAnsi="Times New Roman" w:cs="Times New Roman"/>
                <w:sz w:val="20"/>
                <w:szCs w:val="20"/>
              </w:rPr>
              <w:t>C</w:t>
            </w:r>
            <w:r w:rsidRPr="003A52ED">
              <w:rPr>
                <w:rFonts w:ascii="Times New Roman" w:hAnsi="Times New Roman" w:cs="Times New Roman"/>
                <w:sz w:val="20"/>
                <w:szCs w:val="20"/>
              </w:rPr>
              <w:t>ompetence in open technique as prerequisite when converting from MIS</w:t>
            </w:r>
          </w:p>
        </w:tc>
        <w:tc>
          <w:tcPr>
            <w:tcW w:w="38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0071B4B1"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P2: “...​​are you kind of treating the disease by a method that will help the patient, or is it this specific technique?”</w:t>
            </w:r>
          </w:p>
          <w:p w14:paraId="252DA545" w14:textId="77777777" w:rsidR="0023079D" w:rsidRPr="003A52ED" w:rsidRDefault="0023079D">
            <w:pPr>
              <w:rPr>
                <w:rFonts w:ascii="Times New Roman" w:hAnsi="Times New Roman" w:cs="Times New Roman"/>
                <w:i/>
                <w:iCs/>
                <w:color w:val="000000" w:themeColor="text1"/>
                <w:sz w:val="20"/>
                <w:szCs w:val="20"/>
              </w:rPr>
            </w:pPr>
          </w:p>
          <w:p w14:paraId="632A2008"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 xml:space="preserve">P7: “Because I think to some extent, people have like their preferred method for doing these, or whichever way they're more comfortable. And if you're going into practice, theoretically you're choosing which way you're more comfortable with. </w:t>
            </w:r>
            <w:proofErr w:type="gramStart"/>
            <w:r w:rsidRPr="003A52ED">
              <w:rPr>
                <w:rFonts w:ascii="Times New Roman" w:hAnsi="Times New Roman" w:cs="Times New Roman"/>
                <w:i/>
                <w:iCs/>
                <w:color w:val="000000" w:themeColor="text1"/>
                <w:sz w:val="20"/>
                <w:szCs w:val="20"/>
              </w:rPr>
              <w:t>So</w:t>
            </w:r>
            <w:proofErr w:type="gramEnd"/>
            <w:r w:rsidRPr="003A52ED">
              <w:rPr>
                <w:rFonts w:ascii="Times New Roman" w:hAnsi="Times New Roman" w:cs="Times New Roman"/>
                <w:i/>
                <w:iCs/>
                <w:color w:val="000000" w:themeColor="text1"/>
                <w:sz w:val="20"/>
                <w:szCs w:val="20"/>
              </w:rPr>
              <w:t xml:space="preserve"> I did struggle with that a little bit where I was like, well, if someone graduates with a way of repairing this, then I don't really care if they're good at the other way. They don't need to be fully competent at both ways. They could be competent with one way.”</w:t>
            </w:r>
          </w:p>
          <w:p w14:paraId="621BC1B0" w14:textId="77777777" w:rsidR="0023079D" w:rsidRPr="003A52ED" w:rsidRDefault="0023079D">
            <w:pPr>
              <w:rPr>
                <w:rFonts w:ascii="Times New Roman" w:hAnsi="Times New Roman" w:cs="Times New Roman"/>
                <w:i/>
                <w:iCs/>
                <w:color w:val="000000" w:themeColor="text1"/>
                <w:sz w:val="20"/>
                <w:szCs w:val="20"/>
              </w:rPr>
            </w:pPr>
          </w:p>
          <w:p w14:paraId="5DE258F3" w14:textId="77777777" w:rsidR="0023079D" w:rsidRPr="003A52ED" w:rsidRDefault="00000000">
            <w:pPr>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P2: “I can live with them, you know, having a low probability of practice ready performance on laparoscopic splenectomy If I know they can remove a spleen safely by an open technique”</w:t>
            </w:r>
          </w:p>
        </w:tc>
      </w:tr>
      <w:tr w:rsidR="0023079D" w:rsidRPr="003A52ED" w14:paraId="6A42E000" w14:textId="77777777">
        <w:tc>
          <w:tcPr>
            <w:tcW w:w="1900" w:type="dxa"/>
            <w:vMerge/>
            <w:tcBorders>
              <w:top w:val="single" w:sz="6" w:space="0" w:color="999999"/>
              <w:left w:val="single" w:sz="6" w:space="0" w:color="999999"/>
              <w:bottom w:val="single" w:sz="6" w:space="0" w:color="999999"/>
              <w:right w:val="single" w:sz="6" w:space="0" w:color="999999"/>
            </w:tcBorders>
            <w:shd w:val="clear" w:color="auto" w:fill="D9E2F3"/>
            <w:tcMar>
              <w:top w:w="100" w:type="dxa"/>
              <w:left w:w="140" w:type="dxa"/>
              <w:bottom w:w="100" w:type="dxa"/>
              <w:right w:w="140" w:type="dxa"/>
            </w:tcMar>
          </w:tcPr>
          <w:p w14:paraId="460E98F3" w14:textId="77777777" w:rsidR="0023079D" w:rsidRPr="003A52ED" w:rsidRDefault="0023079D">
            <w:pPr>
              <w:widowControl w:val="0"/>
              <w:pBdr>
                <w:top w:val="nil"/>
                <w:left w:val="nil"/>
                <w:bottom w:val="nil"/>
                <w:right w:val="nil"/>
                <w:between w:val="nil"/>
              </w:pBdr>
              <w:spacing w:line="276" w:lineRule="auto"/>
              <w:rPr>
                <w:rFonts w:ascii="Times New Roman" w:hAnsi="Times New Roman" w:cs="Times New Roman"/>
              </w:rPr>
            </w:pPr>
          </w:p>
        </w:tc>
        <w:tc>
          <w:tcPr>
            <w:tcW w:w="1700" w:type="dxa"/>
            <w:tcBorders>
              <w:top w:val="single" w:sz="6" w:space="0" w:color="999999"/>
              <w:left w:val="single" w:sz="6" w:space="0" w:color="999999"/>
              <w:bottom w:val="single" w:sz="6" w:space="0" w:color="999999"/>
              <w:right w:val="single" w:sz="6" w:space="0" w:color="999999"/>
            </w:tcBorders>
            <w:shd w:val="clear" w:color="auto" w:fill="FAFAFA"/>
            <w:tcMar>
              <w:top w:w="100" w:type="dxa"/>
              <w:left w:w="140" w:type="dxa"/>
              <w:bottom w:w="100" w:type="dxa"/>
              <w:right w:w="140" w:type="dxa"/>
            </w:tcMar>
          </w:tcPr>
          <w:p w14:paraId="390E7B5E" w14:textId="77777777" w:rsidR="0023079D" w:rsidRPr="003A52ED" w:rsidRDefault="00000000">
            <w:pPr>
              <w:jc w:val="center"/>
              <w:rPr>
                <w:rFonts w:ascii="Times New Roman" w:hAnsi="Times New Roman" w:cs="Times New Roman"/>
              </w:rPr>
            </w:pPr>
            <w:r w:rsidRPr="003A52ED">
              <w:rPr>
                <w:rFonts w:ascii="Times New Roman" w:hAnsi="Times New Roman" w:cs="Times New Roman"/>
                <w:color w:val="999999"/>
                <w:sz w:val="20"/>
                <w:szCs w:val="20"/>
              </w:rPr>
              <w:t>—</w:t>
            </w:r>
          </w:p>
        </w:tc>
        <w:tc>
          <w:tcPr>
            <w:tcW w:w="2400" w:type="dxa"/>
            <w:tcBorders>
              <w:top w:val="single" w:sz="6" w:space="0" w:color="999999"/>
              <w:left w:val="single" w:sz="6" w:space="0" w:color="999999"/>
              <w:bottom w:val="single" w:sz="6" w:space="0" w:color="999999"/>
              <w:right w:val="single" w:sz="6" w:space="0" w:color="999999"/>
            </w:tcBorders>
            <w:shd w:val="clear" w:color="auto" w:fill="F2F2F2"/>
            <w:tcMar>
              <w:top w:w="100" w:type="dxa"/>
              <w:left w:w="140" w:type="dxa"/>
              <w:bottom w:w="100" w:type="dxa"/>
              <w:right w:w="140" w:type="dxa"/>
            </w:tcMar>
          </w:tcPr>
          <w:p w14:paraId="7B9F9DDC" w14:textId="77777777" w:rsidR="0023079D" w:rsidRPr="003A52ED" w:rsidRDefault="00000000">
            <w:pPr>
              <w:rPr>
                <w:rFonts w:ascii="Times New Roman" w:hAnsi="Times New Roman" w:cs="Times New Roman"/>
              </w:rPr>
            </w:pPr>
            <w:r w:rsidRPr="003A52ED">
              <w:rPr>
                <w:rFonts w:ascii="Times New Roman" w:hAnsi="Times New Roman" w:cs="Times New Roman"/>
                <w:b/>
                <w:bCs/>
                <w:sz w:val="20"/>
                <w:szCs w:val="20"/>
              </w:rPr>
              <w:t>Case complexity and training variation</w:t>
            </w:r>
          </w:p>
        </w:tc>
        <w:tc>
          <w:tcPr>
            <w:tcW w:w="36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35780386" w14:textId="1F82B938"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Challenging to incorporate </w:t>
            </w:r>
            <w:r w:rsidR="00721C11">
              <w:rPr>
                <w:rFonts w:ascii="Times New Roman" w:eastAsia="Times New Roman" w:hAnsi="Times New Roman" w:cs="Times New Roman"/>
                <w:sz w:val="20"/>
                <w:szCs w:val="20"/>
              </w:rPr>
              <w:t>varying complexity of cases</w:t>
            </w:r>
          </w:p>
          <w:p w14:paraId="582BF63B"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Decision — conceptualize a probability of a straightforward case</w:t>
            </w:r>
          </w:p>
          <w:p w14:paraId="29922B5F" w14:textId="7A9CF053"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Acknowledgement that there isn't an even distribution </w:t>
            </w:r>
            <w:r w:rsidR="00721C11">
              <w:rPr>
                <w:rFonts w:ascii="Times New Roman" w:hAnsi="Times New Roman" w:cs="Times New Roman"/>
                <w:sz w:val="20"/>
                <w:szCs w:val="20"/>
              </w:rPr>
              <w:t>across</w:t>
            </w:r>
            <w:r w:rsidRPr="003A52ED">
              <w:rPr>
                <w:rFonts w:ascii="Times New Roman" w:hAnsi="Times New Roman" w:cs="Times New Roman"/>
                <w:sz w:val="20"/>
                <w:szCs w:val="20"/>
              </w:rPr>
              <w:t xml:space="preserve"> case exposure </w:t>
            </w:r>
            <w:r w:rsidR="00721C11">
              <w:rPr>
                <w:rFonts w:ascii="Times New Roman" w:hAnsi="Times New Roman" w:cs="Times New Roman"/>
                <w:sz w:val="20"/>
                <w:szCs w:val="20"/>
              </w:rPr>
              <w:t>for all</w:t>
            </w:r>
            <w:r w:rsidRPr="003A52ED">
              <w:rPr>
                <w:rFonts w:ascii="Times New Roman" w:hAnsi="Times New Roman" w:cs="Times New Roman"/>
                <w:sz w:val="20"/>
                <w:szCs w:val="20"/>
              </w:rPr>
              <w:t xml:space="preserve"> PGY levels</w:t>
            </w:r>
          </w:p>
          <w:p w14:paraId="6796B19A" w14:textId="398053B4"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As</w:t>
            </w:r>
            <w:r w:rsidR="00721C11">
              <w:rPr>
                <w:rFonts w:ascii="Times New Roman" w:eastAsia="Times New Roman" w:hAnsi="Times New Roman" w:cs="Times New Roman"/>
                <w:sz w:val="20"/>
                <w:szCs w:val="20"/>
              </w:rPr>
              <w:t xml:space="preserve"> you get closer to graduation, more limited exposure to getting a SIMPL rating for some procedures</w:t>
            </w:r>
          </w:p>
          <w:p w14:paraId="1B2855D6" w14:textId="671D619B"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xml:space="preserve">• Perception that the significant variation </w:t>
            </w:r>
            <w:r w:rsidR="00721C11">
              <w:rPr>
                <w:rFonts w:ascii="Times New Roman" w:eastAsia="Times New Roman" w:hAnsi="Times New Roman" w:cs="Times New Roman"/>
                <w:sz w:val="20"/>
                <w:szCs w:val="20"/>
              </w:rPr>
              <w:t>that does exist in training is a huge concern</w:t>
            </w:r>
          </w:p>
          <w:p w14:paraId="7571B400" w14:textId="77777777" w:rsidR="0023079D" w:rsidRPr="003A52ED" w:rsidRDefault="00000000">
            <w:pPr>
              <w:spacing w:after="40"/>
              <w:rPr>
                <w:rFonts w:ascii="Times New Roman" w:hAnsi="Times New Roman" w:cs="Times New Roman"/>
                <w:sz w:val="20"/>
                <w:szCs w:val="20"/>
              </w:rPr>
            </w:pPr>
            <w:r w:rsidRPr="003A52ED">
              <w:rPr>
                <w:rFonts w:ascii="Times New Roman" w:hAnsi="Times New Roman" w:cs="Times New Roman"/>
                <w:sz w:val="20"/>
                <w:szCs w:val="20"/>
              </w:rPr>
              <w:t>• Importance of considering and acknowledging the variation around the standard</w:t>
            </w:r>
          </w:p>
        </w:tc>
        <w:tc>
          <w:tcPr>
            <w:tcW w:w="3800" w:type="dxa"/>
            <w:tcBorders>
              <w:top w:val="single" w:sz="6" w:space="0" w:color="999999"/>
              <w:left w:val="single" w:sz="6" w:space="0" w:color="999999"/>
              <w:bottom w:val="single" w:sz="6" w:space="0" w:color="999999"/>
              <w:right w:val="single" w:sz="6" w:space="0" w:color="999999"/>
            </w:tcBorders>
            <w:tcMar>
              <w:top w:w="100" w:type="dxa"/>
              <w:left w:w="140" w:type="dxa"/>
              <w:bottom w:w="100" w:type="dxa"/>
              <w:right w:w="140" w:type="dxa"/>
            </w:tcMar>
          </w:tcPr>
          <w:p w14:paraId="26136C39" w14:textId="77777777" w:rsidR="0023079D" w:rsidRPr="003A52ED" w:rsidRDefault="00000000">
            <w:pPr>
              <w:spacing w:after="80"/>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P3: “I think about like one trainee and 100 cases that they may encounter, and those 100 cases are going to be highly variable. And so the likelihood tomorrow that this kind of minimally competent surgeon is going to have a total chip shot hernia repair, a chip shot gallbladder, versus this nasty, horrible catastrophe that is going to be a huge struggle bus and so, so I'm kind of balancing the like that in a specific individual right, because if it's against that really difficult, challenging gallbladder or ventral hernia repair or abdominal exploration versus a pretty easy, straightforward thing, you know, it changes.”</w:t>
            </w:r>
          </w:p>
          <w:p w14:paraId="522B82B9" w14:textId="77777777" w:rsidR="0023079D" w:rsidRPr="003A52ED" w:rsidRDefault="00000000">
            <w:pPr>
              <w:spacing w:after="80"/>
              <w:rPr>
                <w:rFonts w:ascii="Times New Roman" w:hAnsi="Times New Roman" w:cs="Times New Roman"/>
                <w:i/>
                <w:iCs/>
                <w:color w:val="000000" w:themeColor="text1"/>
                <w:sz w:val="20"/>
                <w:szCs w:val="20"/>
              </w:rPr>
            </w:pPr>
            <w:r w:rsidRPr="003A52ED">
              <w:rPr>
                <w:rFonts w:ascii="Times New Roman" w:hAnsi="Times New Roman" w:cs="Times New Roman"/>
                <w:i/>
                <w:iCs/>
                <w:color w:val="000000" w:themeColor="text1"/>
                <w:sz w:val="20"/>
                <w:szCs w:val="20"/>
              </w:rPr>
              <w:t>P1: “I think it’s also important to acknowledge the variation in training too, right? So, like our ACS service in my residency did a ton of open thoracostomies and open thoracotomies, and they did their own VATS and everything, you know, but that's not true everywhere, like in [my program], actually, I don't think our residents do very many of those at all on the ACS service. So that's another source of noise I would say in this too. Yeah, our own, the raters’, kind of personal experience.”</w:t>
            </w:r>
          </w:p>
        </w:tc>
      </w:tr>
    </w:tbl>
    <w:p w14:paraId="22985650" w14:textId="77777777" w:rsidR="0023079D" w:rsidRPr="003A52ED" w:rsidRDefault="0023079D">
      <w:pPr>
        <w:spacing w:before="240"/>
        <w:rPr>
          <w:rFonts w:ascii="Times New Roman" w:hAnsi="Times New Roman" w:cs="Times New Roman"/>
        </w:rPr>
      </w:pPr>
    </w:p>
    <w:p w14:paraId="49340DA2" w14:textId="77777777" w:rsidR="0023079D" w:rsidRPr="003A52ED" w:rsidRDefault="00000000">
      <w:pPr>
        <w:spacing w:after="80"/>
        <w:rPr>
          <w:rFonts w:ascii="Times New Roman" w:hAnsi="Times New Roman" w:cs="Times New Roman"/>
        </w:rPr>
      </w:pPr>
      <w:r w:rsidRPr="003A52ED">
        <w:rPr>
          <w:rFonts w:ascii="Times New Roman" w:hAnsi="Times New Roman" w:cs="Times New Roman"/>
          <w:b/>
          <w:bCs/>
          <w:sz w:val="18"/>
          <w:szCs w:val="18"/>
        </w:rPr>
        <w:t xml:space="preserve">Abbreviations: </w:t>
      </w:r>
      <w:r w:rsidRPr="003A52ED">
        <w:rPr>
          <w:rFonts w:ascii="Times New Roman" w:hAnsi="Times New Roman" w:cs="Times New Roman"/>
          <w:sz w:val="18"/>
          <w:szCs w:val="18"/>
        </w:rPr>
        <w:t>MCGT = minimally competent graduating trainee; MIS = minimally invasive surgery; PGY = post-graduate year; SIMPL = Society for Improving Medical Professional Learning; WBA = workplace-based assessment.</w:t>
      </w:r>
    </w:p>
    <w:p w14:paraId="6CFBE022" w14:textId="38F9D547" w:rsidR="0023079D" w:rsidRPr="003A52ED" w:rsidRDefault="00721C11">
      <w:pPr>
        <w:spacing w:after="120" w:line="300" w:lineRule="auto"/>
        <w:rPr>
          <w:rFonts w:ascii="Times New Roman" w:hAnsi="Times New Roman" w:cs="Times New Roman"/>
          <w:color w:val="000000" w:themeColor="text1"/>
        </w:rPr>
      </w:pPr>
      <w:r>
        <w:rPr>
          <w:rFonts w:ascii="Times New Roman" w:hAnsi="Times New Roman" w:cs="Times New Roman"/>
          <w:i/>
          <w:iCs/>
          <w:color w:val="000000" w:themeColor="text1"/>
          <w:sz w:val="20"/>
          <w:szCs w:val="20"/>
        </w:rPr>
        <w:t xml:space="preserve">The full codebook is provided as Appendix 5. </w:t>
      </w:r>
      <w:r w:rsidR="00000000" w:rsidRPr="003A52ED">
        <w:rPr>
          <w:rFonts w:ascii="Times New Roman" w:hAnsi="Times New Roman" w:cs="Times New Roman"/>
          <w:i/>
          <w:iCs/>
          <w:color w:val="000000" w:themeColor="text1"/>
          <w:sz w:val="20"/>
          <w:szCs w:val="20"/>
        </w:rPr>
        <w:t xml:space="preserve">The completed SRQR checklist for this study is provided as </w:t>
      </w:r>
      <w:r w:rsidR="003A52ED" w:rsidRPr="003A52ED">
        <w:rPr>
          <w:rFonts w:ascii="Times New Roman" w:hAnsi="Times New Roman" w:cs="Times New Roman"/>
          <w:i/>
          <w:iCs/>
          <w:color w:val="000000" w:themeColor="text1"/>
          <w:sz w:val="20"/>
          <w:szCs w:val="20"/>
        </w:rPr>
        <w:t>Appendix</w:t>
      </w:r>
      <w:r>
        <w:rPr>
          <w:rFonts w:ascii="Times New Roman" w:hAnsi="Times New Roman" w:cs="Times New Roman"/>
          <w:i/>
          <w:iCs/>
          <w:color w:val="000000" w:themeColor="text1"/>
          <w:sz w:val="20"/>
          <w:szCs w:val="20"/>
        </w:rPr>
        <w:t xml:space="preserve"> </w:t>
      </w:r>
      <w:r w:rsidR="009E7588">
        <w:rPr>
          <w:rFonts w:ascii="Times New Roman" w:hAnsi="Times New Roman" w:cs="Times New Roman"/>
          <w:i/>
          <w:iCs/>
          <w:color w:val="000000" w:themeColor="text1"/>
          <w:sz w:val="20"/>
          <w:szCs w:val="20"/>
        </w:rPr>
        <w:t>6</w:t>
      </w:r>
      <w:r w:rsidR="003A52ED" w:rsidRPr="003A52ED">
        <w:rPr>
          <w:rFonts w:ascii="Times New Roman" w:hAnsi="Times New Roman" w:cs="Times New Roman"/>
          <w:i/>
          <w:iCs/>
          <w:color w:val="000000" w:themeColor="text1"/>
          <w:sz w:val="20"/>
          <w:szCs w:val="20"/>
        </w:rPr>
        <w:t>.</w:t>
      </w:r>
    </w:p>
    <w:sectPr w:rsidR="0023079D" w:rsidRPr="003A52ED">
      <w:pgSz w:w="15840" w:h="12240" w:orient="landscape"/>
      <w:pgMar w:top="1080" w:right="1080" w:bottom="108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49893C30-46EF-C846-940B-81066FF02BB3}"/>
  </w:font>
  <w:font w:name="Times New Roman">
    <w:panose1 w:val="02020603050405020304"/>
    <w:charset w:val="00"/>
    <w:family w:val="roman"/>
    <w:pitch w:val="variable"/>
    <w:sig w:usb0="E0002EFF" w:usb1="C000785B" w:usb2="00000009" w:usb3="00000000" w:csb0="000001FF" w:csb1="00000000"/>
    <w:embedRegular r:id="rId2" w:fontKey="{22D387AF-B969-C14B-887C-0B4E83C1EAB2}"/>
    <w:embedBold r:id="rId3" w:fontKey="{B69D0574-D8DE-E84A-BCCE-C4BD4718DF24}"/>
    <w:embedItalic r:id="rId4" w:fontKey="{C8C0FA70-83FC-D045-B123-1377494D1D93}"/>
  </w:font>
  <w:font w:name="Courier New">
    <w:panose1 w:val="02070309020205020404"/>
    <w:charset w:val="00"/>
    <w:family w:val="modern"/>
    <w:pitch w:val="fixed"/>
    <w:sig w:usb0="E0002EFF" w:usb1="C0007843" w:usb2="00000009" w:usb3="00000000" w:csb0="000001FF" w:csb1="00000000"/>
    <w:embedRegular r:id="rId5" w:fontKey="{A8A4A667-028E-114E-9A3C-E5D5FA5942DA}"/>
  </w:font>
  <w:font w:name="Wingdings">
    <w:panose1 w:val="05000000000000000000"/>
    <w:charset w:val="4D"/>
    <w:family w:val="decorative"/>
    <w:pitch w:val="variable"/>
    <w:sig w:usb0="00000003" w:usb1="00000000" w:usb2="00000000" w:usb3="00000000" w:csb0="80000001" w:csb1="00000000"/>
    <w:embedRegular r:id="rId6" w:fontKey="{77C839C2-980B-9D47-A8A3-0BDE864BD875}"/>
  </w:font>
  <w:font w:name="Calibri">
    <w:panose1 w:val="020F0502020204030204"/>
    <w:charset w:val="00"/>
    <w:family w:val="swiss"/>
    <w:pitch w:val="variable"/>
    <w:sig w:usb0="E0002AFF" w:usb1="C000ACFF" w:usb2="00000009" w:usb3="00000000" w:csb0="000001FF" w:csb1="00000000"/>
    <w:embedRegular r:id="rId7" w:fontKey="{35F056C7-5360-E04E-8818-F59C01A89C58}"/>
    <w:embedBold r:id="rId8" w:fontKey="{F1B4AE00-F5D5-8541-B281-368F02C9271B}"/>
    <w:embedItalic r:id="rId9" w:fontKey="{DE0017A9-DEFC-3E41-B0EB-AA7B56A0A7F2}"/>
  </w:font>
  <w:font w:name="Georgia">
    <w:panose1 w:val="02040502050405020303"/>
    <w:charset w:val="00"/>
    <w:family w:val="roman"/>
    <w:pitch w:val="variable"/>
    <w:sig w:usb0="00000287" w:usb1="00000000" w:usb2="00000000" w:usb3="00000000" w:csb0="0000009F" w:csb1="00000000"/>
    <w:embedItalic r:id="rId10" w:fontKey="{03584E6D-26CC-7942-BFF3-C3AC0AAAA126}"/>
  </w:font>
  <w:font w:name="Cambria">
    <w:panose1 w:val="02040503050406030204"/>
    <w:charset w:val="00"/>
    <w:family w:val="roman"/>
    <w:pitch w:val="variable"/>
    <w:sig w:usb0="E00002FF" w:usb1="400004FF" w:usb2="00000000" w:usb3="00000000" w:csb0="0000019F" w:csb1="00000000"/>
    <w:embedRegular r:id="rId11" w:fontKey="{CFB8C184-A7F7-5642-9C31-71CDC5B95F7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C45B94"/>
    <w:multiLevelType w:val="hybridMultilevel"/>
    <w:tmpl w:val="280476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226124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79D"/>
    <w:rsid w:val="0023079D"/>
    <w:rsid w:val="002C7125"/>
    <w:rsid w:val="003A52ED"/>
    <w:rsid w:val="00566952"/>
    <w:rsid w:val="00721C11"/>
    <w:rsid w:val="007C0043"/>
    <w:rsid w:val="00845383"/>
    <w:rsid w:val="008F655D"/>
    <w:rsid w:val="009E7588"/>
    <w:rsid w:val="00B83EED"/>
    <w:rsid w:val="00C9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2F98EF"/>
  <w15:docId w15:val="{582F4FA3-89C4-594A-957A-655C453C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20" w:after="160"/>
      <w:outlineLvl w:val="0"/>
    </w:pPr>
    <w:rPr>
      <w:b/>
      <w:bCs/>
      <w:color w:val="1F3864"/>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spacing w:before="240" w:after="120"/>
      <w:outlineLvl w:val="1"/>
    </w:pPr>
    <w:rPr>
      <w:b/>
      <w:bCs/>
      <w:color w:val="2E5597"/>
      <w:sz w:val="24"/>
      <w:szCs w:val="24"/>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2C71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1774</Words>
  <Characters>10934</Characters>
  <Application>Microsoft Office Word</Application>
  <DocSecurity>0</DocSecurity>
  <Lines>158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Pradarelli, Alyssa</cp:lastModifiedBy>
  <cp:revision>3</cp:revision>
  <dcterms:created xsi:type="dcterms:W3CDTF">2026-09-22T03:04:00Z</dcterms:created>
  <dcterms:modified xsi:type="dcterms:W3CDTF">2026-09-22T03:20:00Z</dcterms:modified>
</cp:coreProperties>
</file>