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3D5D55" w14:textId="006314CE" w:rsidR="00E91069" w:rsidRDefault="00000000">
      <w:pPr>
        <w:spacing w:after="120"/>
        <w:rPr>
          <w:rFonts w:ascii="Times New Roman" w:eastAsia="Times New Roman" w:hAnsi="Times New Roman" w:cs="Times New Roman"/>
        </w:rPr>
      </w:pPr>
      <w:r>
        <w:rPr>
          <w:rFonts w:ascii="Times New Roman" w:eastAsia="Times New Roman" w:hAnsi="Times New Roman" w:cs="Times New Roman"/>
          <w:b/>
          <w:bCs/>
          <w:sz w:val="28"/>
          <w:szCs w:val="28"/>
        </w:rPr>
        <w:t xml:space="preserve">Appendix </w:t>
      </w:r>
      <w:r w:rsidR="009E36E9">
        <w:rPr>
          <w:rFonts w:ascii="Times New Roman" w:eastAsia="Times New Roman" w:hAnsi="Times New Roman" w:cs="Times New Roman"/>
          <w:b/>
          <w:bCs/>
          <w:sz w:val="28"/>
          <w:szCs w:val="28"/>
        </w:rPr>
        <w:t>5</w:t>
      </w:r>
      <w:r>
        <w:rPr>
          <w:rFonts w:ascii="Times New Roman" w:eastAsia="Times New Roman" w:hAnsi="Times New Roman" w:cs="Times New Roman"/>
          <w:b/>
          <w:bCs/>
          <w:sz w:val="28"/>
          <w:szCs w:val="28"/>
        </w:rPr>
        <w:t>.</w:t>
      </w:r>
      <w:r w:rsidR="004F3CF3">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Codebook</w:t>
      </w:r>
    </w:p>
    <w:p w14:paraId="4E34C677" w14:textId="7BF0EB7E" w:rsidR="00E91069" w:rsidRDefault="004F3CF3" w:rsidP="004F3CF3">
      <w:pPr>
        <w:spacing w:before="200" w:after="80"/>
        <w:rPr>
          <w:rFonts w:ascii="Times New Roman" w:eastAsia="Times New Roman" w:hAnsi="Times New Roman" w:cs="Times New Roman"/>
        </w:rPr>
      </w:pPr>
      <w:r>
        <w:rPr>
          <w:rFonts w:ascii="Times New Roman" w:eastAsia="Times New Roman" w:hAnsi="Times New Roman" w:cs="Times New Roman"/>
          <w:b/>
          <w:bCs/>
          <w:sz w:val="24"/>
          <w:szCs w:val="24"/>
        </w:rPr>
        <w:t>Theme 1. Feedback on specific methods</w:t>
      </w:r>
    </w:p>
    <w:tbl>
      <w:tblPr>
        <w:tblStyle w:val="a"/>
        <w:tblW w:w="13610" w:type="dxa"/>
        <w:tblInd w:w="-115" w:type="dxa"/>
        <w:tblLayout w:type="fixed"/>
        <w:tblLook w:val="0400" w:firstRow="0" w:lastRow="0" w:firstColumn="0" w:lastColumn="0" w:noHBand="0" w:noVBand="1"/>
      </w:tblPr>
      <w:tblGrid>
        <w:gridCol w:w="3350"/>
        <w:gridCol w:w="5130"/>
        <w:gridCol w:w="5130"/>
      </w:tblGrid>
      <w:tr w:rsidR="00E67803" w14:paraId="4BFEA685" w14:textId="2C588582" w:rsidTr="00E67803">
        <w:tc>
          <w:tcPr>
            <w:tcW w:w="3350" w:type="dxa"/>
            <w:tcBorders>
              <w:top w:val="single" w:sz="4" w:space="0" w:color="888888"/>
              <w:left w:val="single" w:sz="4" w:space="0" w:color="888888"/>
              <w:bottom w:val="single" w:sz="4" w:space="0" w:color="888888"/>
              <w:right w:val="single" w:sz="4" w:space="0" w:color="888888"/>
            </w:tcBorders>
            <w:shd w:val="clear" w:color="auto" w:fill="D9D9D9"/>
          </w:tcPr>
          <w:p w14:paraId="59AE9B58"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b/>
                <w:bCs/>
                <w:sz w:val="20"/>
                <w:szCs w:val="20"/>
              </w:rPr>
              <w:t>Code</w:t>
            </w:r>
          </w:p>
        </w:tc>
        <w:tc>
          <w:tcPr>
            <w:tcW w:w="5130" w:type="dxa"/>
            <w:tcBorders>
              <w:top w:val="single" w:sz="4" w:space="0" w:color="888888"/>
              <w:left w:val="single" w:sz="4" w:space="0" w:color="888888"/>
              <w:bottom w:val="single" w:sz="4" w:space="0" w:color="888888"/>
              <w:right w:val="single" w:sz="4" w:space="0" w:color="888888"/>
            </w:tcBorders>
            <w:shd w:val="clear" w:color="auto" w:fill="D9D9D9"/>
          </w:tcPr>
          <w:p w14:paraId="1A8A7030"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b/>
                <w:bCs/>
                <w:sz w:val="20"/>
                <w:szCs w:val="20"/>
              </w:rPr>
              <w:t>Code definition</w:t>
            </w:r>
          </w:p>
        </w:tc>
        <w:tc>
          <w:tcPr>
            <w:tcW w:w="5130" w:type="dxa"/>
            <w:tcBorders>
              <w:top w:val="single" w:sz="4" w:space="0" w:color="888888"/>
              <w:left w:val="single" w:sz="4" w:space="0" w:color="888888"/>
              <w:bottom w:val="single" w:sz="4" w:space="0" w:color="888888"/>
              <w:right w:val="single" w:sz="4" w:space="0" w:color="888888"/>
            </w:tcBorders>
            <w:shd w:val="clear" w:color="auto" w:fill="D9D9D9"/>
          </w:tcPr>
          <w:p w14:paraId="5B0685D8" w14:textId="6226A9FD" w:rsidR="00E67803" w:rsidRDefault="00E67803">
            <w:pPr>
              <w:spacing w:after="4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Illustrative Quote</w:t>
            </w:r>
          </w:p>
        </w:tc>
      </w:tr>
      <w:tr w:rsidR="00E67803" w14:paraId="5BE16EE8" w14:textId="2449A376" w:rsidTr="00E67803">
        <w:tc>
          <w:tcPr>
            <w:tcW w:w="8480" w:type="dxa"/>
            <w:gridSpan w:val="2"/>
            <w:tcBorders>
              <w:top w:val="single" w:sz="4" w:space="0" w:color="888888"/>
              <w:left w:val="single" w:sz="4" w:space="0" w:color="888888"/>
              <w:bottom w:val="single" w:sz="4" w:space="0" w:color="888888"/>
              <w:right w:val="single" w:sz="4" w:space="0" w:color="888888"/>
            </w:tcBorders>
            <w:shd w:val="clear" w:color="auto" w:fill="EAEAEA"/>
          </w:tcPr>
          <w:p w14:paraId="0347284B" w14:textId="77777777" w:rsidR="00E67803" w:rsidRDefault="00E67803">
            <w:pPr>
              <w:spacing w:after="40"/>
              <w:rPr>
                <w:rFonts w:ascii="Times New Roman" w:eastAsia="Times New Roman" w:hAnsi="Times New Roman" w:cs="Times New Roman"/>
              </w:rPr>
            </w:pPr>
            <w:proofErr w:type="spellStart"/>
            <w:r>
              <w:rPr>
                <w:rFonts w:ascii="Times New Roman" w:eastAsia="Times New Roman" w:hAnsi="Times New Roman" w:cs="Times New Roman"/>
                <w:b/>
                <w:bCs/>
                <w:i/>
                <w:iCs/>
                <w:sz w:val="20"/>
                <w:szCs w:val="20"/>
              </w:rPr>
              <w:t>Angoff</w:t>
            </w:r>
            <w:proofErr w:type="spellEnd"/>
          </w:p>
        </w:tc>
        <w:tc>
          <w:tcPr>
            <w:tcW w:w="5130" w:type="dxa"/>
            <w:tcBorders>
              <w:top w:val="single" w:sz="4" w:space="0" w:color="888888"/>
              <w:left w:val="single" w:sz="4" w:space="0" w:color="888888"/>
              <w:bottom w:val="single" w:sz="4" w:space="0" w:color="888888"/>
              <w:right w:val="single" w:sz="4" w:space="0" w:color="888888"/>
            </w:tcBorders>
            <w:shd w:val="clear" w:color="auto" w:fill="EAEAEA"/>
          </w:tcPr>
          <w:p w14:paraId="3810A03D" w14:textId="77777777" w:rsidR="00E67803" w:rsidRDefault="00E67803">
            <w:pPr>
              <w:spacing w:after="40"/>
              <w:rPr>
                <w:rFonts w:ascii="Times New Roman" w:eastAsia="Times New Roman" w:hAnsi="Times New Roman" w:cs="Times New Roman"/>
                <w:b/>
                <w:bCs/>
                <w:i/>
                <w:iCs/>
                <w:sz w:val="20"/>
                <w:szCs w:val="20"/>
              </w:rPr>
            </w:pPr>
          </w:p>
        </w:tc>
      </w:tr>
      <w:tr w:rsidR="00E67803" w14:paraId="47C58D06" w14:textId="70E00ABD" w:rsidTr="00E67803">
        <w:tc>
          <w:tcPr>
            <w:tcW w:w="3350" w:type="dxa"/>
            <w:tcBorders>
              <w:top w:val="single" w:sz="4" w:space="0" w:color="888888"/>
              <w:left w:val="single" w:sz="4" w:space="0" w:color="888888"/>
              <w:bottom w:val="single" w:sz="4" w:space="0" w:color="888888"/>
              <w:right w:val="single" w:sz="4" w:space="0" w:color="888888"/>
            </w:tcBorders>
          </w:tcPr>
          <w:p w14:paraId="726893D2" w14:textId="77777777" w:rsidR="00E67803" w:rsidRDefault="00E67803">
            <w:pPr>
              <w:spacing w:after="40"/>
              <w:rPr>
                <w:rFonts w:ascii="Times New Roman" w:eastAsia="Times New Roman" w:hAnsi="Times New Roman" w:cs="Times New Roman"/>
              </w:rPr>
            </w:pPr>
            <w:proofErr w:type="spellStart"/>
            <w:r>
              <w:rPr>
                <w:rFonts w:ascii="Times New Roman" w:eastAsia="Times New Roman" w:hAnsi="Times New Roman" w:cs="Times New Roman"/>
                <w:sz w:val="20"/>
                <w:szCs w:val="20"/>
              </w:rPr>
              <w:t>Angoff</w:t>
            </w:r>
            <w:proofErr w:type="spellEnd"/>
            <w:r>
              <w:rPr>
                <w:rFonts w:ascii="Times New Roman" w:eastAsia="Times New Roman" w:hAnsi="Times New Roman" w:cs="Times New Roman"/>
                <w:sz w:val="20"/>
                <w:szCs w:val="20"/>
              </w:rPr>
              <w:t xml:space="preserve"> — massive differences in standard deviations</w:t>
            </w:r>
          </w:p>
        </w:tc>
        <w:tc>
          <w:tcPr>
            <w:tcW w:w="5130" w:type="dxa"/>
            <w:tcBorders>
              <w:top w:val="single" w:sz="4" w:space="0" w:color="888888"/>
              <w:left w:val="single" w:sz="4" w:space="0" w:color="888888"/>
              <w:bottom w:val="single" w:sz="4" w:space="0" w:color="888888"/>
              <w:right w:val="single" w:sz="4" w:space="0" w:color="888888"/>
            </w:tcBorders>
          </w:tcPr>
          <w:p w14:paraId="30FBD275"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 xml:space="preserve">Observation that the spread of </w:t>
            </w:r>
            <w:proofErr w:type="spellStart"/>
            <w:r>
              <w:rPr>
                <w:rFonts w:ascii="Times New Roman" w:eastAsia="Times New Roman" w:hAnsi="Times New Roman" w:cs="Times New Roman"/>
                <w:sz w:val="20"/>
                <w:szCs w:val="20"/>
              </w:rPr>
              <w:t>Angoff</w:t>
            </w:r>
            <w:proofErr w:type="spellEnd"/>
            <w:r>
              <w:rPr>
                <w:rFonts w:ascii="Times New Roman" w:eastAsia="Times New Roman" w:hAnsi="Times New Roman" w:cs="Times New Roman"/>
                <w:sz w:val="20"/>
                <w:szCs w:val="20"/>
              </w:rPr>
              <w:t xml:space="preserve"> ratings across panelists varied substantially from procedure to procedure.</w:t>
            </w:r>
          </w:p>
        </w:tc>
        <w:tc>
          <w:tcPr>
            <w:tcW w:w="5130" w:type="dxa"/>
            <w:tcBorders>
              <w:top w:val="single" w:sz="4" w:space="0" w:color="888888"/>
              <w:left w:val="single" w:sz="4" w:space="0" w:color="888888"/>
              <w:bottom w:val="single" w:sz="4" w:space="0" w:color="888888"/>
              <w:right w:val="single" w:sz="4" w:space="0" w:color="888888"/>
            </w:tcBorders>
          </w:tcPr>
          <w:p w14:paraId="5E08F8E8" w14:textId="394B6C9E" w:rsidR="00E67803" w:rsidRPr="002E3A20" w:rsidRDefault="002E3A20" w:rsidP="002E3A20">
            <w:pPr>
              <w:spacing w:after="40"/>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w:t>
            </w:r>
            <w:r w:rsidRPr="002E3A20">
              <w:rPr>
                <w:rFonts w:ascii="Times New Roman" w:eastAsia="Times New Roman" w:hAnsi="Times New Roman" w:cs="Times New Roman"/>
                <w:i/>
                <w:iCs/>
                <w:sz w:val="20"/>
                <w:szCs w:val="20"/>
              </w:rPr>
              <w:t>Massive difference in standard deviation</w:t>
            </w:r>
            <w:r>
              <w:rPr>
                <w:rFonts w:ascii="Times New Roman" w:eastAsia="Times New Roman" w:hAnsi="Times New Roman" w:cs="Times New Roman"/>
                <w:i/>
                <w:iCs/>
                <w:sz w:val="20"/>
                <w:szCs w:val="20"/>
              </w:rPr>
              <w:t xml:space="preserve">s. </w:t>
            </w:r>
            <w:r w:rsidRPr="002E3A20">
              <w:rPr>
                <w:rFonts w:ascii="Times New Roman" w:eastAsia="Times New Roman" w:hAnsi="Times New Roman" w:cs="Times New Roman"/>
                <w:i/>
                <w:iCs/>
                <w:sz w:val="20"/>
                <w:szCs w:val="20"/>
              </w:rPr>
              <w:t xml:space="preserve">Yeah, seven for lap </w:t>
            </w:r>
            <w:proofErr w:type="spellStart"/>
            <w:r w:rsidRPr="002E3A20">
              <w:rPr>
                <w:rFonts w:ascii="Times New Roman" w:eastAsia="Times New Roman" w:hAnsi="Times New Roman" w:cs="Times New Roman"/>
                <w:i/>
                <w:iCs/>
                <w:sz w:val="20"/>
                <w:szCs w:val="20"/>
              </w:rPr>
              <w:t>appy</w:t>
            </w:r>
            <w:proofErr w:type="spellEnd"/>
            <w:r w:rsidRPr="002E3A20">
              <w:rPr>
                <w:rFonts w:ascii="Times New Roman" w:eastAsia="Times New Roman" w:hAnsi="Times New Roman" w:cs="Times New Roman"/>
                <w:i/>
                <w:iCs/>
                <w:sz w:val="20"/>
                <w:szCs w:val="20"/>
              </w:rPr>
              <w:t xml:space="preserve"> to what is it 24 for splenectomy.</w:t>
            </w:r>
            <w:r>
              <w:rPr>
                <w:rFonts w:ascii="Times New Roman" w:eastAsia="Times New Roman" w:hAnsi="Times New Roman" w:cs="Times New Roman"/>
                <w:i/>
                <w:iCs/>
                <w:sz w:val="20"/>
                <w:szCs w:val="20"/>
              </w:rPr>
              <w:t>”</w:t>
            </w:r>
          </w:p>
        </w:tc>
      </w:tr>
      <w:tr w:rsidR="00E67803" w14:paraId="759B6490" w14:textId="1941CD0D" w:rsidTr="00E67803">
        <w:tc>
          <w:tcPr>
            <w:tcW w:w="3350" w:type="dxa"/>
            <w:tcBorders>
              <w:top w:val="single" w:sz="4" w:space="0" w:color="888888"/>
              <w:left w:val="single" w:sz="4" w:space="0" w:color="888888"/>
              <w:bottom w:val="single" w:sz="4" w:space="0" w:color="888888"/>
              <w:right w:val="single" w:sz="4" w:space="0" w:color="888888"/>
            </w:tcBorders>
          </w:tcPr>
          <w:p w14:paraId="00BFF3B4" w14:textId="77777777" w:rsidR="00E67803" w:rsidRDefault="00E67803">
            <w:pPr>
              <w:spacing w:after="40"/>
              <w:rPr>
                <w:rFonts w:ascii="Times New Roman" w:eastAsia="Times New Roman" w:hAnsi="Times New Roman" w:cs="Times New Roman"/>
              </w:rPr>
            </w:pPr>
            <w:proofErr w:type="spellStart"/>
            <w:r>
              <w:rPr>
                <w:rFonts w:ascii="Times New Roman" w:eastAsia="Times New Roman" w:hAnsi="Times New Roman" w:cs="Times New Roman"/>
                <w:sz w:val="20"/>
                <w:szCs w:val="20"/>
              </w:rPr>
              <w:t>Angoff</w:t>
            </w:r>
            <w:proofErr w:type="spellEnd"/>
            <w:r>
              <w:rPr>
                <w:rFonts w:ascii="Times New Roman" w:eastAsia="Times New Roman" w:hAnsi="Times New Roman" w:cs="Times New Roman"/>
                <w:sz w:val="20"/>
                <w:szCs w:val="20"/>
              </w:rPr>
              <w:t xml:space="preserve"> — observation that results appeared similar to the construct mapping figure</w:t>
            </w:r>
          </w:p>
        </w:tc>
        <w:tc>
          <w:tcPr>
            <w:tcW w:w="5130" w:type="dxa"/>
            <w:tcBorders>
              <w:top w:val="single" w:sz="4" w:space="0" w:color="888888"/>
              <w:left w:val="single" w:sz="4" w:space="0" w:color="888888"/>
              <w:bottom w:val="single" w:sz="4" w:space="0" w:color="888888"/>
              <w:right w:val="single" w:sz="4" w:space="0" w:color="888888"/>
            </w:tcBorders>
          </w:tcPr>
          <w:p w14:paraId="5EF4EFAB"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 xml:space="preserve">Panelist perception that the pattern of </w:t>
            </w:r>
            <w:proofErr w:type="spellStart"/>
            <w:r>
              <w:rPr>
                <w:rFonts w:ascii="Times New Roman" w:eastAsia="Times New Roman" w:hAnsi="Times New Roman" w:cs="Times New Roman"/>
                <w:sz w:val="20"/>
                <w:szCs w:val="20"/>
              </w:rPr>
              <w:t>Angoff</w:t>
            </w:r>
            <w:proofErr w:type="spellEnd"/>
            <w:r>
              <w:rPr>
                <w:rFonts w:ascii="Times New Roman" w:eastAsia="Times New Roman" w:hAnsi="Times New Roman" w:cs="Times New Roman"/>
                <w:sz w:val="20"/>
                <w:szCs w:val="20"/>
              </w:rPr>
              <w:t xml:space="preserve"> cut scores across procedures resembled the pattern displayed in the construct mapping heat map.</w:t>
            </w:r>
          </w:p>
        </w:tc>
        <w:tc>
          <w:tcPr>
            <w:tcW w:w="5130" w:type="dxa"/>
            <w:tcBorders>
              <w:top w:val="single" w:sz="4" w:space="0" w:color="888888"/>
              <w:left w:val="single" w:sz="4" w:space="0" w:color="888888"/>
              <w:bottom w:val="single" w:sz="4" w:space="0" w:color="888888"/>
              <w:right w:val="single" w:sz="4" w:space="0" w:color="888888"/>
            </w:tcBorders>
          </w:tcPr>
          <w:p w14:paraId="0C642D5D" w14:textId="22810B06" w:rsidR="00E67803" w:rsidRPr="002E3A20" w:rsidRDefault="002E3A20">
            <w:pPr>
              <w:spacing w:after="40"/>
              <w:rPr>
                <w:rFonts w:ascii="Times New Roman" w:eastAsia="Times New Roman" w:hAnsi="Times New Roman" w:cs="Times New Roman"/>
                <w:i/>
                <w:iCs/>
                <w:sz w:val="20"/>
                <w:szCs w:val="20"/>
              </w:rPr>
            </w:pPr>
            <w:r w:rsidRPr="002E3A20">
              <w:rPr>
                <w:rFonts w:ascii="Times New Roman" w:eastAsia="Times New Roman" w:hAnsi="Times New Roman" w:cs="Times New Roman"/>
                <w:i/>
                <w:iCs/>
                <w:sz w:val="20"/>
                <w:szCs w:val="20"/>
              </w:rPr>
              <w:t xml:space="preserve">“Yeah, and in that case even more interesting, what X said that by the </w:t>
            </w:r>
            <w:proofErr w:type="spellStart"/>
            <w:r w:rsidRPr="002E3A20">
              <w:rPr>
                <w:rFonts w:ascii="Times New Roman" w:eastAsia="Times New Roman" w:hAnsi="Times New Roman" w:cs="Times New Roman"/>
                <w:i/>
                <w:iCs/>
                <w:sz w:val="20"/>
                <w:szCs w:val="20"/>
              </w:rPr>
              <w:t>Angoff</w:t>
            </w:r>
            <w:proofErr w:type="spellEnd"/>
            <w:r w:rsidRPr="002E3A20">
              <w:rPr>
                <w:rFonts w:ascii="Times New Roman" w:eastAsia="Times New Roman" w:hAnsi="Times New Roman" w:cs="Times New Roman"/>
                <w:i/>
                <w:iCs/>
                <w:sz w:val="20"/>
                <w:szCs w:val="20"/>
              </w:rPr>
              <w:t xml:space="preserve"> method, we sort of arrived at something that, at least in that category, seems to recapitulate this chart that is data driven. </w:t>
            </w:r>
            <w:proofErr w:type="gramStart"/>
            <w:r w:rsidRPr="002E3A20">
              <w:rPr>
                <w:rFonts w:ascii="Times New Roman" w:eastAsia="Times New Roman" w:hAnsi="Times New Roman" w:cs="Times New Roman"/>
                <w:i/>
                <w:iCs/>
                <w:sz w:val="20"/>
                <w:szCs w:val="20"/>
              </w:rPr>
              <w:t>So</w:t>
            </w:r>
            <w:proofErr w:type="gramEnd"/>
            <w:r w:rsidRPr="002E3A20">
              <w:rPr>
                <w:rFonts w:ascii="Times New Roman" w:eastAsia="Times New Roman" w:hAnsi="Times New Roman" w:cs="Times New Roman"/>
                <w:i/>
                <w:iCs/>
                <w:sz w:val="20"/>
                <w:szCs w:val="20"/>
              </w:rPr>
              <w:t xml:space="preserve"> it's </w:t>
            </w:r>
            <w:proofErr w:type="gramStart"/>
            <w:r w:rsidRPr="002E3A20">
              <w:rPr>
                <w:rFonts w:ascii="Times New Roman" w:eastAsia="Times New Roman" w:hAnsi="Times New Roman" w:cs="Times New Roman"/>
                <w:i/>
                <w:iCs/>
                <w:sz w:val="20"/>
                <w:szCs w:val="20"/>
              </w:rPr>
              <w:t>actually a</w:t>
            </w:r>
            <w:proofErr w:type="gramEnd"/>
            <w:r w:rsidRPr="002E3A20">
              <w:rPr>
                <w:rFonts w:ascii="Times New Roman" w:eastAsia="Times New Roman" w:hAnsi="Times New Roman" w:cs="Times New Roman"/>
                <w:i/>
                <w:iCs/>
                <w:sz w:val="20"/>
                <w:szCs w:val="20"/>
              </w:rPr>
              <w:t xml:space="preserve"> little encouraging that way.”</w:t>
            </w:r>
          </w:p>
        </w:tc>
      </w:tr>
      <w:tr w:rsidR="00E67803" w14:paraId="6413E58C" w14:textId="7A2D00C1" w:rsidTr="00E67803">
        <w:tc>
          <w:tcPr>
            <w:tcW w:w="3350" w:type="dxa"/>
            <w:tcBorders>
              <w:top w:val="single" w:sz="4" w:space="0" w:color="888888"/>
              <w:left w:val="single" w:sz="4" w:space="0" w:color="888888"/>
              <w:bottom w:val="single" w:sz="4" w:space="0" w:color="888888"/>
              <w:right w:val="single" w:sz="4" w:space="0" w:color="888888"/>
            </w:tcBorders>
          </w:tcPr>
          <w:p w14:paraId="656DCDC3" w14:textId="77777777" w:rsidR="00E67803" w:rsidRDefault="00E67803">
            <w:pPr>
              <w:spacing w:after="40"/>
              <w:rPr>
                <w:rFonts w:ascii="Times New Roman" w:eastAsia="Times New Roman" w:hAnsi="Times New Roman" w:cs="Times New Roman"/>
              </w:rPr>
            </w:pPr>
            <w:proofErr w:type="spellStart"/>
            <w:r>
              <w:rPr>
                <w:rFonts w:ascii="Times New Roman" w:eastAsia="Times New Roman" w:hAnsi="Times New Roman" w:cs="Times New Roman"/>
                <w:sz w:val="20"/>
                <w:szCs w:val="20"/>
              </w:rPr>
              <w:t>Angoff</w:t>
            </w:r>
            <w:proofErr w:type="spellEnd"/>
            <w:r>
              <w:rPr>
                <w:rFonts w:ascii="Times New Roman" w:eastAsia="Times New Roman" w:hAnsi="Times New Roman" w:cs="Times New Roman"/>
                <w:sz w:val="20"/>
                <w:szCs w:val="20"/>
              </w:rPr>
              <w:t xml:space="preserve"> — smaller SD for procedures with higher scores (easier) vs. lower (harder)</w:t>
            </w:r>
          </w:p>
        </w:tc>
        <w:tc>
          <w:tcPr>
            <w:tcW w:w="5130" w:type="dxa"/>
            <w:tcBorders>
              <w:top w:val="single" w:sz="4" w:space="0" w:color="888888"/>
              <w:left w:val="single" w:sz="4" w:space="0" w:color="888888"/>
              <w:bottom w:val="single" w:sz="4" w:space="0" w:color="888888"/>
              <w:right w:val="single" w:sz="4" w:space="0" w:color="888888"/>
            </w:tcBorders>
          </w:tcPr>
          <w:p w14:paraId="407BAFCB"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Observation that inter-panelist variability was smaller for procedures panelists judged as easier and larger for those judged as more complex.</w:t>
            </w:r>
          </w:p>
        </w:tc>
        <w:tc>
          <w:tcPr>
            <w:tcW w:w="5130" w:type="dxa"/>
            <w:tcBorders>
              <w:top w:val="single" w:sz="4" w:space="0" w:color="888888"/>
              <w:left w:val="single" w:sz="4" w:space="0" w:color="888888"/>
              <w:bottom w:val="single" w:sz="4" w:space="0" w:color="888888"/>
              <w:right w:val="single" w:sz="4" w:space="0" w:color="888888"/>
            </w:tcBorders>
          </w:tcPr>
          <w:p w14:paraId="2B82E041" w14:textId="78676169" w:rsidR="00E67803" w:rsidRPr="002E3A20" w:rsidRDefault="002E3A20">
            <w:pPr>
              <w:spacing w:after="40"/>
              <w:rPr>
                <w:rFonts w:ascii="Times New Roman" w:eastAsia="Times New Roman" w:hAnsi="Times New Roman" w:cs="Times New Roman"/>
                <w:i/>
                <w:iCs/>
                <w:sz w:val="20"/>
                <w:szCs w:val="20"/>
              </w:rPr>
            </w:pPr>
            <w:r w:rsidRPr="002E3A20">
              <w:rPr>
                <w:rFonts w:ascii="Times New Roman" w:eastAsia="Times New Roman" w:hAnsi="Times New Roman" w:cs="Times New Roman"/>
                <w:i/>
                <w:iCs/>
                <w:sz w:val="20"/>
                <w:szCs w:val="20"/>
              </w:rPr>
              <w:t xml:space="preserve">“I also see that the standard deviation for the procedures that we grade with a higher score seems to be smaller than the standard deviation for the procedures we grade with a lower score. I'm not sure that that really applies to everything, but if you look at, you know, the top, let's say at the bottom, lap </w:t>
            </w:r>
            <w:proofErr w:type="spellStart"/>
            <w:r w:rsidRPr="002E3A20">
              <w:rPr>
                <w:rFonts w:ascii="Times New Roman" w:eastAsia="Times New Roman" w:hAnsi="Times New Roman" w:cs="Times New Roman"/>
                <w:i/>
                <w:iCs/>
                <w:sz w:val="20"/>
                <w:szCs w:val="20"/>
              </w:rPr>
              <w:t>appy</w:t>
            </w:r>
            <w:proofErr w:type="spellEnd"/>
            <w:r w:rsidRPr="002E3A20">
              <w:rPr>
                <w:rFonts w:ascii="Times New Roman" w:eastAsia="Times New Roman" w:hAnsi="Times New Roman" w:cs="Times New Roman"/>
                <w:i/>
                <w:iCs/>
                <w:sz w:val="20"/>
                <w:szCs w:val="20"/>
              </w:rPr>
              <w:t>, very small standard deviation. We do so many of them that and they generally are easier, whereas the ones that we do fewer of, and I think we all collectively think they're a little harder, there's going to be a wider difference in how we feel about the likelihood of a trainee being practice ready.”</w:t>
            </w:r>
          </w:p>
        </w:tc>
      </w:tr>
      <w:tr w:rsidR="00E67803" w14:paraId="11F9D99D" w14:textId="56E1E5EB" w:rsidTr="00E67803">
        <w:tc>
          <w:tcPr>
            <w:tcW w:w="3350" w:type="dxa"/>
            <w:tcBorders>
              <w:top w:val="single" w:sz="4" w:space="0" w:color="888888"/>
              <w:left w:val="single" w:sz="4" w:space="0" w:color="888888"/>
              <w:bottom w:val="single" w:sz="4" w:space="0" w:color="888888"/>
              <w:right w:val="single" w:sz="4" w:space="0" w:color="888888"/>
            </w:tcBorders>
          </w:tcPr>
          <w:p w14:paraId="6A5A0DCA" w14:textId="77777777" w:rsidR="00E67803" w:rsidRDefault="00E67803">
            <w:pPr>
              <w:spacing w:after="40"/>
              <w:rPr>
                <w:rFonts w:ascii="Times New Roman" w:eastAsia="Times New Roman" w:hAnsi="Times New Roman" w:cs="Times New Roman"/>
              </w:rPr>
            </w:pPr>
            <w:proofErr w:type="spellStart"/>
            <w:r>
              <w:rPr>
                <w:rFonts w:ascii="Times New Roman" w:eastAsia="Times New Roman" w:hAnsi="Times New Roman" w:cs="Times New Roman"/>
                <w:sz w:val="20"/>
                <w:szCs w:val="20"/>
              </w:rPr>
              <w:t>Angoff</w:t>
            </w:r>
            <w:proofErr w:type="spellEnd"/>
            <w:r>
              <w:rPr>
                <w:rFonts w:ascii="Times New Roman" w:eastAsia="Times New Roman" w:hAnsi="Times New Roman" w:cs="Times New Roman"/>
                <w:sz w:val="20"/>
                <w:szCs w:val="20"/>
              </w:rPr>
              <w:t xml:space="preserve"> is challenging in needing to conceptualize MCGT for each procedure</w:t>
            </w:r>
          </w:p>
        </w:tc>
        <w:tc>
          <w:tcPr>
            <w:tcW w:w="5130" w:type="dxa"/>
            <w:tcBorders>
              <w:top w:val="single" w:sz="4" w:space="0" w:color="888888"/>
              <w:left w:val="single" w:sz="4" w:space="0" w:color="888888"/>
              <w:bottom w:val="single" w:sz="4" w:space="0" w:color="888888"/>
              <w:right w:val="single" w:sz="4" w:space="0" w:color="888888"/>
            </w:tcBorders>
          </w:tcPr>
          <w:p w14:paraId="1BCFE7BC"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 xml:space="preserve">Challenge experienced as part of </w:t>
            </w:r>
            <w:proofErr w:type="spellStart"/>
            <w:r>
              <w:rPr>
                <w:rFonts w:ascii="Times New Roman" w:eastAsia="Times New Roman" w:hAnsi="Times New Roman" w:cs="Times New Roman"/>
                <w:sz w:val="20"/>
                <w:szCs w:val="20"/>
              </w:rPr>
              <w:t>Angoff</w:t>
            </w:r>
            <w:proofErr w:type="spellEnd"/>
            <w:r>
              <w:rPr>
                <w:rFonts w:ascii="Times New Roman" w:eastAsia="Times New Roman" w:hAnsi="Times New Roman" w:cs="Times New Roman"/>
                <w:sz w:val="20"/>
                <w:szCs w:val="20"/>
              </w:rPr>
              <w:t xml:space="preserve"> method in holding a stable mental model of the minimally competent graduating trainee across a heterogeneous list of procedures.</w:t>
            </w:r>
          </w:p>
        </w:tc>
        <w:tc>
          <w:tcPr>
            <w:tcW w:w="5130" w:type="dxa"/>
            <w:tcBorders>
              <w:top w:val="single" w:sz="4" w:space="0" w:color="888888"/>
              <w:left w:val="single" w:sz="4" w:space="0" w:color="888888"/>
              <w:bottom w:val="single" w:sz="4" w:space="0" w:color="888888"/>
              <w:right w:val="single" w:sz="4" w:space="0" w:color="888888"/>
            </w:tcBorders>
          </w:tcPr>
          <w:p w14:paraId="333E4D13" w14:textId="42E60D6C" w:rsidR="00E67803" w:rsidRPr="002E3A20" w:rsidRDefault="002E3A20">
            <w:pPr>
              <w:spacing w:after="40"/>
              <w:rPr>
                <w:rFonts w:ascii="Times New Roman" w:eastAsia="Times New Roman" w:hAnsi="Times New Roman" w:cs="Times New Roman"/>
                <w:i/>
                <w:iCs/>
                <w:sz w:val="20"/>
                <w:szCs w:val="20"/>
              </w:rPr>
            </w:pPr>
            <w:r w:rsidRPr="002E3A20">
              <w:rPr>
                <w:rFonts w:ascii="Times New Roman" w:eastAsia="Times New Roman" w:hAnsi="Times New Roman" w:cs="Times New Roman"/>
                <w:i/>
                <w:iCs/>
                <w:sz w:val="20"/>
                <w:szCs w:val="20"/>
              </w:rPr>
              <w:t>“First one, challenging, what's minimally competent?”</w:t>
            </w:r>
          </w:p>
        </w:tc>
      </w:tr>
      <w:tr w:rsidR="00E67803" w14:paraId="4CB0E99D" w14:textId="781FB089" w:rsidTr="00E67803">
        <w:tc>
          <w:tcPr>
            <w:tcW w:w="3350" w:type="dxa"/>
            <w:tcBorders>
              <w:top w:val="single" w:sz="4" w:space="0" w:color="888888"/>
              <w:left w:val="single" w:sz="4" w:space="0" w:color="888888"/>
              <w:bottom w:val="single" w:sz="4" w:space="0" w:color="888888"/>
              <w:right w:val="single" w:sz="4" w:space="0" w:color="888888"/>
            </w:tcBorders>
          </w:tcPr>
          <w:p w14:paraId="391E05FF"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Concern about internal consistency (within individual)</w:t>
            </w:r>
          </w:p>
        </w:tc>
        <w:tc>
          <w:tcPr>
            <w:tcW w:w="5130" w:type="dxa"/>
            <w:tcBorders>
              <w:top w:val="single" w:sz="4" w:space="0" w:color="888888"/>
              <w:left w:val="single" w:sz="4" w:space="0" w:color="888888"/>
              <w:bottom w:val="single" w:sz="4" w:space="0" w:color="888888"/>
              <w:right w:val="single" w:sz="4" w:space="0" w:color="888888"/>
            </w:tcBorders>
          </w:tcPr>
          <w:p w14:paraId="4FD8D6AF"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 xml:space="preserve">Panelist concern that if they repeated the </w:t>
            </w:r>
            <w:proofErr w:type="spellStart"/>
            <w:r>
              <w:rPr>
                <w:rFonts w:ascii="Times New Roman" w:eastAsia="Times New Roman" w:hAnsi="Times New Roman" w:cs="Times New Roman"/>
                <w:sz w:val="20"/>
                <w:szCs w:val="20"/>
              </w:rPr>
              <w:t>Angoff</w:t>
            </w:r>
            <w:proofErr w:type="spellEnd"/>
            <w:r>
              <w:rPr>
                <w:rFonts w:ascii="Times New Roman" w:eastAsia="Times New Roman" w:hAnsi="Times New Roman" w:cs="Times New Roman"/>
                <w:sz w:val="20"/>
                <w:szCs w:val="20"/>
              </w:rPr>
              <w:t xml:space="preserve"> exercise, their own ratings might differ.</w:t>
            </w:r>
          </w:p>
        </w:tc>
        <w:tc>
          <w:tcPr>
            <w:tcW w:w="5130" w:type="dxa"/>
            <w:tcBorders>
              <w:top w:val="single" w:sz="4" w:space="0" w:color="888888"/>
              <w:left w:val="single" w:sz="4" w:space="0" w:color="888888"/>
              <w:bottom w:val="single" w:sz="4" w:space="0" w:color="888888"/>
              <w:right w:val="single" w:sz="4" w:space="0" w:color="888888"/>
            </w:tcBorders>
          </w:tcPr>
          <w:p w14:paraId="72C4616A" w14:textId="1D4111A9" w:rsidR="00E67803" w:rsidRPr="002E3A20" w:rsidRDefault="002E3A20">
            <w:pPr>
              <w:spacing w:after="40"/>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w:t>
            </w:r>
            <w:r w:rsidRPr="002E3A20">
              <w:rPr>
                <w:rFonts w:ascii="Times New Roman" w:eastAsia="Times New Roman" w:hAnsi="Times New Roman" w:cs="Times New Roman"/>
                <w:i/>
                <w:iCs/>
                <w:sz w:val="20"/>
                <w:szCs w:val="20"/>
              </w:rPr>
              <w:t xml:space="preserve">I wonder how I would score </w:t>
            </w:r>
            <w:proofErr w:type="gramStart"/>
            <w:r w:rsidRPr="002E3A20">
              <w:rPr>
                <w:rFonts w:ascii="Times New Roman" w:eastAsia="Times New Roman" w:hAnsi="Times New Roman" w:cs="Times New Roman"/>
                <w:i/>
                <w:iCs/>
                <w:sz w:val="20"/>
                <w:szCs w:val="20"/>
              </w:rPr>
              <w:t>all of</w:t>
            </w:r>
            <w:proofErr w:type="gramEnd"/>
            <w:r w:rsidRPr="002E3A20">
              <w:rPr>
                <w:rFonts w:ascii="Times New Roman" w:eastAsia="Times New Roman" w:hAnsi="Times New Roman" w:cs="Times New Roman"/>
                <w:i/>
                <w:iCs/>
                <w:sz w:val="20"/>
                <w:szCs w:val="20"/>
              </w:rPr>
              <w:t xml:space="preserve"> those procedures the next time I answer the exact same question. It almost, in a way, depends on how you're thinking of the question at that exact moment that you're answering it. And I don't know if it would help in the future for us to do the same thing again, but I wonder if I would even be internally consistent.</w:t>
            </w:r>
            <w:r>
              <w:rPr>
                <w:rFonts w:ascii="Times New Roman" w:eastAsia="Times New Roman" w:hAnsi="Times New Roman" w:cs="Times New Roman"/>
                <w:i/>
                <w:iCs/>
                <w:sz w:val="20"/>
                <w:szCs w:val="20"/>
              </w:rPr>
              <w:t>”</w:t>
            </w:r>
          </w:p>
        </w:tc>
      </w:tr>
      <w:tr w:rsidR="00E67803" w14:paraId="34E3542A" w14:textId="72DA240E" w:rsidTr="00E67803">
        <w:tc>
          <w:tcPr>
            <w:tcW w:w="3350" w:type="dxa"/>
            <w:tcBorders>
              <w:top w:val="single" w:sz="4" w:space="0" w:color="888888"/>
              <w:left w:val="single" w:sz="4" w:space="0" w:color="888888"/>
              <w:bottom w:val="single" w:sz="4" w:space="0" w:color="888888"/>
              <w:right w:val="single" w:sz="4" w:space="0" w:color="888888"/>
            </w:tcBorders>
          </w:tcPr>
          <w:p w14:paraId="39FF1768"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lastRenderedPageBreak/>
              <w:t xml:space="preserve">Perception that </w:t>
            </w:r>
            <w:proofErr w:type="spellStart"/>
            <w:r>
              <w:rPr>
                <w:rFonts w:ascii="Times New Roman" w:eastAsia="Times New Roman" w:hAnsi="Times New Roman" w:cs="Times New Roman"/>
                <w:sz w:val="20"/>
                <w:szCs w:val="20"/>
              </w:rPr>
              <w:t>Angoff</w:t>
            </w:r>
            <w:proofErr w:type="spellEnd"/>
            <w:r>
              <w:rPr>
                <w:rFonts w:ascii="Times New Roman" w:eastAsia="Times New Roman" w:hAnsi="Times New Roman" w:cs="Times New Roman"/>
                <w:sz w:val="20"/>
                <w:szCs w:val="20"/>
              </w:rPr>
              <w:t xml:space="preserve"> may have been simpler with prior concordance on MCGT</w:t>
            </w:r>
          </w:p>
        </w:tc>
        <w:tc>
          <w:tcPr>
            <w:tcW w:w="5130" w:type="dxa"/>
            <w:tcBorders>
              <w:top w:val="single" w:sz="4" w:space="0" w:color="888888"/>
              <w:left w:val="single" w:sz="4" w:space="0" w:color="888888"/>
              <w:bottom w:val="single" w:sz="4" w:space="0" w:color="888888"/>
              <w:right w:val="single" w:sz="4" w:space="0" w:color="888888"/>
            </w:tcBorders>
          </w:tcPr>
          <w:p w14:paraId="0A31D5CA"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 xml:space="preserve">Suggestion that </w:t>
            </w:r>
            <w:proofErr w:type="spellStart"/>
            <w:r>
              <w:rPr>
                <w:rFonts w:ascii="Times New Roman" w:eastAsia="Times New Roman" w:hAnsi="Times New Roman" w:cs="Times New Roman"/>
                <w:sz w:val="20"/>
                <w:szCs w:val="20"/>
              </w:rPr>
              <w:t>Angoff</w:t>
            </w:r>
            <w:proofErr w:type="spellEnd"/>
            <w:r>
              <w:rPr>
                <w:rFonts w:ascii="Times New Roman" w:eastAsia="Times New Roman" w:hAnsi="Times New Roman" w:cs="Times New Roman"/>
                <w:sz w:val="20"/>
                <w:szCs w:val="20"/>
              </w:rPr>
              <w:t xml:space="preserve"> might have felt easier if panelists aligned on a shared definition of the MCGT before beginning the exercise.</w:t>
            </w:r>
          </w:p>
        </w:tc>
        <w:tc>
          <w:tcPr>
            <w:tcW w:w="5130" w:type="dxa"/>
            <w:tcBorders>
              <w:top w:val="single" w:sz="4" w:space="0" w:color="888888"/>
              <w:left w:val="single" w:sz="4" w:space="0" w:color="888888"/>
              <w:bottom w:val="single" w:sz="4" w:space="0" w:color="888888"/>
              <w:right w:val="single" w:sz="4" w:space="0" w:color="888888"/>
            </w:tcBorders>
          </w:tcPr>
          <w:p w14:paraId="35A6135D" w14:textId="3FF8A5FF" w:rsidR="00E67803" w:rsidRPr="002E3A20" w:rsidRDefault="002E3A20">
            <w:pPr>
              <w:spacing w:after="40"/>
              <w:rPr>
                <w:rFonts w:ascii="Times New Roman" w:eastAsia="Times New Roman" w:hAnsi="Times New Roman" w:cs="Times New Roman"/>
                <w:i/>
                <w:iCs/>
                <w:sz w:val="20"/>
                <w:szCs w:val="20"/>
              </w:rPr>
            </w:pPr>
            <w:r w:rsidRPr="002E3A20">
              <w:rPr>
                <w:rFonts w:ascii="Times New Roman" w:eastAsia="Times New Roman" w:hAnsi="Times New Roman" w:cs="Times New Roman"/>
                <w:i/>
                <w:iCs/>
                <w:sz w:val="20"/>
                <w:szCs w:val="20"/>
              </w:rPr>
              <w:t>“</w:t>
            </w:r>
            <w:r w:rsidRPr="002E3A20">
              <w:rPr>
                <w:rFonts w:ascii="Times New Roman" w:hAnsi="Times New Roman" w:cs="Times New Roman"/>
                <w:i/>
                <w:iCs/>
                <w:sz w:val="20"/>
                <w:szCs w:val="20"/>
              </w:rPr>
              <w:t xml:space="preserve">Just a quick observation that I think the </w:t>
            </w:r>
            <w:proofErr w:type="spellStart"/>
            <w:r w:rsidRPr="002E3A20">
              <w:rPr>
                <w:rFonts w:ascii="Times New Roman" w:hAnsi="Times New Roman" w:cs="Times New Roman"/>
                <w:i/>
                <w:iCs/>
                <w:sz w:val="20"/>
                <w:szCs w:val="20"/>
              </w:rPr>
              <w:t>Angoff</w:t>
            </w:r>
            <w:proofErr w:type="spellEnd"/>
            <w:r w:rsidRPr="002E3A20">
              <w:rPr>
                <w:rFonts w:ascii="Times New Roman" w:hAnsi="Times New Roman" w:cs="Times New Roman"/>
                <w:i/>
                <w:iCs/>
                <w:sz w:val="20"/>
                <w:szCs w:val="20"/>
              </w:rPr>
              <w:t xml:space="preserve"> method might have seemed a bit harder than it really was, just because within that method, we were kind of gaining group concordance on what does it mean to be a minimally competent graduating trainee. And, you know, we spent some time defining that and making sure we were aligned in our, had a shared understanding of it. If we had done like just that exercise and then gone into three methods, I bet the </w:t>
            </w:r>
            <w:proofErr w:type="spellStart"/>
            <w:r w:rsidRPr="002E3A20">
              <w:rPr>
                <w:rFonts w:ascii="Times New Roman" w:hAnsi="Times New Roman" w:cs="Times New Roman"/>
                <w:i/>
                <w:iCs/>
                <w:sz w:val="20"/>
                <w:szCs w:val="20"/>
              </w:rPr>
              <w:t>Angoff</w:t>
            </w:r>
            <w:proofErr w:type="spellEnd"/>
            <w:r w:rsidRPr="002E3A20">
              <w:rPr>
                <w:rFonts w:ascii="Times New Roman" w:hAnsi="Times New Roman" w:cs="Times New Roman"/>
                <w:i/>
                <w:iCs/>
                <w:sz w:val="20"/>
                <w:szCs w:val="20"/>
              </w:rPr>
              <w:t xml:space="preserve"> method would have felt a little easier than it did just an observation.”</w:t>
            </w:r>
          </w:p>
        </w:tc>
      </w:tr>
      <w:tr w:rsidR="00E67803" w14:paraId="627E0D7C" w14:textId="3F41AE60" w:rsidTr="00E67803">
        <w:tc>
          <w:tcPr>
            <w:tcW w:w="3350" w:type="dxa"/>
            <w:tcBorders>
              <w:top w:val="single" w:sz="4" w:space="0" w:color="888888"/>
              <w:left w:val="single" w:sz="4" w:space="0" w:color="888888"/>
              <w:bottom w:val="single" w:sz="4" w:space="0" w:color="888888"/>
              <w:right w:val="single" w:sz="4" w:space="0" w:color="888888"/>
            </w:tcBorders>
          </w:tcPr>
          <w:p w14:paraId="1020A86D"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 xml:space="preserve">Reflection that </w:t>
            </w:r>
            <w:proofErr w:type="spellStart"/>
            <w:r>
              <w:rPr>
                <w:rFonts w:ascii="Times New Roman" w:eastAsia="Times New Roman" w:hAnsi="Times New Roman" w:cs="Times New Roman"/>
                <w:sz w:val="20"/>
                <w:szCs w:val="20"/>
              </w:rPr>
              <w:t>Angoff</w:t>
            </w:r>
            <w:proofErr w:type="spellEnd"/>
            <w:r>
              <w:rPr>
                <w:rFonts w:ascii="Times New Roman" w:eastAsia="Times New Roman" w:hAnsi="Times New Roman" w:cs="Times New Roman"/>
                <w:sz w:val="20"/>
                <w:szCs w:val="20"/>
              </w:rPr>
              <w:t xml:space="preserve"> results seem in alignment with prior studies looking at SIMPL data</w:t>
            </w:r>
          </w:p>
        </w:tc>
        <w:tc>
          <w:tcPr>
            <w:tcW w:w="5130" w:type="dxa"/>
            <w:tcBorders>
              <w:top w:val="single" w:sz="4" w:space="0" w:color="888888"/>
              <w:left w:val="single" w:sz="4" w:space="0" w:color="888888"/>
              <w:bottom w:val="single" w:sz="4" w:space="0" w:color="888888"/>
              <w:right w:val="single" w:sz="4" w:space="0" w:color="888888"/>
            </w:tcBorders>
          </w:tcPr>
          <w:p w14:paraId="4FEA16EB"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 xml:space="preserve">Recognition that the panel's </w:t>
            </w:r>
            <w:proofErr w:type="spellStart"/>
            <w:r>
              <w:rPr>
                <w:rFonts w:ascii="Times New Roman" w:eastAsia="Times New Roman" w:hAnsi="Times New Roman" w:cs="Times New Roman"/>
                <w:sz w:val="20"/>
                <w:szCs w:val="20"/>
              </w:rPr>
              <w:t>Angoff</w:t>
            </w:r>
            <w:proofErr w:type="spellEnd"/>
            <w:r>
              <w:rPr>
                <w:rFonts w:ascii="Times New Roman" w:eastAsia="Times New Roman" w:hAnsi="Times New Roman" w:cs="Times New Roman"/>
                <w:sz w:val="20"/>
                <w:szCs w:val="20"/>
              </w:rPr>
              <w:t>-derived cut scores appeared consistent with prior published work using SIMPL data.</w:t>
            </w:r>
          </w:p>
        </w:tc>
        <w:tc>
          <w:tcPr>
            <w:tcW w:w="5130" w:type="dxa"/>
            <w:tcBorders>
              <w:top w:val="single" w:sz="4" w:space="0" w:color="888888"/>
              <w:left w:val="single" w:sz="4" w:space="0" w:color="888888"/>
              <w:bottom w:val="single" w:sz="4" w:space="0" w:color="888888"/>
              <w:right w:val="single" w:sz="4" w:space="0" w:color="888888"/>
            </w:tcBorders>
          </w:tcPr>
          <w:p w14:paraId="55CB7FAD" w14:textId="77F480C6" w:rsidR="00E67803" w:rsidRPr="002E3A20" w:rsidRDefault="002E3A20">
            <w:pPr>
              <w:spacing w:after="40"/>
              <w:rPr>
                <w:rFonts w:ascii="Times New Roman" w:eastAsia="Times New Roman" w:hAnsi="Times New Roman" w:cs="Times New Roman"/>
                <w:i/>
                <w:iCs/>
                <w:sz w:val="20"/>
                <w:szCs w:val="20"/>
              </w:rPr>
            </w:pPr>
            <w:r w:rsidRPr="002E3A20">
              <w:rPr>
                <w:rFonts w:ascii="Times New Roman" w:eastAsia="Times New Roman" w:hAnsi="Times New Roman" w:cs="Times New Roman"/>
                <w:i/>
                <w:iCs/>
                <w:sz w:val="20"/>
                <w:szCs w:val="20"/>
              </w:rPr>
              <w:t>“</w:t>
            </w:r>
            <w:r w:rsidRPr="002E3A20">
              <w:rPr>
                <w:rFonts w:ascii="Times New Roman" w:hAnsi="Times New Roman" w:cs="Times New Roman"/>
                <w:i/>
                <w:iCs/>
                <w:sz w:val="20"/>
                <w:szCs w:val="20"/>
              </w:rPr>
              <w:t>Just also thinking, if I'm remembering those early papers where we did the original</w:t>
            </w:r>
            <w:r>
              <w:rPr>
                <w:rFonts w:ascii="Times New Roman" w:hAnsi="Times New Roman" w:cs="Times New Roman"/>
                <w:i/>
                <w:iCs/>
                <w:sz w:val="20"/>
                <w:szCs w:val="20"/>
              </w:rPr>
              <w:t xml:space="preserve"> X tri</w:t>
            </w:r>
            <w:r w:rsidRPr="002E3A20">
              <w:rPr>
                <w:rFonts w:ascii="Times New Roman" w:hAnsi="Times New Roman" w:cs="Times New Roman"/>
                <w:i/>
                <w:iCs/>
                <w:sz w:val="20"/>
                <w:szCs w:val="20"/>
              </w:rPr>
              <w:t xml:space="preserve">al is, you know, roughly in my mind, correlate, or, you know, they seem </w:t>
            </w:r>
            <w:proofErr w:type="gramStart"/>
            <w:r w:rsidRPr="002E3A20">
              <w:rPr>
                <w:rFonts w:ascii="Times New Roman" w:hAnsi="Times New Roman" w:cs="Times New Roman"/>
                <w:i/>
                <w:iCs/>
                <w:sz w:val="20"/>
                <w:szCs w:val="20"/>
              </w:rPr>
              <w:t>pretty similar</w:t>
            </w:r>
            <w:proofErr w:type="gramEnd"/>
            <w:r w:rsidRPr="002E3A20">
              <w:rPr>
                <w:rFonts w:ascii="Times New Roman" w:hAnsi="Times New Roman" w:cs="Times New Roman"/>
                <w:i/>
                <w:iCs/>
                <w:sz w:val="20"/>
                <w:szCs w:val="20"/>
              </w:rPr>
              <w:t>. And that was based on the original, you know, several months of data for SIMPL and now it looks like, you know, if these correlate amongst 10 or 11 surgeons. And then it's got the face validity amongst people who are doing this regularly, and then also, if it correlates with the third chart, then it means that the data have been relatively steady over time”</w:t>
            </w:r>
          </w:p>
        </w:tc>
      </w:tr>
      <w:tr w:rsidR="00E67803" w14:paraId="3AFFD8CA" w14:textId="7AEDF1C7" w:rsidTr="00E67803">
        <w:tc>
          <w:tcPr>
            <w:tcW w:w="8480" w:type="dxa"/>
            <w:gridSpan w:val="2"/>
            <w:tcBorders>
              <w:top w:val="single" w:sz="4" w:space="0" w:color="888888"/>
              <w:left w:val="single" w:sz="4" w:space="0" w:color="888888"/>
              <w:bottom w:val="single" w:sz="4" w:space="0" w:color="888888"/>
              <w:right w:val="single" w:sz="4" w:space="0" w:color="888888"/>
            </w:tcBorders>
            <w:shd w:val="clear" w:color="auto" w:fill="EAEAEA"/>
          </w:tcPr>
          <w:p w14:paraId="18D83F44"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b/>
                <w:bCs/>
                <w:i/>
                <w:iCs/>
                <w:sz w:val="20"/>
                <w:szCs w:val="20"/>
              </w:rPr>
              <w:t>Bookmark</w:t>
            </w:r>
          </w:p>
        </w:tc>
        <w:tc>
          <w:tcPr>
            <w:tcW w:w="5130" w:type="dxa"/>
            <w:tcBorders>
              <w:top w:val="single" w:sz="4" w:space="0" w:color="888888"/>
              <w:left w:val="single" w:sz="4" w:space="0" w:color="888888"/>
              <w:bottom w:val="single" w:sz="4" w:space="0" w:color="888888"/>
              <w:right w:val="single" w:sz="4" w:space="0" w:color="888888"/>
            </w:tcBorders>
            <w:shd w:val="clear" w:color="auto" w:fill="EAEAEA"/>
          </w:tcPr>
          <w:p w14:paraId="156148A5" w14:textId="77777777" w:rsidR="00E67803" w:rsidRDefault="00E67803">
            <w:pPr>
              <w:spacing w:after="40"/>
              <w:rPr>
                <w:rFonts w:ascii="Times New Roman" w:eastAsia="Times New Roman" w:hAnsi="Times New Roman" w:cs="Times New Roman"/>
                <w:b/>
                <w:bCs/>
                <w:i/>
                <w:iCs/>
                <w:sz w:val="20"/>
                <w:szCs w:val="20"/>
              </w:rPr>
            </w:pPr>
          </w:p>
        </w:tc>
      </w:tr>
      <w:tr w:rsidR="00E67803" w14:paraId="2ABFAF26" w14:textId="502CA441" w:rsidTr="00E67803">
        <w:tc>
          <w:tcPr>
            <w:tcW w:w="3350" w:type="dxa"/>
            <w:tcBorders>
              <w:top w:val="single" w:sz="4" w:space="0" w:color="888888"/>
              <w:left w:val="single" w:sz="4" w:space="0" w:color="888888"/>
              <w:bottom w:val="single" w:sz="4" w:space="0" w:color="888888"/>
              <w:right w:val="single" w:sz="4" w:space="0" w:color="888888"/>
            </w:tcBorders>
          </w:tcPr>
          <w:p w14:paraId="042C82FF"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Bookmark — acknowledging contribution of variation in training</w:t>
            </w:r>
          </w:p>
        </w:tc>
        <w:tc>
          <w:tcPr>
            <w:tcW w:w="5130" w:type="dxa"/>
            <w:tcBorders>
              <w:top w:val="single" w:sz="4" w:space="0" w:color="888888"/>
              <w:left w:val="single" w:sz="4" w:space="0" w:color="888888"/>
              <w:bottom w:val="single" w:sz="4" w:space="0" w:color="888888"/>
              <w:right w:val="single" w:sz="4" w:space="0" w:color="888888"/>
            </w:tcBorders>
          </w:tcPr>
          <w:p w14:paraId="3AAA1A4C"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Recognition that variation in residency training differences (including panelists’ previous training) influences where a panelist places a cut score.</w:t>
            </w:r>
          </w:p>
        </w:tc>
        <w:tc>
          <w:tcPr>
            <w:tcW w:w="5130" w:type="dxa"/>
            <w:tcBorders>
              <w:top w:val="single" w:sz="4" w:space="0" w:color="888888"/>
              <w:left w:val="single" w:sz="4" w:space="0" w:color="888888"/>
              <w:bottom w:val="single" w:sz="4" w:space="0" w:color="888888"/>
              <w:right w:val="single" w:sz="4" w:space="0" w:color="888888"/>
            </w:tcBorders>
          </w:tcPr>
          <w:p w14:paraId="5BA621EF" w14:textId="579D8CF7" w:rsidR="00E67803" w:rsidRPr="002E3A20" w:rsidRDefault="002E3A20">
            <w:pPr>
              <w:spacing w:after="40"/>
              <w:rPr>
                <w:rFonts w:ascii="Times New Roman" w:eastAsia="Times New Roman" w:hAnsi="Times New Roman" w:cs="Times New Roman"/>
                <w:i/>
                <w:iCs/>
                <w:sz w:val="20"/>
                <w:szCs w:val="20"/>
              </w:rPr>
            </w:pPr>
            <w:r w:rsidRPr="002E3A20">
              <w:rPr>
                <w:rFonts w:ascii="Times New Roman" w:eastAsia="Times New Roman" w:hAnsi="Times New Roman" w:cs="Times New Roman"/>
                <w:i/>
                <w:iCs/>
                <w:sz w:val="20"/>
                <w:szCs w:val="20"/>
              </w:rPr>
              <w:t>“I think it’s also important to acknowledge the variation in training too, right? So, like our ACS service in my residency did a ton of open thoracostomies and open thoracotomies, and they did their own VATS and everything, you know, but that's not true everywhere, like in [my program], actually, I don't think our residents do very many of those at all on the ACS service. So that's another source of noise I would say in this too. Yeah, our own, the raters’, kind of personal experience</w:t>
            </w:r>
            <w:r>
              <w:rPr>
                <w:rFonts w:ascii="Times New Roman" w:eastAsia="Times New Roman" w:hAnsi="Times New Roman" w:cs="Times New Roman"/>
                <w:i/>
                <w:iCs/>
                <w:sz w:val="20"/>
                <w:szCs w:val="20"/>
              </w:rPr>
              <w:t>”</w:t>
            </w:r>
          </w:p>
        </w:tc>
      </w:tr>
      <w:tr w:rsidR="00E67803" w14:paraId="5F954009" w14:textId="0F70C33D" w:rsidTr="00E67803">
        <w:tc>
          <w:tcPr>
            <w:tcW w:w="3350" w:type="dxa"/>
            <w:tcBorders>
              <w:top w:val="single" w:sz="4" w:space="0" w:color="888888"/>
              <w:left w:val="single" w:sz="4" w:space="0" w:color="888888"/>
              <w:bottom w:val="single" w:sz="4" w:space="0" w:color="888888"/>
              <w:right w:val="single" w:sz="4" w:space="0" w:color="888888"/>
            </w:tcBorders>
          </w:tcPr>
          <w:p w14:paraId="16AF20F8"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Bookmark — influence of specialty and typical procedures on choice</w:t>
            </w:r>
          </w:p>
        </w:tc>
        <w:tc>
          <w:tcPr>
            <w:tcW w:w="5130" w:type="dxa"/>
            <w:tcBorders>
              <w:top w:val="single" w:sz="4" w:space="0" w:color="888888"/>
              <w:left w:val="single" w:sz="4" w:space="0" w:color="888888"/>
              <w:bottom w:val="single" w:sz="4" w:space="0" w:color="888888"/>
              <w:right w:val="single" w:sz="4" w:space="0" w:color="888888"/>
            </w:tcBorders>
          </w:tcPr>
          <w:p w14:paraId="57908D9A"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Observation that a panelist's specialty and typical case mix shaped where they placed their bookmark.</w:t>
            </w:r>
          </w:p>
        </w:tc>
        <w:tc>
          <w:tcPr>
            <w:tcW w:w="5130" w:type="dxa"/>
            <w:tcBorders>
              <w:top w:val="single" w:sz="4" w:space="0" w:color="888888"/>
              <w:left w:val="single" w:sz="4" w:space="0" w:color="888888"/>
              <w:bottom w:val="single" w:sz="4" w:space="0" w:color="888888"/>
              <w:right w:val="single" w:sz="4" w:space="0" w:color="888888"/>
            </w:tcBorders>
          </w:tcPr>
          <w:p w14:paraId="73FEC6D6" w14:textId="138FA137" w:rsidR="00E67803" w:rsidRPr="002E3A20" w:rsidRDefault="002E3A20">
            <w:pPr>
              <w:spacing w:after="40"/>
              <w:rPr>
                <w:rFonts w:ascii="Times New Roman" w:eastAsia="Times New Roman" w:hAnsi="Times New Roman" w:cs="Times New Roman"/>
                <w:i/>
                <w:iCs/>
                <w:sz w:val="20"/>
                <w:szCs w:val="20"/>
              </w:rPr>
            </w:pPr>
            <w:r w:rsidRPr="002E3A20">
              <w:rPr>
                <w:rFonts w:ascii="Times New Roman" w:eastAsia="Times New Roman" w:hAnsi="Times New Roman" w:cs="Times New Roman"/>
                <w:i/>
                <w:iCs/>
                <w:sz w:val="20"/>
                <w:szCs w:val="20"/>
              </w:rPr>
              <w:t xml:space="preserve">“I think being a [specialty] surgeon, I was looking at a [specialty] procedures here and thinking about, you know, what would I expect of my residents? So, I was one of those who had a little bit higher. I put it at abdominal exploration. And that was because I read it as put it before, right before </w:t>
            </w:r>
            <w:r w:rsidRPr="002E3A20">
              <w:rPr>
                <w:rFonts w:ascii="Times New Roman" w:eastAsia="Times New Roman" w:hAnsi="Times New Roman" w:cs="Times New Roman"/>
                <w:i/>
                <w:iCs/>
                <w:sz w:val="20"/>
                <w:szCs w:val="20"/>
              </w:rPr>
              <w:lastRenderedPageBreak/>
              <w:t xml:space="preserve">the thing that you think a resident can't </w:t>
            </w:r>
            <w:proofErr w:type="spellStart"/>
            <w:r w:rsidRPr="002E3A20">
              <w:rPr>
                <w:rFonts w:ascii="Times New Roman" w:eastAsia="Times New Roman" w:hAnsi="Times New Roman" w:cs="Times New Roman"/>
                <w:i/>
                <w:iCs/>
                <w:sz w:val="20"/>
                <w:szCs w:val="20"/>
              </w:rPr>
              <w:t>do or</w:t>
            </w:r>
            <w:proofErr w:type="spellEnd"/>
            <w:r w:rsidRPr="002E3A20">
              <w:rPr>
                <w:rFonts w:ascii="Times New Roman" w:eastAsia="Times New Roman" w:hAnsi="Times New Roman" w:cs="Times New Roman"/>
                <w:i/>
                <w:iCs/>
                <w:sz w:val="20"/>
                <w:szCs w:val="20"/>
              </w:rPr>
              <w:t xml:space="preserve"> and then for us cholangiography, we don't do it that often and I’m sure if you ask the resident to do a lot of people… so that combining those </w:t>
            </w:r>
            <w:proofErr w:type="gramStart"/>
            <w:r w:rsidRPr="002E3A20">
              <w:rPr>
                <w:rFonts w:ascii="Times New Roman" w:eastAsia="Times New Roman" w:hAnsi="Times New Roman" w:cs="Times New Roman"/>
                <w:i/>
                <w:iCs/>
                <w:sz w:val="20"/>
                <w:szCs w:val="20"/>
              </w:rPr>
              <w:t>two..</w:t>
            </w:r>
            <w:proofErr w:type="gramEnd"/>
            <w:r>
              <w:rPr>
                <w:rFonts w:ascii="Times New Roman" w:eastAsia="Times New Roman" w:hAnsi="Times New Roman" w:cs="Times New Roman"/>
                <w:i/>
                <w:iCs/>
                <w:sz w:val="20"/>
                <w:szCs w:val="20"/>
              </w:rPr>
              <w:t>”</w:t>
            </w:r>
          </w:p>
        </w:tc>
      </w:tr>
      <w:tr w:rsidR="00E67803" w14:paraId="758499DB" w14:textId="101EEB1E" w:rsidTr="00E67803">
        <w:tc>
          <w:tcPr>
            <w:tcW w:w="3350" w:type="dxa"/>
            <w:tcBorders>
              <w:top w:val="single" w:sz="4" w:space="0" w:color="888888"/>
              <w:left w:val="single" w:sz="4" w:space="0" w:color="888888"/>
              <w:bottom w:val="single" w:sz="4" w:space="0" w:color="888888"/>
              <w:right w:val="single" w:sz="4" w:space="0" w:color="888888"/>
            </w:tcBorders>
          </w:tcPr>
          <w:p w14:paraId="7BC6731B"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lastRenderedPageBreak/>
              <w:t>Bookmark — unexpected variation</w:t>
            </w:r>
          </w:p>
        </w:tc>
        <w:tc>
          <w:tcPr>
            <w:tcW w:w="5130" w:type="dxa"/>
            <w:tcBorders>
              <w:top w:val="single" w:sz="4" w:space="0" w:color="888888"/>
              <w:left w:val="single" w:sz="4" w:space="0" w:color="888888"/>
              <w:bottom w:val="single" w:sz="4" w:space="0" w:color="888888"/>
              <w:right w:val="single" w:sz="4" w:space="0" w:color="888888"/>
            </w:tcBorders>
          </w:tcPr>
          <w:p w14:paraId="073ACAD9"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Surprise at the degree of variation in bookmark placement across panelists.</w:t>
            </w:r>
          </w:p>
        </w:tc>
        <w:tc>
          <w:tcPr>
            <w:tcW w:w="5130" w:type="dxa"/>
            <w:tcBorders>
              <w:top w:val="single" w:sz="4" w:space="0" w:color="888888"/>
              <w:left w:val="single" w:sz="4" w:space="0" w:color="888888"/>
              <w:bottom w:val="single" w:sz="4" w:space="0" w:color="888888"/>
              <w:right w:val="single" w:sz="4" w:space="0" w:color="888888"/>
            </w:tcBorders>
          </w:tcPr>
          <w:p w14:paraId="0D2E9C9E" w14:textId="27AECC2D" w:rsidR="00E67803" w:rsidRPr="002E3A20" w:rsidRDefault="002E3A20">
            <w:pPr>
              <w:spacing w:after="40"/>
              <w:rPr>
                <w:rFonts w:ascii="Times New Roman" w:eastAsia="Times New Roman" w:hAnsi="Times New Roman" w:cs="Times New Roman"/>
                <w:i/>
                <w:iCs/>
                <w:sz w:val="20"/>
                <w:szCs w:val="20"/>
              </w:rPr>
            </w:pPr>
            <w:r w:rsidRPr="002E3A20">
              <w:rPr>
                <w:rFonts w:ascii="Times New Roman" w:eastAsia="Times New Roman" w:hAnsi="Times New Roman" w:cs="Times New Roman"/>
                <w:i/>
                <w:iCs/>
                <w:sz w:val="20"/>
                <w:szCs w:val="20"/>
              </w:rPr>
              <w:t>“There’s a lot much more variation here than I would have thought. To be honest, I was expecting this one to have a high concordance.”</w:t>
            </w:r>
          </w:p>
        </w:tc>
      </w:tr>
      <w:tr w:rsidR="00E67803" w14:paraId="09A51601" w14:textId="503B0E26" w:rsidTr="00E67803">
        <w:tc>
          <w:tcPr>
            <w:tcW w:w="3350" w:type="dxa"/>
            <w:tcBorders>
              <w:top w:val="single" w:sz="4" w:space="0" w:color="888888"/>
              <w:left w:val="single" w:sz="4" w:space="0" w:color="888888"/>
              <w:bottom w:val="single" w:sz="4" w:space="0" w:color="888888"/>
              <w:right w:val="single" w:sz="4" w:space="0" w:color="888888"/>
            </w:tcBorders>
          </w:tcPr>
          <w:p w14:paraId="7B0F5B25"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Bookmark — challenge in having combinations of relatively different procedures</w:t>
            </w:r>
          </w:p>
        </w:tc>
        <w:tc>
          <w:tcPr>
            <w:tcW w:w="5130" w:type="dxa"/>
            <w:tcBorders>
              <w:top w:val="single" w:sz="4" w:space="0" w:color="888888"/>
              <w:left w:val="single" w:sz="4" w:space="0" w:color="888888"/>
              <w:bottom w:val="single" w:sz="4" w:space="0" w:color="888888"/>
              <w:right w:val="single" w:sz="4" w:space="0" w:color="888888"/>
            </w:tcBorders>
          </w:tcPr>
          <w:p w14:paraId="17288C8F"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 xml:space="preserve">Specific challenge of placing a bookmark when some procedures that were combined into one item differed in approach, complexity or clinical context. </w:t>
            </w:r>
          </w:p>
        </w:tc>
        <w:tc>
          <w:tcPr>
            <w:tcW w:w="5130" w:type="dxa"/>
            <w:tcBorders>
              <w:top w:val="single" w:sz="4" w:space="0" w:color="888888"/>
              <w:left w:val="single" w:sz="4" w:space="0" w:color="888888"/>
              <w:bottom w:val="single" w:sz="4" w:space="0" w:color="888888"/>
              <w:right w:val="single" w:sz="4" w:space="0" w:color="888888"/>
            </w:tcBorders>
          </w:tcPr>
          <w:p w14:paraId="049A9CDA" w14:textId="47E35B6A" w:rsidR="00E67803" w:rsidRPr="002E3A20" w:rsidRDefault="002E3A20">
            <w:pPr>
              <w:spacing w:after="40"/>
              <w:rPr>
                <w:rFonts w:ascii="Times New Roman" w:eastAsia="Times New Roman" w:hAnsi="Times New Roman" w:cs="Times New Roman"/>
                <w:i/>
                <w:iCs/>
                <w:sz w:val="20"/>
                <w:szCs w:val="20"/>
              </w:rPr>
            </w:pPr>
            <w:r w:rsidRPr="002E3A20">
              <w:rPr>
                <w:rFonts w:ascii="Times New Roman" w:eastAsia="Times New Roman" w:hAnsi="Times New Roman" w:cs="Times New Roman"/>
                <w:i/>
                <w:iCs/>
                <w:sz w:val="20"/>
                <w:szCs w:val="20"/>
              </w:rPr>
              <w:t>“Like colostomy closure to me is so different from making a colostomy.”</w:t>
            </w:r>
          </w:p>
        </w:tc>
      </w:tr>
      <w:tr w:rsidR="00E67803" w14:paraId="2301193D" w14:textId="3A8010E4" w:rsidTr="00E67803">
        <w:tc>
          <w:tcPr>
            <w:tcW w:w="3350" w:type="dxa"/>
            <w:tcBorders>
              <w:top w:val="single" w:sz="4" w:space="0" w:color="888888"/>
              <w:left w:val="single" w:sz="4" w:space="0" w:color="888888"/>
              <w:bottom w:val="single" w:sz="4" w:space="0" w:color="888888"/>
              <w:right w:val="single" w:sz="4" w:space="0" w:color="888888"/>
            </w:tcBorders>
          </w:tcPr>
          <w:p w14:paraId="1D49E5DA"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Bookmark — suggestion of gaining consensus on list of procedures prior to placing bookmark</w:t>
            </w:r>
          </w:p>
        </w:tc>
        <w:tc>
          <w:tcPr>
            <w:tcW w:w="5130" w:type="dxa"/>
            <w:tcBorders>
              <w:top w:val="single" w:sz="4" w:space="0" w:color="888888"/>
              <w:left w:val="single" w:sz="4" w:space="0" w:color="888888"/>
              <w:bottom w:val="single" w:sz="4" w:space="0" w:color="888888"/>
              <w:right w:val="single" w:sz="4" w:space="0" w:color="888888"/>
            </w:tcBorders>
          </w:tcPr>
          <w:p w14:paraId="3703AC98"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Panelist recommendation that the procedure list be reviewed and agreed upon by the panel before the bookmark exercise begins.</w:t>
            </w:r>
          </w:p>
        </w:tc>
        <w:tc>
          <w:tcPr>
            <w:tcW w:w="5130" w:type="dxa"/>
            <w:tcBorders>
              <w:top w:val="single" w:sz="4" w:space="0" w:color="888888"/>
              <w:left w:val="single" w:sz="4" w:space="0" w:color="888888"/>
              <w:bottom w:val="single" w:sz="4" w:space="0" w:color="888888"/>
              <w:right w:val="single" w:sz="4" w:space="0" w:color="888888"/>
            </w:tcBorders>
          </w:tcPr>
          <w:p w14:paraId="5E14CF6C" w14:textId="3E8111F0" w:rsidR="00E67803" w:rsidRPr="008C6EB6" w:rsidRDefault="008C6EB6">
            <w:pPr>
              <w:spacing w:after="40"/>
              <w:rPr>
                <w:rFonts w:ascii="Times New Roman" w:eastAsia="Times New Roman" w:hAnsi="Times New Roman" w:cs="Times New Roman"/>
                <w:i/>
                <w:iCs/>
                <w:sz w:val="20"/>
                <w:szCs w:val="20"/>
              </w:rPr>
            </w:pPr>
            <w:r w:rsidRPr="008C6EB6">
              <w:rPr>
                <w:rFonts w:ascii="Times New Roman" w:eastAsia="Times New Roman" w:hAnsi="Times New Roman" w:cs="Times New Roman"/>
                <w:i/>
                <w:iCs/>
                <w:sz w:val="20"/>
                <w:szCs w:val="20"/>
              </w:rPr>
              <w:t>“Looking at that variance, I also kind of wonder whether we'd see the same variance if we had this group kind of do two tasks, like one, gain consensus on the order in which these procedures would appear, and then, and then do bookmarking, because I bet if we did that, we would have put open splenectomy higher on the list than laparoscopic splenectomy.”</w:t>
            </w:r>
          </w:p>
        </w:tc>
      </w:tr>
      <w:tr w:rsidR="00E67803" w14:paraId="630F8A8D" w14:textId="5F663ED8" w:rsidTr="00E67803">
        <w:tc>
          <w:tcPr>
            <w:tcW w:w="3350" w:type="dxa"/>
            <w:tcBorders>
              <w:top w:val="single" w:sz="4" w:space="0" w:color="888888"/>
              <w:left w:val="single" w:sz="4" w:space="0" w:color="888888"/>
              <w:bottom w:val="single" w:sz="4" w:space="0" w:color="888888"/>
              <w:right w:val="single" w:sz="4" w:space="0" w:color="888888"/>
            </w:tcBorders>
          </w:tcPr>
          <w:p w14:paraId="7C3200B7"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Bookmark method challenging because there needs to be alignment on the list of procedures</w:t>
            </w:r>
          </w:p>
        </w:tc>
        <w:tc>
          <w:tcPr>
            <w:tcW w:w="5130" w:type="dxa"/>
            <w:tcBorders>
              <w:top w:val="single" w:sz="4" w:space="0" w:color="888888"/>
              <w:left w:val="single" w:sz="4" w:space="0" w:color="888888"/>
              <w:bottom w:val="single" w:sz="4" w:space="0" w:color="888888"/>
              <w:right w:val="single" w:sz="4" w:space="0" w:color="888888"/>
            </w:tcBorders>
          </w:tcPr>
          <w:p w14:paraId="2552583B"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Recognition that the validity of the Bookmark method depends on prior panelist agreement about which procedures belong on the list and in what order.</w:t>
            </w:r>
          </w:p>
        </w:tc>
        <w:tc>
          <w:tcPr>
            <w:tcW w:w="5130" w:type="dxa"/>
            <w:tcBorders>
              <w:top w:val="single" w:sz="4" w:space="0" w:color="888888"/>
              <w:left w:val="single" w:sz="4" w:space="0" w:color="888888"/>
              <w:bottom w:val="single" w:sz="4" w:space="0" w:color="888888"/>
              <w:right w:val="single" w:sz="4" w:space="0" w:color="888888"/>
            </w:tcBorders>
          </w:tcPr>
          <w:p w14:paraId="7085D1C9" w14:textId="5DBB412B" w:rsidR="00E67803" w:rsidRPr="008C6EB6" w:rsidRDefault="008C6EB6">
            <w:pPr>
              <w:spacing w:after="40"/>
              <w:rPr>
                <w:rFonts w:ascii="Times New Roman" w:eastAsia="Times New Roman" w:hAnsi="Times New Roman" w:cs="Times New Roman"/>
                <w:i/>
                <w:iCs/>
                <w:sz w:val="20"/>
                <w:szCs w:val="20"/>
              </w:rPr>
            </w:pPr>
            <w:r w:rsidRPr="008C6EB6">
              <w:rPr>
                <w:rFonts w:ascii="Times New Roman" w:eastAsia="Times New Roman" w:hAnsi="Times New Roman" w:cs="Times New Roman"/>
                <w:i/>
                <w:iCs/>
                <w:sz w:val="20"/>
                <w:szCs w:val="20"/>
              </w:rPr>
              <w:t>“This one, the list has to be really right.”</w:t>
            </w:r>
          </w:p>
        </w:tc>
      </w:tr>
      <w:tr w:rsidR="00E67803" w14:paraId="0633C6D6" w14:textId="58CE0CBF" w:rsidTr="00E67803">
        <w:tc>
          <w:tcPr>
            <w:tcW w:w="3350" w:type="dxa"/>
            <w:tcBorders>
              <w:top w:val="single" w:sz="4" w:space="0" w:color="888888"/>
              <w:left w:val="single" w:sz="4" w:space="0" w:color="888888"/>
              <w:bottom w:val="single" w:sz="4" w:space="0" w:color="888888"/>
              <w:right w:val="single" w:sz="4" w:space="0" w:color="888888"/>
            </w:tcBorders>
          </w:tcPr>
          <w:p w14:paraId="66432920"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Details matter in the ordering and combining of procedures</w:t>
            </w:r>
          </w:p>
        </w:tc>
        <w:tc>
          <w:tcPr>
            <w:tcW w:w="5130" w:type="dxa"/>
            <w:tcBorders>
              <w:top w:val="single" w:sz="4" w:space="0" w:color="888888"/>
              <w:left w:val="single" w:sz="4" w:space="0" w:color="888888"/>
              <w:bottom w:val="single" w:sz="4" w:space="0" w:color="888888"/>
              <w:right w:val="single" w:sz="4" w:space="0" w:color="888888"/>
            </w:tcBorders>
          </w:tcPr>
          <w:p w14:paraId="398D8BAA" w14:textId="5E315433"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Reflection that the specific ordering, and any grouping of related procedures, impacts where panelists place their bookmark.</w:t>
            </w:r>
          </w:p>
        </w:tc>
        <w:tc>
          <w:tcPr>
            <w:tcW w:w="5130" w:type="dxa"/>
            <w:tcBorders>
              <w:top w:val="single" w:sz="4" w:space="0" w:color="888888"/>
              <w:left w:val="single" w:sz="4" w:space="0" w:color="888888"/>
              <w:bottom w:val="single" w:sz="4" w:space="0" w:color="888888"/>
              <w:right w:val="single" w:sz="4" w:space="0" w:color="888888"/>
            </w:tcBorders>
          </w:tcPr>
          <w:p w14:paraId="73CBD779" w14:textId="7BEBECA8" w:rsidR="00E67803" w:rsidRPr="008C6EB6" w:rsidRDefault="008C6EB6">
            <w:pPr>
              <w:spacing w:after="40"/>
              <w:rPr>
                <w:rFonts w:ascii="Times New Roman" w:eastAsia="Times New Roman" w:hAnsi="Times New Roman" w:cs="Times New Roman"/>
                <w:i/>
                <w:iCs/>
                <w:sz w:val="20"/>
                <w:szCs w:val="20"/>
              </w:rPr>
            </w:pPr>
            <w:r w:rsidRPr="008C6EB6">
              <w:rPr>
                <w:rFonts w:ascii="Times New Roman" w:eastAsia="Times New Roman" w:hAnsi="Times New Roman" w:cs="Times New Roman"/>
                <w:i/>
                <w:iCs/>
                <w:sz w:val="20"/>
                <w:szCs w:val="20"/>
              </w:rPr>
              <w:t xml:space="preserve">“I guess one observation I do think details really matter for things like colostomy and colostomy closure. I think you </w:t>
            </w:r>
            <w:proofErr w:type="gramStart"/>
            <w:r w:rsidRPr="008C6EB6">
              <w:rPr>
                <w:rFonts w:ascii="Times New Roman" w:eastAsia="Times New Roman" w:hAnsi="Times New Roman" w:cs="Times New Roman"/>
                <w:i/>
                <w:iCs/>
                <w:sz w:val="20"/>
                <w:szCs w:val="20"/>
              </w:rPr>
              <w:t>have to</w:t>
            </w:r>
            <w:proofErr w:type="gramEnd"/>
            <w:r w:rsidRPr="008C6EB6">
              <w:rPr>
                <w:rFonts w:ascii="Times New Roman" w:eastAsia="Times New Roman" w:hAnsi="Times New Roman" w:cs="Times New Roman"/>
                <w:i/>
                <w:iCs/>
                <w:sz w:val="20"/>
                <w:szCs w:val="20"/>
              </w:rPr>
              <w:t xml:space="preserve"> have, yeah, like related to the group consensus idea”</w:t>
            </w:r>
          </w:p>
        </w:tc>
      </w:tr>
      <w:tr w:rsidR="00E67803" w14:paraId="2C05B0C1" w14:textId="6E161FDC" w:rsidTr="00E67803">
        <w:tc>
          <w:tcPr>
            <w:tcW w:w="3350" w:type="dxa"/>
            <w:tcBorders>
              <w:top w:val="single" w:sz="4" w:space="0" w:color="888888"/>
              <w:left w:val="single" w:sz="4" w:space="0" w:color="888888"/>
              <w:bottom w:val="single" w:sz="4" w:space="0" w:color="888888"/>
              <w:right w:val="single" w:sz="4" w:space="0" w:color="888888"/>
            </w:tcBorders>
          </w:tcPr>
          <w:p w14:paraId="0B5FBD90"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Lack of agreement in pre-created list of procedures for Bookmark</w:t>
            </w:r>
          </w:p>
        </w:tc>
        <w:tc>
          <w:tcPr>
            <w:tcW w:w="5130" w:type="dxa"/>
            <w:tcBorders>
              <w:top w:val="single" w:sz="4" w:space="0" w:color="888888"/>
              <w:left w:val="single" w:sz="4" w:space="0" w:color="888888"/>
              <w:bottom w:val="single" w:sz="4" w:space="0" w:color="888888"/>
              <w:right w:val="single" w:sz="4" w:space="0" w:color="888888"/>
            </w:tcBorders>
          </w:tcPr>
          <w:p w14:paraId="72F7EB2A"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Panelist lack of agreement with the empirically derived ordering of procedures presented for the Bookmark exercise.</w:t>
            </w:r>
          </w:p>
        </w:tc>
        <w:tc>
          <w:tcPr>
            <w:tcW w:w="5130" w:type="dxa"/>
            <w:tcBorders>
              <w:top w:val="single" w:sz="4" w:space="0" w:color="888888"/>
              <w:left w:val="single" w:sz="4" w:space="0" w:color="888888"/>
              <w:bottom w:val="single" w:sz="4" w:space="0" w:color="888888"/>
              <w:right w:val="single" w:sz="4" w:space="0" w:color="888888"/>
            </w:tcBorders>
          </w:tcPr>
          <w:p w14:paraId="61D13222" w14:textId="66E2CB59" w:rsidR="00E67803" w:rsidRPr="008C6EB6" w:rsidRDefault="008C6EB6">
            <w:pPr>
              <w:spacing w:after="40"/>
              <w:rPr>
                <w:rFonts w:ascii="Times New Roman" w:eastAsia="Times New Roman" w:hAnsi="Times New Roman" w:cs="Times New Roman"/>
                <w:i/>
                <w:iCs/>
                <w:sz w:val="20"/>
                <w:szCs w:val="20"/>
              </w:rPr>
            </w:pPr>
            <w:r w:rsidRPr="008C6EB6">
              <w:rPr>
                <w:rFonts w:ascii="Times New Roman" w:eastAsia="Times New Roman" w:hAnsi="Times New Roman" w:cs="Times New Roman"/>
                <w:i/>
                <w:iCs/>
                <w:sz w:val="20"/>
                <w:szCs w:val="20"/>
              </w:rPr>
              <w:t xml:space="preserve">“And again, I'm trying to figure this out. It's like a cholodochoenteric anastomosis is not number seven or whatever it is. I </w:t>
            </w:r>
            <w:proofErr w:type="spellStart"/>
            <w:r w:rsidRPr="008C6EB6">
              <w:rPr>
                <w:rFonts w:ascii="Times New Roman" w:eastAsia="Times New Roman" w:hAnsi="Times New Roman" w:cs="Times New Roman"/>
                <w:i/>
                <w:iCs/>
                <w:sz w:val="20"/>
                <w:szCs w:val="20"/>
              </w:rPr>
              <w:t>gotta</w:t>
            </w:r>
            <w:proofErr w:type="spellEnd"/>
            <w:r w:rsidRPr="008C6EB6">
              <w:rPr>
                <w:rFonts w:ascii="Times New Roman" w:eastAsia="Times New Roman" w:hAnsi="Times New Roman" w:cs="Times New Roman"/>
                <w:i/>
                <w:iCs/>
                <w:sz w:val="20"/>
                <w:szCs w:val="20"/>
              </w:rPr>
              <w:t xml:space="preserve"> go back and look at it on the list, not even close.”</w:t>
            </w:r>
          </w:p>
        </w:tc>
      </w:tr>
      <w:tr w:rsidR="00E67803" w14:paraId="2A087AD4" w14:textId="317D1BE4" w:rsidTr="00E67803">
        <w:tc>
          <w:tcPr>
            <w:tcW w:w="3350" w:type="dxa"/>
            <w:tcBorders>
              <w:top w:val="single" w:sz="4" w:space="0" w:color="888888"/>
              <w:left w:val="single" w:sz="4" w:space="0" w:color="888888"/>
              <w:bottom w:val="single" w:sz="4" w:space="0" w:color="888888"/>
              <w:right w:val="single" w:sz="4" w:space="0" w:color="888888"/>
            </w:tcBorders>
          </w:tcPr>
          <w:p w14:paraId="715AB7BF"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Perception that if you lump open vs. lap, would default to easiest</w:t>
            </w:r>
          </w:p>
        </w:tc>
        <w:tc>
          <w:tcPr>
            <w:tcW w:w="5130" w:type="dxa"/>
            <w:tcBorders>
              <w:top w:val="single" w:sz="4" w:space="0" w:color="888888"/>
              <w:left w:val="single" w:sz="4" w:space="0" w:color="888888"/>
              <w:bottom w:val="single" w:sz="4" w:space="0" w:color="888888"/>
              <w:right w:val="single" w:sz="4" w:space="0" w:color="888888"/>
            </w:tcBorders>
          </w:tcPr>
          <w:p w14:paraId="40482035"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Observation that grouping open and laparoscopic versions of the same procedure into a single item may push panelists to anchor their judgment to the easier of the two.</w:t>
            </w:r>
          </w:p>
        </w:tc>
        <w:tc>
          <w:tcPr>
            <w:tcW w:w="5130" w:type="dxa"/>
            <w:tcBorders>
              <w:top w:val="single" w:sz="4" w:space="0" w:color="888888"/>
              <w:left w:val="single" w:sz="4" w:space="0" w:color="888888"/>
              <w:bottom w:val="single" w:sz="4" w:space="0" w:color="888888"/>
              <w:right w:val="single" w:sz="4" w:space="0" w:color="888888"/>
            </w:tcBorders>
          </w:tcPr>
          <w:p w14:paraId="27A3D5FE" w14:textId="0DDF5FF8" w:rsidR="00E67803" w:rsidRPr="008C6EB6" w:rsidRDefault="008C6EB6">
            <w:pPr>
              <w:spacing w:after="40"/>
              <w:rPr>
                <w:rFonts w:ascii="Times New Roman" w:eastAsia="Times New Roman" w:hAnsi="Times New Roman" w:cs="Times New Roman"/>
                <w:i/>
                <w:iCs/>
                <w:sz w:val="20"/>
                <w:szCs w:val="20"/>
              </w:rPr>
            </w:pPr>
            <w:r w:rsidRPr="008C6EB6">
              <w:rPr>
                <w:rFonts w:ascii="Times New Roman" w:eastAsia="Times New Roman" w:hAnsi="Times New Roman" w:cs="Times New Roman"/>
                <w:i/>
                <w:iCs/>
                <w:sz w:val="20"/>
                <w:szCs w:val="20"/>
              </w:rPr>
              <w:t xml:space="preserve">“I think we would have all defaulted to open, given the fact that a laparoscopic inguinal hernia repair probably has the highest learning, longest learning curve of any laparoscopic case out there, looking at looking at the literature in the past. </w:t>
            </w:r>
            <w:proofErr w:type="gramStart"/>
            <w:r w:rsidRPr="008C6EB6">
              <w:rPr>
                <w:rFonts w:ascii="Times New Roman" w:eastAsia="Times New Roman" w:hAnsi="Times New Roman" w:cs="Times New Roman"/>
                <w:i/>
                <w:iCs/>
                <w:sz w:val="20"/>
                <w:szCs w:val="20"/>
              </w:rPr>
              <w:t>So</w:t>
            </w:r>
            <w:proofErr w:type="gramEnd"/>
            <w:r w:rsidRPr="008C6EB6">
              <w:rPr>
                <w:rFonts w:ascii="Times New Roman" w:eastAsia="Times New Roman" w:hAnsi="Times New Roman" w:cs="Times New Roman"/>
                <w:i/>
                <w:iCs/>
                <w:sz w:val="20"/>
                <w:szCs w:val="20"/>
              </w:rPr>
              <w:t xml:space="preserve"> if you lump them together, would go to the easiest.”</w:t>
            </w:r>
          </w:p>
        </w:tc>
      </w:tr>
      <w:tr w:rsidR="00E67803" w14:paraId="5563DDA6" w14:textId="535534C8" w:rsidTr="00E67803">
        <w:tc>
          <w:tcPr>
            <w:tcW w:w="3350" w:type="dxa"/>
            <w:tcBorders>
              <w:top w:val="single" w:sz="4" w:space="0" w:color="888888"/>
              <w:left w:val="single" w:sz="4" w:space="0" w:color="888888"/>
              <w:bottom w:val="single" w:sz="4" w:space="0" w:color="888888"/>
              <w:right w:val="single" w:sz="4" w:space="0" w:color="888888"/>
            </w:tcBorders>
          </w:tcPr>
          <w:p w14:paraId="225CEE3C"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lastRenderedPageBreak/>
              <w:t>Perception that it could take a long time to align on an order</w:t>
            </w:r>
          </w:p>
        </w:tc>
        <w:tc>
          <w:tcPr>
            <w:tcW w:w="5130" w:type="dxa"/>
            <w:tcBorders>
              <w:top w:val="single" w:sz="4" w:space="0" w:color="888888"/>
              <w:left w:val="single" w:sz="4" w:space="0" w:color="888888"/>
              <w:bottom w:val="single" w:sz="4" w:space="0" w:color="888888"/>
              <w:right w:val="single" w:sz="4" w:space="0" w:color="888888"/>
            </w:tcBorders>
          </w:tcPr>
          <w:p w14:paraId="622C37C1"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Recognition that achieving panelist consensus on procedure ordering, while important, could be time-consuming.</w:t>
            </w:r>
          </w:p>
        </w:tc>
        <w:tc>
          <w:tcPr>
            <w:tcW w:w="5130" w:type="dxa"/>
            <w:tcBorders>
              <w:top w:val="single" w:sz="4" w:space="0" w:color="888888"/>
              <w:left w:val="single" w:sz="4" w:space="0" w:color="888888"/>
              <w:bottom w:val="single" w:sz="4" w:space="0" w:color="888888"/>
              <w:right w:val="single" w:sz="4" w:space="0" w:color="888888"/>
            </w:tcBorders>
          </w:tcPr>
          <w:p w14:paraId="06D6CFC0" w14:textId="0E0555AE" w:rsidR="00E67803" w:rsidRPr="008C6EB6" w:rsidRDefault="008C6EB6">
            <w:pPr>
              <w:spacing w:after="40"/>
              <w:rPr>
                <w:rFonts w:ascii="Times New Roman" w:eastAsia="Times New Roman" w:hAnsi="Times New Roman" w:cs="Times New Roman"/>
                <w:i/>
                <w:iCs/>
                <w:sz w:val="20"/>
                <w:szCs w:val="20"/>
              </w:rPr>
            </w:pPr>
            <w:r w:rsidRPr="008C6EB6">
              <w:rPr>
                <w:rFonts w:ascii="Times New Roman" w:eastAsia="Times New Roman" w:hAnsi="Times New Roman" w:cs="Times New Roman"/>
                <w:i/>
                <w:iCs/>
                <w:sz w:val="20"/>
                <w:szCs w:val="20"/>
              </w:rPr>
              <w:t>“With that said, I think it would probably take us hours to agree on an order…”</w:t>
            </w:r>
          </w:p>
        </w:tc>
      </w:tr>
      <w:tr w:rsidR="00E67803" w14:paraId="58269E06" w14:textId="79ECAC39" w:rsidTr="00E67803">
        <w:tc>
          <w:tcPr>
            <w:tcW w:w="3350" w:type="dxa"/>
            <w:tcBorders>
              <w:top w:val="single" w:sz="4" w:space="0" w:color="888888"/>
              <w:left w:val="single" w:sz="4" w:space="0" w:color="888888"/>
              <w:bottom w:val="single" w:sz="4" w:space="0" w:color="888888"/>
              <w:right w:val="single" w:sz="4" w:space="0" w:color="888888"/>
            </w:tcBorders>
          </w:tcPr>
          <w:p w14:paraId="733B10C7"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Pre-created list of procedures (based on data) for Bookmark method not lining up conceptually</w:t>
            </w:r>
          </w:p>
        </w:tc>
        <w:tc>
          <w:tcPr>
            <w:tcW w:w="5130" w:type="dxa"/>
            <w:tcBorders>
              <w:top w:val="single" w:sz="4" w:space="0" w:color="888888"/>
              <w:left w:val="single" w:sz="4" w:space="0" w:color="888888"/>
              <w:bottom w:val="single" w:sz="4" w:space="0" w:color="888888"/>
              <w:right w:val="single" w:sz="4" w:space="0" w:color="888888"/>
            </w:tcBorders>
          </w:tcPr>
          <w:p w14:paraId="3BFF9C94"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Observation that the empirically ordered procedure list did not always match panelists' clinical intuitions about relative difficulty.</w:t>
            </w:r>
          </w:p>
        </w:tc>
        <w:tc>
          <w:tcPr>
            <w:tcW w:w="5130" w:type="dxa"/>
            <w:tcBorders>
              <w:top w:val="single" w:sz="4" w:space="0" w:color="888888"/>
              <w:left w:val="single" w:sz="4" w:space="0" w:color="888888"/>
              <w:bottom w:val="single" w:sz="4" w:space="0" w:color="888888"/>
              <w:right w:val="single" w:sz="4" w:space="0" w:color="888888"/>
            </w:tcBorders>
          </w:tcPr>
          <w:p w14:paraId="0797FEBF" w14:textId="3DAE4108" w:rsidR="00E67803" w:rsidRPr="008C6EB6" w:rsidRDefault="008C6EB6">
            <w:pPr>
              <w:spacing w:after="40"/>
              <w:rPr>
                <w:rFonts w:ascii="Times New Roman" w:eastAsia="Times New Roman" w:hAnsi="Times New Roman" w:cs="Times New Roman"/>
                <w:i/>
                <w:iCs/>
                <w:sz w:val="20"/>
                <w:szCs w:val="20"/>
              </w:rPr>
            </w:pPr>
            <w:r w:rsidRPr="008C6EB6">
              <w:rPr>
                <w:rFonts w:ascii="Times New Roman" w:eastAsia="Times New Roman" w:hAnsi="Times New Roman" w:cs="Times New Roman"/>
                <w:i/>
                <w:iCs/>
                <w:sz w:val="20"/>
                <w:szCs w:val="20"/>
              </w:rPr>
              <w:t>“I noticed that too, X. I think that was an error, to be perfectly honest. X, I know you probably don’t know what that is, you know, but that is a very sophisticated procedure.”</w:t>
            </w:r>
          </w:p>
        </w:tc>
      </w:tr>
      <w:tr w:rsidR="00E67803" w14:paraId="62269B3B" w14:textId="6D149869" w:rsidTr="00E67803">
        <w:tc>
          <w:tcPr>
            <w:tcW w:w="3350" w:type="dxa"/>
            <w:tcBorders>
              <w:top w:val="single" w:sz="4" w:space="0" w:color="888888"/>
              <w:left w:val="single" w:sz="4" w:space="0" w:color="888888"/>
              <w:bottom w:val="single" w:sz="4" w:space="0" w:color="888888"/>
              <w:right w:val="single" w:sz="4" w:space="0" w:color="888888"/>
            </w:tcBorders>
          </w:tcPr>
          <w:p w14:paraId="5C89383A"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 xml:space="preserve">Suggestion of using the same list of procedures as in </w:t>
            </w:r>
            <w:proofErr w:type="spellStart"/>
            <w:r>
              <w:rPr>
                <w:rFonts w:ascii="Times New Roman" w:eastAsia="Times New Roman" w:hAnsi="Times New Roman" w:cs="Times New Roman"/>
                <w:sz w:val="20"/>
                <w:szCs w:val="20"/>
              </w:rPr>
              <w:t>Angoff</w:t>
            </w:r>
            <w:proofErr w:type="spellEnd"/>
            <w:r>
              <w:rPr>
                <w:rFonts w:ascii="Times New Roman" w:eastAsia="Times New Roman" w:hAnsi="Times New Roman" w:cs="Times New Roman"/>
                <w:sz w:val="20"/>
                <w:szCs w:val="20"/>
              </w:rPr>
              <w:t xml:space="preserve"> and construct mapping</w:t>
            </w:r>
          </w:p>
        </w:tc>
        <w:tc>
          <w:tcPr>
            <w:tcW w:w="5130" w:type="dxa"/>
            <w:tcBorders>
              <w:top w:val="single" w:sz="4" w:space="0" w:color="888888"/>
              <w:left w:val="single" w:sz="4" w:space="0" w:color="888888"/>
              <w:bottom w:val="single" w:sz="4" w:space="0" w:color="888888"/>
              <w:right w:val="single" w:sz="4" w:space="0" w:color="888888"/>
            </w:tcBorders>
          </w:tcPr>
          <w:p w14:paraId="173EE011" w14:textId="410E5EE1"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Recommendation that the same procedure list be used across all three methods.</w:t>
            </w:r>
          </w:p>
        </w:tc>
        <w:tc>
          <w:tcPr>
            <w:tcW w:w="5130" w:type="dxa"/>
            <w:tcBorders>
              <w:top w:val="single" w:sz="4" w:space="0" w:color="888888"/>
              <w:left w:val="single" w:sz="4" w:space="0" w:color="888888"/>
              <w:bottom w:val="single" w:sz="4" w:space="0" w:color="888888"/>
              <w:right w:val="single" w:sz="4" w:space="0" w:color="888888"/>
            </w:tcBorders>
          </w:tcPr>
          <w:p w14:paraId="4A27E8BC" w14:textId="12131B64" w:rsidR="00E67803" w:rsidRPr="008C6EB6" w:rsidRDefault="008C6EB6">
            <w:pPr>
              <w:spacing w:after="40"/>
              <w:rPr>
                <w:rFonts w:ascii="Times New Roman" w:eastAsia="Times New Roman" w:hAnsi="Times New Roman" w:cs="Times New Roman"/>
                <w:i/>
                <w:iCs/>
                <w:sz w:val="20"/>
                <w:szCs w:val="20"/>
              </w:rPr>
            </w:pPr>
            <w:r w:rsidRPr="008C6EB6">
              <w:rPr>
                <w:rFonts w:ascii="Times New Roman" w:eastAsia="Times New Roman" w:hAnsi="Times New Roman" w:cs="Times New Roman"/>
                <w:i/>
                <w:iCs/>
                <w:sz w:val="20"/>
                <w:szCs w:val="20"/>
              </w:rPr>
              <w:t xml:space="preserve">“I wonder if you had given us the list from activity one where the cutoff would have been, because it's the same list for activity three as well. And I think there is less variability among different training programs. Like everybody is theoretically seeing </w:t>
            </w:r>
            <w:proofErr w:type="gramStart"/>
            <w:r w:rsidRPr="008C6EB6">
              <w:rPr>
                <w:rFonts w:ascii="Times New Roman" w:eastAsia="Times New Roman" w:hAnsi="Times New Roman" w:cs="Times New Roman"/>
                <w:i/>
                <w:iCs/>
                <w:sz w:val="20"/>
                <w:szCs w:val="20"/>
              </w:rPr>
              <w:t>all of</w:t>
            </w:r>
            <w:proofErr w:type="gramEnd"/>
            <w:r w:rsidRPr="008C6EB6">
              <w:rPr>
                <w:rFonts w:ascii="Times New Roman" w:eastAsia="Times New Roman" w:hAnsi="Times New Roman" w:cs="Times New Roman"/>
                <w:i/>
                <w:iCs/>
                <w:sz w:val="20"/>
                <w:szCs w:val="20"/>
              </w:rPr>
              <w:t xml:space="preserve"> those operations with some frequency.”</w:t>
            </w:r>
          </w:p>
        </w:tc>
      </w:tr>
      <w:tr w:rsidR="00E67803" w14:paraId="534CFB21" w14:textId="1200F9EA" w:rsidTr="00E67803">
        <w:tc>
          <w:tcPr>
            <w:tcW w:w="8480" w:type="dxa"/>
            <w:gridSpan w:val="2"/>
            <w:tcBorders>
              <w:top w:val="single" w:sz="4" w:space="0" w:color="888888"/>
              <w:left w:val="single" w:sz="4" w:space="0" w:color="888888"/>
              <w:bottom w:val="single" w:sz="4" w:space="0" w:color="888888"/>
              <w:right w:val="single" w:sz="4" w:space="0" w:color="888888"/>
            </w:tcBorders>
            <w:shd w:val="clear" w:color="auto" w:fill="EAEAEA"/>
          </w:tcPr>
          <w:p w14:paraId="35673445"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b/>
                <w:bCs/>
                <w:i/>
                <w:iCs/>
                <w:sz w:val="20"/>
                <w:szCs w:val="20"/>
              </w:rPr>
              <w:t>Construct Mapping</w:t>
            </w:r>
          </w:p>
        </w:tc>
        <w:tc>
          <w:tcPr>
            <w:tcW w:w="5130" w:type="dxa"/>
            <w:tcBorders>
              <w:top w:val="single" w:sz="4" w:space="0" w:color="888888"/>
              <w:left w:val="single" w:sz="4" w:space="0" w:color="888888"/>
              <w:bottom w:val="single" w:sz="4" w:space="0" w:color="888888"/>
              <w:right w:val="single" w:sz="4" w:space="0" w:color="888888"/>
            </w:tcBorders>
            <w:shd w:val="clear" w:color="auto" w:fill="EAEAEA"/>
          </w:tcPr>
          <w:p w14:paraId="4A80342A" w14:textId="77777777" w:rsidR="00E67803" w:rsidRDefault="00E67803">
            <w:pPr>
              <w:spacing w:after="40"/>
              <w:rPr>
                <w:rFonts w:ascii="Times New Roman" w:eastAsia="Times New Roman" w:hAnsi="Times New Roman" w:cs="Times New Roman"/>
                <w:b/>
                <w:bCs/>
                <w:i/>
                <w:iCs/>
                <w:sz w:val="20"/>
                <w:szCs w:val="20"/>
              </w:rPr>
            </w:pPr>
          </w:p>
        </w:tc>
      </w:tr>
      <w:tr w:rsidR="00E67803" w14:paraId="5BB01E61" w14:textId="335E04E7" w:rsidTr="00E67803">
        <w:tc>
          <w:tcPr>
            <w:tcW w:w="3350" w:type="dxa"/>
            <w:tcBorders>
              <w:top w:val="single" w:sz="4" w:space="0" w:color="888888"/>
              <w:left w:val="single" w:sz="4" w:space="0" w:color="888888"/>
              <w:bottom w:val="single" w:sz="4" w:space="0" w:color="888888"/>
              <w:right w:val="single" w:sz="4" w:space="0" w:color="888888"/>
            </w:tcBorders>
          </w:tcPr>
          <w:p w14:paraId="4B4B0671"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Consideration of whether construct mapping table should only represent PGY5s</w:t>
            </w:r>
          </w:p>
        </w:tc>
        <w:tc>
          <w:tcPr>
            <w:tcW w:w="5130" w:type="dxa"/>
            <w:tcBorders>
              <w:top w:val="single" w:sz="4" w:space="0" w:color="888888"/>
              <w:left w:val="single" w:sz="4" w:space="0" w:color="888888"/>
              <w:bottom w:val="single" w:sz="4" w:space="0" w:color="888888"/>
              <w:right w:val="single" w:sz="4" w:space="0" w:color="888888"/>
            </w:tcBorders>
          </w:tcPr>
          <w:p w14:paraId="1842F4A5"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Reflection on whether the construct map should be restricted to PGY5 performance data, given the specific task of setting a standard for a graduating resident.</w:t>
            </w:r>
          </w:p>
        </w:tc>
        <w:tc>
          <w:tcPr>
            <w:tcW w:w="5130" w:type="dxa"/>
            <w:tcBorders>
              <w:top w:val="single" w:sz="4" w:space="0" w:color="888888"/>
              <w:left w:val="single" w:sz="4" w:space="0" w:color="888888"/>
              <w:bottom w:val="single" w:sz="4" w:space="0" w:color="888888"/>
              <w:right w:val="single" w:sz="4" w:space="0" w:color="888888"/>
            </w:tcBorders>
          </w:tcPr>
          <w:p w14:paraId="38EEDCFF" w14:textId="4CB148C6" w:rsidR="00E67803" w:rsidRPr="005328A4" w:rsidRDefault="005328A4">
            <w:pPr>
              <w:spacing w:after="40"/>
              <w:rPr>
                <w:rFonts w:ascii="Times New Roman" w:eastAsia="Times New Roman" w:hAnsi="Times New Roman" w:cs="Times New Roman"/>
                <w:i/>
                <w:iCs/>
                <w:sz w:val="20"/>
                <w:szCs w:val="20"/>
              </w:rPr>
            </w:pPr>
            <w:r w:rsidRPr="005328A4">
              <w:rPr>
                <w:rFonts w:ascii="Times New Roman" w:eastAsia="Times New Roman" w:hAnsi="Times New Roman" w:cs="Times New Roman"/>
                <w:i/>
                <w:iCs/>
                <w:sz w:val="20"/>
                <w:szCs w:val="20"/>
              </w:rPr>
              <w:t xml:space="preserve">“Yeah, I this goes back to your point earlier, X, about like, I wonder what this would look like for PGY five, because in my head I was thinking, okay, the top 20 to 50th, 20 to 30th percentile are mostly PGY fives. I, I hope, right. And </w:t>
            </w:r>
            <w:proofErr w:type="gramStart"/>
            <w:r w:rsidRPr="005328A4">
              <w:rPr>
                <w:rFonts w:ascii="Times New Roman" w:eastAsia="Times New Roman" w:hAnsi="Times New Roman" w:cs="Times New Roman"/>
                <w:i/>
                <w:iCs/>
                <w:sz w:val="20"/>
                <w:szCs w:val="20"/>
              </w:rPr>
              <w:t>so</w:t>
            </w:r>
            <w:proofErr w:type="gramEnd"/>
            <w:r w:rsidRPr="005328A4">
              <w:rPr>
                <w:rFonts w:ascii="Times New Roman" w:eastAsia="Times New Roman" w:hAnsi="Times New Roman" w:cs="Times New Roman"/>
                <w:i/>
                <w:iCs/>
                <w:sz w:val="20"/>
                <w:szCs w:val="20"/>
              </w:rPr>
              <w:t xml:space="preserve"> I was </w:t>
            </w:r>
            <w:proofErr w:type="gramStart"/>
            <w:r w:rsidRPr="005328A4">
              <w:rPr>
                <w:rFonts w:ascii="Times New Roman" w:eastAsia="Times New Roman" w:hAnsi="Times New Roman" w:cs="Times New Roman"/>
                <w:i/>
                <w:iCs/>
                <w:sz w:val="20"/>
                <w:szCs w:val="20"/>
              </w:rPr>
              <w:t>actually like</w:t>
            </w:r>
            <w:proofErr w:type="gramEnd"/>
            <w:r w:rsidRPr="005328A4">
              <w:rPr>
                <w:rFonts w:ascii="Times New Roman" w:eastAsia="Times New Roman" w:hAnsi="Times New Roman" w:cs="Times New Roman"/>
                <w:i/>
                <w:iCs/>
                <w:sz w:val="20"/>
                <w:szCs w:val="20"/>
              </w:rPr>
              <w:t xml:space="preserve">, trying to bump up </w:t>
            </w:r>
            <w:proofErr w:type="gramStart"/>
            <w:r w:rsidRPr="005328A4">
              <w:rPr>
                <w:rFonts w:ascii="Times New Roman" w:eastAsia="Times New Roman" w:hAnsi="Times New Roman" w:cs="Times New Roman"/>
                <w:i/>
                <w:iCs/>
                <w:sz w:val="20"/>
                <w:szCs w:val="20"/>
              </w:rPr>
              <w:t>pretty high</w:t>
            </w:r>
            <w:proofErr w:type="gramEnd"/>
            <w:r w:rsidRPr="005328A4">
              <w:rPr>
                <w:rFonts w:ascii="Times New Roman" w:eastAsia="Times New Roman" w:hAnsi="Times New Roman" w:cs="Times New Roman"/>
                <w:i/>
                <w:iCs/>
                <w:sz w:val="20"/>
                <w:szCs w:val="20"/>
              </w:rPr>
              <w:t xml:space="preserve"> in that. And I wonder if, like, the fact that it has everyone on this is a little bit, it's hard to imagine, for me, at least, like, what does, what does part of like a minimally competent surgeon look like when it's so squished together, you know, like I want a little more kind of spread.”</w:t>
            </w:r>
          </w:p>
        </w:tc>
      </w:tr>
      <w:tr w:rsidR="00E67803" w14:paraId="47FC5DC5" w14:textId="3EA0FCA0" w:rsidTr="00E67803">
        <w:tc>
          <w:tcPr>
            <w:tcW w:w="3350" w:type="dxa"/>
            <w:tcBorders>
              <w:top w:val="single" w:sz="4" w:space="0" w:color="888888"/>
              <w:left w:val="single" w:sz="4" w:space="0" w:color="888888"/>
              <w:bottom w:val="single" w:sz="4" w:space="0" w:color="888888"/>
              <w:right w:val="single" w:sz="4" w:space="0" w:color="888888"/>
            </w:tcBorders>
          </w:tcPr>
          <w:p w14:paraId="0E8A512C"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Construct mapping — challenges with interpreting percentiles across PGY1–5s</w:t>
            </w:r>
          </w:p>
        </w:tc>
        <w:tc>
          <w:tcPr>
            <w:tcW w:w="5130" w:type="dxa"/>
            <w:tcBorders>
              <w:top w:val="single" w:sz="4" w:space="0" w:color="888888"/>
              <w:left w:val="single" w:sz="4" w:space="0" w:color="888888"/>
              <w:bottom w:val="single" w:sz="4" w:space="0" w:color="888888"/>
              <w:right w:val="single" w:sz="4" w:space="0" w:color="888888"/>
            </w:tcBorders>
          </w:tcPr>
          <w:p w14:paraId="6B58C7F8"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Difficulty interpreting cell-level probabilities in the construct map when the underlying data pool included all PGY levels rather than PGY5s only.</w:t>
            </w:r>
          </w:p>
        </w:tc>
        <w:tc>
          <w:tcPr>
            <w:tcW w:w="5130" w:type="dxa"/>
            <w:tcBorders>
              <w:top w:val="single" w:sz="4" w:space="0" w:color="888888"/>
              <w:left w:val="single" w:sz="4" w:space="0" w:color="888888"/>
              <w:bottom w:val="single" w:sz="4" w:space="0" w:color="888888"/>
              <w:right w:val="single" w:sz="4" w:space="0" w:color="888888"/>
            </w:tcBorders>
          </w:tcPr>
          <w:p w14:paraId="410865BC" w14:textId="7D678192" w:rsidR="00E67803" w:rsidRPr="005328A4" w:rsidRDefault="005328A4">
            <w:pPr>
              <w:spacing w:after="40"/>
              <w:rPr>
                <w:rFonts w:ascii="Times New Roman" w:eastAsia="Times New Roman" w:hAnsi="Times New Roman" w:cs="Times New Roman"/>
                <w:i/>
                <w:iCs/>
                <w:sz w:val="20"/>
                <w:szCs w:val="20"/>
              </w:rPr>
            </w:pPr>
            <w:r w:rsidRPr="005328A4">
              <w:rPr>
                <w:rFonts w:ascii="Times New Roman" w:eastAsia="Times New Roman" w:hAnsi="Times New Roman" w:cs="Times New Roman"/>
                <w:i/>
                <w:iCs/>
                <w:sz w:val="20"/>
                <w:szCs w:val="20"/>
              </w:rPr>
              <w:t xml:space="preserve">“I looked at those numbers. I thought it was interesting, because I was doing some of the same math of like, </w:t>
            </w:r>
            <w:proofErr w:type="gramStart"/>
            <w:r w:rsidRPr="005328A4">
              <w:rPr>
                <w:rFonts w:ascii="Times New Roman" w:eastAsia="Times New Roman" w:hAnsi="Times New Roman" w:cs="Times New Roman"/>
                <w:i/>
                <w:iCs/>
                <w:sz w:val="20"/>
                <w:szCs w:val="20"/>
              </w:rPr>
              <w:t>All</w:t>
            </w:r>
            <w:proofErr w:type="gramEnd"/>
            <w:r w:rsidRPr="005328A4">
              <w:rPr>
                <w:rFonts w:ascii="Times New Roman" w:eastAsia="Times New Roman" w:hAnsi="Times New Roman" w:cs="Times New Roman"/>
                <w:i/>
                <w:iCs/>
                <w:sz w:val="20"/>
                <w:szCs w:val="20"/>
              </w:rPr>
              <w:t xml:space="preserve"> right, well, 20% of people are PGY fives, but we </w:t>
            </w:r>
            <w:proofErr w:type="gramStart"/>
            <w:r w:rsidRPr="005328A4">
              <w:rPr>
                <w:rFonts w:ascii="Times New Roman" w:eastAsia="Times New Roman" w:hAnsi="Times New Roman" w:cs="Times New Roman"/>
                <w:i/>
                <w:iCs/>
                <w:sz w:val="20"/>
                <w:szCs w:val="20"/>
              </w:rPr>
              <w:t>definitely have</w:t>
            </w:r>
            <w:proofErr w:type="gramEnd"/>
            <w:r w:rsidRPr="005328A4">
              <w:rPr>
                <w:rFonts w:ascii="Times New Roman" w:eastAsia="Times New Roman" w:hAnsi="Times New Roman" w:cs="Times New Roman"/>
                <w:i/>
                <w:iCs/>
                <w:sz w:val="20"/>
                <w:szCs w:val="20"/>
              </w:rPr>
              <w:t xml:space="preserve"> some PGY fours who perform better than maybe a graduating PGY five, right? So that's that kind of jumbles who's </w:t>
            </w:r>
            <w:proofErr w:type="gramStart"/>
            <w:r w:rsidRPr="005328A4">
              <w:rPr>
                <w:rFonts w:ascii="Times New Roman" w:eastAsia="Times New Roman" w:hAnsi="Times New Roman" w:cs="Times New Roman"/>
                <w:i/>
                <w:iCs/>
                <w:sz w:val="20"/>
                <w:szCs w:val="20"/>
              </w:rPr>
              <w:t>actually in</w:t>
            </w:r>
            <w:proofErr w:type="gramEnd"/>
            <w:r w:rsidRPr="005328A4">
              <w:rPr>
                <w:rFonts w:ascii="Times New Roman" w:eastAsia="Times New Roman" w:hAnsi="Times New Roman" w:cs="Times New Roman"/>
                <w:i/>
                <w:iCs/>
                <w:sz w:val="20"/>
                <w:szCs w:val="20"/>
              </w:rPr>
              <w:t xml:space="preserve"> that 20th percentile?”</w:t>
            </w:r>
          </w:p>
        </w:tc>
      </w:tr>
      <w:tr w:rsidR="00E67803" w14:paraId="1A0EF04F" w14:textId="7A33AE71" w:rsidTr="00E67803">
        <w:tc>
          <w:tcPr>
            <w:tcW w:w="3350" w:type="dxa"/>
            <w:tcBorders>
              <w:top w:val="single" w:sz="4" w:space="0" w:color="888888"/>
              <w:left w:val="single" w:sz="4" w:space="0" w:color="888888"/>
              <w:bottom w:val="single" w:sz="4" w:space="0" w:color="888888"/>
              <w:right w:val="single" w:sz="4" w:space="0" w:color="888888"/>
            </w:tcBorders>
          </w:tcPr>
          <w:p w14:paraId="37A61EF7"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Construct mapping as incorporating criterion- and norm-referenced aspects</w:t>
            </w:r>
          </w:p>
        </w:tc>
        <w:tc>
          <w:tcPr>
            <w:tcW w:w="5130" w:type="dxa"/>
            <w:tcBorders>
              <w:top w:val="single" w:sz="4" w:space="0" w:color="888888"/>
              <w:left w:val="single" w:sz="4" w:space="0" w:color="888888"/>
              <w:bottom w:val="single" w:sz="4" w:space="0" w:color="888888"/>
              <w:right w:val="single" w:sz="4" w:space="0" w:color="888888"/>
            </w:tcBorders>
          </w:tcPr>
          <w:p w14:paraId="7AFEBFBF"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Recognition that the Construct Mapping method blends criterion-referenced and norm-referenced elements.</w:t>
            </w:r>
          </w:p>
        </w:tc>
        <w:tc>
          <w:tcPr>
            <w:tcW w:w="5130" w:type="dxa"/>
            <w:tcBorders>
              <w:top w:val="single" w:sz="4" w:space="0" w:color="888888"/>
              <w:left w:val="single" w:sz="4" w:space="0" w:color="888888"/>
              <w:bottom w:val="single" w:sz="4" w:space="0" w:color="888888"/>
              <w:right w:val="single" w:sz="4" w:space="0" w:color="888888"/>
            </w:tcBorders>
          </w:tcPr>
          <w:p w14:paraId="2BB81A64" w14:textId="7FB976D9" w:rsidR="00E67803" w:rsidRPr="0036590B" w:rsidRDefault="0036590B">
            <w:pPr>
              <w:spacing w:after="40"/>
              <w:rPr>
                <w:rFonts w:ascii="Times New Roman" w:eastAsia="Times New Roman" w:hAnsi="Times New Roman" w:cs="Times New Roman"/>
                <w:i/>
                <w:iCs/>
                <w:sz w:val="20"/>
                <w:szCs w:val="20"/>
              </w:rPr>
            </w:pPr>
            <w:r w:rsidRPr="0036590B">
              <w:rPr>
                <w:rFonts w:ascii="Times New Roman" w:eastAsia="Times New Roman" w:hAnsi="Times New Roman" w:cs="Times New Roman"/>
                <w:i/>
                <w:iCs/>
                <w:sz w:val="20"/>
                <w:szCs w:val="20"/>
              </w:rPr>
              <w:t>“</w:t>
            </w:r>
            <w:proofErr w:type="gramStart"/>
            <w:r w:rsidRPr="0036590B">
              <w:rPr>
                <w:rFonts w:ascii="Times New Roman" w:eastAsia="Times New Roman" w:hAnsi="Times New Roman" w:cs="Times New Roman"/>
                <w:i/>
                <w:iCs/>
                <w:sz w:val="20"/>
                <w:szCs w:val="20"/>
              </w:rPr>
              <w:t>So</w:t>
            </w:r>
            <w:proofErr w:type="gramEnd"/>
            <w:r w:rsidRPr="0036590B">
              <w:rPr>
                <w:rFonts w:ascii="Times New Roman" w:eastAsia="Times New Roman" w:hAnsi="Times New Roman" w:cs="Times New Roman"/>
                <w:i/>
                <w:iCs/>
                <w:sz w:val="20"/>
                <w:szCs w:val="20"/>
              </w:rPr>
              <w:t xml:space="preserve"> I was trying to be at the, like, 95th percentile, basically, because that's the 80th percentile of PGY fives was my estimate, you know, but I also kind of, I was looking at the numbers too.”</w:t>
            </w:r>
          </w:p>
        </w:tc>
      </w:tr>
      <w:tr w:rsidR="00E67803" w14:paraId="127D38F8" w14:textId="50D93309" w:rsidTr="00E67803">
        <w:tc>
          <w:tcPr>
            <w:tcW w:w="3350" w:type="dxa"/>
            <w:tcBorders>
              <w:top w:val="single" w:sz="4" w:space="0" w:color="888888"/>
              <w:left w:val="single" w:sz="4" w:space="0" w:color="888888"/>
              <w:bottom w:val="single" w:sz="4" w:space="0" w:color="888888"/>
              <w:right w:val="single" w:sz="4" w:space="0" w:color="888888"/>
            </w:tcBorders>
          </w:tcPr>
          <w:p w14:paraId="4A25CC28"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lastRenderedPageBreak/>
              <w:t>Construct mapping method requires people to have taken the 'test' and translation of performance levels into probabilities</w:t>
            </w:r>
          </w:p>
        </w:tc>
        <w:tc>
          <w:tcPr>
            <w:tcW w:w="5130" w:type="dxa"/>
            <w:tcBorders>
              <w:top w:val="single" w:sz="4" w:space="0" w:color="888888"/>
              <w:left w:val="single" w:sz="4" w:space="0" w:color="888888"/>
              <w:bottom w:val="single" w:sz="4" w:space="0" w:color="888888"/>
              <w:right w:val="single" w:sz="4" w:space="0" w:color="888888"/>
            </w:tcBorders>
          </w:tcPr>
          <w:p w14:paraId="271602FC"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Acknowledgement that Construct Mapping depends on the existence of prior trainee performance data and on the translation of those data into probability estimates at each cut point.</w:t>
            </w:r>
          </w:p>
        </w:tc>
        <w:tc>
          <w:tcPr>
            <w:tcW w:w="5130" w:type="dxa"/>
            <w:tcBorders>
              <w:top w:val="single" w:sz="4" w:space="0" w:color="888888"/>
              <w:left w:val="single" w:sz="4" w:space="0" w:color="888888"/>
              <w:bottom w:val="single" w:sz="4" w:space="0" w:color="888888"/>
              <w:right w:val="single" w:sz="4" w:space="0" w:color="888888"/>
            </w:tcBorders>
          </w:tcPr>
          <w:p w14:paraId="3787CFC3" w14:textId="3060EF08" w:rsidR="00E67803" w:rsidRPr="0036590B" w:rsidRDefault="0036590B">
            <w:pPr>
              <w:spacing w:after="40"/>
              <w:rPr>
                <w:rFonts w:ascii="Times New Roman" w:eastAsia="Times New Roman" w:hAnsi="Times New Roman" w:cs="Times New Roman"/>
                <w:i/>
                <w:iCs/>
                <w:sz w:val="20"/>
                <w:szCs w:val="20"/>
              </w:rPr>
            </w:pPr>
            <w:r w:rsidRPr="0036590B">
              <w:rPr>
                <w:rFonts w:ascii="Times New Roman" w:eastAsia="Times New Roman" w:hAnsi="Times New Roman" w:cs="Times New Roman"/>
                <w:i/>
                <w:iCs/>
                <w:sz w:val="20"/>
                <w:szCs w:val="20"/>
              </w:rPr>
              <w:t>“</w:t>
            </w:r>
            <w:r>
              <w:rPr>
                <w:rFonts w:ascii="Times New Roman" w:eastAsia="Times New Roman" w:hAnsi="Times New Roman" w:cs="Times New Roman"/>
                <w:i/>
                <w:iCs/>
                <w:sz w:val="20"/>
                <w:szCs w:val="20"/>
              </w:rPr>
              <w:t>…</w:t>
            </w:r>
            <w:proofErr w:type="gramStart"/>
            <w:r w:rsidRPr="0036590B">
              <w:rPr>
                <w:rFonts w:ascii="Times New Roman" w:eastAsia="Times New Roman" w:hAnsi="Times New Roman" w:cs="Times New Roman"/>
                <w:i/>
                <w:iCs/>
                <w:sz w:val="20"/>
                <w:szCs w:val="20"/>
              </w:rPr>
              <w:t>spot</w:t>
            </w:r>
            <w:proofErr w:type="gramEnd"/>
            <w:r w:rsidRPr="0036590B">
              <w:rPr>
                <w:rFonts w:ascii="Times New Roman" w:eastAsia="Times New Roman" w:hAnsi="Times New Roman" w:cs="Times New Roman"/>
                <w:i/>
                <w:iCs/>
                <w:sz w:val="20"/>
                <w:szCs w:val="20"/>
              </w:rPr>
              <w:t xml:space="preserve"> are numbers that are reflective of trainees’ prior performance using the SIMPL OR app. </w:t>
            </w:r>
            <w:proofErr w:type="gramStart"/>
            <w:r w:rsidRPr="0036590B">
              <w:rPr>
                <w:rFonts w:ascii="Times New Roman" w:eastAsia="Times New Roman" w:hAnsi="Times New Roman" w:cs="Times New Roman"/>
                <w:i/>
                <w:iCs/>
                <w:sz w:val="20"/>
                <w:szCs w:val="20"/>
              </w:rPr>
              <w:t>So</w:t>
            </w:r>
            <w:proofErr w:type="gramEnd"/>
            <w:r w:rsidRPr="0036590B">
              <w:rPr>
                <w:rFonts w:ascii="Times New Roman" w:eastAsia="Times New Roman" w:hAnsi="Times New Roman" w:cs="Times New Roman"/>
                <w:i/>
                <w:iCs/>
                <w:sz w:val="20"/>
                <w:szCs w:val="20"/>
              </w:rPr>
              <w:t xml:space="preserve"> this approach requires people that are taking the test in the past. This requires an approach to being able to turn those performance levels into probabilities associated with this specific cut point”</w:t>
            </w:r>
          </w:p>
        </w:tc>
      </w:tr>
      <w:tr w:rsidR="00E67803" w14:paraId="0E771637" w14:textId="703A5077" w:rsidTr="00E67803">
        <w:tc>
          <w:tcPr>
            <w:tcW w:w="3350" w:type="dxa"/>
            <w:tcBorders>
              <w:top w:val="single" w:sz="4" w:space="0" w:color="888888"/>
              <w:left w:val="single" w:sz="4" w:space="0" w:color="888888"/>
              <w:bottom w:val="single" w:sz="4" w:space="0" w:color="888888"/>
              <w:right w:val="single" w:sz="4" w:space="0" w:color="888888"/>
            </w:tcBorders>
          </w:tcPr>
          <w:p w14:paraId="68FF3724"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Somewhat able to gauge disease competency in construct mapping method</w:t>
            </w:r>
          </w:p>
        </w:tc>
        <w:tc>
          <w:tcPr>
            <w:tcW w:w="5130" w:type="dxa"/>
            <w:tcBorders>
              <w:top w:val="single" w:sz="4" w:space="0" w:color="888888"/>
              <w:left w:val="single" w:sz="4" w:space="0" w:color="888888"/>
              <w:bottom w:val="single" w:sz="4" w:space="0" w:color="888888"/>
              <w:right w:val="single" w:sz="4" w:space="0" w:color="888888"/>
            </w:tcBorders>
          </w:tcPr>
          <w:p w14:paraId="21F350FF" w14:textId="77777777" w:rsidR="00E67803" w:rsidRDefault="00E67803">
            <w:pPr>
              <w:spacing w:after="40"/>
              <w:rPr>
                <w:rFonts w:ascii="Times New Roman" w:eastAsia="Times New Roman" w:hAnsi="Times New Roman" w:cs="Times New Roman"/>
              </w:rPr>
            </w:pPr>
            <w:r>
              <w:rPr>
                <w:rFonts w:ascii="Times New Roman" w:eastAsia="Times New Roman" w:hAnsi="Times New Roman" w:cs="Times New Roman"/>
                <w:sz w:val="20"/>
                <w:szCs w:val="20"/>
              </w:rPr>
              <w:t>Perception that since Construct Mapping displays performance across multiple related procedures at once, this facilitates some inference about competence at the level of a disease or organ system rather than a single procedure.</w:t>
            </w:r>
          </w:p>
        </w:tc>
        <w:tc>
          <w:tcPr>
            <w:tcW w:w="5130" w:type="dxa"/>
            <w:tcBorders>
              <w:top w:val="single" w:sz="4" w:space="0" w:color="888888"/>
              <w:left w:val="single" w:sz="4" w:space="0" w:color="888888"/>
              <w:bottom w:val="single" w:sz="4" w:space="0" w:color="888888"/>
              <w:right w:val="single" w:sz="4" w:space="0" w:color="888888"/>
            </w:tcBorders>
          </w:tcPr>
          <w:p w14:paraId="082DE343" w14:textId="22DB4FA1" w:rsidR="00E67803" w:rsidRPr="0036590B" w:rsidRDefault="0036590B">
            <w:pPr>
              <w:spacing w:after="40"/>
              <w:rPr>
                <w:rFonts w:ascii="Times New Roman" w:eastAsia="Times New Roman" w:hAnsi="Times New Roman" w:cs="Times New Roman"/>
                <w:i/>
                <w:iCs/>
                <w:sz w:val="20"/>
                <w:szCs w:val="20"/>
              </w:rPr>
            </w:pPr>
            <w:r w:rsidRPr="0036590B">
              <w:rPr>
                <w:rFonts w:ascii="Times New Roman" w:eastAsia="Times New Roman" w:hAnsi="Times New Roman" w:cs="Times New Roman"/>
                <w:i/>
                <w:iCs/>
                <w:sz w:val="20"/>
                <w:szCs w:val="20"/>
              </w:rPr>
              <w:t>“I don't want to jump ahead too far to the discussion of the three different methods, but I did find something I kind of liked about the third method was you could look across that list and say, well, I can live with them, you know, having a low probability of practice ready performance on laparoscopic splenectomy If I know they can remove a spleen safely by an open technique and that third method really allows for that in a like, super visual, intuitive way”</w:t>
            </w:r>
          </w:p>
        </w:tc>
      </w:tr>
    </w:tbl>
    <w:p w14:paraId="3DAE73A4" w14:textId="69389276" w:rsidR="00E91069" w:rsidRDefault="00A82E3C" w:rsidP="004F3CF3">
      <w:pPr>
        <w:spacing w:before="200" w:after="80"/>
        <w:rPr>
          <w:rFonts w:ascii="Times New Roman" w:eastAsia="Times New Roman" w:hAnsi="Times New Roman" w:cs="Times New Roman"/>
        </w:rPr>
      </w:pPr>
      <w:r>
        <w:rPr>
          <w:rFonts w:ascii="Times New Roman" w:eastAsia="Times New Roman" w:hAnsi="Times New Roman" w:cs="Times New Roman"/>
          <w:b/>
          <w:bCs/>
          <w:sz w:val="24"/>
          <w:szCs w:val="24"/>
        </w:rPr>
        <w:t>Theme 2. Overall reflections on the standard-setting process</w:t>
      </w:r>
    </w:p>
    <w:tbl>
      <w:tblPr>
        <w:tblStyle w:val="a0"/>
        <w:tblW w:w="13610" w:type="dxa"/>
        <w:tblInd w:w="-115" w:type="dxa"/>
        <w:tblLayout w:type="fixed"/>
        <w:tblLook w:val="0400" w:firstRow="0" w:lastRow="0" w:firstColumn="0" w:lastColumn="0" w:noHBand="0" w:noVBand="1"/>
      </w:tblPr>
      <w:tblGrid>
        <w:gridCol w:w="3350"/>
        <w:gridCol w:w="5130"/>
        <w:gridCol w:w="5130"/>
      </w:tblGrid>
      <w:tr w:rsidR="0036590B" w14:paraId="0BB0CFC5" w14:textId="3B417A4B" w:rsidTr="0036590B">
        <w:tc>
          <w:tcPr>
            <w:tcW w:w="3350" w:type="dxa"/>
            <w:tcBorders>
              <w:top w:val="single" w:sz="4" w:space="0" w:color="888888"/>
              <w:left w:val="single" w:sz="4" w:space="0" w:color="888888"/>
              <w:bottom w:val="single" w:sz="4" w:space="0" w:color="888888"/>
              <w:right w:val="single" w:sz="4" w:space="0" w:color="888888"/>
            </w:tcBorders>
            <w:shd w:val="clear" w:color="auto" w:fill="D9D9D9"/>
          </w:tcPr>
          <w:p w14:paraId="68974234"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b/>
                <w:bCs/>
                <w:sz w:val="20"/>
                <w:szCs w:val="20"/>
              </w:rPr>
              <w:t>Code</w:t>
            </w:r>
          </w:p>
        </w:tc>
        <w:tc>
          <w:tcPr>
            <w:tcW w:w="5130" w:type="dxa"/>
            <w:tcBorders>
              <w:top w:val="single" w:sz="4" w:space="0" w:color="888888"/>
              <w:left w:val="single" w:sz="4" w:space="0" w:color="888888"/>
              <w:bottom w:val="single" w:sz="4" w:space="0" w:color="888888"/>
              <w:right w:val="single" w:sz="4" w:space="0" w:color="888888"/>
            </w:tcBorders>
            <w:shd w:val="clear" w:color="auto" w:fill="D9D9D9"/>
          </w:tcPr>
          <w:p w14:paraId="0DD3A6C0"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b/>
                <w:bCs/>
                <w:sz w:val="20"/>
                <w:szCs w:val="20"/>
              </w:rPr>
              <w:t>Code definition</w:t>
            </w:r>
          </w:p>
        </w:tc>
        <w:tc>
          <w:tcPr>
            <w:tcW w:w="5130" w:type="dxa"/>
            <w:tcBorders>
              <w:top w:val="single" w:sz="4" w:space="0" w:color="888888"/>
              <w:left w:val="single" w:sz="4" w:space="0" w:color="888888"/>
              <w:bottom w:val="single" w:sz="4" w:space="0" w:color="888888"/>
              <w:right w:val="single" w:sz="4" w:space="0" w:color="888888"/>
            </w:tcBorders>
            <w:shd w:val="clear" w:color="auto" w:fill="D9D9D9"/>
          </w:tcPr>
          <w:p w14:paraId="59FD5ED2" w14:textId="2A047C69" w:rsidR="0036590B" w:rsidRDefault="0036590B">
            <w:pPr>
              <w:spacing w:after="4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Illustrative Quote</w:t>
            </w:r>
          </w:p>
        </w:tc>
      </w:tr>
      <w:tr w:rsidR="0036590B" w14:paraId="6857F2F2" w14:textId="682B7461" w:rsidTr="0036590B">
        <w:tc>
          <w:tcPr>
            <w:tcW w:w="8480" w:type="dxa"/>
            <w:gridSpan w:val="2"/>
            <w:tcBorders>
              <w:top w:val="single" w:sz="4" w:space="0" w:color="888888"/>
              <w:left w:val="single" w:sz="4" w:space="0" w:color="888888"/>
              <w:bottom w:val="single" w:sz="4" w:space="0" w:color="888888"/>
              <w:right w:val="single" w:sz="4" w:space="0" w:color="888888"/>
            </w:tcBorders>
            <w:shd w:val="clear" w:color="auto" w:fill="EAEAEA"/>
          </w:tcPr>
          <w:p w14:paraId="191F7F00"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b/>
                <w:bCs/>
                <w:i/>
                <w:iCs/>
                <w:sz w:val="20"/>
                <w:szCs w:val="20"/>
              </w:rPr>
              <w:t>Defining the minimally competent graduating trainee (MCGT)</w:t>
            </w:r>
          </w:p>
        </w:tc>
        <w:tc>
          <w:tcPr>
            <w:tcW w:w="5130" w:type="dxa"/>
            <w:tcBorders>
              <w:top w:val="single" w:sz="4" w:space="0" w:color="888888"/>
              <w:left w:val="single" w:sz="4" w:space="0" w:color="888888"/>
              <w:bottom w:val="single" w:sz="4" w:space="0" w:color="888888"/>
              <w:right w:val="single" w:sz="4" w:space="0" w:color="888888"/>
            </w:tcBorders>
            <w:shd w:val="clear" w:color="auto" w:fill="EAEAEA"/>
          </w:tcPr>
          <w:p w14:paraId="661CA220" w14:textId="77777777" w:rsidR="0036590B" w:rsidRDefault="0036590B">
            <w:pPr>
              <w:spacing w:after="40"/>
              <w:rPr>
                <w:rFonts w:ascii="Times New Roman" w:eastAsia="Times New Roman" w:hAnsi="Times New Roman" w:cs="Times New Roman"/>
                <w:b/>
                <w:bCs/>
                <w:i/>
                <w:iCs/>
                <w:sz w:val="20"/>
                <w:szCs w:val="20"/>
              </w:rPr>
            </w:pPr>
          </w:p>
        </w:tc>
      </w:tr>
      <w:tr w:rsidR="0036590B" w14:paraId="6348C908" w14:textId="73848D3F" w:rsidTr="0036590B">
        <w:tc>
          <w:tcPr>
            <w:tcW w:w="3350" w:type="dxa"/>
            <w:tcBorders>
              <w:top w:val="single" w:sz="4" w:space="0" w:color="888888"/>
              <w:left w:val="single" w:sz="4" w:space="0" w:color="888888"/>
              <w:bottom w:val="single" w:sz="4" w:space="0" w:color="888888"/>
              <w:right w:val="single" w:sz="4" w:space="0" w:color="888888"/>
            </w:tcBorders>
          </w:tcPr>
          <w:p w14:paraId="111026DA"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'Minimally competent' as 'I guess I'll graduate them'</w:t>
            </w:r>
          </w:p>
        </w:tc>
        <w:tc>
          <w:tcPr>
            <w:tcW w:w="5130" w:type="dxa"/>
            <w:tcBorders>
              <w:top w:val="single" w:sz="4" w:space="0" w:color="888888"/>
              <w:left w:val="single" w:sz="4" w:space="0" w:color="888888"/>
              <w:bottom w:val="single" w:sz="4" w:space="0" w:color="888888"/>
              <w:right w:val="single" w:sz="4" w:space="0" w:color="888888"/>
            </w:tcBorders>
          </w:tcPr>
          <w:p w14:paraId="33AF331E"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One framing of minimal competence as the threshold at which a program director would, reluctantly, permit graduation.</w:t>
            </w:r>
          </w:p>
        </w:tc>
        <w:tc>
          <w:tcPr>
            <w:tcW w:w="5130" w:type="dxa"/>
            <w:tcBorders>
              <w:top w:val="single" w:sz="4" w:space="0" w:color="888888"/>
              <w:left w:val="single" w:sz="4" w:space="0" w:color="888888"/>
              <w:bottom w:val="single" w:sz="4" w:space="0" w:color="888888"/>
              <w:right w:val="single" w:sz="4" w:space="0" w:color="888888"/>
            </w:tcBorders>
          </w:tcPr>
          <w:p w14:paraId="3F2BB21B" w14:textId="63C14A66" w:rsidR="0036590B" w:rsidRPr="0036590B" w:rsidRDefault="0036590B">
            <w:pPr>
              <w:spacing w:after="40"/>
              <w:rPr>
                <w:rFonts w:ascii="Times New Roman" w:eastAsia="Times New Roman" w:hAnsi="Times New Roman" w:cs="Times New Roman"/>
                <w:i/>
                <w:iCs/>
                <w:sz w:val="20"/>
                <w:szCs w:val="20"/>
              </w:rPr>
            </w:pPr>
            <w:r w:rsidRPr="0036590B">
              <w:rPr>
                <w:rFonts w:ascii="Times New Roman" w:eastAsia="Times New Roman" w:hAnsi="Times New Roman" w:cs="Times New Roman"/>
                <w:i/>
                <w:iCs/>
                <w:sz w:val="20"/>
                <w:szCs w:val="20"/>
              </w:rPr>
              <w:t>“</w:t>
            </w:r>
            <w:proofErr w:type="gramStart"/>
            <w:r w:rsidRPr="0036590B">
              <w:rPr>
                <w:rFonts w:ascii="Times New Roman" w:eastAsia="Times New Roman" w:hAnsi="Times New Roman" w:cs="Times New Roman"/>
                <w:i/>
                <w:iCs/>
                <w:sz w:val="20"/>
                <w:szCs w:val="20"/>
              </w:rPr>
              <w:t>So</w:t>
            </w:r>
            <w:proofErr w:type="gramEnd"/>
            <w:r w:rsidRPr="0036590B">
              <w:rPr>
                <w:rFonts w:ascii="Times New Roman" w:eastAsia="Times New Roman" w:hAnsi="Times New Roman" w:cs="Times New Roman"/>
                <w:i/>
                <w:iCs/>
                <w:sz w:val="20"/>
                <w:szCs w:val="20"/>
              </w:rPr>
              <w:t xml:space="preserve"> this is like, I'm thinking of someone, </w:t>
            </w:r>
            <w:proofErr w:type="gramStart"/>
            <w:r w:rsidRPr="0036590B">
              <w:rPr>
                <w:rFonts w:ascii="Times New Roman" w:eastAsia="Times New Roman" w:hAnsi="Times New Roman" w:cs="Times New Roman"/>
                <w:i/>
                <w:iCs/>
                <w:sz w:val="20"/>
                <w:szCs w:val="20"/>
              </w:rPr>
              <w:t>it's</w:t>
            </w:r>
            <w:proofErr w:type="gramEnd"/>
            <w:r w:rsidRPr="0036590B">
              <w:rPr>
                <w:rFonts w:ascii="Times New Roman" w:eastAsia="Times New Roman" w:hAnsi="Times New Roman" w:cs="Times New Roman"/>
                <w:i/>
                <w:iCs/>
                <w:sz w:val="20"/>
                <w:szCs w:val="20"/>
              </w:rPr>
              <w:t xml:space="preserve"> graduation day, and we're like, should they kind of graduate? Yeah, I, I guess so.”</w:t>
            </w:r>
          </w:p>
        </w:tc>
      </w:tr>
      <w:tr w:rsidR="0036590B" w14:paraId="12D954DB" w14:textId="0A5C9831" w:rsidTr="0036590B">
        <w:tc>
          <w:tcPr>
            <w:tcW w:w="3350" w:type="dxa"/>
            <w:tcBorders>
              <w:top w:val="single" w:sz="4" w:space="0" w:color="888888"/>
              <w:left w:val="single" w:sz="4" w:space="0" w:color="888888"/>
              <w:bottom w:val="single" w:sz="4" w:space="0" w:color="888888"/>
              <w:right w:val="single" w:sz="4" w:space="0" w:color="888888"/>
            </w:tcBorders>
          </w:tcPr>
          <w:p w14:paraId="7A552E84"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'Would' vs. 'should' in conceptualizing</w:t>
            </w:r>
          </w:p>
        </w:tc>
        <w:tc>
          <w:tcPr>
            <w:tcW w:w="5130" w:type="dxa"/>
            <w:tcBorders>
              <w:top w:val="single" w:sz="4" w:space="0" w:color="888888"/>
              <w:left w:val="single" w:sz="4" w:space="0" w:color="888888"/>
              <w:bottom w:val="single" w:sz="4" w:space="0" w:color="888888"/>
              <w:right w:val="single" w:sz="4" w:space="0" w:color="888888"/>
            </w:tcBorders>
          </w:tcPr>
          <w:p w14:paraId="30E66C66"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Distinction between what panelists have historically accepted as competent ('would') and what they believe competence should require in the ideal ('should').</w:t>
            </w:r>
          </w:p>
        </w:tc>
        <w:tc>
          <w:tcPr>
            <w:tcW w:w="5130" w:type="dxa"/>
            <w:tcBorders>
              <w:top w:val="single" w:sz="4" w:space="0" w:color="888888"/>
              <w:left w:val="single" w:sz="4" w:space="0" w:color="888888"/>
              <w:bottom w:val="single" w:sz="4" w:space="0" w:color="888888"/>
              <w:right w:val="single" w:sz="4" w:space="0" w:color="888888"/>
            </w:tcBorders>
          </w:tcPr>
          <w:p w14:paraId="1D47563C" w14:textId="6C991A27" w:rsidR="0036590B" w:rsidRPr="0036590B" w:rsidRDefault="0036590B">
            <w:pPr>
              <w:spacing w:after="40"/>
              <w:rPr>
                <w:rFonts w:ascii="Times New Roman" w:eastAsia="Times New Roman" w:hAnsi="Times New Roman" w:cs="Times New Roman"/>
                <w:i/>
                <w:iCs/>
                <w:sz w:val="20"/>
                <w:szCs w:val="20"/>
              </w:rPr>
            </w:pPr>
            <w:r w:rsidRPr="0036590B">
              <w:rPr>
                <w:rFonts w:ascii="Times New Roman" w:eastAsia="Times New Roman" w:hAnsi="Times New Roman" w:cs="Times New Roman"/>
                <w:i/>
                <w:iCs/>
                <w:sz w:val="20"/>
                <w:szCs w:val="20"/>
              </w:rPr>
              <w:t>“</w:t>
            </w:r>
            <w:proofErr w:type="gramStart"/>
            <w:r w:rsidRPr="0036590B">
              <w:rPr>
                <w:rFonts w:ascii="Times New Roman" w:eastAsia="Times New Roman" w:hAnsi="Times New Roman" w:cs="Times New Roman"/>
                <w:i/>
                <w:iCs/>
                <w:sz w:val="20"/>
                <w:szCs w:val="20"/>
              </w:rPr>
              <w:t>So</w:t>
            </w:r>
            <w:proofErr w:type="gramEnd"/>
            <w:r w:rsidRPr="0036590B">
              <w:rPr>
                <w:rFonts w:ascii="Times New Roman" w:eastAsia="Times New Roman" w:hAnsi="Times New Roman" w:cs="Times New Roman"/>
                <w:i/>
                <w:iCs/>
                <w:sz w:val="20"/>
                <w:szCs w:val="20"/>
              </w:rPr>
              <w:t xml:space="preserve"> I </w:t>
            </w:r>
            <w:proofErr w:type="gramStart"/>
            <w:r w:rsidRPr="0036590B">
              <w:rPr>
                <w:rFonts w:ascii="Times New Roman" w:eastAsia="Times New Roman" w:hAnsi="Times New Roman" w:cs="Times New Roman"/>
                <w:i/>
                <w:iCs/>
                <w:sz w:val="20"/>
                <w:szCs w:val="20"/>
              </w:rPr>
              <w:t>was have</w:t>
            </w:r>
            <w:proofErr w:type="gramEnd"/>
            <w:r w:rsidRPr="0036590B">
              <w:rPr>
                <w:rFonts w:ascii="Times New Roman" w:eastAsia="Times New Roman" w:hAnsi="Times New Roman" w:cs="Times New Roman"/>
                <w:i/>
                <w:iCs/>
                <w:sz w:val="20"/>
                <w:szCs w:val="20"/>
              </w:rPr>
              <w:t xml:space="preserve"> been sitting here thinking about, what is my rationale for not making </w:t>
            </w:r>
            <w:proofErr w:type="gramStart"/>
            <w:r w:rsidRPr="0036590B">
              <w:rPr>
                <w:rFonts w:ascii="Times New Roman" w:eastAsia="Times New Roman" w:hAnsi="Times New Roman" w:cs="Times New Roman"/>
                <w:i/>
                <w:iCs/>
                <w:sz w:val="20"/>
                <w:szCs w:val="20"/>
              </w:rPr>
              <w:t>all of</w:t>
            </w:r>
            <w:proofErr w:type="gramEnd"/>
            <w:r w:rsidRPr="0036590B">
              <w:rPr>
                <w:rFonts w:ascii="Times New Roman" w:eastAsia="Times New Roman" w:hAnsi="Times New Roman" w:cs="Times New Roman"/>
                <w:i/>
                <w:iCs/>
                <w:sz w:val="20"/>
                <w:szCs w:val="20"/>
              </w:rPr>
              <w:t xml:space="preserve"> these 100 and I think it is exactly what X just said is that that's not a realistic expectation. You're not going to say, </w:t>
            </w:r>
            <w:proofErr w:type="gramStart"/>
            <w:r w:rsidRPr="0036590B">
              <w:rPr>
                <w:rFonts w:ascii="Times New Roman" w:eastAsia="Times New Roman" w:hAnsi="Times New Roman" w:cs="Times New Roman"/>
                <w:i/>
                <w:iCs/>
                <w:sz w:val="20"/>
                <w:szCs w:val="20"/>
              </w:rPr>
              <w:t>Oh</w:t>
            </w:r>
            <w:proofErr w:type="gramEnd"/>
            <w:r w:rsidRPr="0036590B">
              <w:rPr>
                <w:rFonts w:ascii="Times New Roman" w:eastAsia="Times New Roman" w:hAnsi="Times New Roman" w:cs="Times New Roman"/>
                <w:i/>
                <w:iCs/>
                <w:sz w:val="20"/>
                <w:szCs w:val="20"/>
              </w:rPr>
              <w:t>, you got you couldn’t do this 99 times out of 100 so you're not graduating.”</w:t>
            </w:r>
          </w:p>
        </w:tc>
      </w:tr>
      <w:tr w:rsidR="0036590B" w14:paraId="3F5C02E7" w14:textId="54C40BBF" w:rsidTr="0036590B">
        <w:tc>
          <w:tcPr>
            <w:tcW w:w="3350" w:type="dxa"/>
            <w:tcBorders>
              <w:top w:val="single" w:sz="4" w:space="0" w:color="888888"/>
              <w:left w:val="single" w:sz="4" w:space="0" w:color="888888"/>
              <w:bottom w:val="single" w:sz="4" w:space="0" w:color="888888"/>
              <w:right w:val="single" w:sz="4" w:space="0" w:color="888888"/>
            </w:tcBorders>
          </w:tcPr>
          <w:p w14:paraId="36991A32"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Decision — using personal experience, rather than 'ideal'</w:t>
            </w:r>
          </w:p>
        </w:tc>
        <w:tc>
          <w:tcPr>
            <w:tcW w:w="5130" w:type="dxa"/>
            <w:tcBorders>
              <w:top w:val="single" w:sz="4" w:space="0" w:color="888888"/>
              <w:left w:val="single" w:sz="4" w:space="0" w:color="888888"/>
              <w:bottom w:val="single" w:sz="4" w:space="0" w:color="888888"/>
              <w:right w:val="single" w:sz="4" w:space="0" w:color="888888"/>
            </w:tcBorders>
          </w:tcPr>
          <w:p w14:paraId="2A8EB254"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Panel decision to anchor MCGT judgments in observed experience with real trainees rather than in an idealized standard.</w:t>
            </w:r>
          </w:p>
        </w:tc>
        <w:tc>
          <w:tcPr>
            <w:tcW w:w="5130" w:type="dxa"/>
            <w:tcBorders>
              <w:top w:val="single" w:sz="4" w:space="0" w:color="888888"/>
              <w:left w:val="single" w:sz="4" w:space="0" w:color="888888"/>
              <w:bottom w:val="single" w:sz="4" w:space="0" w:color="888888"/>
              <w:right w:val="single" w:sz="4" w:space="0" w:color="888888"/>
            </w:tcBorders>
          </w:tcPr>
          <w:p w14:paraId="000370F6" w14:textId="28CB1E75" w:rsidR="0036590B" w:rsidRPr="0036590B" w:rsidRDefault="0036590B">
            <w:pPr>
              <w:spacing w:after="40"/>
              <w:rPr>
                <w:rFonts w:ascii="Times New Roman" w:eastAsia="Times New Roman" w:hAnsi="Times New Roman" w:cs="Times New Roman"/>
                <w:i/>
                <w:iCs/>
                <w:sz w:val="20"/>
                <w:szCs w:val="20"/>
              </w:rPr>
            </w:pPr>
            <w:r w:rsidRPr="0036590B">
              <w:rPr>
                <w:rFonts w:ascii="Times New Roman" w:eastAsia="Times New Roman" w:hAnsi="Times New Roman" w:cs="Times New Roman"/>
                <w:i/>
                <w:iCs/>
                <w:sz w:val="20"/>
                <w:szCs w:val="20"/>
              </w:rPr>
              <w:t>“…and then your individual expectation around practice ready as defined within the scale of having met this, you know, consistent performance of this procedure.”</w:t>
            </w:r>
          </w:p>
        </w:tc>
      </w:tr>
      <w:tr w:rsidR="0036590B" w14:paraId="7C43C7E9" w14:textId="1F11474A" w:rsidTr="0036590B">
        <w:tc>
          <w:tcPr>
            <w:tcW w:w="3350" w:type="dxa"/>
            <w:tcBorders>
              <w:top w:val="single" w:sz="4" w:space="0" w:color="888888"/>
              <w:left w:val="single" w:sz="4" w:space="0" w:color="888888"/>
              <w:bottom w:val="single" w:sz="4" w:space="0" w:color="888888"/>
              <w:right w:val="single" w:sz="4" w:space="0" w:color="888888"/>
            </w:tcBorders>
          </w:tcPr>
          <w:p w14:paraId="47E82F36"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Question of whether standard setting should be based on 'would' (prior experience) vs. 'should' (ideal)</w:t>
            </w:r>
          </w:p>
        </w:tc>
        <w:tc>
          <w:tcPr>
            <w:tcW w:w="5130" w:type="dxa"/>
            <w:tcBorders>
              <w:top w:val="single" w:sz="4" w:space="0" w:color="888888"/>
              <w:left w:val="single" w:sz="4" w:space="0" w:color="888888"/>
              <w:bottom w:val="single" w:sz="4" w:space="0" w:color="888888"/>
              <w:right w:val="single" w:sz="4" w:space="0" w:color="888888"/>
            </w:tcBorders>
          </w:tcPr>
          <w:p w14:paraId="3167F58C"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Explicit meta-question about whether standard setting should describe current practice or prescribe an aspirational future state.</w:t>
            </w:r>
          </w:p>
        </w:tc>
        <w:tc>
          <w:tcPr>
            <w:tcW w:w="5130" w:type="dxa"/>
            <w:tcBorders>
              <w:top w:val="single" w:sz="4" w:space="0" w:color="888888"/>
              <w:left w:val="single" w:sz="4" w:space="0" w:color="888888"/>
              <w:bottom w:val="single" w:sz="4" w:space="0" w:color="888888"/>
              <w:right w:val="single" w:sz="4" w:space="0" w:color="888888"/>
            </w:tcBorders>
          </w:tcPr>
          <w:p w14:paraId="74E8A504" w14:textId="19B5A6E9" w:rsidR="0036590B" w:rsidRPr="0036590B" w:rsidRDefault="0036590B">
            <w:pPr>
              <w:spacing w:after="40"/>
              <w:rPr>
                <w:rFonts w:ascii="Times New Roman" w:eastAsia="Times New Roman" w:hAnsi="Times New Roman" w:cs="Times New Roman"/>
                <w:i/>
                <w:iCs/>
                <w:sz w:val="20"/>
                <w:szCs w:val="20"/>
              </w:rPr>
            </w:pPr>
            <w:r w:rsidRPr="0036590B">
              <w:rPr>
                <w:rFonts w:ascii="Times New Roman" w:eastAsia="Times New Roman" w:hAnsi="Times New Roman" w:cs="Times New Roman"/>
                <w:i/>
                <w:iCs/>
                <w:sz w:val="20"/>
                <w:szCs w:val="20"/>
              </w:rPr>
              <w:t>“</w:t>
            </w:r>
            <w:r>
              <w:rPr>
                <w:rFonts w:ascii="Times New Roman" w:eastAsia="Times New Roman" w:hAnsi="Times New Roman" w:cs="Times New Roman"/>
                <w:i/>
                <w:iCs/>
                <w:sz w:val="20"/>
                <w:szCs w:val="20"/>
              </w:rPr>
              <w:t xml:space="preserve">…but </w:t>
            </w:r>
            <w:r w:rsidRPr="0036590B">
              <w:rPr>
                <w:rFonts w:ascii="Times New Roman" w:eastAsia="Times New Roman" w:hAnsi="Times New Roman" w:cs="Times New Roman"/>
                <w:i/>
                <w:iCs/>
                <w:sz w:val="20"/>
                <w:szCs w:val="20"/>
              </w:rPr>
              <w:t xml:space="preserve">should this be based on our experience of trainees so far. And </w:t>
            </w:r>
            <w:proofErr w:type="gramStart"/>
            <w:r w:rsidRPr="0036590B">
              <w:rPr>
                <w:rFonts w:ascii="Times New Roman" w:eastAsia="Times New Roman" w:hAnsi="Times New Roman" w:cs="Times New Roman"/>
                <w:i/>
                <w:iCs/>
                <w:sz w:val="20"/>
                <w:szCs w:val="20"/>
              </w:rPr>
              <w:t>so</w:t>
            </w:r>
            <w:proofErr w:type="gramEnd"/>
            <w:r w:rsidRPr="0036590B">
              <w:rPr>
                <w:rFonts w:ascii="Times New Roman" w:eastAsia="Times New Roman" w:hAnsi="Times New Roman" w:cs="Times New Roman"/>
                <w:i/>
                <w:iCs/>
                <w:sz w:val="20"/>
                <w:szCs w:val="20"/>
              </w:rPr>
              <w:t xml:space="preserve"> what are the chances that a borderline training</w:t>
            </w:r>
            <w:r>
              <w:rPr>
                <w:rFonts w:ascii="Times New Roman" w:eastAsia="Times New Roman" w:hAnsi="Times New Roman" w:cs="Times New Roman"/>
                <w:i/>
                <w:iCs/>
                <w:sz w:val="20"/>
                <w:szCs w:val="20"/>
              </w:rPr>
              <w:t xml:space="preserve"> </w:t>
            </w:r>
            <w:r w:rsidRPr="0036590B">
              <w:rPr>
                <w:rFonts w:ascii="Times New Roman" w:eastAsia="Times New Roman" w:hAnsi="Times New Roman" w:cs="Times New Roman"/>
                <w:i/>
                <w:iCs/>
                <w:sz w:val="20"/>
                <w:szCs w:val="20"/>
              </w:rPr>
              <w:lastRenderedPageBreak/>
              <w:t>would meet that standard now? Or should meet that standard in our ideal world?”</w:t>
            </w:r>
          </w:p>
        </w:tc>
      </w:tr>
      <w:tr w:rsidR="0036590B" w14:paraId="6A239AC9" w14:textId="1C0F8EE4" w:rsidTr="0036590B">
        <w:tc>
          <w:tcPr>
            <w:tcW w:w="3350" w:type="dxa"/>
            <w:tcBorders>
              <w:top w:val="single" w:sz="4" w:space="0" w:color="888888"/>
              <w:left w:val="single" w:sz="4" w:space="0" w:color="888888"/>
              <w:bottom w:val="single" w:sz="4" w:space="0" w:color="888888"/>
              <w:right w:val="single" w:sz="4" w:space="0" w:color="888888"/>
            </w:tcBorders>
          </w:tcPr>
          <w:p w14:paraId="4F591D7F"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lastRenderedPageBreak/>
              <w:t>Challenging for all panelists to have the same frame of reference, specifically for 'MCGT'</w:t>
            </w:r>
          </w:p>
        </w:tc>
        <w:tc>
          <w:tcPr>
            <w:tcW w:w="5130" w:type="dxa"/>
            <w:tcBorders>
              <w:top w:val="single" w:sz="4" w:space="0" w:color="888888"/>
              <w:left w:val="single" w:sz="4" w:space="0" w:color="888888"/>
              <w:bottom w:val="single" w:sz="4" w:space="0" w:color="888888"/>
              <w:right w:val="single" w:sz="4" w:space="0" w:color="888888"/>
            </w:tcBorders>
          </w:tcPr>
          <w:p w14:paraId="28CD6189"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Recognition that panelists arrive with different mental models of the MCGT and that reconciling these is a critical part of the process.</w:t>
            </w:r>
          </w:p>
        </w:tc>
        <w:tc>
          <w:tcPr>
            <w:tcW w:w="5130" w:type="dxa"/>
            <w:tcBorders>
              <w:top w:val="single" w:sz="4" w:space="0" w:color="888888"/>
              <w:left w:val="single" w:sz="4" w:space="0" w:color="888888"/>
              <w:bottom w:val="single" w:sz="4" w:space="0" w:color="888888"/>
              <w:right w:val="single" w:sz="4" w:space="0" w:color="888888"/>
            </w:tcBorders>
          </w:tcPr>
          <w:p w14:paraId="1BE98970" w14:textId="26994C7B" w:rsidR="0036590B" w:rsidRPr="0036590B" w:rsidRDefault="0036590B">
            <w:pPr>
              <w:spacing w:after="40"/>
              <w:rPr>
                <w:rFonts w:ascii="Times New Roman" w:eastAsia="Times New Roman" w:hAnsi="Times New Roman" w:cs="Times New Roman"/>
                <w:i/>
                <w:iCs/>
                <w:sz w:val="20"/>
                <w:szCs w:val="20"/>
              </w:rPr>
            </w:pPr>
            <w:r w:rsidRPr="0036590B">
              <w:rPr>
                <w:rFonts w:ascii="Times New Roman" w:eastAsia="Times New Roman" w:hAnsi="Times New Roman" w:cs="Times New Roman"/>
                <w:i/>
                <w:iCs/>
                <w:sz w:val="20"/>
                <w:szCs w:val="20"/>
              </w:rPr>
              <w:t>“Yeah, I think this is always the tough part of standard setting, because even when you try and set put everybody on the same page, the frame of reference is still a little bit different.”</w:t>
            </w:r>
          </w:p>
        </w:tc>
      </w:tr>
      <w:tr w:rsidR="0036590B" w14:paraId="1F293A4F" w14:textId="694A4189" w:rsidTr="0036590B">
        <w:tc>
          <w:tcPr>
            <w:tcW w:w="3350" w:type="dxa"/>
            <w:tcBorders>
              <w:top w:val="single" w:sz="4" w:space="0" w:color="888888"/>
              <w:left w:val="single" w:sz="4" w:space="0" w:color="888888"/>
              <w:bottom w:val="single" w:sz="4" w:space="0" w:color="888888"/>
              <w:right w:val="single" w:sz="4" w:space="0" w:color="888888"/>
            </w:tcBorders>
          </w:tcPr>
          <w:p w14:paraId="72F5FEF0"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Challenging to conceptualize 'competent trainee' without relating to independent practice</w:t>
            </w:r>
          </w:p>
        </w:tc>
        <w:tc>
          <w:tcPr>
            <w:tcW w:w="5130" w:type="dxa"/>
            <w:tcBorders>
              <w:top w:val="single" w:sz="4" w:space="0" w:color="888888"/>
              <w:left w:val="single" w:sz="4" w:space="0" w:color="888888"/>
              <w:bottom w:val="single" w:sz="4" w:space="0" w:color="888888"/>
              <w:right w:val="single" w:sz="4" w:space="0" w:color="888888"/>
            </w:tcBorders>
          </w:tcPr>
          <w:p w14:paraId="624228EF" w14:textId="77285C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Difficulty defining the competent trainee in isolation from the expected standard of being able to practice independently.</w:t>
            </w:r>
          </w:p>
        </w:tc>
        <w:tc>
          <w:tcPr>
            <w:tcW w:w="5130" w:type="dxa"/>
            <w:tcBorders>
              <w:top w:val="single" w:sz="4" w:space="0" w:color="888888"/>
              <w:left w:val="single" w:sz="4" w:space="0" w:color="888888"/>
              <w:bottom w:val="single" w:sz="4" w:space="0" w:color="888888"/>
              <w:right w:val="single" w:sz="4" w:space="0" w:color="888888"/>
            </w:tcBorders>
          </w:tcPr>
          <w:p w14:paraId="60C11948" w14:textId="023C6418" w:rsidR="0036590B" w:rsidRPr="0036590B" w:rsidRDefault="0036590B">
            <w:pPr>
              <w:spacing w:after="40"/>
              <w:rPr>
                <w:rFonts w:ascii="Times New Roman" w:eastAsia="Times New Roman" w:hAnsi="Times New Roman" w:cs="Times New Roman"/>
                <w:i/>
                <w:iCs/>
                <w:sz w:val="20"/>
                <w:szCs w:val="20"/>
              </w:rPr>
            </w:pPr>
            <w:r w:rsidRPr="0036590B">
              <w:rPr>
                <w:rFonts w:ascii="Times New Roman" w:eastAsia="Times New Roman" w:hAnsi="Times New Roman" w:cs="Times New Roman"/>
                <w:i/>
                <w:iCs/>
                <w:sz w:val="20"/>
                <w:szCs w:val="20"/>
              </w:rPr>
              <w:t xml:space="preserve">“I mean, I think for me, competence, I think the struggle I have… like when I'm in the OR, I'm thinking about whether they're competent, or not, I'm thinking, can they go out into practice and do this on their own, for normal, for, like, at a reasonable rate, basically, but not for everything. </w:t>
            </w:r>
            <w:proofErr w:type="gramStart"/>
            <w:r w:rsidRPr="0036590B">
              <w:rPr>
                <w:rFonts w:ascii="Times New Roman" w:eastAsia="Times New Roman" w:hAnsi="Times New Roman" w:cs="Times New Roman"/>
                <w:i/>
                <w:iCs/>
                <w:sz w:val="20"/>
                <w:szCs w:val="20"/>
              </w:rPr>
              <w:t>So</w:t>
            </w:r>
            <w:proofErr w:type="gramEnd"/>
            <w:r w:rsidRPr="0036590B">
              <w:rPr>
                <w:rFonts w:ascii="Times New Roman" w:eastAsia="Times New Roman" w:hAnsi="Times New Roman" w:cs="Times New Roman"/>
                <w:i/>
                <w:iCs/>
                <w:sz w:val="20"/>
                <w:szCs w:val="20"/>
              </w:rPr>
              <w:t xml:space="preserve"> I am </w:t>
            </w:r>
            <w:proofErr w:type="gramStart"/>
            <w:r w:rsidRPr="0036590B">
              <w:rPr>
                <w:rFonts w:ascii="Times New Roman" w:eastAsia="Times New Roman" w:hAnsi="Times New Roman" w:cs="Times New Roman"/>
                <w:i/>
                <w:iCs/>
                <w:sz w:val="20"/>
                <w:szCs w:val="20"/>
              </w:rPr>
              <w:t>actually thinking</w:t>
            </w:r>
            <w:proofErr w:type="gramEnd"/>
            <w:r w:rsidRPr="0036590B">
              <w:rPr>
                <w:rFonts w:ascii="Times New Roman" w:eastAsia="Times New Roman" w:hAnsi="Times New Roman" w:cs="Times New Roman"/>
                <w:i/>
                <w:iCs/>
                <w:sz w:val="20"/>
                <w:szCs w:val="20"/>
              </w:rPr>
              <w:t xml:space="preserve"> forward, even though I'm in the moment. You know, it's a little bit muddy, because the definition of competence is you're training for independent practice. It's not you’re training for competent residents. Does that make sense? Like the standard is you're graduating someday, you know. And for me, at least, when I think of minimally competent, I'm thinking </w:t>
            </w:r>
            <w:proofErr w:type="gramStart"/>
            <w:r w:rsidRPr="0036590B">
              <w:rPr>
                <w:rFonts w:ascii="Times New Roman" w:eastAsia="Times New Roman" w:hAnsi="Times New Roman" w:cs="Times New Roman"/>
                <w:i/>
                <w:iCs/>
                <w:sz w:val="20"/>
                <w:szCs w:val="20"/>
              </w:rPr>
              <w:t>that,</w:t>
            </w:r>
            <w:proofErr w:type="gramEnd"/>
            <w:r w:rsidRPr="0036590B">
              <w:rPr>
                <w:rFonts w:ascii="Times New Roman" w:eastAsia="Times New Roman" w:hAnsi="Times New Roman" w:cs="Times New Roman"/>
                <w:i/>
                <w:iCs/>
                <w:sz w:val="20"/>
                <w:szCs w:val="20"/>
              </w:rPr>
              <w:t xml:space="preserve"> what is their ability to operate independently day one?”</w:t>
            </w:r>
          </w:p>
        </w:tc>
      </w:tr>
      <w:tr w:rsidR="0036590B" w14:paraId="2C15FD9B" w14:textId="6AF3CA4D" w:rsidTr="0036590B">
        <w:tc>
          <w:tcPr>
            <w:tcW w:w="3350" w:type="dxa"/>
            <w:tcBorders>
              <w:top w:val="single" w:sz="4" w:space="0" w:color="888888"/>
              <w:left w:val="single" w:sz="4" w:space="0" w:color="888888"/>
              <w:bottom w:val="single" w:sz="4" w:space="0" w:color="888888"/>
              <w:right w:val="single" w:sz="4" w:space="0" w:color="888888"/>
            </w:tcBorders>
          </w:tcPr>
          <w:p w14:paraId="0BAEA83E"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Conceptualizing 'minimally competent graduating trainee' as day 1 early-career surgeon</w:t>
            </w:r>
          </w:p>
        </w:tc>
        <w:tc>
          <w:tcPr>
            <w:tcW w:w="5130" w:type="dxa"/>
            <w:tcBorders>
              <w:top w:val="single" w:sz="4" w:space="0" w:color="888888"/>
              <w:left w:val="single" w:sz="4" w:space="0" w:color="888888"/>
              <w:bottom w:val="single" w:sz="4" w:space="0" w:color="888888"/>
              <w:right w:val="single" w:sz="4" w:space="0" w:color="888888"/>
            </w:tcBorders>
          </w:tcPr>
          <w:p w14:paraId="46790733"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Panelist framing of the MCGT as functionally equivalent to a surgeon on their first day of independent practice.</w:t>
            </w:r>
          </w:p>
        </w:tc>
        <w:tc>
          <w:tcPr>
            <w:tcW w:w="5130" w:type="dxa"/>
            <w:tcBorders>
              <w:top w:val="single" w:sz="4" w:space="0" w:color="888888"/>
              <w:left w:val="single" w:sz="4" w:space="0" w:color="888888"/>
              <w:bottom w:val="single" w:sz="4" w:space="0" w:color="888888"/>
              <w:right w:val="single" w:sz="4" w:space="0" w:color="888888"/>
            </w:tcBorders>
          </w:tcPr>
          <w:p w14:paraId="25A4E270" w14:textId="2B349FB5" w:rsidR="0036590B" w:rsidRPr="0036590B" w:rsidRDefault="0036590B">
            <w:pPr>
              <w:spacing w:after="40"/>
              <w:rPr>
                <w:rFonts w:ascii="Times New Roman" w:eastAsia="Times New Roman" w:hAnsi="Times New Roman" w:cs="Times New Roman"/>
                <w:i/>
                <w:iCs/>
                <w:sz w:val="20"/>
                <w:szCs w:val="20"/>
              </w:rPr>
            </w:pPr>
            <w:r w:rsidRPr="0036590B">
              <w:rPr>
                <w:rFonts w:ascii="Times New Roman" w:eastAsia="Times New Roman" w:hAnsi="Times New Roman" w:cs="Times New Roman"/>
                <w:i/>
                <w:iCs/>
                <w:sz w:val="20"/>
                <w:szCs w:val="20"/>
              </w:rPr>
              <w:t xml:space="preserve">“Is it fair to ask that if this minimally competent trainee, I think about like an early career surgeon, like day one of practice, they can ask for help, right? I mean, we're not, unless you're a rural surgeon, like there's somebody you can ask for help. And </w:t>
            </w:r>
            <w:proofErr w:type="gramStart"/>
            <w:r w:rsidRPr="0036590B">
              <w:rPr>
                <w:rFonts w:ascii="Times New Roman" w:eastAsia="Times New Roman" w:hAnsi="Times New Roman" w:cs="Times New Roman"/>
                <w:i/>
                <w:iCs/>
                <w:sz w:val="20"/>
                <w:szCs w:val="20"/>
              </w:rPr>
              <w:t>so</w:t>
            </w:r>
            <w:proofErr w:type="gramEnd"/>
            <w:r w:rsidRPr="0036590B">
              <w:rPr>
                <w:rFonts w:ascii="Times New Roman" w:eastAsia="Times New Roman" w:hAnsi="Times New Roman" w:cs="Times New Roman"/>
                <w:i/>
                <w:iCs/>
                <w:sz w:val="20"/>
                <w:szCs w:val="20"/>
              </w:rPr>
              <w:t xml:space="preserve"> is it the probability that they… would our minimally competent surgeon would ask for help?”</w:t>
            </w:r>
          </w:p>
        </w:tc>
      </w:tr>
      <w:tr w:rsidR="0036590B" w14:paraId="0499AA9B" w14:textId="418F9CE8" w:rsidTr="0036590B">
        <w:tc>
          <w:tcPr>
            <w:tcW w:w="3350" w:type="dxa"/>
            <w:tcBorders>
              <w:top w:val="single" w:sz="4" w:space="0" w:color="888888"/>
              <w:left w:val="single" w:sz="4" w:space="0" w:color="888888"/>
              <w:bottom w:val="single" w:sz="4" w:space="0" w:color="888888"/>
              <w:right w:val="single" w:sz="4" w:space="0" w:color="888888"/>
            </w:tcBorders>
          </w:tcPr>
          <w:p w14:paraId="62AEE11F"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Focusing on the training period prior to graduation, rather than post-training</w:t>
            </w:r>
          </w:p>
        </w:tc>
        <w:tc>
          <w:tcPr>
            <w:tcW w:w="5130" w:type="dxa"/>
            <w:tcBorders>
              <w:top w:val="single" w:sz="4" w:space="0" w:color="888888"/>
              <w:left w:val="single" w:sz="4" w:space="0" w:color="888888"/>
              <w:bottom w:val="single" w:sz="4" w:space="0" w:color="888888"/>
              <w:right w:val="single" w:sz="4" w:space="0" w:color="888888"/>
            </w:tcBorders>
          </w:tcPr>
          <w:p w14:paraId="69FF5CD8" w14:textId="08E6EFBD"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Deliberate scoping of the standard to the residency training window.</w:t>
            </w:r>
          </w:p>
        </w:tc>
        <w:tc>
          <w:tcPr>
            <w:tcW w:w="5130" w:type="dxa"/>
            <w:tcBorders>
              <w:top w:val="single" w:sz="4" w:space="0" w:color="888888"/>
              <w:left w:val="single" w:sz="4" w:space="0" w:color="888888"/>
              <w:bottom w:val="single" w:sz="4" w:space="0" w:color="888888"/>
              <w:right w:val="single" w:sz="4" w:space="0" w:color="888888"/>
            </w:tcBorders>
          </w:tcPr>
          <w:p w14:paraId="3D834F4A" w14:textId="74C7D35D" w:rsidR="0036590B" w:rsidRPr="0036590B" w:rsidRDefault="0036590B">
            <w:pPr>
              <w:spacing w:after="40"/>
              <w:rPr>
                <w:rFonts w:ascii="Times New Roman" w:eastAsia="Times New Roman" w:hAnsi="Times New Roman" w:cs="Times New Roman"/>
                <w:i/>
                <w:iCs/>
                <w:sz w:val="20"/>
                <w:szCs w:val="20"/>
              </w:rPr>
            </w:pPr>
            <w:r w:rsidRPr="0036590B">
              <w:rPr>
                <w:rFonts w:ascii="Times New Roman" w:eastAsia="Times New Roman" w:hAnsi="Times New Roman" w:cs="Times New Roman"/>
                <w:i/>
                <w:iCs/>
                <w:sz w:val="20"/>
                <w:szCs w:val="20"/>
              </w:rPr>
              <w:t>“And here I want us more thinking about the trainee and a literal attending, providing that rating within that training period.”</w:t>
            </w:r>
          </w:p>
        </w:tc>
      </w:tr>
      <w:tr w:rsidR="0036590B" w14:paraId="2BB27A2D" w14:textId="7185B002" w:rsidTr="0036590B">
        <w:tc>
          <w:tcPr>
            <w:tcW w:w="3350" w:type="dxa"/>
            <w:tcBorders>
              <w:top w:val="single" w:sz="4" w:space="0" w:color="888888"/>
              <w:left w:val="single" w:sz="4" w:space="0" w:color="888888"/>
              <w:bottom w:val="single" w:sz="4" w:space="0" w:color="888888"/>
              <w:right w:val="single" w:sz="4" w:space="0" w:color="888888"/>
            </w:tcBorders>
          </w:tcPr>
          <w:p w14:paraId="1632B183"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Perception that no one is going to be an expert in any case prior to graduation</w:t>
            </w:r>
          </w:p>
        </w:tc>
        <w:tc>
          <w:tcPr>
            <w:tcW w:w="5130" w:type="dxa"/>
            <w:tcBorders>
              <w:top w:val="single" w:sz="4" w:space="0" w:color="888888"/>
              <w:left w:val="single" w:sz="4" w:space="0" w:color="888888"/>
              <w:bottom w:val="single" w:sz="4" w:space="0" w:color="888888"/>
              <w:right w:val="single" w:sz="4" w:space="0" w:color="888888"/>
            </w:tcBorders>
          </w:tcPr>
          <w:p w14:paraId="31D0A0B8" w14:textId="3C20F7D6"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Recognition that expertise may not be an appropriate benchmark for the graduating resident.</w:t>
            </w:r>
          </w:p>
        </w:tc>
        <w:tc>
          <w:tcPr>
            <w:tcW w:w="5130" w:type="dxa"/>
            <w:tcBorders>
              <w:top w:val="single" w:sz="4" w:space="0" w:color="888888"/>
              <w:left w:val="single" w:sz="4" w:space="0" w:color="888888"/>
              <w:bottom w:val="single" w:sz="4" w:space="0" w:color="888888"/>
              <w:right w:val="single" w:sz="4" w:space="0" w:color="888888"/>
            </w:tcBorders>
          </w:tcPr>
          <w:p w14:paraId="30BE2CAC" w14:textId="70A82A13" w:rsidR="0036590B" w:rsidRPr="0036590B" w:rsidRDefault="0036590B">
            <w:pPr>
              <w:spacing w:after="40"/>
              <w:rPr>
                <w:rFonts w:ascii="Times New Roman" w:eastAsia="Times New Roman" w:hAnsi="Times New Roman" w:cs="Times New Roman"/>
                <w:i/>
                <w:iCs/>
                <w:sz w:val="20"/>
                <w:szCs w:val="20"/>
              </w:rPr>
            </w:pPr>
            <w:r w:rsidRPr="0036590B">
              <w:rPr>
                <w:rFonts w:ascii="Times New Roman" w:eastAsia="Times New Roman" w:hAnsi="Times New Roman" w:cs="Times New Roman"/>
                <w:i/>
                <w:iCs/>
                <w:sz w:val="20"/>
                <w:szCs w:val="20"/>
              </w:rPr>
              <w:t>“Because, realistically, nobody is going to be an expert in any cases they do when you consider the fact that, even for cholecystectomy, the average number they do is, I think around what 75 or 80 throughout the entire residency career.”</w:t>
            </w:r>
          </w:p>
        </w:tc>
      </w:tr>
      <w:tr w:rsidR="0036590B" w14:paraId="282E50F0" w14:textId="0AC48433" w:rsidTr="0036590B">
        <w:tc>
          <w:tcPr>
            <w:tcW w:w="3350" w:type="dxa"/>
            <w:tcBorders>
              <w:top w:val="single" w:sz="4" w:space="0" w:color="888888"/>
              <w:left w:val="single" w:sz="4" w:space="0" w:color="888888"/>
              <w:bottom w:val="single" w:sz="4" w:space="0" w:color="888888"/>
              <w:right w:val="single" w:sz="4" w:space="0" w:color="888888"/>
            </w:tcBorders>
          </w:tcPr>
          <w:p w14:paraId="7905E730"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lastRenderedPageBreak/>
              <w:t>Historically, post-graduate surgeons had close apprenticeship 'finishing school'</w:t>
            </w:r>
          </w:p>
        </w:tc>
        <w:tc>
          <w:tcPr>
            <w:tcW w:w="5130" w:type="dxa"/>
            <w:tcBorders>
              <w:top w:val="single" w:sz="4" w:space="0" w:color="888888"/>
              <w:left w:val="single" w:sz="4" w:space="0" w:color="888888"/>
              <w:bottom w:val="single" w:sz="4" w:space="0" w:color="888888"/>
              <w:right w:val="single" w:sz="4" w:space="0" w:color="888888"/>
            </w:tcBorders>
          </w:tcPr>
          <w:p w14:paraId="72830A48" w14:textId="63083ADE"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Reference to the historical model in which graduating surgeons acquired final competence in early practice under senior partners.</w:t>
            </w:r>
          </w:p>
        </w:tc>
        <w:tc>
          <w:tcPr>
            <w:tcW w:w="5130" w:type="dxa"/>
            <w:tcBorders>
              <w:top w:val="single" w:sz="4" w:space="0" w:color="888888"/>
              <w:left w:val="single" w:sz="4" w:space="0" w:color="888888"/>
              <w:bottom w:val="single" w:sz="4" w:space="0" w:color="888888"/>
              <w:right w:val="single" w:sz="4" w:space="0" w:color="888888"/>
            </w:tcBorders>
          </w:tcPr>
          <w:p w14:paraId="30105778" w14:textId="1A938EB8" w:rsidR="0036590B" w:rsidRPr="00CF2FD9" w:rsidRDefault="00CF2FD9">
            <w:pPr>
              <w:spacing w:after="40"/>
              <w:rPr>
                <w:rFonts w:ascii="Times New Roman" w:eastAsia="Times New Roman" w:hAnsi="Times New Roman" w:cs="Times New Roman"/>
                <w:i/>
                <w:iCs/>
                <w:sz w:val="20"/>
                <w:szCs w:val="20"/>
              </w:rPr>
            </w:pPr>
            <w:r w:rsidRPr="00CF2FD9">
              <w:rPr>
                <w:rFonts w:ascii="Times New Roman" w:eastAsia="Times New Roman" w:hAnsi="Times New Roman" w:cs="Times New Roman"/>
                <w:i/>
                <w:iCs/>
                <w:sz w:val="20"/>
                <w:szCs w:val="20"/>
              </w:rPr>
              <w:t>“And I think I'm going to go back to the thing we've sort of moved the needle a little bit with respect to what we expect people to be doing when they're finished, because we don't, you know, we all used to have finishing school. We always used to go into practice with somebody, and that's the person to continue to help you grow over those next several years”</w:t>
            </w:r>
          </w:p>
        </w:tc>
      </w:tr>
      <w:tr w:rsidR="0036590B" w14:paraId="3ABCF913" w14:textId="7DF8603F" w:rsidTr="0036590B">
        <w:tc>
          <w:tcPr>
            <w:tcW w:w="3350" w:type="dxa"/>
            <w:tcBorders>
              <w:top w:val="single" w:sz="4" w:space="0" w:color="888888"/>
              <w:left w:val="single" w:sz="4" w:space="0" w:color="888888"/>
              <w:bottom w:val="single" w:sz="4" w:space="0" w:color="888888"/>
              <w:right w:val="single" w:sz="4" w:space="0" w:color="888888"/>
            </w:tcBorders>
          </w:tcPr>
          <w:p w14:paraId="13E3C681"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Perception that without a shared mental model of the minimally competent trainee, standards will be meaningless</w:t>
            </w:r>
          </w:p>
        </w:tc>
        <w:tc>
          <w:tcPr>
            <w:tcW w:w="5130" w:type="dxa"/>
            <w:tcBorders>
              <w:top w:val="single" w:sz="4" w:space="0" w:color="888888"/>
              <w:left w:val="single" w:sz="4" w:space="0" w:color="888888"/>
              <w:bottom w:val="single" w:sz="4" w:space="0" w:color="888888"/>
              <w:right w:val="single" w:sz="4" w:space="0" w:color="888888"/>
            </w:tcBorders>
          </w:tcPr>
          <w:p w14:paraId="24430900" w14:textId="6C50D8B8"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Panelist assertion that panel alignment on the MCGT construct is necessary for any defensible cut score.</w:t>
            </w:r>
          </w:p>
        </w:tc>
        <w:tc>
          <w:tcPr>
            <w:tcW w:w="5130" w:type="dxa"/>
            <w:tcBorders>
              <w:top w:val="single" w:sz="4" w:space="0" w:color="888888"/>
              <w:left w:val="single" w:sz="4" w:space="0" w:color="888888"/>
              <w:bottom w:val="single" w:sz="4" w:space="0" w:color="888888"/>
              <w:right w:val="single" w:sz="4" w:space="0" w:color="888888"/>
            </w:tcBorders>
          </w:tcPr>
          <w:p w14:paraId="3C913FEE" w14:textId="05463A6A" w:rsidR="0036590B" w:rsidRPr="00CF2FD9" w:rsidRDefault="00CF2FD9">
            <w:pPr>
              <w:spacing w:after="40"/>
              <w:rPr>
                <w:rFonts w:ascii="Times New Roman" w:eastAsia="Times New Roman" w:hAnsi="Times New Roman" w:cs="Times New Roman"/>
                <w:i/>
                <w:iCs/>
                <w:sz w:val="20"/>
                <w:szCs w:val="20"/>
              </w:rPr>
            </w:pPr>
            <w:r w:rsidRPr="00CF2FD9">
              <w:rPr>
                <w:rFonts w:ascii="Times New Roman" w:eastAsia="Times New Roman" w:hAnsi="Times New Roman" w:cs="Times New Roman"/>
                <w:i/>
                <w:iCs/>
                <w:sz w:val="20"/>
                <w:szCs w:val="20"/>
              </w:rPr>
              <w:t>“…</w:t>
            </w:r>
            <w:proofErr w:type="gramStart"/>
            <w:r w:rsidRPr="00CF2FD9">
              <w:rPr>
                <w:rFonts w:ascii="Times New Roman" w:eastAsia="Times New Roman" w:hAnsi="Times New Roman" w:cs="Times New Roman"/>
                <w:i/>
                <w:iCs/>
                <w:sz w:val="20"/>
                <w:szCs w:val="20"/>
              </w:rPr>
              <w:t>so</w:t>
            </w:r>
            <w:proofErr w:type="gramEnd"/>
            <w:r w:rsidRPr="00CF2FD9">
              <w:rPr>
                <w:rFonts w:ascii="Times New Roman" w:eastAsia="Times New Roman" w:hAnsi="Times New Roman" w:cs="Times New Roman"/>
                <w:i/>
                <w:iCs/>
                <w:sz w:val="20"/>
                <w:szCs w:val="20"/>
              </w:rPr>
              <w:t xml:space="preserve"> it's very hard when you're thinking about should, would, could, and then who do you have in mind, as we're trying to do these standards? </w:t>
            </w:r>
            <w:proofErr w:type="gramStart"/>
            <w:r w:rsidRPr="00CF2FD9">
              <w:rPr>
                <w:rFonts w:ascii="Times New Roman" w:eastAsia="Times New Roman" w:hAnsi="Times New Roman" w:cs="Times New Roman"/>
                <w:i/>
                <w:iCs/>
                <w:sz w:val="20"/>
                <w:szCs w:val="20"/>
              </w:rPr>
              <w:t>So</w:t>
            </w:r>
            <w:proofErr w:type="gramEnd"/>
            <w:r w:rsidRPr="00CF2FD9">
              <w:rPr>
                <w:rFonts w:ascii="Times New Roman" w:eastAsia="Times New Roman" w:hAnsi="Times New Roman" w:cs="Times New Roman"/>
                <w:i/>
                <w:iCs/>
                <w:sz w:val="20"/>
                <w:szCs w:val="20"/>
              </w:rPr>
              <w:t xml:space="preserve"> I think that's makes it </w:t>
            </w:r>
            <w:proofErr w:type="gramStart"/>
            <w:r w:rsidRPr="00CF2FD9">
              <w:rPr>
                <w:rFonts w:ascii="Times New Roman" w:eastAsia="Times New Roman" w:hAnsi="Times New Roman" w:cs="Times New Roman"/>
                <w:i/>
                <w:iCs/>
                <w:sz w:val="20"/>
                <w:szCs w:val="20"/>
              </w:rPr>
              <w:t>really tricky</w:t>
            </w:r>
            <w:proofErr w:type="gramEnd"/>
            <w:r w:rsidRPr="00CF2FD9">
              <w:rPr>
                <w:rFonts w:ascii="Times New Roman" w:eastAsia="Times New Roman" w:hAnsi="Times New Roman" w:cs="Times New Roman"/>
                <w:i/>
                <w:iCs/>
                <w:sz w:val="20"/>
                <w:szCs w:val="20"/>
              </w:rPr>
              <w:t>. But if we don't sort of come up with some shared everybody online, then we are going the numbers are going to sort of be meaningless at the end of the day, close enough, but a little bit different frame of references”</w:t>
            </w:r>
          </w:p>
        </w:tc>
      </w:tr>
      <w:tr w:rsidR="0036590B" w14:paraId="3CEDE7AE" w14:textId="2B4E6EA5" w:rsidTr="0036590B">
        <w:tc>
          <w:tcPr>
            <w:tcW w:w="3350" w:type="dxa"/>
            <w:tcBorders>
              <w:top w:val="single" w:sz="4" w:space="0" w:color="888888"/>
              <w:left w:val="single" w:sz="4" w:space="0" w:color="888888"/>
              <w:bottom w:val="single" w:sz="4" w:space="0" w:color="888888"/>
              <w:right w:val="single" w:sz="4" w:space="0" w:color="888888"/>
            </w:tcBorders>
          </w:tcPr>
          <w:p w14:paraId="7EAC30F4"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Importance of all panelists being on the same page and having a shared understanding of the task</w:t>
            </w:r>
          </w:p>
        </w:tc>
        <w:tc>
          <w:tcPr>
            <w:tcW w:w="5130" w:type="dxa"/>
            <w:tcBorders>
              <w:top w:val="single" w:sz="4" w:space="0" w:color="888888"/>
              <w:left w:val="single" w:sz="4" w:space="0" w:color="888888"/>
              <w:bottom w:val="single" w:sz="4" w:space="0" w:color="888888"/>
              <w:right w:val="single" w:sz="4" w:space="0" w:color="888888"/>
            </w:tcBorders>
          </w:tcPr>
          <w:p w14:paraId="2EDF05CA"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Recognition that results are only interpretable when all panelists share an understanding of the task, the target examinee, and the intended use of the resulting standard.</w:t>
            </w:r>
          </w:p>
        </w:tc>
        <w:tc>
          <w:tcPr>
            <w:tcW w:w="5130" w:type="dxa"/>
            <w:tcBorders>
              <w:top w:val="single" w:sz="4" w:space="0" w:color="888888"/>
              <w:left w:val="single" w:sz="4" w:space="0" w:color="888888"/>
              <w:bottom w:val="single" w:sz="4" w:space="0" w:color="888888"/>
              <w:right w:val="single" w:sz="4" w:space="0" w:color="888888"/>
            </w:tcBorders>
          </w:tcPr>
          <w:p w14:paraId="7AF779F8" w14:textId="6D5ECC3C" w:rsidR="0036590B" w:rsidRPr="00CF2FD9" w:rsidRDefault="00CF2FD9">
            <w:pPr>
              <w:spacing w:after="40"/>
              <w:rPr>
                <w:rFonts w:ascii="Times New Roman" w:eastAsia="Times New Roman" w:hAnsi="Times New Roman" w:cs="Times New Roman"/>
                <w:i/>
                <w:iCs/>
                <w:sz w:val="20"/>
                <w:szCs w:val="20"/>
              </w:rPr>
            </w:pPr>
            <w:r w:rsidRPr="00CF2FD9">
              <w:rPr>
                <w:rFonts w:ascii="Times New Roman" w:eastAsia="Times New Roman" w:hAnsi="Times New Roman" w:cs="Times New Roman"/>
                <w:i/>
                <w:iCs/>
                <w:sz w:val="20"/>
                <w:szCs w:val="20"/>
              </w:rPr>
              <w:t xml:space="preserve">“But I think having a shared understanding of what is required is important. Because I think the first </w:t>
            </w:r>
            <w:proofErr w:type="gramStart"/>
            <w:r w:rsidRPr="00CF2FD9">
              <w:rPr>
                <w:rFonts w:ascii="Times New Roman" w:eastAsia="Times New Roman" w:hAnsi="Times New Roman" w:cs="Times New Roman"/>
                <w:i/>
                <w:iCs/>
                <w:sz w:val="20"/>
                <w:szCs w:val="20"/>
              </w:rPr>
              <w:t>time</w:t>
            </w:r>
            <w:proofErr w:type="gramEnd"/>
            <w:r w:rsidRPr="00CF2FD9">
              <w:rPr>
                <w:rFonts w:ascii="Times New Roman" w:eastAsia="Times New Roman" w:hAnsi="Times New Roman" w:cs="Times New Roman"/>
                <w:i/>
                <w:iCs/>
                <w:sz w:val="20"/>
                <w:szCs w:val="20"/>
              </w:rPr>
              <w:t xml:space="preserve"> I did this, I assumed people knew what we're doing, and then we ended up with very divergent like results, and that was a little problematic. So yes, that would be the only thing. </w:t>
            </w:r>
            <w:proofErr w:type="gramStart"/>
            <w:r w:rsidRPr="00CF2FD9">
              <w:rPr>
                <w:rFonts w:ascii="Times New Roman" w:eastAsia="Times New Roman" w:hAnsi="Times New Roman" w:cs="Times New Roman"/>
                <w:i/>
                <w:iCs/>
                <w:sz w:val="20"/>
                <w:szCs w:val="20"/>
              </w:rPr>
              <w:t>So</w:t>
            </w:r>
            <w:proofErr w:type="gramEnd"/>
            <w:r w:rsidRPr="00CF2FD9">
              <w:rPr>
                <w:rFonts w:ascii="Times New Roman" w:eastAsia="Times New Roman" w:hAnsi="Times New Roman" w:cs="Times New Roman"/>
                <w:i/>
                <w:iCs/>
                <w:sz w:val="20"/>
                <w:szCs w:val="20"/>
              </w:rPr>
              <w:t xml:space="preserve"> I think what you're doing is right, getting everybody on the same page.”</w:t>
            </w:r>
          </w:p>
        </w:tc>
      </w:tr>
      <w:tr w:rsidR="0036590B" w14:paraId="132C1718" w14:textId="030F0A9F" w:rsidTr="0036590B">
        <w:tc>
          <w:tcPr>
            <w:tcW w:w="8480" w:type="dxa"/>
            <w:gridSpan w:val="2"/>
            <w:tcBorders>
              <w:top w:val="single" w:sz="4" w:space="0" w:color="888888"/>
              <w:left w:val="single" w:sz="4" w:space="0" w:color="888888"/>
              <w:bottom w:val="single" w:sz="4" w:space="0" w:color="888888"/>
              <w:right w:val="single" w:sz="4" w:space="0" w:color="888888"/>
            </w:tcBorders>
            <w:shd w:val="clear" w:color="auto" w:fill="EAEAEA"/>
          </w:tcPr>
          <w:p w14:paraId="0DDDDB20"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b/>
                <w:bCs/>
                <w:i/>
                <w:iCs/>
                <w:sz w:val="20"/>
                <w:szCs w:val="20"/>
              </w:rPr>
              <w:t>Disease vs. procedural competence</w:t>
            </w:r>
          </w:p>
        </w:tc>
        <w:tc>
          <w:tcPr>
            <w:tcW w:w="5130" w:type="dxa"/>
            <w:tcBorders>
              <w:top w:val="single" w:sz="4" w:space="0" w:color="888888"/>
              <w:left w:val="single" w:sz="4" w:space="0" w:color="888888"/>
              <w:bottom w:val="single" w:sz="4" w:space="0" w:color="888888"/>
              <w:right w:val="single" w:sz="4" w:space="0" w:color="888888"/>
            </w:tcBorders>
            <w:shd w:val="clear" w:color="auto" w:fill="EAEAEA"/>
          </w:tcPr>
          <w:p w14:paraId="73171C0C" w14:textId="77777777" w:rsidR="0036590B" w:rsidRDefault="0036590B">
            <w:pPr>
              <w:spacing w:after="40"/>
              <w:rPr>
                <w:rFonts w:ascii="Times New Roman" w:eastAsia="Times New Roman" w:hAnsi="Times New Roman" w:cs="Times New Roman"/>
                <w:b/>
                <w:bCs/>
                <w:i/>
                <w:iCs/>
                <w:sz w:val="20"/>
                <w:szCs w:val="20"/>
              </w:rPr>
            </w:pPr>
          </w:p>
        </w:tc>
      </w:tr>
      <w:tr w:rsidR="0036590B" w14:paraId="04416A72" w14:textId="589BF198" w:rsidTr="0036590B">
        <w:tc>
          <w:tcPr>
            <w:tcW w:w="3350" w:type="dxa"/>
            <w:tcBorders>
              <w:top w:val="single" w:sz="4" w:space="0" w:color="888888"/>
              <w:left w:val="single" w:sz="4" w:space="0" w:color="888888"/>
              <w:bottom w:val="single" w:sz="4" w:space="0" w:color="888888"/>
              <w:right w:val="single" w:sz="4" w:space="0" w:color="888888"/>
            </w:tcBorders>
          </w:tcPr>
          <w:p w14:paraId="1D7EBD9A"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Competency in disease management vs. specific procedure</w:t>
            </w:r>
          </w:p>
        </w:tc>
        <w:tc>
          <w:tcPr>
            <w:tcW w:w="5130" w:type="dxa"/>
            <w:tcBorders>
              <w:top w:val="single" w:sz="4" w:space="0" w:color="888888"/>
              <w:left w:val="single" w:sz="4" w:space="0" w:color="888888"/>
              <w:bottom w:val="single" w:sz="4" w:space="0" w:color="888888"/>
              <w:right w:val="single" w:sz="4" w:space="0" w:color="888888"/>
            </w:tcBorders>
          </w:tcPr>
          <w:p w14:paraId="223C742B"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Distinction panelists drew between competence in managing a disease process (which may span multiple operations and non-operative decisions) and competence in performing a specific procedure.</w:t>
            </w:r>
          </w:p>
        </w:tc>
        <w:tc>
          <w:tcPr>
            <w:tcW w:w="5130" w:type="dxa"/>
            <w:tcBorders>
              <w:top w:val="single" w:sz="4" w:space="0" w:color="888888"/>
              <w:left w:val="single" w:sz="4" w:space="0" w:color="888888"/>
              <w:bottom w:val="single" w:sz="4" w:space="0" w:color="888888"/>
              <w:right w:val="single" w:sz="4" w:space="0" w:color="888888"/>
            </w:tcBorders>
          </w:tcPr>
          <w:p w14:paraId="719040F0" w14:textId="5259D7D7" w:rsidR="0036590B" w:rsidRPr="00CF2FD9" w:rsidRDefault="00CF2FD9">
            <w:pPr>
              <w:spacing w:after="40"/>
              <w:rPr>
                <w:rFonts w:ascii="Times New Roman" w:eastAsia="Times New Roman" w:hAnsi="Times New Roman" w:cs="Times New Roman"/>
                <w:i/>
                <w:iCs/>
                <w:sz w:val="20"/>
                <w:szCs w:val="20"/>
              </w:rPr>
            </w:pPr>
            <w:r w:rsidRPr="00CF2FD9">
              <w:rPr>
                <w:rFonts w:ascii="Times New Roman" w:eastAsia="Times New Roman" w:hAnsi="Times New Roman" w:cs="Times New Roman"/>
                <w:i/>
                <w:iCs/>
                <w:sz w:val="20"/>
                <w:szCs w:val="20"/>
              </w:rPr>
              <w:t>“Totally agree with what you're saying about are you, are you kind of treating the disease by a method that will help the patient, or is it this specific technique? And yeah, super compelling question. Kind of nice that maybe there's opportunities to aggregate to higher levels when you, when you analyze with this level of granularity…”</w:t>
            </w:r>
          </w:p>
        </w:tc>
      </w:tr>
      <w:tr w:rsidR="0036590B" w14:paraId="13D19B53" w14:textId="46182688" w:rsidTr="0036590B">
        <w:tc>
          <w:tcPr>
            <w:tcW w:w="3350" w:type="dxa"/>
            <w:tcBorders>
              <w:top w:val="single" w:sz="4" w:space="0" w:color="888888"/>
              <w:left w:val="single" w:sz="4" w:space="0" w:color="888888"/>
              <w:bottom w:val="single" w:sz="4" w:space="0" w:color="888888"/>
              <w:right w:val="single" w:sz="4" w:space="0" w:color="888888"/>
            </w:tcBorders>
          </w:tcPr>
          <w:p w14:paraId="5C9D3C34"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Discussion of whether competence should be for disease management or for specific operation</w:t>
            </w:r>
          </w:p>
        </w:tc>
        <w:tc>
          <w:tcPr>
            <w:tcW w:w="5130" w:type="dxa"/>
            <w:tcBorders>
              <w:top w:val="single" w:sz="4" w:space="0" w:color="888888"/>
              <w:left w:val="single" w:sz="4" w:space="0" w:color="888888"/>
              <w:bottom w:val="single" w:sz="4" w:space="0" w:color="888888"/>
              <w:right w:val="single" w:sz="4" w:space="0" w:color="888888"/>
            </w:tcBorders>
          </w:tcPr>
          <w:p w14:paraId="171B77DA"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Panelist debate about which level of competence — disease or procedure — should be the target of a graduating-resident standard.</w:t>
            </w:r>
          </w:p>
        </w:tc>
        <w:tc>
          <w:tcPr>
            <w:tcW w:w="5130" w:type="dxa"/>
            <w:tcBorders>
              <w:top w:val="single" w:sz="4" w:space="0" w:color="888888"/>
              <w:left w:val="single" w:sz="4" w:space="0" w:color="888888"/>
              <w:bottom w:val="single" w:sz="4" w:space="0" w:color="888888"/>
              <w:right w:val="single" w:sz="4" w:space="0" w:color="888888"/>
            </w:tcBorders>
          </w:tcPr>
          <w:p w14:paraId="278B061A" w14:textId="77ADDB5C" w:rsidR="0036590B" w:rsidRPr="00CF2FD9" w:rsidRDefault="00CF2FD9">
            <w:pPr>
              <w:spacing w:after="40"/>
              <w:rPr>
                <w:rFonts w:ascii="Times New Roman" w:eastAsia="Times New Roman" w:hAnsi="Times New Roman" w:cs="Times New Roman"/>
                <w:i/>
                <w:iCs/>
                <w:sz w:val="20"/>
                <w:szCs w:val="20"/>
              </w:rPr>
            </w:pPr>
            <w:r w:rsidRPr="00CF2FD9">
              <w:rPr>
                <w:rFonts w:ascii="Times New Roman" w:eastAsia="Times New Roman" w:hAnsi="Times New Roman" w:cs="Times New Roman"/>
                <w:i/>
                <w:iCs/>
                <w:sz w:val="20"/>
                <w:szCs w:val="20"/>
              </w:rPr>
              <w:t>“I do wonder a little with the hernia repairs or the</w:t>
            </w:r>
            <w:r>
              <w:rPr>
                <w:rFonts w:ascii="Times New Roman" w:eastAsia="Times New Roman" w:hAnsi="Times New Roman" w:cs="Times New Roman"/>
                <w:i/>
                <w:iCs/>
                <w:sz w:val="20"/>
                <w:szCs w:val="20"/>
              </w:rPr>
              <w:t xml:space="preserve"> </w:t>
            </w:r>
            <w:r w:rsidRPr="00CF2FD9">
              <w:rPr>
                <w:rFonts w:ascii="Times New Roman" w:eastAsia="Times New Roman" w:hAnsi="Times New Roman" w:cs="Times New Roman"/>
                <w:i/>
                <w:iCs/>
                <w:sz w:val="20"/>
                <w:szCs w:val="20"/>
              </w:rPr>
              <w:t xml:space="preserve">abdominal explorations, like, would the results have been different if it was just </w:t>
            </w:r>
            <w:proofErr w:type="gramStart"/>
            <w:r w:rsidRPr="00CF2FD9">
              <w:rPr>
                <w:rFonts w:ascii="Times New Roman" w:eastAsia="Times New Roman" w:hAnsi="Times New Roman" w:cs="Times New Roman"/>
                <w:i/>
                <w:iCs/>
                <w:sz w:val="20"/>
                <w:szCs w:val="20"/>
              </w:rPr>
              <w:t>an</w:t>
            </w:r>
            <w:proofErr w:type="gramEnd"/>
            <w:r w:rsidRPr="00CF2FD9">
              <w:rPr>
                <w:rFonts w:ascii="Times New Roman" w:eastAsia="Times New Roman" w:hAnsi="Times New Roman" w:cs="Times New Roman"/>
                <w:i/>
                <w:iCs/>
                <w:sz w:val="20"/>
                <w:szCs w:val="20"/>
              </w:rPr>
              <w:t xml:space="preserve"> like, inguinal hernia repair dealer's choice on how you repair it? Because I think to some extent, people have like their preferred method for doing these, or whichever way they're more comfortable. And if you're </w:t>
            </w:r>
            <w:r w:rsidRPr="00CF2FD9">
              <w:rPr>
                <w:rFonts w:ascii="Times New Roman" w:eastAsia="Times New Roman" w:hAnsi="Times New Roman" w:cs="Times New Roman"/>
                <w:i/>
                <w:iCs/>
                <w:sz w:val="20"/>
                <w:szCs w:val="20"/>
              </w:rPr>
              <w:lastRenderedPageBreak/>
              <w:t>going into practice, theoretically you're choosing which way you're more comfortable with”</w:t>
            </w:r>
          </w:p>
        </w:tc>
      </w:tr>
      <w:tr w:rsidR="0036590B" w14:paraId="7AA6807E" w14:textId="1B75CCFE" w:rsidTr="0036590B">
        <w:tc>
          <w:tcPr>
            <w:tcW w:w="3350" w:type="dxa"/>
            <w:tcBorders>
              <w:top w:val="single" w:sz="4" w:space="0" w:color="888888"/>
              <w:left w:val="single" w:sz="4" w:space="0" w:color="888888"/>
              <w:bottom w:val="single" w:sz="4" w:space="0" w:color="888888"/>
              <w:right w:val="single" w:sz="4" w:space="0" w:color="888888"/>
            </w:tcBorders>
          </w:tcPr>
          <w:p w14:paraId="6B406A4F"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lastRenderedPageBreak/>
              <w:t>Question of whether someone needs to be competent in open AND laparoscopic, or just one</w:t>
            </w:r>
          </w:p>
        </w:tc>
        <w:tc>
          <w:tcPr>
            <w:tcW w:w="5130" w:type="dxa"/>
            <w:tcBorders>
              <w:top w:val="single" w:sz="4" w:space="0" w:color="888888"/>
              <w:left w:val="single" w:sz="4" w:space="0" w:color="888888"/>
              <w:bottom w:val="single" w:sz="4" w:space="0" w:color="888888"/>
              <w:right w:val="single" w:sz="4" w:space="0" w:color="888888"/>
            </w:tcBorders>
          </w:tcPr>
          <w:p w14:paraId="213B4A84"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Panelist question about whether procedural competence requires proficiency in every technical approach to a procedure or only one.</w:t>
            </w:r>
          </w:p>
        </w:tc>
        <w:tc>
          <w:tcPr>
            <w:tcW w:w="5130" w:type="dxa"/>
            <w:tcBorders>
              <w:top w:val="single" w:sz="4" w:space="0" w:color="888888"/>
              <w:left w:val="single" w:sz="4" w:space="0" w:color="888888"/>
              <w:bottom w:val="single" w:sz="4" w:space="0" w:color="888888"/>
              <w:right w:val="single" w:sz="4" w:space="0" w:color="888888"/>
            </w:tcBorders>
          </w:tcPr>
          <w:p w14:paraId="1145F2EF" w14:textId="79764B29" w:rsidR="0036590B" w:rsidRPr="00CF2FD9" w:rsidRDefault="00407EE8">
            <w:pPr>
              <w:spacing w:after="40"/>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w:t>
            </w:r>
            <w:proofErr w:type="gramStart"/>
            <w:r w:rsidRPr="00CF2FD9">
              <w:rPr>
                <w:rFonts w:ascii="Times New Roman" w:eastAsia="Times New Roman" w:hAnsi="Times New Roman" w:cs="Times New Roman"/>
                <w:i/>
                <w:iCs/>
                <w:sz w:val="20"/>
                <w:szCs w:val="20"/>
              </w:rPr>
              <w:t>So</w:t>
            </w:r>
            <w:proofErr w:type="gramEnd"/>
            <w:r w:rsidRPr="00CF2FD9">
              <w:rPr>
                <w:rFonts w:ascii="Times New Roman" w:eastAsia="Times New Roman" w:hAnsi="Times New Roman" w:cs="Times New Roman"/>
                <w:i/>
                <w:iCs/>
                <w:sz w:val="20"/>
                <w:szCs w:val="20"/>
              </w:rPr>
              <w:t xml:space="preserve"> I did struggle with that a little bit where I was like, well, if someone graduates with a way of repairing this, then I don't really care if they're good at the other way. They don't need to be fully competent at both ways. They could be competent with one way</w:t>
            </w:r>
            <w:r>
              <w:rPr>
                <w:rFonts w:ascii="Times New Roman" w:eastAsia="Times New Roman" w:hAnsi="Times New Roman" w:cs="Times New Roman"/>
                <w:i/>
                <w:iCs/>
                <w:sz w:val="20"/>
                <w:szCs w:val="20"/>
              </w:rPr>
              <w:t>.”</w:t>
            </w:r>
          </w:p>
        </w:tc>
      </w:tr>
      <w:tr w:rsidR="00407EE8" w14:paraId="47F1C2A7" w14:textId="77777777" w:rsidTr="0036590B">
        <w:tc>
          <w:tcPr>
            <w:tcW w:w="3350" w:type="dxa"/>
            <w:tcBorders>
              <w:top w:val="single" w:sz="4" w:space="0" w:color="888888"/>
              <w:left w:val="single" w:sz="4" w:space="0" w:color="888888"/>
              <w:bottom w:val="single" w:sz="4" w:space="0" w:color="888888"/>
              <w:right w:val="single" w:sz="4" w:space="0" w:color="888888"/>
            </w:tcBorders>
          </w:tcPr>
          <w:p w14:paraId="6F0822FD" w14:textId="3228CFB8" w:rsidR="00407EE8" w:rsidRDefault="00407EE8">
            <w:pPr>
              <w:spacing w:after="40"/>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Competence</w:t>
            </w:r>
            <w:r w:rsidRPr="00407EE8">
              <w:rPr>
                <w:rFonts w:ascii="Times New Roman" w:eastAsia="Times New Roman" w:hAnsi="Times New Roman" w:cs="Times New Roman"/>
                <w:sz w:val="20"/>
                <w:szCs w:val="20"/>
                <w:lang w:val="en-US"/>
              </w:rPr>
              <w:t xml:space="preserve"> in open technique as prerequisite when converting from MIS</w:t>
            </w:r>
          </w:p>
        </w:tc>
        <w:tc>
          <w:tcPr>
            <w:tcW w:w="5130" w:type="dxa"/>
            <w:tcBorders>
              <w:top w:val="single" w:sz="4" w:space="0" w:color="888888"/>
              <w:left w:val="single" w:sz="4" w:space="0" w:color="888888"/>
              <w:bottom w:val="single" w:sz="4" w:space="0" w:color="888888"/>
              <w:right w:val="single" w:sz="4" w:space="0" w:color="888888"/>
            </w:tcBorders>
          </w:tcPr>
          <w:p w14:paraId="2633247F" w14:textId="2C536EFE" w:rsidR="00407EE8" w:rsidRDefault="00407EE8">
            <w:pPr>
              <w:spacing w:after="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Consideration of whether competence in the open technique </w:t>
            </w:r>
            <w:r w:rsidR="003B5959">
              <w:rPr>
                <w:rFonts w:ascii="Times New Roman" w:eastAsia="Times New Roman" w:hAnsi="Times New Roman" w:cs="Times New Roman"/>
                <w:sz w:val="20"/>
                <w:szCs w:val="20"/>
              </w:rPr>
              <w:t>should be required at minimum, in case of the need to convert to open from a minimally invasive technique.</w:t>
            </w:r>
          </w:p>
        </w:tc>
        <w:tc>
          <w:tcPr>
            <w:tcW w:w="5130" w:type="dxa"/>
            <w:tcBorders>
              <w:top w:val="single" w:sz="4" w:space="0" w:color="888888"/>
              <w:left w:val="single" w:sz="4" w:space="0" w:color="888888"/>
              <w:bottom w:val="single" w:sz="4" w:space="0" w:color="888888"/>
              <w:right w:val="single" w:sz="4" w:space="0" w:color="888888"/>
            </w:tcBorders>
          </w:tcPr>
          <w:p w14:paraId="130BD4DC" w14:textId="4B0BABCA" w:rsidR="00407EE8" w:rsidRDefault="00407EE8">
            <w:pPr>
              <w:spacing w:after="40"/>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w:t>
            </w:r>
            <w:r w:rsidRPr="00CF2FD9">
              <w:rPr>
                <w:rFonts w:ascii="Times New Roman" w:eastAsia="Times New Roman" w:hAnsi="Times New Roman" w:cs="Times New Roman"/>
                <w:i/>
                <w:iCs/>
                <w:sz w:val="20"/>
                <w:szCs w:val="20"/>
              </w:rPr>
              <w:t>I can live with them, you know, having a low probability of practice ready performance on laparoscopic splenectomy If I know they can remove a spleen safely by an open technique</w:t>
            </w:r>
            <w:r>
              <w:rPr>
                <w:rFonts w:ascii="Times New Roman" w:eastAsia="Times New Roman" w:hAnsi="Times New Roman" w:cs="Times New Roman"/>
                <w:i/>
                <w:iCs/>
                <w:sz w:val="20"/>
                <w:szCs w:val="20"/>
              </w:rPr>
              <w:t>”</w:t>
            </w:r>
          </w:p>
        </w:tc>
      </w:tr>
      <w:tr w:rsidR="0036590B" w14:paraId="6939B312" w14:textId="43857951" w:rsidTr="0036590B">
        <w:tc>
          <w:tcPr>
            <w:tcW w:w="8480" w:type="dxa"/>
            <w:gridSpan w:val="2"/>
            <w:tcBorders>
              <w:top w:val="single" w:sz="4" w:space="0" w:color="888888"/>
              <w:left w:val="single" w:sz="4" w:space="0" w:color="888888"/>
              <w:bottom w:val="single" w:sz="4" w:space="0" w:color="888888"/>
              <w:right w:val="single" w:sz="4" w:space="0" w:color="888888"/>
            </w:tcBorders>
            <w:shd w:val="clear" w:color="auto" w:fill="EAEAEA"/>
          </w:tcPr>
          <w:p w14:paraId="609C5A1B"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b/>
                <w:bCs/>
                <w:i/>
                <w:iCs/>
                <w:sz w:val="20"/>
                <w:szCs w:val="20"/>
              </w:rPr>
              <w:t>Case complexity &amp; training variation</w:t>
            </w:r>
          </w:p>
        </w:tc>
        <w:tc>
          <w:tcPr>
            <w:tcW w:w="5130" w:type="dxa"/>
            <w:tcBorders>
              <w:top w:val="single" w:sz="4" w:space="0" w:color="888888"/>
              <w:left w:val="single" w:sz="4" w:space="0" w:color="888888"/>
              <w:bottom w:val="single" w:sz="4" w:space="0" w:color="888888"/>
              <w:right w:val="single" w:sz="4" w:space="0" w:color="888888"/>
            </w:tcBorders>
            <w:shd w:val="clear" w:color="auto" w:fill="EAEAEA"/>
          </w:tcPr>
          <w:p w14:paraId="728BDEA1" w14:textId="77777777" w:rsidR="0036590B" w:rsidRDefault="0036590B">
            <w:pPr>
              <w:spacing w:after="40"/>
              <w:rPr>
                <w:rFonts w:ascii="Times New Roman" w:eastAsia="Times New Roman" w:hAnsi="Times New Roman" w:cs="Times New Roman"/>
                <w:b/>
                <w:bCs/>
                <w:i/>
                <w:iCs/>
                <w:sz w:val="20"/>
                <w:szCs w:val="20"/>
              </w:rPr>
            </w:pPr>
          </w:p>
        </w:tc>
      </w:tr>
      <w:tr w:rsidR="0036590B" w14:paraId="5FB38C0E" w14:textId="7AE8CE41" w:rsidTr="0036590B">
        <w:tc>
          <w:tcPr>
            <w:tcW w:w="3350" w:type="dxa"/>
            <w:tcBorders>
              <w:top w:val="single" w:sz="4" w:space="0" w:color="888888"/>
              <w:left w:val="single" w:sz="4" w:space="0" w:color="888888"/>
              <w:bottom w:val="single" w:sz="4" w:space="0" w:color="888888"/>
              <w:right w:val="single" w:sz="4" w:space="0" w:color="888888"/>
            </w:tcBorders>
          </w:tcPr>
          <w:p w14:paraId="65979DA4"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Challenging to incorporate varying complexity of cases</w:t>
            </w:r>
          </w:p>
        </w:tc>
        <w:tc>
          <w:tcPr>
            <w:tcW w:w="5130" w:type="dxa"/>
            <w:tcBorders>
              <w:top w:val="single" w:sz="4" w:space="0" w:color="888888"/>
              <w:left w:val="single" w:sz="4" w:space="0" w:color="888888"/>
              <w:bottom w:val="single" w:sz="4" w:space="0" w:color="888888"/>
              <w:right w:val="single" w:sz="4" w:space="0" w:color="888888"/>
            </w:tcBorders>
          </w:tcPr>
          <w:p w14:paraId="04879032" w14:textId="76964E2C"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Difficulty in accounting for the fact that cases of a given named procedure vary widely in complexity.</w:t>
            </w:r>
          </w:p>
        </w:tc>
        <w:tc>
          <w:tcPr>
            <w:tcW w:w="5130" w:type="dxa"/>
            <w:tcBorders>
              <w:top w:val="single" w:sz="4" w:space="0" w:color="888888"/>
              <w:left w:val="single" w:sz="4" w:space="0" w:color="888888"/>
              <w:bottom w:val="single" w:sz="4" w:space="0" w:color="888888"/>
              <w:right w:val="single" w:sz="4" w:space="0" w:color="888888"/>
            </w:tcBorders>
          </w:tcPr>
          <w:p w14:paraId="503D98E9" w14:textId="03BB895C" w:rsidR="0036590B" w:rsidRPr="00CF2FD9" w:rsidRDefault="00CF2FD9">
            <w:pPr>
              <w:spacing w:after="40"/>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w:t>
            </w:r>
            <w:r w:rsidRPr="00CF2FD9">
              <w:rPr>
                <w:rFonts w:ascii="Times New Roman" w:eastAsia="Times New Roman" w:hAnsi="Times New Roman" w:cs="Times New Roman"/>
                <w:i/>
                <w:iCs/>
                <w:sz w:val="20"/>
                <w:szCs w:val="20"/>
              </w:rPr>
              <w:t>I think about like one trainee and 100 cases that they may encounter, and those 100 cases are going to be highly variable. And so the likelihood tomorrow that this kind of minimally competent surgeon is going to have a total chip shot hernia repair, a chip shot gallbladder, versus this nasty, horrible catastrophe that is going to be a huge struggle bus and so, so I'm kind of balancing the like that in a specific individual right, because if it's against that really difficult, challenging gallbladder or ventral hernia repair or abdominal exploration versus a pretty easy, straightforward thing, you know, it change</w:t>
            </w:r>
            <w:r>
              <w:rPr>
                <w:rFonts w:ascii="Times New Roman" w:eastAsia="Times New Roman" w:hAnsi="Times New Roman" w:cs="Times New Roman"/>
                <w:i/>
                <w:iCs/>
                <w:sz w:val="20"/>
                <w:szCs w:val="20"/>
              </w:rPr>
              <w:t>”</w:t>
            </w:r>
          </w:p>
        </w:tc>
      </w:tr>
      <w:tr w:rsidR="0036590B" w14:paraId="46926FFD" w14:textId="662001E0" w:rsidTr="0036590B">
        <w:tc>
          <w:tcPr>
            <w:tcW w:w="3350" w:type="dxa"/>
            <w:tcBorders>
              <w:top w:val="single" w:sz="4" w:space="0" w:color="888888"/>
              <w:left w:val="single" w:sz="4" w:space="0" w:color="888888"/>
              <w:bottom w:val="single" w:sz="4" w:space="0" w:color="888888"/>
              <w:right w:val="single" w:sz="4" w:space="0" w:color="888888"/>
            </w:tcBorders>
          </w:tcPr>
          <w:p w14:paraId="0610D047"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Decision — conceptualize a probability of a straightforward case</w:t>
            </w:r>
          </w:p>
        </w:tc>
        <w:tc>
          <w:tcPr>
            <w:tcW w:w="5130" w:type="dxa"/>
            <w:tcBorders>
              <w:top w:val="single" w:sz="4" w:space="0" w:color="888888"/>
              <w:left w:val="single" w:sz="4" w:space="0" w:color="888888"/>
              <w:bottom w:val="single" w:sz="4" w:space="0" w:color="888888"/>
              <w:right w:val="single" w:sz="4" w:space="0" w:color="888888"/>
            </w:tcBorders>
          </w:tcPr>
          <w:p w14:paraId="4E12E971"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Panelist decision: to enable a shared judgment, panelists agreed to conceptualize the MCGT's probability of success on a 'straightforward' case of each procedure.</w:t>
            </w:r>
          </w:p>
        </w:tc>
        <w:tc>
          <w:tcPr>
            <w:tcW w:w="5130" w:type="dxa"/>
            <w:tcBorders>
              <w:top w:val="single" w:sz="4" w:space="0" w:color="888888"/>
              <w:left w:val="single" w:sz="4" w:space="0" w:color="888888"/>
              <w:bottom w:val="single" w:sz="4" w:space="0" w:color="888888"/>
              <w:right w:val="single" w:sz="4" w:space="0" w:color="888888"/>
            </w:tcBorders>
          </w:tcPr>
          <w:p w14:paraId="74F4E968" w14:textId="74A826EB" w:rsidR="0036590B" w:rsidRPr="00CF2FD9" w:rsidRDefault="00CF2FD9">
            <w:pPr>
              <w:spacing w:after="40"/>
              <w:rPr>
                <w:rFonts w:ascii="Times New Roman" w:eastAsia="Times New Roman" w:hAnsi="Times New Roman" w:cs="Times New Roman"/>
                <w:i/>
                <w:iCs/>
                <w:sz w:val="20"/>
                <w:szCs w:val="20"/>
              </w:rPr>
            </w:pPr>
            <w:r w:rsidRPr="00CF2FD9">
              <w:rPr>
                <w:rFonts w:ascii="Times New Roman" w:eastAsia="Times New Roman" w:hAnsi="Times New Roman" w:cs="Times New Roman"/>
                <w:i/>
                <w:iCs/>
                <w:sz w:val="20"/>
                <w:szCs w:val="20"/>
              </w:rPr>
              <w:t>“So, a couple of the big ideas that came out of this conversation, were the idea of, if as much as possible, conceptualizing a probability of a straightforward case.”</w:t>
            </w:r>
          </w:p>
        </w:tc>
      </w:tr>
      <w:tr w:rsidR="0036590B" w14:paraId="3C2846CE" w14:textId="72AB1E5C" w:rsidTr="0036590B">
        <w:tc>
          <w:tcPr>
            <w:tcW w:w="3350" w:type="dxa"/>
            <w:tcBorders>
              <w:top w:val="single" w:sz="4" w:space="0" w:color="888888"/>
              <w:left w:val="single" w:sz="4" w:space="0" w:color="888888"/>
              <w:bottom w:val="single" w:sz="4" w:space="0" w:color="888888"/>
              <w:right w:val="single" w:sz="4" w:space="0" w:color="888888"/>
            </w:tcBorders>
          </w:tcPr>
          <w:p w14:paraId="7ADF11E0"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Acknowledgement that there isn't an even distribution across case exposure for all PGY levels</w:t>
            </w:r>
          </w:p>
        </w:tc>
        <w:tc>
          <w:tcPr>
            <w:tcW w:w="5130" w:type="dxa"/>
            <w:tcBorders>
              <w:top w:val="single" w:sz="4" w:space="0" w:color="888888"/>
              <w:left w:val="single" w:sz="4" w:space="0" w:color="888888"/>
              <w:bottom w:val="single" w:sz="4" w:space="0" w:color="888888"/>
              <w:right w:val="single" w:sz="4" w:space="0" w:color="888888"/>
            </w:tcBorders>
          </w:tcPr>
          <w:p w14:paraId="5ABDBDD4"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Recognition that trainees' case exposure is unevenly distributed across PGY levels.</w:t>
            </w:r>
          </w:p>
        </w:tc>
        <w:tc>
          <w:tcPr>
            <w:tcW w:w="5130" w:type="dxa"/>
            <w:tcBorders>
              <w:top w:val="single" w:sz="4" w:space="0" w:color="888888"/>
              <w:left w:val="single" w:sz="4" w:space="0" w:color="888888"/>
              <w:bottom w:val="single" w:sz="4" w:space="0" w:color="888888"/>
              <w:right w:val="single" w:sz="4" w:space="0" w:color="888888"/>
            </w:tcBorders>
          </w:tcPr>
          <w:p w14:paraId="29B898B3" w14:textId="54A19656" w:rsidR="0036590B" w:rsidRPr="00CF2FD9" w:rsidRDefault="00CF2FD9">
            <w:pPr>
              <w:spacing w:after="40"/>
              <w:rPr>
                <w:rFonts w:ascii="Times New Roman" w:eastAsia="Times New Roman" w:hAnsi="Times New Roman" w:cs="Times New Roman"/>
                <w:i/>
                <w:iCs/>
                <w:sz w:val="20"/>
                <w:szCs w:val="20"/>
              </w:rPr>
            </w:pPr>
            <w:r w:rsidRPr="00CF2FD9">
              <w:rPr>
                <w:rFonts w:ascii="Times New Roman" w:eastAsia="Times New Roman" w:hAnsi="Times New Roman" w:cs="Times New Roman"/>
                <w:i/>
                <w:iCs/>
                <w:sz w:val="20"/>
                <w:szCs w:val="20"/>
              </w:rPr>
              <w:t xml:space="preserve">“Yeah X, that's an interesting point, because if you think about it, that 80% or 90% whatever it is, is probably not dealing with the PGY five, right? It's dealing with that whole cohort. And </w:t>
            </w:r>
            <w:proofErr w:type="gramStart"/>
            <w:r w:rsidRPr="00CF2FD9">
              <w:rPr>
                <w:rFonts w:ascii="Times New Roman" w:eastAsia="Times New Roman" w:hAnsi="Times New Roman" w:cs="Times New Roman"/>
                <w:i/>
                <w:iCs/>
                <w:sz w:val="20"/>
                <w:szCs w:val="20"/>
              </w:rPr>
              <w:t>so</w:t>
            </w:r>
            <w:proofErr w:type="gramEnd"/>
            <w:r w:rsidRPr="00CF2FD9">
              <w:rPr>
                <w:rFonts w:ascii="Times New Roman" w:eastAsia="Times New Roman" w:hAnsi="Times New Roman" w:cs="Times New Roman"/>
                <w:i/>
                <w:iCs/>
                <w:sz w:val="20"/>
                <w:szCs w:val="20"/>
              </w:rPr>
              <w:t xml:space="preserve"> you're dealing with the cohort that may not be that PGY five, that is at that 90% they may be 100% of the ones that </w:t>
            </w:r>
            <w:proofErr w:type="gramStart"/>
            <w:r w:rsidRPr="00CF2FD9">
              <w:rPr>
                <w:rFonts w:ascii="Times New Roman" w:eastAsia="Times New Roman" w:hAnsi="Times New Roman" w:cs="Times New Roman"/>
                <w:i/>
                <w:iCs/>
                <w:sz w:val="20"/>
                <w:szCs w:val="20"/>
              </w:rPr>
              <w:t>actually did</w:t>
            </w:r>
            <w:proofErr w:type="gramEnd"/>
            <w:r w:rsidRPr="00CF2FD9">
              <w:rPr>
                <w:rFonts w:ascii="Times New Roman" w:eastAsia="Times New Roman" w:hAnsi="Times New Roman" w:cs="Times New Roman"/>
                <w:i/>
                <w:iCs/>
                <w:sz w:val="20"/>
                <w:szCs w:val="20"/>
              </w:rPr>
              <w:t xml:space="preserve"> it, but we don't know that.”</w:t>
            </w:r>
          </w:p>
        </w:tc>
      </w:tr>
      <w:tr w:rsidR="0036590B" w14:paraId="4A6E581D" w14:textId="29C6C672" w:rsidTr="0036590B">
        <w:tc>
          <w:tcPr>
            <w:tcW w:w="3350" w:type="dxa"/>
            <w:tcBorders>
              <w:top w:val="single" w:sz="4" w:space="0" w:color="888888"/>
              <w:left w:val="single" w:sz="4" w:space="0" w:color="888888"/>
              <w:bottom w:val="single" w:sz="4" w:space="0" w:color="888888"/>
              <w:right w:val="single" w:sz="4" w:space="0" w:color="888888"/>
            </w:tcBorders>
          </w:tcPr>
          <w:p w14:paraId="7031300A"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lastRenderedPageBreak/>
              <w:t>As you get closer to graduation, more limited exposure to getting a SIMPL rating for some procedures</w:t>
            </w:r>
          </w:p>
        </w:tc>
        <w:tc>
          <w:tcPr>
            <w:tcW w:w="5130" w:type="dxa"/>
            <w:tcBorders>
              <w:top w:val="single" w:sz="4" w:space="0" w:color="888888"/>
              <w:left w:val="single" w:sz="4" w:space="0" w:color="888888"/>
              <w:bottom w:val="single" w:sz="4" w:space="0" w:color="888888"/>
              <w:right w:val="single" w:sz="4" w:space="0" w:color="888888"/>
            </w:tcBorders>
          </w:tcPr>
          <w:p w14:paraId="2A0CDC5B"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Observation that the number of SIMPL ratings for a given procedure often declines as trainees approach graduation.</w:t>
            </w:r>
          </w:p>
        </w:tc>
        <w:tc>
          <w:tcPr>
            <w:tcW w:w="5130" w:type="dxa"/>
            <w:tcBorders>
              <w:top w:val="single" w:sz="4" w:space="0" w:color="888888"/>
              <w:left w:val="single" w:sz="4" w:space="0" w:color="888888"/>
              <w:bottom w:val="single" w:sz="4" w:space="0" w:color="888888"/>
              <w:right w:val="single" w:sz="4" w:space="0" w:color="888888"/>
            </w:tcBorders>
          </w:tcPr>
          <w:p w14:paraId="49B7DED4" w14:textId="2A4EE7B3" w:rsidR="0036590B" w:rsidRPr="00FB6E56" w:rsidRDefault="00FB6E56">
            <w:pPr>
              <w:spacing w:after="40"/>
              <w:rPr>
                <w:rFonts w:ascii="Times New Roman" w:eastAsia="Times New Roman" w:hAnsi="Times New Roman" w:cs="Times New Roman"/>
                <w:i/>
                <w:iCs/>
                <w:sz w:val="20"/>
                <w:szCs w:val="20"/>
              </w:rPr>
            </w:pPr>
            <w:r w:rsidRPr="00FB6E56">
              <w:rPr>
                <w:rFonts w:ascii="Times New Roman" w:eastAsia="Times New Roman" w:hAnsi="Times New Roman" w:cs="Times New Roman"/>
                <w:i/>
                <w:iCs/>
                <w:sz w:val="20"/>
                <w:szCs w:val="20"/>
              </w:rPr>
              <w:t xml:space="preserve">“But let's also be clear that as you get to </w:t>
            </w:r>
            <w:proofErr w:type="gramStart"/>
            <w:r w:rsidRPr="00FB6E56">
              <w:rPr>
                <w:rFonts w:ascii="Times New Roman" w:eastAsia="Times New Roman" w:hAnsi="Times New Roman" w:cs="Times New Roman"/>
                <w:i/>
                <w:iCs/>
                <w:sz w:val="20"/>
                <w:szCs w:val="20"/>
              </w:rPr>
              <w:t>your</w:t>
            </w:r>
            <w:proofErr w:type="gramEnd"/>
            <w:r w:rsidRPr="00FB6E56">
              <w:rPr>
                <w:rFonts w:ascii="Times New Roman" w:eastAsia="Times New Roman" w:hAnsi="Times New Roman" w:cs="Times New Roman"/>
                <w:i/>
                <w:iCs/>
                <w:sz w:val="20"/>
                <w:szCs w:val="20"/>
              </w:rPr>
              <w:t xml:space="preserve"> to the last six months of your surgical training, you know, then your exposure to </w:t>
            </w:r>
            <w:proofErr w:type="gramStart"/>
            <w:r w:rsidRPr="00FB6E56">
              <w:rPr>
                <w:rFonts w:ascii="Times New Roman" w:eastAsia="Times New Roman" w:hAnsi="Times New Roman" w:cs="Times New Roman"/>
                <w:i/>
                <w:iCs/>
                <w:sz w:val="20"/>
                <w:szCs w:val="20"/>
              </w:rPr>
              <w:t>actually get</w:t>
            </w:r>
            <w:proofErr w:type="gramEnd"/>
            <w:r w:rsidRPr="00FB6E56">
              <w:rPr>
                <w:rFonts w:ascii="Times New Roman" w:eastAsia="Times New Roman" w:hAnsi="Times New Roman" w:cs="Times New Roman"/>
                <w:i/>
                <w:iCs/>
                <w:sz w:val="20"/>
                <w:szCs w:val="20"/>
              </w:rPr>
              <w:t xml:space="preserve"> a SIMPL rating is really limited. </w:t>
            </w:r>
            <w:proofErr w:type="gramStart"/>
            <w:r w:rsidRPr="00FB6E56">
              <w:rPr>
                <w:rFonts w:ascii="Times New Roman" w:eastAsia="Times New Roman" w:hAnsi="Times New Roman" w:cs="Times New Roman"/>
                <w:i/>
                <w:iCs/>
                <w:sz w:val="20"/>
                <w:szCs w:val="20"/>
              </w:rPr>
              <w:t>So</w:t>
            </w:r>
            <w:proofErr w:type="gramEnd"/>
            <w:r w:rsidRPr="00FB6E56">
              <w:rPr>
                <w:rFonts w:ascii="Times New Roman" w:eastAsia="Times New Roman" w:hAnsi="Times New Roman" w:cs="Times New Roman"/>
                <w:i/>
                <w:iCs/>
                <w:sz w:val="20"/>
                <w:szCs w:val="20"/>
              </w:rPr>
              <w:t xml:space="preserve"> you know, over the course of your entire last year of surgical training, you know, as you get closer and closer to the end where hopefully you're getting better and better and kind of hitting stride, you know you're having, you have a lot less kind of sampling towards the very end of your residency.”</w:t>
            </w:r>
          </w:p>
        </w:tc>
      </w:tr>
      <w:tr w:rsidR="0036590B" w14:paraId="6714CAAC" w14:textId="2DEC3592" w:rsidTr="0036590B">
        <w:tc>
          <w:tcPr>
            <w:tcW w:w="3350" w:type="dxa"/>
            <w:tcBorders>
              <w:top w:val="single" w:sz="4" w:space="0" w:color="888888"/>
              <w:left w:val="single" w:sz="4" w:space="0" w:color="888888"/>
              <w:bottom w:val="single" w:sz="4" w:space="0" w:color="888888"/>
              <w:right w:val="single" w:sz="4" w:space="0" w:color="888888"/>
            </w:tcBorders>
          </w:tcPr>
          <w:p w14:paraId="06372E33"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Perception that the significant variation that does exist in training is a huge concern</w:t>
            </w:r>
          </w:p>
        </w:tc>
        <w:tc>
          <w:tcPr>
            <w:tcW w:w="5130" w:type="dxa"/>
            <w:tcBorders>
              <w:top w:val="single" w:sz="4" w:space="0" w:color="888888"/>
              <w:left w:val="single" w:sz="4" w:space="0" w:color="888888"/>
              <w:bottom w:val="single" w:sz="4" w:space="0" w:color="888888"/>
              <w:right w:val="single" w:sz="4" w:space="0" w:color="888888"/>
            </w:tcBorders>
          </w:tcPr>
          <w:p w14:paraId="0DF40FF4" w14:textId="77777777" w:rsidR="0036590B" w:rsidRDefault="0036590B">
            <w:pPr>
              <w:spacing w:after="40"/>
              <w:rPr>
                <w:rFonts w:ascii="Times New Roman" w:eastAsia="Times New Roman" w:hAnsi="Times New Roman" w:cs="Times New Roman"/>
              </w:rPr>
            </w:pPr>
            <w:r>
              <w:rPr>
                <w:rFonts w:ascii="Times New Roman" w:eastAsia="Times New Roman" w:hAnsi="Times New Roman" w:cs="Times New Roman"/>
                <w:sz w:val="20"/>
                <w:szCs w:val="20"/>
              </w:rPr>
              <w:t>Panelist concern that the magnitude of variation in operative training experiences represents a threat to generating and implementing a single national standard.</w:t>
            </w:r>
          </w:p>
        </w:tc>
        <w:tc>
          <w:tcPr>
            <w:tcW w:w="5130" w:type="dxa"/>
            <w:tcBorders>
              <w:top w:val="single" w:sz="4" w:space="0" w:color="888888"/>
              <w:left w:val="single" w:sz="4" w:space="0" w:color="888888"/>
              <w:bottom w:val="single" w:sz="4" w:space="0" w:color="888888"/>
              <w:right w:val="single" w:sz="4" w:space="0" w:color="888888"/>
            </w:tcBorders>
          </w:tcPr>
          <w:p w14:paraId="59CFF19D" w14:textId="7566784E" w:rsidR="0036590B" w:rsidRPr="00FB6E56" w:rsidRDefault="00FB6E56">
            <w:pPr>
              <w:spacing w:after="40"/>
              <w:rPr>
                <w:rFonts w:ascii="Times New Roman" w:eastAsia="Times New Roman" w:hAnsi="Times New Roman" w:cs="Times New Roman"/>
                <w:i/>
                <w:iCs/>
                <w:sz w:val="20"/>
                <w:szCs w:val="20"/>
              </w:rPr>
            </w:pPr>
            <w:r w:rsidRPr="00FB6E56">
              <w:rPr>
                <w:rFonts w:ascii="Times New Roman" w:eastAsia="Times New Roman" w:hAnsi="Times New Roman" w:cs="Times New Roman"/>
                <w:i/>
                <w:iCs/>
                <w:sz w:val="20"/>
                <w:szCs w:val="20"/>
              </w:rPr>
              <w:t xml:space="preserve">“I'm going back to X’s point just a moment ago, and that's really that that's a really important thing, and that's, I think, one of the reasons that we struggle is, is our lived experience and the lived experience of our trainees is monumentally different, which, frankly, is horrifying and shocking, right? We should be training people kind of to a standard that that is </w:t>
            </w:r>
            <w:proofErr w:type="gramStart"/>
            <w:r w:rsidRPr="00FB6E56">
              <w:rPr>
                <w:rFonts w:ascii="Times New Roman" w:eastAsia="Times New Roman" w:hAnsi="Times New Roman" w:cs="Times New Roman"/>
                <w:i/>
                <w:iCs/>
                <w:sz w:val="20"/>
                <w:szCs w:val="20"/>
              </w:rPr>
              <w:t>fairly universal</w:t>
            </w:r>
            <w:proofErr w:type="gramEnd"/>
            <w:r w:rsidRPr="00FB6E56">
              <w:rPr>
                <w:rFonts w:ascii="Times New Roman" w:eastAsia="Times New Roman" w:hAnsi="Times New Roman" w:cs="Times New Roman"/>
                <w:i/>
                <w:iCs/>
                <w:sz w:val="20"/>
                <w:szCs w:val="20"/>
              </w:rPr>
              <w:t xml:space="preserve"> and conserved no matter where in the country you're training. And I think the fact that we do have such variability is certainly a cause for concern, professionally.”</w:t>
            </w:r>
          </w:p>
        </w:tc>
      </w:tr>
    </w:tbl>
    <w:p w14:paraId="086D608B" w14:textId="31CAD923" w:rsidR="00755989" w:rsidRPr="00755989" w:rsidRDefault="00755989" w:rsidP="00755989">
      <w:pPr>
        <w:pStyle w:val="p1"/>
        <w:rPr>
          <w:sz w:val="20"/>
          <w:szCs w:val="20"/>
        </w:rPr>
      </w:pPr>
      <w:r w:rsidRPr="00755989">
        <w:rPr>
          <w:b/>
          <w:bCs/>
          <w:sz w:val="20"/>
          <w:szCs w:val="20"/>
        </w:rPr>
        <w:t xml:space="preserve">Abbreviations: </w:t>
      </w:r>
      <w:r w:rsidRPr="00755989">
        <w:rPr>
          <w:sz w:val="20"/>
          <w:szCs w:val="20"/>
        </w:rPr>
        <w:t>MCGT = minimally competent graduating trainee; MIS = minimally invasive surgery; PGY = post-graduate year; SIMPL = Society for Improving Medical Professional</w:t>
      </w:r>
      <w:r w:rsidRPr="00755989">
        <w:rPr>
          <w:sz w:val="20"/>
          <w:szCs w:val="20"/>
        </w:rPr>
        <w:t xml:space="preserve"> </w:t>
      </w:r>
      <w:r w:rsidRPr="00755989">
        <w:rPr>
          <w:sz w:val="20"/>
          <w:szCs w:val="20"/>
        </w:rPr>
        <w:t>Learning; WBA = workplace-based assessment.</w:t>
      </w:r>
    </w:p>
    <w:p w14:paraId="23B009D1" w14:textId="77777777" w:rsidR="00E91069" w:rsidRDefault="00E91069" w:rsidP="00755989">
      <w:pPr>
        <w:widowControl w:val="0"/>
        <w:pBdr>
          <w:top w:val="nil"/>
          <w:left w:val="nil"/>
          <w:bottom w:val="nil"/>
          <w:right w:val="nil"/>
          <w:between w:val="nil"/>
        </w:pBdr>
        <w:spacing w:after="0"/>
        <w:rPr>
          <w:rFonts w:ascii="Times New Roman" w:eastAsia="Times New Roman" w:hAnsi="Times New Roman" w:cs="Times New Roman"/>
        </w:rPr>
      </w:pPr>
    </w:p>
    <w:sectPr w:rsidR="00E91069" w:rsidSect="00E67803">
      <w:pgSz w:w="15840" w:h="12240" w:orient="landscape"/>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embedRegular r:id="rId1" w:fontKey="{FCB0D01F-4232-5440-85ED-6B45EFB099A8}"/>
    <w:embedItalic r:id="rId2" w:fontKey="{4720896C-0ED9-8F40-8AC2-BC625B522720}"/>
  </w:font>
  <w:font w:name="Calibri">
    <w:panose1 w:val="020F0502020204030204"/>
    <w:charset w:val="00"/>
    <w:family w:val="swiss"/>
    <w:pitch w:val="variable"/>
    <w:sig w:usb0="E0002AFF" w:usb1="C000ACFF" w:usb2="00000009" w:usb3="00000000" w:csb0="000001FF" w:csb1="00000000"/>
    <w:embedRegular r:id="rId3" w:fontKey="{C20ACECC-DF53-E64A-A66E-D3E04377866F}"/>
    <w:embedBold r:id="rId4" w:fontKey="{63FF201E-F71D-064D-9C93-BD77830DB7E5}"/>
    <w:embedItalic r:id="rId5" w:fontKey="{51D45C6F-85D3-724A-9710-7CFF18D34EDC}"/>
    <w:embedBoldItalic r:id="rId6" w:fontKey="{54552F67-3A46-A84C-A972-6FAD11954556}"/>
  </w:font>
  <w:font w:name="Times New Roman">
    <w:panose1 w:val="02020603050405020304"/>
    <w:charset w:val="00"/>
    <w:family w:val="roman"/>
    <w:pitch w:val="variable"/>
    <w:sig w:usb0="E0002EFF" w:usb1="C000785B" w:usb2="00000009" w:usb3="00000000" w:csb0="000001FF" w:csb1="00000000"/>
    <w:embedRegular r:id="rId7" w:fontKey="{431B33AD-19DE-DE40-A924-31DDB7814869}"/>
    <w:embedBold r:id="rId8" w:fontKey="{17F64FC4-7499-B04E-B6A1-745AE4C30CEF}"/>
    <w:embedItalic r:id="rId9" w:fontKey="{067729FD-20EA-984A-9B0A-4994E63DBD88}"/>
    <w:embedBoldItalic r:id="rId10" w:fontKey="{652A196D-744C-5849-A701-57EA4A133E64}"/>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069"/>
    <w:rsid w:val="002E3A20"/>
    <w:rsid w:val="0036590B"/>
    <w:rsid w:val="003B5959"/>
    <w:rsid w:val="00407EE8"/>
    <w:rsid w:val="004F3CF3"/>
    <w:rsid w:val="005328A4"/>
    <w:rsid w:val="00755989"/>
    <w:rsid w:val="008C6EB6"/>
    <w:rsid w:val="009E36E9"/>
    <w:rsid w:val="00A82E3C"/>
    <w:rsid w:val="00B83EED"/>
    <w:rsid w:val="00CF2FD9"/>
    <w:rsid w:val="00E67803"/>
    <w:rsid w:val="00E91069"/>
    <w:rsid w:val="00FB6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20C1CD"/>
  <w15:docId w15:val="{46ECFA67-141B-EF43-99C4-DD637A53E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customStyle="1" w:styleId="p1">
    <w:name w:val="p1"/>
    <w:basedOn w:val="Normal"/>
    <w:rsid w:val="00755989"/>
    <w:pPr>
      <w:spacing w:after="0" w:line="240" w:lineRule="auto"/>
    </w:pPr>
    <w:rPr>
      <w:rFonts w:ascii="Times New Roman" w:eastAsia="Times New Roman" w:hAnsi="Times New Roman" w:cs="Times New Roman"/>
      <w:color w:val="000000"/>
      <w:sz w:val="14"/>
      <w:szCs w:val="1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9</Pages>
  <Words>3988</Words>
  <Characters>20183</Characters>
  <Application>Microsoft Office Word</Application>
  <DocSecurity>0</DocSecurity>
  <Lines>531</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Pradarelli, Alyssa</cp:lastModifiedBy>
  <cp:revision>10</cp:revision>
  <dcterms:created xsi:type="dcterms:W3CDTF">2026-09-21T20:24:00Z</dcterms:created>
  <dcterms:modified xsi:type="dcterms:W3CDTF">2026-09-22T03:21:00Z</dcterms:modified>
</cp:coreProperties>
</file>