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DBB97" w14:textId="22B5F6E1" w:rsidR="00756DBB" w:rsidRPr="00380F3F" w:rsidRDefault="00756DBB" w:rsidP="00380F3F">
      <w:pPr>
        <w:spacing w:line="360" w:lineRule="auto"/>
        <w:ind w:left="-360"/>
        <w:jc w:val="both"/>
        <w:rPr>
          <w:rFonts w:ascii="Arial" w:hAnsi="Arial" w:cs="Arial"/>
          <w:b/>
          <w:bCs/>
          <w:color w:val="000000" w:themeColor="text1"/>
          <w:sz w:val="22"/>
          <w:szCs w:val="22"/>
        </w:rPr>
      </w:pPr>
      <w:r w:rsidRPr="00756DBB">
        <w:rPr>
          <w:rFonts w:ascii="Arial" w:hAnsi="Arial" w:cs="Arial"/>
          <w:b/>
          <w:bCs/>
          <w:sz w:val="22"/>
          <w:szCs w:val="22"/>
        </w:rPr>
        <w:t>Supplementary Section S1:</w:t>
      </w:r>
    </w:p>
    <w:p w14:paraId="0C3BB757" w14:textId="1E6A1B12" w:rsidR="00176A74" w:rsidRDefault="00756DBB" w:rsidP="00DC4E91">
      <w:pPr>
        <w:spacing w:line="360" w:lineRule="auto"/>
        <w:ind w:left="-360" w:firstLine="360"/>
        <w:jc w:val="both"/>
        <w:rPr>
          <w:rFonts w:ascii="Arial" w:hAnsi="Arial" w:cs="Arial"/>
          <w:color w:val="000000" w:themeColor="text1"/>
          <w:sz w:val="22"/>
          <w:szCs w:val="22"/>
          <w:shd w:val="clear" w:color="auto" w:fill="FFFFFF"/>
        </w:rPr>
      </w:pPr>
      <w:r w:rsidRPr="00756DBB">
        <w:rPr>
          <w:rFonts w:ascii="Arial" w:hAnsi="Arial" w:cs="Arial"/>
          <w:sz w:val="22"/>
          <w:szCs w:val="22"/>
        </w:rPr>
        <w:t>Initially, a total of 186 adolescents (age range = 12-19 years, 68 females, and SPS range 33T-77T) were clinically categorized in</w:t>
      </w:r>
      <w:r w:rsidR="0026105B">
        <w:rPr>
          <w:rFonts w:ascii="Arial" w:hAnsi="Arial" w:cs="Arial"/>
          <w:sz w:val="22"/>
          <w:szCs w:val="22"/>
        </w:rPr>
        <w:t>to</w:t>
      </w:r>
      <w:r w:rsidRPr="00756DBB">
        <w:rPr>
          <w:rFonts w:ascii="Arial" w:hAnsi="Arial" w:cs="Arial"/>
          <w:sz w:val="22"/>
          <w:szCs w:val="22"/>
        </w:rPr>
        <w:t xml:space="preserve"> </w:t>
      </w:r>
      <w:r w:rsidR="0026105B">
        <w:rPr>
          <w:rFonts w:ascii="Arial" w:hAnsi="Arial" w:cs="Arial"/>
          <w:sz w:val="22"/>
          <w:szCs w:val="22"/>
        </w:rPr>
        <w:t xml:space="preserve">the </w:t>
      </w:r>
      <w:r w:rsidRPr="00756DBB">
        <w:rPr>
          <w:rFonts w:ascii="Arial" w:hAnsi="Arial" w:cs="Arial"/>
          <w:sz w:val="22"/>
          <w:szCs w:val="22"/>
        </w:rPr>
        <w:t xml:space="preserve">suicide risk category using </w:t>
      </w:r>
      <w:r w:rsidR="0026105B">
        <w:rPr>
          <w:rFonts w:ascii="Arial" w:hAnsi="Arial" w:cs="Arial"/>
          <w:sz w:val="22"/>
          <w:szCs w:val="22"/>
        </w:rPr>
        <w:t xml:space="preserve">the </w:t>
      </w:r>
      <w:r w:rsidRPr="00756DBB">
        <w:rPr>
          <w:rFonts w:ascii="Arial" w:hAnsi="Arial" w:cs="Arial"/>
          <w:bCs/>
          <w:iCs/>
          <w:color w:val="000000" w:themeColor="text1"/>
          <w:sz w:val="22"/>
          <w:szCs w:val="22"/>
        </w:rPr>
        <w:t xml:space="preserve">Child Suicide Risk Assessment (CSRA) </w:t>
      </w:r>
      <w:r w:rsidRPr="00756DBB">
        <w:rPr>
          <w:rFonts w:ascii="Arial" w:hAnsi="Arial" w:cs="Arial"/>
          <w:sz w:val="22"/>
          <w:szCs w:val="22"/>
        </w:rPr>
        <w:t>through psychiatric interviews</w:t>
      </w:r>
      <w:r w:rsidR="00277394">
        <w:rPr>
          <w:rFonts w:ascii="Arial" w:hAnsi="Arial" w:cs="Arial"/>
          <w:sz w:val="22"/>
          <w:szCs w:val="22"/>
        </w:rPr>
        <w:t xml:space="preserve"> </w:t>
      </w:r>
      <w:r w:rsidR="00277394">
        <w:rPr>
          <w:rFonts w:ascii="Arial" w:hAnsi="Arial" w:cs="Arial"/>
          <w:sz w:val="22"/>
          <w:szCs w:val="22"/>
        </w:rPr>
        <w:fldChar w:fldCharType="begin" w:fldLock="1"/>
      </w:r>
      <w:r w:rsidR="00380F3F">
        <w:rPr>
          <w:rFonts w:ascii="Arial" w:hAnsi="Arial" w:cs="Arial"/>
          <w:sz w:val="22"/>
          <w:szCs w:val="22"/>
        </w:rPr>
        <w:instrText>ADDIN CSL_CITATION {"citationItems":[{"id":"ITEM-1","itemData":{"author":[{"dropping-particle":"","family":"Boys Town","given":"","non-dropping-particle":"","parse-names":false,"suffix":""}],"id":"ITEM-1","issued":{"date-parts":[["2018"]]},"number-of-pages":"311","publisher":"Boys Town","publisher-place":"Boys Town, NE","title":"Boys Town National Database Manual: Youth Care Data Systems (version 4.5.80.0)","type":"book"},"uris":["http://www.mendeley.com/documents/?uuid=51a29a9a-233d-4041-a2ca-2c40dd423b35"]}],"mendeley":{"formattedCitation":"&lt;span style=\"baseline\"&gt;[1]&lt;/span&gt;","plainTextFormattedCitation":"[1]","previouslyFormattedCitation":"&lt;span style=\"baseline\"&gt;[3]&lt;/span&gt;"},"properties":{"noteIndex":0},"schema":"https://github.com/citation-style-language/schema/raw/master/csl-citation.json"}</w:instrText>
      </w:r>
      <w:r w:rsidR="00277394">
        <w:rPr>
          <w:rFonts w:ascii="Arial" w:hAnsi="Arial" w:cs="Arial"/>
          <w:sz w:val="22"/>
          <w:szCs w:val="22"/>
        </w:rPr>
        <w:fldChar w:fldCharType="separate"/>
      </w:r>
      <w:r w:rsidR="00380F3F" w:rsidRPr="00380F3F">
        <w:rPr>
          <w:rFonts w:ascii="Arial" w:hAnsi="Arial" w:cs="Arial"/>
          <w:noProof/>
          <w:sz w:val="22"/>
          <w:szCs w:val="22"/>
        </w:rPr>
        <w:t>[1]</w:t>
      </w:r>
      <w:r w:rsidR="00277394">
        <w:rPr>
          <w:rFonts w:ascii="Arial" w:hAnsi="Arial" w:cs="Arial"/>
          <w:sz w:val="22"/>
          <w:szCs w:val="22"/>
        </w:rPr>
        <w:fldChar w:fldCharType="end"/>
      </w:r>
      <w:r w:rsidR="0026105B">
        <w:rPr>
          <w:rFonts w:ascii="Arial" w:hAnsi="Arial" w:cs="Arial"/>
          <w:color w:val="000000"/>
          <w:sz w:val="22"/>
          <w:szCs w:val="22"/>
        </w:rPr>
        <w:t>,</w:t>
      </w:r>
      <w:r w:rsidRPr="00756DBB">
        <w:rPr>
          <w:rFonts w:ascii="Arial" w:hAnsi="Arial" w:cs="Arial"/>
          <w:bCs/>
          <w:iCs/>
          <w:color w:val="000000" w:themeColor="text1"/>
          <w:sz w:val="22"/>
          <w:szCs w:val="22"/>
        </w:rPr>
        <w:t xml:space="preserve"> and 178 </w:t>
      </w:r>
      <w:r w:rsidRPr="00756DBB">
        <w:rPr>
          <w:rFonts w:ascii="Arial" w:hAnsi="Arial" w:cs="Arial"/>
          <w:sz w:val="22"/>
          <w:szCs w:val="22"/>
        </w:rPr>
        <w:t>adolescents (age range = 10-19 years, IQ range = 79-142, and 67 females) were categorized in</w:t>
      </w:r>
      <w:r w:rsidR="0026105B">
        <w:rPr>
          <w:rFonts w:ascii="Arial" w:hAnsi="Arial" w:cs="Arial"/>
          <w:sz w:val="22"/>
          <w:szCs w:val="22"/>
        </w:rPr>
        <w:t>to</w:t>
      </w:r>
      <w:r w:rsidRPr="00756DBB">
        <w:rPr>
          <w:rFonts w:ascii="Arial" w:hAnsi="Arial" w:cs="Arial"/>
          <w:sz w:val="22"/>
          <w:szCs w:val="22"/>
        </w:rPr>
        <w:t xml:space="preserve"> </w:t>
      </w:r>
      <w:r w:rsidR="0026105B">
        <w:rPr>
          <w:rFonts w:ascii="Arial" w:hAnsi="Arial" w:cs="Arial"/>
          <w:sz w:val="22"/>
          <w:szCs w:val="22"/>
        </w:rPr>
        <w:t xml:space="preserve">the </w:t>
      </w:r>
      <w:r w:rsidRPr="00756DBB">
        <w:rPr>
          <w:rFonts w:ascii="Arial" w:hAnsi="Arial" w:cs="Arial"/>
          <w:sz w:val="22"/>
          <w:szCs w:val="22"/>
        </w:rPr>
        <w:t>TD category. However, for the current study, a total of 79 adolescents were sub-categorized into a stringent suicide risk category</w:t>
      </w:r>
      <w:r w:rsidR="008A672D">
        <w:rPr>
          <w:rFonts w:ascii="Arial" w:hAnsi="Arial" w:cs="Arial"/>
          <w:sz w:val="22"/>
          <w:szCs w:val="22"/>
        </w:rPr>
        <w:t xml:space="preserve"> </w:t>
      </w:r>
      <w:r w:rsidR="00E2009A">
        <w:rPr>
          <w:rFonts w:ascii="Arial" w:hAnsi="Arial" w:cs="Arial"/>
          <w:sz w:val="22"/>
          <w:szCs w:val="22"/>
        </w:rPr>
        <w:t>by having</w:t>
      </w:r>
      <w:r w:rsidRPr="00756DBB">
        <w:rPr>
          <w:rFonts w:ascii="Arial" w:hAnsi="Arial" w:cs="Arial"/>
          <w:sz w:val="22"/>
          <w:szCs w:val="22"/>
        </w:rPr>
        <w:t xml:space="preserve"> a total SPS score of 60T or above. A cut-off SPS threshold of </w:t>
      </w:r>
      <w:r w:rsidR="004E514D">
        <w:rPr>
          <w:rFonts w:ascii="Arial" w:hAnsi="Arial" w:cs="Arial"/>
          <w:sz w:val="22"/>
          <w:szCs w:val="22"/>
        </w:rPr>
        <w:t>more than 59</w:t>
      </w:r>
      <w:r w:rsidRPr="00756DBB">
        <w:rPr>
          <w:rFonts w:ascii="Arial" w:hAnsi="Arial" w:cs="Arial"/>
          <w:sz w:val="22"/>
          <w:szCs w:val="22"/>
        </w:rPr>
        <w:t xml:space="preserve">T has been suggested to indicate the need for a careful clinical evaluation of suicide risk </w:t>
      </w:r>
      <w:r w:rsidR="00277394">
        <w:rPr>
          <w:rFonts w:ascii="Arial" w:hAnsi="Arial" w:cs="Arial"/>
          <w:sz w:val="22"/>
          <w:szCs w:val="22"/>
        </w:rPr>
        <w:fldChar w:fldCharType="begin" w:fldLock="1"/>
      </w:r>
      <w:r w:rsidR="00380F3F">
        <w:rPr>
          <w:rFonts w:ascii="Arial" w:hAnsi="Arial" w:cs="Arial"/>
          <w:sz w:val="22"/>
          <w:szCs w:val="22"/>
        </w:rPr>
        <w:instrText>ADDIN CSL_CITATION {"citationItems":[{"id":"ITEM-1","itemData":{"abstract":"The Suicide Probability Scale (SPS) gives clinicians a rapid, accurate, and empirically validated measure of suicide risk in adults and adolescents over 13 years of age. Quick and cost-effective, the SPS permits routine screening in any high-risk setting. The scale is composed of 36 items that describe particular feelings and behaviors. The respondent indicates how often each statement applies to him or her, using a 4-point scale. The test form does not mention suicide in its title. The SPS generates three summary scores—a total weighted score, a normalized T-score, and a Suicide Probability Score—that give an overall indication of suicide risk. For a more detailed clinical interpretation, the SPS also provides four subscales: Hopelessness Suicide Ideation Negative Self-Evaluation Hostility The Manual includes case examples illustrating the test’s interpretation and its clinical use. Standardization is based on a sample of more than 1,100 individuals, including normals, psychiatric patients, and lethal suicide attempters. Separate norms are provided for each of these groups. For all the useful information it provides, the SPS requires very little professional time. It can be administered to individuals or groups in only 5 to 10 minutes, then scored and interpreted in just a few minutes more. For added convenience, the SPS is available via WPS TEST REPORT FAX Service. This option gives you immediate scoring and a clear summary of test results. Contained on a single page, the SPS computer report can be easily added to a client’s file or bound into a medical chart. It provides a concise estimate of suicide potential that, along with your clinical evaluation, helps determine appropriate intervention. The SPS is widely used as a screening device in clinics, inpatient units, juvenile detention centers, hospital emergency rooms, and suicide prevention centers. It is especially useful with suicidal individuals who are being maintained in outpatient psychotherapy, where continuous, systematic monitoring is particularly important.","author":[{"dropping-particle":"","family":"Cull","given":"J G","non-dropping-particle":"","parse-names":false,"suffix":""},{"dropping-particle":"","family":"Gill","given":"W S","non-dropping-particle":"","parse-names":false,"suffix":""}],"container-title":"Western Psychological Services","id":"ITEM-1","issued":{"date-parts":[["1982"]]},"title":"Suicide Probability Scale","type":"chapter"},"uris":["http://www.mendeley.com/documents/?uuid=1689172d-f944-4ea3-a85a-3a491fbe71ff"]}],"mendeley":{"formattedCitation":"&lt;span style=\"baseline\"&gt;[2]&lt;/span&gt;","plainTextFormattedCitation":"[2]","previouslyFormattedCitation":"&lt;span style=\"baseline\"&gt;[4]&lt;/span&gt;"},"properties":{"noteIndex":0},"schema":"https://github.com/citation-style-language/schema/raw/master/csl-citation.json"}</w:instrText>
      </w:r>
      <w:r w:rsidR="00277394">
        <w:rPr>
          <w:rFonts w:ascii="Arial" w:hAnsi="Arial" w:cs="Arial"/>
          <w:sz w:val="22"/>
          <w:szCs w:val="22"/>
        </w:rPr>
        <w:fldChar w:fldCharType="separate"/>
      </w:r>
      <w:r w:rsidR="00380F3F" w:rsidRPr="00380F3F">
        <w:rPr>
          <w:rFonts w:ascii="Arial" w:hAnsi="Arial" w:cs="Arial"/>
          <w:noProof/>
          <w:sz w:val="22"/>
          <w:szCs w:val="22"/>
        </w:rPr>
        <w:t>[2]</w:t>
      </w:r>
      <w:r w:rsidR="00277394">
        <w:rPr>
          <w:rFonts w:ascii="Arial" w:hAnsi="Arial" w:cs="Arial"/>
          <w:sz w:val="22"/>
          <w:szCs w:val="22"/>
        </w:rPr>
        <w:fldChar w:fldCharType="end"/>
      </w:r>
      <w:r w:rsidRPr="00756DBB">
        <w:rPr>
          <w:rFonts w:ascii="Arial" w:hAnsi="Arial" w:cs="Arial"/>
          <w:sz w:val="22"/>
          <w:szCs w:val="22"/>
        </w:rPr>
        <w:t>. This led to final clinical data set of 79 adolescents (36 females and 43 males with age and IQ range of 13-19 years and 76-133 respectively), who demonstrated clinically concerning levels of suicide risk (SPS range = 60T-77T). As a comparison group, a total of 105 adolescents in the identical age and IQ range of 13-19 years and 76-133</w:t>
      </w:r>
      <w:r w:rsidR="008A672D">
        <w:rPr>
          <w:rFonts w:ascii="Arial" w:hAnsi="Arial" w:cs="Arial"/>
          <w:sz w:val="22"/>
          <w:szCs w:val="22"/>
        </w:rPr>
        <w:t>,</w:t>
      </w:r>
      <w:r w:rsidRPr="00756DBB">
        <w:rPr>
          <w:rFonts w:ascii="Arial" w:hAnsi="Arial" w:cs="Arial"/>
          <w:sz w:val="22"/>
          <w:szCs w:val="22"/>
        </w:rPr>
        <w:t xml:space="preserve"> respectively</w:t>
      </w:r>
      <w:r w:rsidR="008A672D">
        <w:rPr>
          <w:rFonts w:ascii="Arial" w:hAnsi="Arial" w:cs="Arial"/>
          <w:sz w:val="22"/>
          <w:szCs w:val="22"/>
        </w:rPr>
        <w:t>,</w:t>
      </w:r>
      <w:r w:rsidRPr="00756DBB">
        <w:rPr>
          <w:rFonts w:ascii="Arial" w:hAnsi="Arial" w:cs="Arial"/>
          <w:sz w:val="22"/>
          <w:szCs w:val="22"/>
        </w:rPr>
        <w:t xml:space="preserve"> were categorized in TD healthy-control category. Our initial analysis showed that there were significant group differences in age [</w:t>
      </w:r>
      <w:proofErr w:type="gramStart"/>
      <w:r w:rsidRPr="00756DBB">
        <w:rPr>
          <w:rFonts w:ascii="Arial" w:hAnsi="Arial" w:cs="Arial"/>
          <w:i/>
          <w:iCs/>
          <w:sz w:val="22"/>
          <w:szCs w:val="22"/>
        </w:rPr>
        <w:t>F</w:t>
      </w:r>
      <w:r w:rsidRPr="00756DBB">
        <w:rPr>
          <w:rFonts w:ascii="Arial" w:hAnsi="Arial" w:cs="Arial"/>
          <w:sz w:val="22"/>
          <w:szCs w:val="22"/>
        </w:rPr>
        <w:t>(</w:t>
      </w:r>
      <w:proofErr w:type="gramEnd"/>
      <w:r w:rsidRPr="00756DBB">
        <w:rPr>
          <w:rFonts w:ascii="Arial" w:hAnsi="Arial" w:cs="Arial"/>
          <w:sz w:val="22"/>
          <w:szCs w:val="22"/>
        </w:rPr>
        <w:t xml:space="preserve">1,183) = 9.55, </w:t>
      </w:r>
      <w:r w:rsidRPr="00756DBB">
        <w:rPr>
          <w:rFonts w:ascii="Arial" w:hAnsi="Arial" w:cs="Arial"/>
          <w:i/>
          <w:iCs/>
          <w:sz w:val="22"/>
          <w:szCs w:val="22"/>
        </w:rPr>
        <w:t>p =</w:t>
      </w:r>
      <w:r w:rsidRPr="00756DBB">
        <w:rPr>
          <w:rFonts w:ascii="Arial" w:hAnsi="Arial" w:cs="Arial"/>
          <w:sz w:val="22"/>
          <w:szCs w:val="22"/>
        </w:rPr>
        <w:t xml:space="preserve"> 0.002] and IQ [</w:t>
      </w:r>
      <w:r w:rsidRPr="00756DBB">
        <w:rPr>
          <w:rFonts w:ascii="Arial" w:hAnsi="Arial" w:cs="Arial"/>
          <w:i/>
          <w:iCs/>
          <w:sz w:val="22"/>
          <w:szCs w:val="22"/>
        </w:rPr>
        <w:t>F</w:t>
      </w:r>
      <w:r w:rsidRPr="00756DBB">
        <w:rPr>
          <w:rFonts w:ascii="Arial" w:hAnsi="Arial" w:cs="Arial"/>
          <w:sz w:val="22"/>
          <w:szCs w:val="22"/>
        </w:rPr>
        <w:t xml:space="preserve">(1,183) = 14.93, </w:t>
      </w:r>
      <w:r w:rsidRPr="00756DBB">
        <w:rPr>
          <w:rFonts w:ascii="Arial" w:hAnsi="Arial" w:cs="Arial"/>
          <w:i/>
          <w:iCs/>
          <w:sz w:val="22"/>
          <w:szCs w:val="22"/>
        </w:rPr>
        <w:t>p &lt;</w:t>
      </w:r>
      <w:r w:rsidRPr="00756DBB">
        <w:rPr>
          <w:rFonts w:ascii="Arial" w:hAnsi="Arial" w:cs="Arial"/>
          <w:sz w:val="22"/>
          <w:szCs w:val="22"/>
        </w:rPr>
        <w:t xml:space="preserve"> 0.001]. Therefore, </w:t>
      </w:r>
      <w:r w:rsidR="00277394">
        <w:rPr>
          <w:rFonts w:ascii="Arial" w:hAnsi="Arial" w:cs="Arial"/>
          <w:sz w:val="22"/>
          <w:szCs w:val="22"/>
        </w:rPr>
        <w:t xml:space="preserve">prior to conducting any further analysis, </w:t>
      </w:r>
      <w:r w:rsidRPr="00756DBB">
        <w:rPr>
          <w:rFonts w:ascii="Arial" w:hAnsi="Arial" w:cs="Arial"/>
          <w:sz w:val="22"/>
          <w:szCs w:val="22"/>
        </w:rPr>
        <w:t xml:space="preserve">participants were removed one-by-one from </w:t>
      </w:r>
      <w:r w:rsidR="0026105B">
        <w:rPr>
          <w:rFonts w:ascii="Arial" w:hAnsi="Arial" w:cs="Arial"/>
          <w:sz w:val="22"/>
          <w:szCs w:val="22"/>
        </w:rPr>
        <w:t xml:space="preserve">the </w:t>
      </w:r>
      <w:r w:rsidRPr="00756DBB">
        <w:rPr>
          <w:rFonts w:ascii="Arial" w:hAnsi="Arial" w:cs="Arial"/>
          <w:sz w:val="22"/>
          <w:szCs w:val="22"/>
        </w:rPr>
        <w:t xml:space="preserve">TD category in such a way to </w:t>
      </w:r>
      <w:r w:rsidR="00277394">
        <w:rPr>
          <w:rFonts w:ascii="Arial" w:hAnsi="Arial" w:cs="Arial"/>
          <w:sz w:val="22"/>
          <w:szCs w:val="22"/>
        </w:rPr>
        <w:t>minimize</w:t>
      </w:r>
      <w:r w:rsidRPr="00756DBB">
        <w:rPr>
          <w:rFonts w:ascii="Arial" w:hAnsi="Arial" w:cs="Arial"/>
          <w:sz w:val="22"/>
          <w:szCs w:val="22"/>
        </w:rPr>
        <w:t xml:space="preserve"> the differences</w:t>
      </w:r>
      <w:r w:rsidR="00277394">
        <w:rPr>
          <w:rFonts w:ascii="Arial" w:hAnsi="Arial" w:cs="Arial"/>
          <w:sz w:val="22"/>
          <w:szCs w:val="22"/>
        </w:rPr>
        <w:t xml:space="preserve"> (to reach non-significant levels)</w:t>
      </w:r>
      <w:r w:rsidRPr="00756DBB">
        <w:rPr>
          <w:rFonts w:ascii="Arial" w:hAnsi="Arial" w:cs="Arial"/>
          <w:sz w:val="22"/>
          <w:szCs w:val="22"/>
        </w:rPr>
        <w:t xml:space="preserve"> in age and IQ and simultaneously keeping the sex differences as non-significant. This led to</w:t>
      </w:r>
      <w:r w:rsidR="0026105B">
        <w:rPr>
          <w:rFonts w:ascii="Arial" w:hAnsi="Arial" w:cs="Arial"/>
          <w:sz w:val="22"/>
          <w:szCs w:val="22"/>
        </w:rPr>
        <w:t xml:space="preserve"> a</w:t>
      </w:r>
      <w:r w:rsidRPr="00756DBB">
        <w:rPr>
          <w:rFonts w:ascii="Arial" w:hAnsi="Arial" w:cs="Arial"/>
          <w:sz w:val="22"/>
          <w:szCs w:val="22"/>
        </w:rPr>
        <w:t xml:space="preserve"> TD data set of 79 adolescents (26 females and 53 males with </w:t>
      </w:r>
      <w:r w:rsidR="0026105B">
        <w:rPr>
          <w:rFonts w:ascii="Arial" w:hAnsi="Arial" w:cs="Arial"/>
          <w:sz w:val="22"/>
          <w:szCs w:val="22"/>
        </w:rPr>
        <w:t xml:space="preserve">an </w:t>
      </w:r>
      <w:r w:rsidRPr="00756DBB">
        <w:rPr>
          <w:rFonts w:ascii="Arial" w:hAnsi="Arial" w:cs="Arial"/>
          <w:sz w:val="22"/>
          <w:szCs w:val="22"/>
        </w:rPr>
        <w:t xml:space="preserve">age and IQ range of 13-19 years and 79-119 respectively). Our final analysis on revised clinical and TD datasets (N = 79 each) showed that there were no group differences in </w:t>
      </w:r>
      <w:r w:rsidRPr="00756DBB">
        <w:rPr>
          <w:rFonts w:ascii="Arial" w:hAnsi="Arial" w:cs="Arial"/>
          <w:color w:val="000000" w:themeColor="text1"/>
          <w:sz w:val="22"/>
          <w:szCs w:val="22"/>
        </w:rPr>
        <w:t>sex (</w:t>
      </w:r>
      <w:r w:rsidRPr="00756DBB">
        <w:rPr>
          <w:rFonts w:ascii="Arial" w:hAnsi="Arial" w:cs="Arial"/>
          <w:color w:val="000000" w:themeColor="text1"/>
          <w:sz w:val="22"/>
          <w:szCs w:val="22"/>
          <w:shd w:val="clear" w:color="auto" w:fill="FFFFFF"/>
        </w:rPr>
        <w:t xml:space="preserve">Chi-squared: </w:t>
      </w:r>
      <w:r w:rsidRPr="00756DBB">
        <w:rPr>
          <w:rFonts w:ascii="Arial" w:hAnsi="Arial" w:cs="Arial"/>
          <w:i/>
          <w:iCs/>
          <w:color w:val="000000" w:themeColor="text1"/>
          <w:sz w:val="22"/>
          <w:szCs w:val="22"/>
          <w:shd w:val="clear" w:color="auto" w:fill="FFFFFF"/>
        </w:rPr>
        <w:t>χ</w:t>
      </w:r>
      <w:r w:rsidRPr="00756DBB">
        <w:rPr>
          <w:rFonts w:ascii="Arial" w:hAnsi="Arial" w:cs="Arial"/>
          <w:i/>
          <w:iCs/>
          <w:color w:val="000000" w:themeColor="text1"/>
          <w:sz w:val="22"/>
          <w:szCs w:val="22"/>
          <w:shd w:val="clear" w:color="auto" w:fill="FFFFFF"/>
          <w:vertAlign w:val="superscript"/>
        </w:rPr>
        <w:t>2</w:t>
      </w:r>
      <w:r w:rsidRPr="00756DBB">
        <w:rPr>
          <w:rFonts w:ascii="Arial" w:hAnsi="Arial" w:cs="Arial"/>
          <w:color w:val="000000" w:themeColor="text1"/>
          <w:sz w:val="22"/>
          <w:szCs w:val="22"/>
        </w:rPr>
        <w:t xml:space="preserve"> = 2.65, </w:t>
      </w:r>
      <w:r w:rsidRPr="00756DBB">
        <w:rPr>
          <w:rFonts w:ascii="Arial" w:hAnsi="Arial" w:cs="Arial"/>
          <w:i/>
          <w:iCs/>
          <w:color w:val="000000" w:themeColor="text1"/>
          <w:sz w:val="22"/>
          <w:szCs w:val="22"/>
        </w:rPr>
        <w:t>p =</w:t>
      </w:r>
      <w:r w:rsidRPr="00756DBB">
        <w:rPr>
          <w:rFonts w:ascii="Arial" w:hAnsi="Arial" w:cs="Arial"/>
          <w:color w:val="000000" w:themeColor="text1"/>
          <w:sz w:val="22"/>
          <w:szCs w:val="22"/>
        </w:rPr>
        <w:t xml:space="preserve"> 0.10), age (</w:t>
      </w:r>
      <w:r w:rsidRPr="00756DBB">
        <w:rPr>
          <w:rFonts w:ascii="Arial" w:hAnsi="Arial" w:cs="Arial"/>
          <w:color w:val="000000" w:themeColor="text1"/>
          <w:sz w:val="22"/>
          <w:szCs w:val="22"/>
          <w:shd w:val="clear" w:color="auto" w:fill="FFFFFF"/>
        </w:rPr>
        <w:t xml:space="preserve">two-sample </w:t>
      </w:r>
      <w:r w:rsidRPr="00756DBB">
        <w:rPr>
          <w:rFonts w:ascii="Arial" w:hAnsi="Arial" w:cs="Arial"/>
          <w:i/>
          <w:iCs/>
          <w:color w:val="000000" w:themeColor="text1"/>
          <w:sz w:val="22"/>
          <w:szCs w:val="22"/>
          <w:shd w:val="clear" w:color="auto" w:fill="FFFFFF"/>
        </w:rPr>
        <w:t>t</w:t>
      </w:r>
      <w:r w:rsidRPr="00756DBB">
        <w:rPr>
          <w:rFonts w:ascii="Arial" w:hAnsi="Arial" w:cs="Arial"/>
          <w:color w:val="000000" w:themeColor="text1"/>
          <w:sz w:val="22"/>
          <w:szCs w:val="22"/>
          <w:shd w:val="clear" w:color="auto" w:fill="FFFFFF"/>
        </w:rPr>
        <w:t xml:space="preserve">-test: </w:t>
      </w:r>
      <w:proofErr w:type="gramStart"/>
      <w:r w:rsidRPr="00756DBB">
        <w:rPr>
          <w:rFonts w:ascii="Arial" w:hAnsi="Arial" w:cs="Arial"/>
          <w:i/>
          <w:iCs/>
          <w:color w:val="000000" w:themeColor="text1"/>
          <w:sz w:val="22"/>
          <w:szCs w:val="22"/>
        </w:rPr>
        <w:t>t</w:t>
      </w:r>
      <w:r w:rsidRPr="00756DBB">
        <w:rPr>
          <w:rFonts w:ascii="Arial" w:hAnsi="Arial" w:cs="Arial"/>
          <w:color w:val="000000" w:themeColor="text1"/>
          <w:sz w:val="22"/>
          <w:szCs w:val="22"/>
        </w:rPr>
        <w:t>(</w:t>
      </w:r>
      <w:proofErr w:type="gramEnd"/>
      <w:r w:rsidRPr="00756DBB">
        <w:rPr>
          <w:rFonts w:ascii="Arial" w:hAnsi="Arial" w:cs="Arial"/>
          <w:color w:val="000000" w:themeColor="text1"/>
          <w:sz w:val="22"/>
          <w:szCs w:val="22"/>
        </w:rPr>
        <w:t xml:space="preserve">156) = -1.50, </w:t>
      </w:r>
      <w:r w:rsidRPr="00756DBB">
        <w:rPr>
          <w:rFonts w:ascii="Arial" w:hAnsi="Arial" w:cs="Arial"/>
          <w:i/>
          <w:iCs/>
          <w:color w:val="000000" w:themeColor="text1"/>
          <w:sz w:val="22"/>
          <w:szCs w:val="22"/>
        </w:rPr>
        <w:t>p</w:t>
      </w:r>
      <w:r w:rsidRPr="00756DBB">
        <w:rPr>
          <w:rFonts w:ascii="Arial" w:hAnsi="Arial" w:cs="Arial"/>
          <w:color w:val="000000" w:themeColor="text1"/>
          <w:sz w:val="22"/>
          <w:szCs w:val="22"/>
        </w:rPr>
        <w:t xml:space="preserve"> = 0.13), and IQ (</w:t>
      </w:r>
      <w:r w:rsidRPr="00756DBB">
        <w:rPr>
          <w:rFonts w:ascii="Arial" w:hAnsi="Arial" w:cs="Arial"/>
          <w:color w:val="000000" w:themeColor="text1"/>
          <w:sz w:val="22"/>
          <w:szCs w:val="22"/>
          <w:shd w:val="clear" w:color="auto" w:fill="FFFFFF"/>
        </w:rPr>
        <w:t xml:space="preserve">two sample </w:t>
      </w:r>
      <w:r w:rsidRPr="00756DBB">
        <w:rPr>
          <w:rFonts w:ascii="Arial" w:hAnsi="Arial" w:cs="Arial"/>
          <w:i/>
          <w:iCs/>
          <w:color w:val="000000" w:themeColor="text1"/>
          <w:sz w:val="22"/>
          <w:szCs w:val="22"/>
          <w:shd w:val="clear" w:color="auto" w:fill="FFFFFF"/>
        </w:rPr>
        <w:t>t</w:t>
      </w:r>
      <w:r w:rsidRPr="00756DBB">
        <w:rPr>
          <w:rFonts w:ascii="Arial" w:hAnsi="Arial" w:cs="Arial"/>
          <w:color w:val="000000" w:themeColor="text1"/>
          <w:sz w:val="22"/>
          <w:szCs w:val="22"/>
          <w:shd w:val="clear" w:color="auto" w:fill="FFFFFF"/>
        </w:rPr>
        <w:t xml:space="preserve">-test: </w:t>
      </w:r>
      <w:r w:rsidRPr="00756DBB">
        <w:rPr>
          <w:rFonts w:ascii="Arial" w:hAnsi="Arial" w:cs="Arial"/>
          <w:i/>
          <w:iCs/>
          <w:color w:val="000000" w:themeColor="text1"/>
          <w:sz w:val="22"/>
          <w:szCs w:val="22"/>
        </w:rPr>
        <w:t>t</w:t>
      </w:r>
      <w:r w:rsidRPr="00756DBB">
        <w:rPr>
          <w:rFonts w:ascii="Arial" w:hAnsi="Arial" w:cs="Arial"/>
          <w:color w:val="000000" w:themeColor="text1"/>
          <w:sz w:val="22"/>
          <w:szCs w:val="22"/>
        </w:rPr>
        <w:t xml:space="preserve">(156) = 1.90, </w:t>
      </w:r>
      <w:r w:rsidRPr="00756DBB">
        <w:rPr>
          <w:rFonts w:ascii="Arial" w:hAnsi="Arial" w:cs="Arial"/>
          <w:i/>
          <w:iCs/>
          <w:color w:val="000000" w:themeColor="text1"/>
          <w:sz w:val="22"/>
          <w:szCs w:val="22"/>
        </w:rPr>
        <w:t>p</w:t>
      </w:r>
      <w:r w:rsidRPr="00756DBB">
        <w:rPr>
          <w:rFonts w:ascii="Arial" w:hAnsi="Arial" w:cs="Arial"/>
          <w:color w:val="000000" w:themeColor="text1"/>
          <w:sz w:val="22"/>
          <w:szCs w:val="22"/>
        </w:rPr>
        <w:t xml:space="preserve"> = 0.06) </w:t>
      </w:r>
      <w:r w:rsidRPr="00756DBB">
        <w:rPr>
          <w:rFonts w:ascii="Arial" w:hAnsi="Arial" w:cs="Arial"/>
          <w:sz w:val="22"/>
          <w:szCs w:val="22"/>
        </w:rPr>
        <w:t xml:space="preserve">(see Table 1). All the above analysis were performed in </w:t>
      </w:r>
      <w:r w:rsidRPr="00756DBB">
        <w:rPr>
          <w:rFonts w:ascii="Arial" w:hAnsi="Arial" w:cs="Arial"/>
          <w:color w:val="000000" w:themeColor="text1"/>
          <w:sz w:val="22"/>
          <w:szCs w:val="22"/>
          <w:shd w:val="clear" w:color="auto" w:fill="FFFFFF"/>
        </w:rPr>
        <w:t>SPSS 25.</w:t>
      </w:r>
    </w:p>
    <w:p w14:paraId="7B271E46" w14:textId="77777777" w:rsidR="0069795D" w:rsidRDefault="0069795D" w:rsidP="0069795D">
      <w:pPr>
        <w:spacing w:line="360" w:lineRule="auto"/>
        <w:ind w:left="-360" w:firstLine="360"/>
        <w:jc w:val="both"/>
        <w:rPr>
          <w:rFonts w:ascii="Arial" w:hAnsi="Arial" w:cs="Arial"/>
          <w:color w:val="000000" w:themeColor="text1"/>
          <w:sz w:val="22"/>
          <w:szCs w:val="22"/>
        </w:rPr>
      </w:pPr>
      <w:bookmarkStart w:id="0" w:name="_Hlk492299725"/>
      <w:r w:rsidRPr="009B215E">
        <w:rPr>
          <w:rFonts w:ascii="Arial" w:hAnsi="Arial" w:cs="Arial"/>
          <w:sz w:val="22"/>
          <w:szCs w:val="22"/>
        </w:rPr>
        <w:t>Participants recruited from the residential facility had been referred for behavioral and mental health problems</w:t>
      </w:r>
      <w:r>
        <w:rPr>
          <w:rFonts w:ascii="Arial" w:hAnsi="Arial" w:cs="Arial"/>
          <w:sz w:val="22"/>
          <w:szCs w:val="22"/>
        </w:rPr>
        <w:t>,</w:t>
      </w:r>
      <w:r w:rsidRPr="009B215E">
        <w:rPr>
          <w:rFonts w:ascii="Arial" w:hAnsi="Arial" w:cs="Arial"/>
          <w:sz w:val="22"/>
          <w:szCs w:val="22"/>
        </w:rPr>
        <w:t xml:space="preserve"> whereas participants from the community were recruited through flyers or social media.</w:t>
      </w:r>
      <w:bookmarkEnd w:id="0"/>
      <w:r w:rsidRPr="009B215E">
        <w:rPr>
          <w:rFonts w:ascii="Arial" w:hAnsi="Arial" w:cs="Arial"/>
          <w:sz w:val="22"/>
          <w:szCs w:val="22"/>
        </w:rPr>
        <w:t xml:space="preserve"> </w:t>
      </w:r>
      <w:r>
        <w:rPr>
          <w:rFonts w:ascii="Arial" w:hAnsi="Arial" w:cs="Arial"/>
          <w:sz w:val="22"/>
          <w:szCs w:val="22"/>
        </w:rPr>
        <w:t>For both sets of participants, i</w:t>
      </w:r>
      <w:r w:rsidRPr="009B215E">
        <w:rPr>
          <w:rFonts w:ascii="Arial" w:hAnsi="Arial" w:cs="Arial"/>
          <w:color w:val="000000" w:themeColor="text1"/>
          <w:sz w:val="22"/>
          <w:szCs w:val="22"/>
        </w:rPr>
        <w:t xml:space="preserve">nclusion criteria included IQ &gt; 75 and exclusion criteria included pregnancy, claustrophobia, presence of metallic objects in the body (e.g., pacemakers, metal plates, etc.), non-psychiatric medical conditions that require the use of medication that may have psychotropic effects, current psychosis, pervasive developmental disorders, Tourette’s disorder, and neurological disorders. </w:t>
      </w:r>
      <w:r>
        <w:rPr>
          <w:rFonts w:ascii="Arial" w:hAnsi="Arial" w:cs="Arial"/>
          <w:color w:val="000000" w:themeColor="text1"/>
          <w:sz w:val="22"/>
          <w:szCs w:val="22"/>
        </w:rPr>
        <w:t>Please note that the p</w:t>
      </w:r>
      <w:r w:rsidRPr="009B215E">
        <w:rPr>
          <w:rFonts w:ascii="Arial" w:hAnsi="Arial" w:cs="Arial"/>
          <w:color w:val="000000" w:themeColor="text1"/>
          <w:sz w:val="22"/>
          <w:szCs w:val="22"/>
        </w:rPr>
        <w:t>articipants with current psychiatric conditions (other than psychotic disorders or pervasive developmental disorders) and use of psychotropic medications for psychiatric indications (e.g., stimulants, antipsychotic medications, or selective serotonin reuptake inhibitors [SSRI</w:t>
      </w:r>
      <w:r>
        <w:rPr>
          <w:rFonts w:ascii="Arial" w:hAnsi="Arial" w:cs="Arial"/>
          <w:color w:val="000000" w:themeColor="text1"/>
          <w:sz w:val="22"/>
          <w:szCs w:val="22"/>
        </w:rPr>
        <w:t>s</w:t>
      </w:r>
      <w:r w:rsidRPr="009B215E">
        <w:rPr>
          <w:rFonts w:ascii="Arial" w:hAnsi="Arial" w:cs="Arial"/>
          <w:color w:val="000000" w:themeColor="text1"/>
          <w:sz w:val="22"/>
          <w:szCs w:val="22"/>
        </w:rPr>
        <w:t xml:space="preserve">]) </w:t>
      </w:r>
      <w:r w:rsidRPr="009B215E">
        <w:rPr>
          <w:rFonts w:ascii="Arial" w:hAnsi="Arial" w:cs="Arial"/>
          <w:iCs/>
          <w:color w:val="000000" w:themeColor="text1"/>
          <w:sz w:val="22"/>
          <w:szCs w:val="22"/>
        </w:rPr>
        <w:t xml:space="preserve">were </w:t>
      </w:r>
      <w:r>
        <w:rPr>
          <w:rFonts w:ascii="Arial" w:hAnsi="Arial" w:cs="Arial"/>
          <w:iCs/>
          <w:color w:val="000000" w:themeColor="text1"/>
          <w:sz w:val="22"/>
          <w:szCs w:val="22"/>
        </w:rPr>
        <w:t xml:space="preserve">not </w:t>
      </w:r>
      <w:r w:rsidRPr="0078176B">
        <w:rPr>
          <w:rFonts w:ascii="Arial" w:hAnsi="Arial" w:cs="Arial"/>
          <w:iCs/>
          <w:color w:val="000000" w:themeColor="text1"/>
          <w:sz w:val="22"/>
          <w:szCs w:val="22"/>
        </w:rPr>
        <w:t xml:space="preserve">excluded </w:t>
      </w:r>
      <w:r w:rsidRPr="0078176B">
        <w:rPr>
          <w:rFonts w:ascii="Arial" w:hAnsi="Arial" w:cs="Arial"/>
          <w:sz w:val="22"/>
          <w:szCs w:val="22"/>
        </w:rPr>
        <w:t>(see Table 1)</w:t>
      </w:r>
      <w:r w:rsidRPr="0078176B">
        <w:rPr>
          <w:rFonts w:ascii="Arial" w:hAnsi="Arial" w:cs="Arial"/>
          <w:color w:val="000000" w:themeColor="text1"/>
          <w:sz w:val="22"/>
          <w:szCs w:val="22"/>
        </w:rPr>
        <w:t>.</w:t>
      </w:r>
    </w:p>
    <w:p w14:paraId="6CA7C46B" w14:textId="26C168BB" w:rsidR="0069795D" w:rsidRDefault="0069795D" w:rsidP="0069795D">
      <w:pPr>
        <w:spacing w:line="360" w:lineRule="auto"/>
        <w:ind w:left="-360" w:firstLine="360"/>
        <w:jc w:val="both"/>
        <w:rPr>
          <w:rFonts w:ascii="Arial" w:hAnsi="Arial" w:cs="Arial"/>
          <w:color w:val="000000" w:themeColor="text1"/>
          <w:sz w:val="22"/>
          <w:szCs w:val="22"/>
          <w:shd w:val="clear" w:color="auto" w:fill="FFFFFF"/>
        </w:rPr>
      </w:pPr>
      <w:r>
        <w:rPr>
          <w:rFonts w:ascii="Arial" w:hAnsi="Arial" w:cs="Arial"/>
          <w:sz w:val="22"/>
          <w:szCs w:val="22"/>
        </w:rPr>
        <w:t>A proportion of o</w:t>
      </w:r>
      <w:r w:rsidRPr="009B215E">
        <w:rPr>
          <w:rFonts w:ascii="Arial" w:hAnsi="Arial" w:cs="Arial"/>
          <w:sz w:val="22"/>
          <w:szCs w:val="22"/>
        </w:rPr>
        <w:t xml:space="preserve">ur participants who were at suicide risk </w:t>
      </w:r>
      <w:r>
        <w:rPr>
          <w:rFonts w:ascii="Arial" w:hAnsi="Arial" w:cs="Arial"/>
          <w:sz w:val="22"/>
          <w:szCs w:val="22"/>
        </w:rPr>
        <w:t>presented</w:t>
      </w:r>
      <w:r w:rsidRPr="009B215E">
        <w:rPr>
          <w:rFonts w:ascii="Arial" w:hAnsi="Arial" w:cs="Arial"/>
          <w:sz w:val="22"/>
          <w:szCs w:val="22"/>
        </w:rPr>
        <w:t xml:space="preserve"> with </w:t>
      </w:r>
      <w:r w:rsidRPr="009B215E">
        <w:rPr>
          <w:rFonts w:ascii="Arial" w:hAnsi="Arial" w:cs="Arial"/>
          <w:color w:val="000000" w:themeColor="text1"/>
          <w:sz w:val="22"/>
          <w:szCs w:val="22"/>
        </w:rPr>
        <w:t>Attention-Deficit/Hyperactivity Disorder</w:t>
      </w:r>
      <w:r w:rsidRPr="009B215E">
        <w:rPr>
          <w:rFonts w:ascii="Arial" w:hAnsi="Arial" w:cs="Arial"/>
          <w:sz w:val="22"/>
          <w:szCs w:val="22"/>
        </w:rPr>
        <w:t xml:space="preserve"> (ADHD</w:t>
      </w:r>
      <w:r>
        <w:rPr>
          <w:rFonts w:ascii="Arial" w:hAnsi="Arial" w:cs="Arial"/>
          <w:sz w:val="22"/>
          <w:szCs w:val="22"/>
        </w:rPr>
        <w:t xml:space="preserve">, </w:t>
      </w:r>
      <w:r w:rsidRPr="00104B05">
        <w:rPr>
          <w:rFonts w:ascii="Arial" w:hAnsi="Arial" w:cs="Arial"/>
          <w:i/>
          <w:iCs/>
          <w:sz w:val="22"/>
          <w:szCs w:val="22"/>
        </w:rPr>
        <w:t>N =</w:t>
      </w:r>
      <w:r>
        <w:rPr>
          <w:rFonts w:ascii="Arial" w:hAnsi="Arial" w:cs="Arial"/>
          <w:sz w:val="22"/>
          <w:szCs w:val="22"/>
        </w:rPr>
        <w:t xml:space="preserve"> 60</w:t>
      </w:r>
      <w:r w:rsidRPr="009B215E">
        <w:rPr>
          <w:rFonts w:ascii="Arial" w:hAnsi="Arial" w:cs="Arial"/>
          <w:sz w:val="22"/>
          <w:szCs w:val="22"/>
        </w:rPr>
        <w:t>),</w:t>
      </w:r>
      <w:r w:rsidRPr="009B215E">
        <w:rPr>
          <w:rFonts w:ascii="Arial" w:hAnsi="Arial" w:cs="Arial"/>
          <w:color w:val="000000" w:themeColor="text1"/>
          <w:sz w:val="22"/>
          <w:szCs w:val="22"/>
        </w:rPr>
        <w:t xml:space="preserve"> </w:t>
      </w:r>
      <w:r w:rsidRPr="009B215E">
        <w:rPr>
          <w:rFonts w:ascii="Arial" w:hAnsi="Arial" w:cs="Arial"/>
          <w:bCs/>
          <w:color w:val="000000" w:themeColor="text1"/>
          <w:sz w:val="22"/>
          <w:szCs w:val="22"/>
        </w:rPr>
        <w:t>Conduct Disorder</w:t>
      </w:r>
      <w:r w:rsidRPr="009B215E">
        <w:rPr>
          <w:rFonts w:ascii="Arial" w:hAnsi="Arial" w:cs="Arial"/>
          <w:color w:val="000000" w:themeColor="text1"/>
          <w:sz w:val="22"/>
          <w:szCs w:val="22"/>
        </w:rPr>
        <w:t xml:space="preserve"> (CD</w:t>
      </w:r>
      <w:r>
        <w:rPr>
          <w:rFonts w:ascii="Arial" w:hAnsi="Arial" w:cs="Arial"/>
          <w:color w:val="000000" w:themeColor="text1"/>
          <w:sz w:val="22"/>
          <w:szCs w:val="22"/>
        </w:rPr>
        <w:t xml:space="preserve">, </w:t>
      </w:r>
      <w:r w:rsidRPr="00104B05">
        <w:rPr>
          <w:rFonts w:ascii="Arial" w:hAnsi="Arial" w:cs="Arial"/>
          <w:i/>
          <w:iCs/>
          <w:color w:val="000000" w:themeColor="text1"/>
          <w:sz w:val="22"/>
          <w:szCs w:val="22"/>
        </w:rPr>
        <w:t>N =</w:t>
      </w:r>
      <w:r>
        <w:rPr>
          <w:rFonts w:ascii="Arial" w:hAnsi="Arial" w:cs="Arial"/>
          <w:color w:val="000000" w:themeColor="text1"/>
          <w:sz w:val="22"/>
          <w:szCs w:val="22"/>
        </w:rPr>
        <w:t xml:space="preserve"> 48</w:t>
      </w:r>
      <w:r w:rsidRPr="009B215E">
        <w:rPr>
          <w:rFonts w:ascii="Arial" w:hAnsi="Arial" w:cs="Arial"/>
          <w:color w:val="000000" w:themeColor="text1"/>
          <w:sz w:val="22"/>
          <w:szCs w:val="22"/>
        </w:rPr>
        <w:t>),</w:t>
      </w:r>
      <w:r w:rsidRPr="009B215E">
        <w:rPr>
          <w:rFonts w:ascii="Arial" w:hAnsi="Arial" w:cs="Arial"/>
          <w:bCs/>
          <w:color w:val="000000" w:themeColor="text1"/>
          <w:sz w:val="22"/>
          <w:szCs w:val="22"/>
        </w:rPr>
        <w:t xml:space="preserve"> </w:t>
      </w:r>
      <w:r w:rsidRPr="009B215E">
        <w:rPr>
          <w:rFonts w:ascii="Arial" w:hAnsi="Arial" w:cs="Arial"/>
          <w:bCs/>
          <w:color w:val="202124"/>
          <w:sz w:val="22"/>
          <w:szCs w:val="22"/>
          <w:shd w:val="clear" w:color="auto" w:fill="FFFFFF"/>
        </w:rPr>
        <w:t>Major Depressive Disorder</w:t>
      </w:r>
      <w:r w:rsidRPr="009B215E">
        <w:rPr>
          <w:rFonts w:ascii="Arial" w:hAnsi="Arial" w:cs="Arial"/>
          <w:bCs/>
          <w:color w:val="000000" w:themeColor="text1"/>
          <w:sz w:val="22"/>
          <w:szCs w:val="22"/>
        </w:rPr>
        <w:t xml:space="preserve"> (MDD</w:t>
      </w:r>
      <w:r>
        <w:rPr>
          <w:rFonts w:ascii="Arial" w:hAnsi="Arial" w:cs="Arial"/>
          <w:bCs/>
          <w:color w:val="000000" w:themeColor="text1"/>
          <w:sz w:val="22"/>
          <w:szCs w:val="22"/>
        </w:rPr>
        <w:t xml:space="preserve">, </w:t>
      </w:r>
      <w:r w:rsidRPr="00104B05">
        <w:rPr>
          <w:rFonts w:ascii="Arial" w:hAnsi="Arial" w:cs="Arial"/>
          <w:bCs/>
          <w:i/>
          <w:iCs/>
          <w:color w:val="000000" w:themeColor="text1"/>
          <w:sz w:val="22"/>
          <w:szCs w:val="22"/>
        </w:rPr>
        <w:t>N =</w:t>
      </w:r>
      <w:r>
        <w:rPr>
          <w:rFonts w:ascii="Arial" w:hAnsi="Arial" w:cs="Arial"/>
          <w:bCs/>
          <w:color w:val="000000" w:themeColor="text1"/>
          <w:sz w:val="22"/>
          <w:szCs w:val="22"/>
        </w:rPr>
        <w:t xml:space="preserve"> 20</w:t>
      </w:r>
      <w:r w:rsidRPr="009B215E">
        <w:rPr>
          <w:rFonts w:ascii="Arial" w:hAnsi="Arial" w:cs="Arial"/>
          <w:bCs/>
          <w:color w:val="000000" w:themeColor="text1"/>
          <w:sz w:val="22"/>
          <w:szCs w:val="22"/>
        </w:rPr>
        <w:t>),</w:t>
      </w:r>
      <w:r w:rsidRPr="009B215E">
        <w:rPr>
          <w:rFonts w:ascii="Arial" w:hAnsi="Arial" w:cs="Arial"/>
          <w:bCs/>
          <w:sz w:val="22"/>
          <w:szCs w:val="22"/>
        </w:rPr>
        <w:t xml:space="preserve"> </w:t>
      </w:r>
      <w:r w:rsidRPr="009B215E">
        <w:rPr>
          <w:rFonts w:ascii="Arial" w:hAnsi="Arial" w:cs="Arial"/>
          <w:bCs/>
          <w:color w:val="000000" w:themeColor="text1"/>
          <w:sz w:val="22"/>
          <w:szCs w:val="22"/>
        </w:rPr>
        <w:t>Post</w:t>
      </w:r>
      <w:r>
        <w:rPr>
          <w:rFonts w:ascii="Arial" w:hAnsi="Arial" w:cs="Arial"/>
          <w:bCs/>
          <w:color w:val="000000" w:themeColor="text1"/>
          <w:sz w:val="22"/>
          <w:szCs w:val="22"/>
        </w:rPr>
        <w:t>-</w:t>
      </w:r>
      <w:r w:rsidRPr="009B215E">
        <w:rPr>
          <w:rFonts w:ascii="Arial" w:hAnsi="Arial" w:cs="Arial"/>
          <w:bCs/>
          <w:color w:val="000000" w:themeColor="text1"/>
          <w:sz w:val="22"/>
          <w:szCs w:val="22"/>
        </w:rPr>
        <w:t>Traumatic Stress Disorder</w:t>
      </w:r>
      <w:r w:rsidRPr="009B215E">
        <w:rPr>
          <w:rFonts w:ascii="Arial" w:hAnsi="Arial" w:cs="Arial"/>
          <w:bCs/>
          <w:sz w:val="22"/>
          <w:szCs w:val="22"/>
        </w:rPr>
        <w:t xml:space="preserve"> (PTSD</w:t>
      </w:r>
      <w:r>
        <w:rPr>
          <w:rFonts w:ascii="Arial" w:hAnsi="Arial" w:cs="Arial"/>
          <w:bCs/>
          <w:sz w:val="22"/>
          <w:szCs w:val="22"/>
        </w:rPr>
        <w:t xml:space="preserve">, </w:t>
      </w:r>
      <w:r w:rsidRPr="00104B05">
        <w:rPr>
          <w:rFonts w:ascii="Arial" w:hAnsi="Arial" w:cs="Arial"/>
          <w:bCs/>
          <w:i/>
          <w:iCs/>
          <w:sz w:val="22"/>
          <w:szCs w:val="22"/>
        </w:rPr>
        <w:t>N =</w:t>
      </w:r>
      <w:r>
        <w:rPr>
          <w:rFonts w:ascii="Arial" w:hAnsi="Arial" w:cs="Arial"/>
          <w:bCs/>
          <w:sz w:val="22"/>
          <w:szCs w:val="22"/>
        </w:rPr>
        <w:t xml:space="preserve"> 17</w:t>
      </w:r>
      <w:r w:rsidRPr="009B215E">
        <w:rPr>
          <w:rFonts w:ascii="Arial" w:hAnsi="Arial" w:cs="Arial"/>
          <w:bCs/>
          <w:sz w:val="22"/>
          <w:szCs w:val="22"/>
        </w:rPr>
        <w:t>),</w:t>
      </w:r>
      <w:r w:rsidRPr="009B215E">
        <w:rPr>
          <w:rFonts w:ascii="Arial" w:hAnsi="Arial" w:cs="Arial"/>
          <w:bCs/>
          <w:color w:val="000000" w:themeColor="text1"/>
          <w:sz w:val="22"/>
          <w:szCs w:val="22"/>
        </w:rPr>
        <w:t xml:space="preserve"> Generalized Anxiety </w:t>
      </w:r>
      <w:r w:rsidRPr="009B215E">
        <w:rPr>
          <w:rFonts w:ascii="Arial" w:hAnsi="Arial" w:cs="Arial"/>
          <w:bCs/>
          <w:color w:val="000000" w:themeColor="text1"/>
          <w:sz w:val="22"/>
          <w:szCs w:val="22"/>
        </w:rPr>
        <w:lastRenderedPageBreak/>
        <w:t>Disorder (GAD</w:t>
      </w:r>
      <w:r>
        <w:rPr>
          <w:rFonts w:ascii="Arial" w:hAnsi="Arial" w:cs="Arial"/>
          <w:bCs/>
          <w:color w:val="000000" w:themeColor="text1"/>
          <w:sz w:val="22"/>
          <w:szCs w:val="22"/>
        </w:rPr>
        <w:t xml:space="preserve">, </w:t>
      </w:r>
      <w:r w:rsidRPr="00104B05">
        <w:rPr>
          <w:rFonts w:ascii="Arial" w:hAnsi="Arial" w:cs="Arial"/>
          <w:bCs/>
          <w:i/>
          <w:iCs/>
          <w:color w:val="000000" w:themeColor="text1"/>
          <w:sz w:val="22"/>
          <w:szCs w:val="22"/>
        </w:rPr>
        <w:t>N =</w:t>
      </w:r>
      <w:r>
        <w:rPr>
          <w:rFonts w:ascii="Arial" w:hAnsi="Arial" w:cs="Arial"/>
          <w:bCs/>
          <w:color w:val="000000" w:themeColor="text1"/>
          <w:sz w:val="22"/>
          <w:szCs w:val="22"/>
        </w:rPr>
        <w:t xml:space="preserve"> 31</w:t>
      </w:r>
      <w:r w:rsidRPr="009B215E">
        <w:rPr>
          <w:rFonts w:ascii="Arial" w:hAnsi="Arial" w:cs="Arial"/>
          <w:bCs/>
          <w:color w:val="000000" w:themeColor="text1"/>
          <w:sz w:val="22"/>
          <w:szCs w:val="22"/>
        </w:rPr>
        <w:t>), and Social Anxiety Disorder</w:t>
      </w:r>
      <w:r w:rsidRPr="009B215E">
        <w:rPr>
          <w:rFonts w:ascii="Arial" w:hAnsi="Arial" w:cs="Arial"/>
          <w:sz w:val="22"/>
          <w:szCs w:val="22"/>
        </w:rPr>
        <w:t xml:space="preserve"> (SAD</w:t>
      </w:r>
      <w:r>
        <w:rPr>
          <w:rFonts w:ascii="Arial" w:hAnsi="Arial" w:cs="Arial"/>
          <w:sz w:val="22"/>
          <w:szCs w:val="22"/>
        </w:rPr>
        <w:t xml:space="preserve">, </w:t>
      </w:r>
      <w:r w:rsidRPr="00104B05">
        <w:rPr>
          <w:rFonts w:ascii="Arial" w:hAnsi="Arial" w:cs="Arial"/>
          <w:i/>
          <w:iCs/>
          <w:sz w:val="22"/>
          <w:szCs w:val="22"/>
        </w:rPr>
        <w:t>N =</w:t>
      </w:r>
      <w:r>
        <w:rPr>
          <w:rFonts w:ascii="Arial" w:hAnsi="Arial" w:cs="Arial"/>
          <w:sz w:val="22"/>
          <w:szCs w:val="22"/>
        </w:rPr>
        <w:t xml:space="preserve"> 27</w:t>
      </w:r>
      <w:r w:rsidRPr="009B215E">
        <w:rPr>
          <w:rFonts w:ascii="Arial" w:hAnsi="Arial" w:cs="Arial"/>
          <w:sz w:val="22"/>
          <w:szCs w:val="22"/>
        </w:rPr>
        <w:t>) (see Table 1). Clinical characterization was done through psychiatric interviews by licensed and board-certified child and adolescent psychiatrists with the participants and their parents to adhere closely to common clinical practice.</w:t>
      </w:r>
    </w:p>
    <w:p w14:paraId="4FDA5370" w14:textId="5D12E26C" w:rsidR="0069795D" w:rsidRDefault="0069795D" w:rsidP="00892344">
      <w:pPr>
        <w:spacing w:line="360" w:lineRule="auto"/>
        <w:ind w:left="-360"/>
        <w:jc w:val="both"/>
        <w:rPr>
          <w:rFonts w:ascii="Arial" w:hAnsi="Arial" w:cs="Arial"/>
          <w:color w:val="000000" w:themeColor="text1"/>
          <w:sz w:val="22"/>
          <w:szCs w:val="22"/>
          <w:shd w:val="clear" w:color="auto" w:fill="FFFFFF"/>
        </w:rPr>
      </w:pPr>
    </w:p>
    <w:p w14:paraId="38852FC7" w14:textId="25172E16" w:rsidR="0069795D" w:rsidRPr="0069795D" w:rsidRDefault="0069795D" w:rsidP="0069795D">
      <w:pPr>
        <w:spacing w:line="360" w:lineRule="auto"/>
        <w:ind w:left="-360"/>
        <w:jc w:val="both"/>
        <w:rPr>
          <w:rFonts w:ascii="Arial" w:hAnsi="Arial" w:cs="Arial"/>
          <w:sz w:val="22"/>
          <w:szCs w:val="22"/>
        </w:rPr>
      </w:pPr>
      <w:r w:rsidRPr="00756DBB">
        <w:rPr>
          <w:rFonts w:ascii="Arial" w:hAnsi="Arial" w:cs="Arial"/>
          <w:b/>
          <w:bCs/>
          <w:sz w:val="22"/>
          <w:szCs w:val="22"/>
        </w:rPr>
        <w:t>Supplementary Section S</w:t>
      </w:r>
      <w:r>
        <w:rPr>
          <w:rFonts w:ascii="Arial" w:hAnsi="Arial" w:cs="Arial"/>
          <w:b/>
          <w:bCs/>
          <w:sz w:val="22"/>
          <w:szCs w:val="22"/>
        </w:rPr>
        <w:t>2</w:t>
      </w:r>
      <w:r w:rsidRPr="00756DBB">
        <w:rPr>
          <w:rFonts w:ascii="Arial" w:hAnsi="Arial" w:cs="Arial"/>
          <w:b/>
          <w:bCs/>
          <w:sz w:val="22"/>
          <w:szCs w:val="22"/>
        </w:rPr>
        <w:t>:</w:t>
      </w:r>
    </w:p>
    <w:p w14:paraId="01A508FC" w14:textId="63E75D07" w:rsidR="0069795D" w:rsidRDefault="0069795D" w:rsidP="0069795D">
      <w:pPr>
        <w:spacing w:line="360" w:lineRule="auto"/>
        <w:ind w:left="-360" w:firstLine="1080"/>
        <w:jc w:val="both"/>
        <w:rPr>
          <w:rFonts w:ascii="Arial" w:hAnsi="Arial" w:cs="Arial"/>
          <w:sz w:val="22"/>
          <w:szCs w:val="22"/>
        </w:rPr>
      </w:pPr>
      <w:r w:rsidRPr="00BC139E">
        <w:rPr>
          <w:rFonts w:ascii="Arial" w:hAnsi="Arial" w:cs="Arial"/>
          <w:i/>
          <w:iCs/>
          <w:sz w:val="22"/>
          <w:szCs w:val="22"/>
        </w:rPr>
        <w:t>k-NN algorithm:</w:t>
      </w:r>
      <w:r>
        <w:rPr>
          <w:rFonts w:ascii="Arial" w:hAnsi="Arial" w:cs="Arial"/>
          <w:sz w:val="22"/>
          <w:szCs w:val="22"/>
        </w:rPr>
        <w:t xml:space="preserve"> The k-NN algorithm (function </w:t>
      </w:r>
      <w:r w:rsidRPr="00986C8D">
        <w:rPr>
          <w:rFonts w:ascii="Arial" w:hAnsi="Arial" w:cs="Arial"/>
          <w:i/>
          <w:iCs/>
          <w:sz w:val="22"/>
          <w:szCs w:val="22"/>
        </w:rPr>
        <w:t>fitcknn</w:t>
      </w:r>
      <w:r>
        <w:rPr>
          <w:rFonts w:ascii="Arial" w:hAnsi="Arial" w:cs="Arial"/>
          <w:sz w:val="22"/>
          <w:szCs w:val="22"/>
        </w:rPr>
        <w:t xml:space="preserve"> in MATLAB R202</w:t>
      </w:r>
      <w:r w:rsidR="006A71C1">
        <w:rPr>
          <w:rFonts w:ascii="Arial" w:hAnsi="Arial" w:cs="Arial"/>
          <w:sz w:val="22"/>
          <w:szCs w:val="22"/>
        </w:rPr>
        <w:t>2</w:t>
      </w:r>
      <w:r>
        <w:rPr>
          <w:rFonts w:ascii="Arial" w:hAnsi="Arial" w:cs="Arial"/>
          <w:sz w:val="22"/>
          <w:szCs w:val="22"/>
        </w:rPr>
        <w:t>a) is a non-parametric algorithm that works under the assumption that similar data points (i.e., features) exist in close proximity and, therefore, it considers k number of nearest neighbors (i.e., data points/features) to predict the class for the new (i.e., testing) data points. In other words, classification is made based on feature similarity without any prior knowledge about the data.</w:t>
      </w:r>
    </w:p>
    <w:p w14:paraId="33565309" w14:textId="2690E6C1" w:rsidR="0069795D" w:rsidRDefault="0069795D" w:rsidP="0069795D">
      <w:pPr>
        <w:spacing w:line="360" w:lineRule="auto"/>
        <w:ind w:left="-360" w:firstLine="1080"/>
        <w:jc w:val="both"/>
        <w:rPr>
          <w:rFonts w:ascii="Arial" w:hAnsi="Arial" w:cs="Arial"/>
          <w:sz w:val="22"/>
          <w:szCs w:val="22"/>
        </w:rPr>
      </w:pPr>
      <w:r w:rsidRPr="00BC139E">
        <w:rPr>
          <w:rFonts w:ascii="Arial" w:hAnsi="Arial" w:cs="Arial"/>
          <w:i/>
          <w:iCs/>
          <w:sz w:val="22"/>
          <w:szCs w:val="22"/>
        </w:rPr>
        <w:t>SVM algorithm:</w:t>
      </w:r>
      <w:r>
        <w:rPr>
          <w:rFonts w:ascii="Arial" w:hAnsi="Arial" w:cs="Arial"/>
          <w:sz w:val="22"/>
          <w:szCs w:val="22"/>
        </w:rPr>
        <w:t xml:space="preserve"> The SVM algorithm (function </w:t>
      </w:r>
      <w:r w:rsidRPr="00986C8D">
        <w:rPr>
          <w:rFonts w:ascii="Arial" w:hAnsi="Arial" w:cs="Arial"/>
          <w:i/>
          <w:iCs/>
          <w:sz w:val="22"/>
          <w:szCs w:val="22"/>
        </w:rPr>
        <w:t>fitc</w:t>
      </w:r>
      <w:r>
        <w:rPr>
          <w:rFonts w:ascii="Arial" w:hAnsi="Arial" w:cs="Arial"/>
          <w:i/>
          <w:iCs/>
          <w:sz w:val="22"/>
          <w:szCs w:val="22"/>
        </w:rPr>
        <w:t>svm</w:t>
      </w:r>
      <w:r>
        <w:rPr>
          <w:rFonts w:ascii="Arial" w:hAnsi="Arial" w:cs="Arial"/>
          <w:sz w:val="22"/>
          <w:szCs w:val="22"/>
        </w:rPr>
        <w:t xml:space="preserve"> in MATLAB R202</w:t>
      </w:r>
      <w:r w:rsidR="006A71C1">
        <w:rPr>
          <w:rFonts w:ascii="Arial" w:hAnsi="Arial" w:cs="Arial"/>
          <w:sz w:val="22"/>
          <w:szCs w:val="22"/>
        </w:rPr>
        <w:t>2</w:t>
      </w:r>
      <w:r>
        <w:rPr>
          <w:rFonts w:ascii="Arial" w:hAnsi="Arial" w:cs="Arial"/>
          <w:sz w:val="22"/>
          <w:szCs w:val="22"/>
        </w:rPr>
        <w:t xml:space="preserve">a) identifies a hyperplane (among many possible hyperplanes) in a multi-dimensional space with an objective to distinctly classify the data points (i.e., features). Here, in an N-dimensional space, N is defined as the number of data points/features of interest. The identified hyperplane should have the maximum distance/margin between data points of classes under consideration. Here, maximizing the distance provides more confidence about the accuracy of future/testing data points to be classified in the correct category. Kernels (such as linear, polynomial, Gaussian Radial Basis, or Sigmoid) are provided for the decision functions and were chosen via </w:t>
      </w:r>
      <w:r w:rsidRPr="00986C8D">
        <w:rPr>
          <w:rFonts w:ascii="Arial" w:hAnsi="Arial" w:cs="Arial"/>
          <w:i/>
          <w:iCs/>
          <w:sz w:val="22"/>
          <w:szCs w:val="22"/>
        </w:rPr>
        <w:t>fitc</w:t>
      </w:r>
      <w:r>
        <w:rPr>
          <w:rFonts w:ascii="Arial" w:hAnsi="Arial" w:cs="Arial"/>
          <w:i/>
          <w:iCs/>
          <w:sz w:val="22"/>
          <w:szCs w:val="22"/>
        </w:rPr>
        <w:t xml:space="preserve">svm </w:t>
      </w:r>
      <w:r w:rsidRPr="000F7E9E">
        <w:rPr>
          <w:rFonts w:ascii="Arial" w:hAnsi="Arial" w:cs="Arial"/>
          <w:sz w:val="22"/>
          <w:szCs w:val="22"/>
        </w:rPr>
        <w:t>pipeline.</w:t>
      </w:r>
    </w:p>
    <w:p w14:paraId="768043D7" w14:textId="39CCE9E2" w:rsidR="00C8679C" w:rsidRDefault="0069795D" w:rsidP="00380F3F">
      <w:pPr>
        <w:spacing w:line="360" w:lineRule="auto"/>
        <w:ind w:left="-360" w:firstLine="1080"/>
        <w:jc w:val="both"/>
        <w:rPr>
          <w:rFonts w:ascii="Arial" w:hAnsi="Arial" w:cs="Arial"/>
          <w:sz w:val="22"/>
          <w:szCs w:val="22"/>
        </w:rPr>
      </w:pPr>
      <w:r w:rsidRPr="00BC139E">
        <w:rPr>
          <w:rFonts w:ascii="Arial" w:hAnsi="Arial" w:cs="Arial"/>
          <w:i/>
          <w:iCs/>
          <w:sz w:val="22"/>
          <w:szCs w:val="22"/>
        </w:rPr>
        <w:t>ENS algorithm:</w:t>
      </w:r>
      <w:r>
        <w:rPr>
          <w:rFonts w:ascii="Arial" w:hAnsi="Arial" w:cs="Arial"/>
          <w:sz w:val="22"/>
          <w:szCs w:val="22"/>
        </w:rPr>
        <w:t xml:space="preserve"> The ENS algorithm (function </w:t>
      </w:r>
      <w:r w:rsidRPr="00986C8D">
        <w:rPr>
          <w:rFonts w:ascii="Arial" w:hAnsi="Arial" w:cs="Arial"/>
          <w:i/>
          <w:iCs/>
          <w:sz w:val="22"/>
          <w:szCs w:val="22"/>
        </w:rPr>
        <w:t>fitc</w:t>
      </w:r>
      <w:r>
        <w:rPr>
          <w:rFonts w:ascii="Arial" w:hAnsi="Arial" w:cs="Arial"/>
          <w:i/>
          <w:iCs/>
          <w:sz w:val="22"/>
          <w:szCs w:val="22"/>
        </w:rPr>
        <w:t>ensemble</w:t>
      </w:r>
      <w:r>
        <w:rPr>
          <w:rFonts w:ascii="Arial" w:hAnsi="Arial" w:cs="Arial"/>
          <w:sz w:val="22"/>
          <w:szCs w:val="22"/>
        </w:rPr>
        <w:t xml:space="preserve"> in MATLAB R202</w:t>
      </w:r>
      <w:r w:rsidR="006A71C1">
        <w:rPr>
          <w:rFonts w:ascii="Arial" w:hAnsi="Arial" w:cs="Arial"/>
          <w:sz w:val="22"/>
          <w:szCs w:val="22"/>
        </w:rPr>
        <w:t>2</w:t>
      </w:r>
      <w:r>
        <w:rPr>
          <w:rFonts w:ascii="Arial" w:hAnsi="Arial" w:cs="Arial"/>
          <w:sz w:val="22"/>
          <w:szCs w:val="22"/>
        </w:rPr>
        <w:t xml:space="preserve">a) combines several base models to finally generate a single optimal predictive model with a goal of producing the most accurate solution. In the current study, default base models (i.e., ensemble aggregation methods such as Bag, RUSBoost, AdaBoostM1, LogitBoost, and GentleBoost) in </w:t>
      </w:r>
      <w:r w:rsidRPr="00986C8D">
        <w:rPr>
          <w:rFonts w:ascii="Arial" w:hAnsi="Arial" w:cs="Arial"/>
          <w:i/>
          <w:iCs/>
          <w:sz w:val="22"/>
          <w:szCs w:val="22"/>
        </w:rPr>
        <w:t>fitc</w:t>
      </w:r>
      <w:r>
        <w:rPr>
          <w:rFonts w:ascii="Arial" w:hAnsi="Arial" w:cs="Arial"/>
          <w:i/>
          <w:iCs/>
          <w:sz w:val="22"/>
          <w:szCs w:val="22"/>
        </w:rPr>
        <w:t>ensemble</w:t>
      </w:r>
      <w:r>
        <w:rPr>
          <w:rFonts w:ascii="Arial" w:hAnsi="Arial" w:cs="Arial"/>
          <w:sz w:val="22"/>
          <w:szCs w:val="22"/>
        </w:rPr>
        <w:t xml:space="preserve"> are used in the ENS algorithm.</w:t>
      </w:r>
    </w:p>
    <w:p w14:paraId="31CA49CD" w14:textId="77777777" w:rsidR="006A71C1" w:rsidRDefault="006A71C1" w:rsidP="00C32DF3">
      <w:pPr>
        <w:spacing w:line="360" w:lineRule="auto"/>
        <w:jc w:val="both"/>
        <w:rPr>
          <w:rFonts w:ascii="Arial" w:hAnsi="Arial" w:cs="Arial"/>
          <w:sz w:val="22"/>
          <w:szCs w:val="22"/>
        </w:rPr>
      </w:pPr>
    </w:p>
    <w:p w14:paraId="18B224DC" w14:textId="695BA967" w:rsidR="009645BC" w:rsidRPr="00277394" w:rsidRDefault="009645BC" w:rsidP="00892344">
      <w:pPr>
        <w:spacing w:line="360" w:lineRule="auto"/>
        <w:ind w:left="-360"/>
        <w:jc w:val="both"/>
        <w:rPr>
          <w:rFonts w:ascii="Arial" w:hAnsi="Arial" w:cs="Arial"/>
          <w:b/>
          <w:bCs/>
          <w:sz w:val="22"/>
          <w:szCs w:val="22"/>
        </w:rPr>
      </w:pPr>
      <w:r w:rsidRPr="00277394">
        <w:rPr>
          <w:rFonts w:ascii="Arial" w:hAnsi="Arial" w:cs="Arial"/>
          <w:b/>
          <w:bCs/>
          <w:sz w:val="22"/>
          <w:szCs w:val="22"/>
        </w:rPr>
        <w:t>References</w:t>
      </w:r>
    </w:p>
    <w:p w14:paraId="54899712" w14:textId="549420AC" w:rsidR="00380F3F" w:rsidRPr="00380F3F" w:rsidRDefault="00277394" w:rsidP="00380F3F">
      <w:pPr>
        <w:widowControl w:val="0"/>
        <w:autoSpaceDE w:val="0"/>
        <w:autoSpaceDN w:val="0"/>
        <w:adjustRightInd w:val="0"/>
        <w:spacing w:line="360" w:lineRule="auto"/>
        <w:ind w:left="640" w:hanging="640"/>
        <w:rPr>
          <w:rFonts w:ascii="Arial" w:hAnsi="Arial" w:cs="Arial"/>
          <w:noProof/>
          <w:sz w:val="22"/>
        </w:rPr>
      </w:pPr>
      <w:r>
        <w:rPr>
          <w:rFonts w:ascii="Arial" w:hAnsi="Arial" w:cs="Arial"/>
          <w:sz w:val="22"/>
          <w:szCs w:val="22"/>
        </w:rPr>
        <w:fldChar w:fldCharType="begin" w:fldLock="1"/>
      </w:r>
      <w:r>
        <w:rPr>
          <w:rFonts w:ascii="Arial" w:hAnsi="Arial" w:cs="Arial"/>
          <w:sz w:val="22"/>
          <w:szCs w:val="22"/>
        </w:rPr>
        <w:instrText xml:space="preserve">ADDIN Mendeley Bibliography CSL_BIBLIOGRAPHY </w:instrText>
      </w:r>
      <w:r>
        <w:rPr>
          <w:rFonts w:ascii="Arial" w:hAnsi="Arial" w:cs="Arial"/>
          <w:sz w:val="22"/>
          <w:szCs w:val="22"/>
        </w:rPr>
        <w:fldChar w:fldCharType="separate"/>
      </w:r>
      <w:r w:rsidR="00380F3F" w:rsidRPr="00380F3F">
        <w:rPr>
          <w:rFonts w:ascii="Arial" w:hAnsi="Arial" w:cs="Arial"/>
          <w:noProof/>
          <w:sz w:val="22"/>
        </w:rPr>
        <w:t xml:space="preserve">1. </w:t>
      </w:r>
      <w:r w:rsidR="00380F3F" w:rsidRPr="00380F3F">
        <w:rPr>
          <w:rFonts w:ascii="Arial" w:hAnsi="Arial" w:cs="Arial"/>
          <w:noProof/>
          <w:sz w:val="22"/>
        </w:rPr>
        <w:tab/>
        <w:t>Boys Town. Boys Town National Database Manual: Youth Care Data Systems (version 4.5.80.0). Boys Town, NE: Boys Town; 2018.</w:t>
      </w:r>
    </w:p>
    <w:p w14:paraId="3D756641" w14:textId="77777777" w:rsidR="00380F3F" w:rsidRPr="00380F3F" w:rsidRDefault="00380F3F" w:rsidP="00380F3F">
      <w:pPr>
        <w:widowControl w:val="0"/>
        <w:autoSpaceDE w:val="0"/>
        <w:autoSpaceDN w:val="0"/>
        <w:adjustRightInd w:val="0"/>
        <w:spacing w:line="360" w:lineRule="auto"/>
        <w:ind w:left="640" w:hanging="640"/>
        <w:rPr>
          <w:rFonts w:ascii="Arial" w:hAnsi="Arial" w:cs="Arial"/>
          <w:noProof/>
          <w:sz w:val="22"/>
        </w:rPr>
      </w:pPr>
      <w:r w:rsidRPr="00380F3F">
        <w:rPr>
          <w:rFonts w:ascii="Arial" w:hAnsi="Arial" w:cs="Arial"/>
          <w:noProof/>
          <w:sz w:val="22"/>
        </w:rPr>
        <w:t xml:space="preserve">2. </w:t>
      </w:r>
      <w:r w:rsidRPr="00380F3F">
        <w:rPr>
          <w:rFonts w:ascii="Arial" w:hAnsi="Arial" w:cs="Arial"/>
          <w:noProof/>
          <w:sz w:val="22"/>
        </w:rPr>
        <w:tab/>
        <w:t>Cull JG, Gill WS. Suicide Probability Scale. West. Psychol. Serv., 1982.</w:t>
      </w:r>
    </w:p>
    <w:p w14:paraId="12338939" w14:textId="5BE0A7D9" w:rsidR="009645BC" w:rsidRPr="00A249F5" w:rsidRDefault="00277394" w:rsidP="00380F3F">
      <w:pPr>
        <w:widowControl w:val="0"/>
        <w:autoSpaceDE w:val="0"/>
        <w:autoSpaceDN w:val="0"/>
        <w:adjustRightInd w:val="0"/>
        <w:spacing w:line="360" w:lineRule="auto"/>
        <w:ind w:left="640" w:hanging="640"/>
        <w:rPr>
          <w:rFonts w:ascii="Arial" w:hAnsi="Arial" w:cs="Arial"/>
          <w:sz w:val="22"/>
          <w:szCs w:val="22"/>
        </w:rPr>
      </w:pPr>
      <w:r>
        <w:rPr>
          <w:rFonts w:ascii="Arial" w:hAnsi="Arial" w:cs="Arial"/>
          <w:sz w:val="22"/>
          <w:szCs w:val="22"/>
        </w:rPr>
        <w:fldChar w:fldCharType="end"/>
      </w:r>
    </w:p>
    <w:sectPr w:rsidR="009645BC" w:rsidRPr="00A249F5" w:rsidSect="00477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F0"/>
    <w:rsid w:val="000E50AF"/>
    <w:rsid w:val="00176A74"/>
    <w:rsid w:val="0026105B"/>
    <w:rsid w:val="002705F0"/>
    <w:rsid w:val="00277394"/>
    <w:rsid w:val="0028221D"/>
    <w:rsid w:val="003274C2"/>
    <w:rsid w:val="00336E32"/>
    <w:rsid w:val="00380F3F"/>
    <w:rsid w:val="00477FB2"/>
    <w:rsid w:val="004E514D"/>
    <w:rsid w:val="0056011F"/>
    <w:rsid w:val="00575AF5"/>
    <w:rsid w:val="0062171C"/>
    <w:rsid w:val="00650382"/>
    <w:rsid w:val="00683EC5"/>
    <w:rsid w:val="00694582"/>
    <w:rsid w:val="0069795D"/>
    <w:rsid w:val="006A71C1"/>
    <w:rsid w:val="00730555"/>
    <w:rsid w:val="00756DBB"/>
    <w:rsid w:val="00862639"/>
    <w:rsid w:val="00892344"/>
    <w:rsid w:val="008A672D"/>
    <w:rsid w:val="008B2FDF"/>
    <w:rsid w:val="00930CD1"/>
    <w:rsid w:val="009645BC"/>
    <w:rsid w:val="00A249F5"/>
    <w:rsid w:val="00AB6CAB"/>
    <w:rsid w:val="00B37B98"/>
    <w:rsid w:val="00C32DF3"/>
    <w:rsid w:val="00C8679C"/>
    <w:rsid w:val="00D27A52"/>
    <w:rsid w:val="00D43946"/>
    <w:rsid w:val="00D50635"/>
    <w:rsid w:val="00DC4E91"/>
    <w:rsid w:val="00E2009A"/>
    <w:rsid w:val="00EA2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1DE8"/>
  <w15:chartTrackingRefBased/>
  <w15:docId w15:val="{D4B5DE80-A926-4640-B3E4-42289CE0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5F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6DBB"/>
    <w:rPr>
      <w:color w:val="808080"/>
    </w:rPr>
  </w:style>
  <w:style w:type="character" w:styleId="CommentReference">
    <w:name w:val="annotation reference"/>
    <w:basedOn w:val="DefaultParagraphFont"/>
    <w:uiPriority w:val="99"/>
    <w:semiHidden/>
    <w:unhideWhenUsed/>
    <w:rsid w:val="0026105B"/>
    <w:rPr>
      <w:sz w:val="16"/>
      <w:szCs w:val="16"/>
    </w:rPr>
  </w:style>
  <w:style w:type="paragraph" w:styleId="CommentText">
    <w:name w:val="annotation text"/>
    <w:basedOn w:val="Normal"/>
    <w:link w:val="CommentTextChar"/>
    <w:uiPriority w:val="99"/>
    <w:semiHidden/>
    <w:unhideWhenUsed/>
    <w:rsid w:val="0026105B"/>
    <w:rPr>
      <w:sz w:val="20"/>
      <w:szCs w:val="20"/>
    </w:rPr>
  </w:style>
  <w:style w:type="character" w:customStyle="1" w:styleId="CommentTextChar">
    <w:name w:val="Comment Text Char"/>
    <w:basedOn w:val="DefaultParagraphFont"/>
    <w:link w:val="CommentText"/>
    <w:uiPriority w:val="99"/>
    <w:semiHidden/>
    <w:rsid w:val="002610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105B"/>
    <w:rPr>
      <w:b/>
      <w:bCs/>
    </w:rPr>
  </w:style>
  <w:style w:type="character" w:customStyle="1" w:styleId="CommentSubjectChar">
    <w:name w:val="Comment Subject Char"/>
    <w:basedOn w:val="CommentTextChar"/>
    <w:link w:val="CommentSubject"/>
    <w:uiPriority w:val="99"/>
    <w:semiHidden/>
    <w:rsid w:val="0026105B"/>
    <w:rPr>
      <w:rFonts w:ascii="Times New Roman" w:eastAsia="Times New Roman" w:hAnsi="Times New Roman" w:cs="Times New Roman"/>
      <w:b/>
      <w:bCs/>
      <w:sz w:val="20"/>
      <w:szCs w:val="20"/>
    </w:rPr>
  </w:style>
  <w:style w:type="paragraph" w:styleId="Revision">
    <w:name w:val="Revision"/>
    <w:hidden/>
    <w:uiPriority w:val="99"/>
    <w:semiHidden/>
    <w:rsid w:val="0089234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A6AD36-B89C-8B44-B056-2F0BBDE23AAD}">
  <we:reference id="f78a3046-9e99-4300-aa2b-5814002b01a2" version="1.35.0.0" store="EXCatalog" storeType="EXCatalog"/>
  <we:alternateReferences>
    <we:reference id="WA104382081" version="1.35.0.0" store="en-US" storeType="OMEX"/>
  </we:alternateReferences>
  <we:properties>
    <we:property name="MENDELEY_CITATIONS" value="[{&quot;citationID&quot;:&quot;MENDELEY_CITATION_a309cd2e-8844-4775-931a-ea0e069bd3d9&quot;,&quot;citationItems&quot;:[{&quot;id&quot;:&quot;e101b434-1060-3bc4-92e6-6a17e185773d&quot;,&quot;itemData&quot;:{&quot;author&quot;:[{&quot;dropping-particle&quot;:&quot;&quot;,&quot;family&quot;:&quot;Boys Town&quot;,&quot;given&quot;:&quot;&quot;,&quot;non-dropping-particle&quot;:&quot;&quot;,&quot;parse-names&quot;:false,&quot;suffix&quot;:&quot;&quot;}],&quot;id&quot;:&quot;e101b434-1060-3bc4-92e6-6a17e185773d&quot;,&quot;issued&quot;:{&quot;date-parts&quot;:[[&quot;2018&quot;]]},&quot;number-of-pages&quot;:&quot;311&quot;,&quot;publisher&quot;:&quot;Boys Town&quot;,&quot;publisher-place&quot;:&quot;Boys Town, NE&quot;,&quot;title&quot;:&quot;Boys Town National Database Manual: Youth Care Data Systems (version 4.5.80.0)&quot;,&quot;type&quot;:&quot;book&quot;},&quot;uris&quot;:[&quot;http://www.mendeley.com/documents/?uuid=51a29a9a-233d-4041-a2ca-2c40dd423b35&quot;],&quot;isTemporary&quot;:false,&quot;legacyDesktopId&quot;:&quot;51a29a9a-233d-4041-a2ca-2c40dd423b35&quot;}],&quot;properties&quot;:{&quot;noteIndex&quot;:0},&quot;isEdited&quot;:false,&quot;manualOverride&quot;:{&quot;citeprocText&quot;:&quot;(1)&quot;,&quot;isManuallyOverridden&quot;:false,&quot;manualOverrideText&quot;:&quot;&quot;},&quot;citationTag&quot;:&quot;MENDELEY_CITATION_v3_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&quot;},{&quot;citationID&quot;:&quot;MENDELEY_CITATION_509131a3-dd0a-491d-85c8-37d86b5f1430&quot;,&quot;citationItems&quot;:[{&quot;id&quot;:&quot;97d7533c-09fc-3ac9-af51-1c4fa4ad0244&quot;,&quot;itemData&quot;:{&quot;author&quot;:[{&quot;dropping-particle&quot;:&quot;&quot;,&quot;family&quot;:&quot;Cull&quot;,&quot;given&quot;:&quot;John G&quot;,&quot;non-dropping-particle&quot;:&quot;&quot;,&quot;parse-names&quot;:false,&quot;suffix&quot;:&quot;&quot;},{&quot;dropping-particle&quot;:&quot;&quot;,&quot;family&quot;:&quot;Gill&quot;,&quot;given&quot;:&quot;Wayne S&quot;,&quot;non-dropping-particle&quot;:&quot;&quot;,&quot;parse-names&quot;:false,&quot;suffix&quot;:&quot;&quot;}],&quot;id&quot;:&quot;97d7533c-09fc-3ac9-af51-1c4fa4ad0244&quot;,&quot;issued&quot;:{&quot;date-parts&quot;:[[&quot;1982&quot;]]},&quot;publisher&quot;:&quot;Western Psychological Services&quot;,&quot;publisher-place&quot;:&quot;Los Angeles, CA&quot;,&quot;title&quot;:&quot;Suicide probability scale (SPS) manual&quot;,&quot;type&quot;:&quot;book&quot;},&quot;uris&quot;:[&quot;http://www.mendeley.com/documents/?uuid=885e49d2-9257-4e4a-a41d-d891ec9025a6&quot;],&quot;isTemporary&quot;:false,&quot;legacyDesktopId&quot;:&quot;885e49d2-9257-4e4a-a41d-d891ec9025a6&quot;}],&quot;properties&quot;:{&quot;noteIndex&quot;:0},&quot;isEdited&quot;:false,&quot;manualOverride&quot;:{&quot;citeprocText&quot;:&quot;(2)&quot;,&quot;isManuallyOverridden&quot;:false,&quot;manualOverrideText&quot;:&quot;&quot;},&quot;citationTag&quot;:&quot;MENDELEY_CITATION_v3_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&quot;}]"/>
    <we:property name="MENDELEY_CITATIONS_STYLE" value="&quot;https://www.zotero.org/styles/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9D52A-081C-C54F-BD6C-3E5401E87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1358</Words>
  <Characters>7745</Characters>
  <Application>Microsoft Office Word</Application>
  <DocSecurity>0</DocSecurity>
  <Lines>64</Lines>
  <Paragraphs>18</Paragraphs>
  <ScaleCrop>false</ScaleCrop>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Bajaj, Sahil</dc:creator>
  <cp:keywords/>
  <dc:description/>
  <cp:lastModifiedBy>Microsoft Office User</cp:lastModifiedBy>
  <cp:revision>28</cp:revision>
  <dcterms:created xsi:type="dcterms:W3CDTF">2022-03-28T15:58:00Z</dcterms:created>
  <dcterms:modified xsi:type="dcterms:W3CDTF">2022-09-09T05:34:00Z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http://www.zotero.org/styles/neuroimage</vt:lpwstr>
  </property>
  <property fmtid="{D5CDD505-2E9C-101B-9397-08002B2CF9AE}" pid="17" name="Mendeley Recent Style Name 7_1">
    <vt:lpwstr>NeuroImage</vt:lpwstr>
  </property>
  <property fmtid="{D5CDD505-2E9C-101B-9397-08002B2CF9AE}" pid="18" name="Mendeley Recent Style Id 8_1">
    <vt:lpwstr>http://www.zotero.org/styles/neuropsychopharmacology</vt:lpwstr>
  </property>
  <property fmtid="{D5CDD505-2E9C-101B-9397-08002B2CF9AE}" pid="19" name="Mendeley Recent Style Name 8_1">
    <vt:lpwstr>Neuropsychopharmacology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http://www.zotero.org/styles/neuropsychopharmacology</vt:lpwstr>
  </property>
  <property fmtid="{D5CDD505-2E9C-101B-9397-08002B2CF9AE}" pid="23" name="Mendeley Document_1">
    <vt:lpwstr>True</vt:lpwstr>
  </property>
  <property fmtid="{D5CDD505-2E9C-101B-9397-08002B2CF9AE}" pid="24" name="Mendeley Unique User Id_1">
    <vt:lpwstr>da940156-4437-32c6-905a-8d9b2e22b32b</vt:lpwstr>
  </property>
</Properties>
</file>