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1" w:after="211"/>
        <w:ind w:firstLine="0" w:firstLineChars="0"/>
        <w:jc w:val="left"/>
        <w:rPr>
          <w:rFonts w:cs="Times New Roman"/>
          <w:kern w:val="0"/>
          <w:sz w:val="21"/>
          <w:szCs w:val="21"/>
        </w:rPr>
      </w:pPr>
      <w:bookmarkStart w:id="0" w:name="OLE_LINK10"/>
      <w:bookmarkStart w:id="1" w:name="OLE_LINK9"/>
      <w:r>
        <w:rPr>
          <w:rFonts w:cs="Times New Roman"/>
          <w:kern w:val="0"/>
          <w:sz w:val="21"/>
          <w:szCs w:val="21"/>
          <w:lang w:val="en"/>
        </w:rPr>
        <w:t>Supplementary Table 1</w:t>
      </w:r>
      <w:bookmarkEnd w:id="0"/>
      <w:bookmarkEnd w:id="1"/>
      <w:r>
        <w:rPr>
          <w:rFonts w:cs="Times New Roman"/>
          <w:kern w:val="0"/>
          <w:sz w:val="21"/>
          <w:szCs w:val="21"/>
        </w:rPr>
        <w:t>. Demographic and injury event details</w:t>
      </w:r>
      <w:r>
        <w:t xml:space="preserve"> </w:t>
      </w:r>
      <w:r>
        <w:rPr>
          <w:rFonts w:cs="Times New Roman"/>
          <w:kern w:val="0"/>
          <w:sz w:val="21"/>
          <w:szCs w:val="21"/>
        </w:rPr>
        <w:t xml:space="preserve">of the pre-COVID-19 and </w:t>
      </w:r>
      <w:bookmarkStart w:id="2" w:name="_GoBack"/>
      <w:r>
        <w:rPr>
          <w:rFonts w:cs="Times New Roman"/>
          <w:kern w:val="0"/>
          <w:sz w:val="21"/>
          <w:szCs w:val="21"/>
        </w:rPr>
        <w:t>COVID-19 cohorts</w:t>
      </w:r>
    </w:p>
    <w:bookmarkEnd w:id="2"/>
    <w:tbl>
      <w:tblPr>
        <w:tblStyle w:val="4"/>
        <w:tblW w:w="43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1"/>
        <w:gridCol w:w="1628"/>
        <w:gridCol w:w="1627"/>
        <w:gridCol w:w="11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sz w:val="13"/>
                <w:szCs w:val="21"/>
              </w:rPr>
            </w:pPr>
            <w:r>
              <w:rPr>
                <w:rFonts w:cs="Times New Roman"/>
                <w:color w:val="111111"/>
                <w:sz w:val="13"/>
                <w:szCs w:val="21"/>
              </w:rPr>
              <w:t>Characteristics</w:t>
            </w:r>
          </w:p>
        </w:tc>
        <w:tc>
          <w:tcPr>
            <w:tcW w:w="111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111111"/>
                <w:sz w:val="13"/>
                <w:szCs w:val="21"/>
              </w:rPr>
            </w:pPr>
            <w:r>
              <w:rPr>
                <w:rFonts w:hint="eastAsia" w:cs="Times New Roman"/>
                <w:color w:val="111111"/>
                <w:sz w:val="13"/>
                <w:szCs w:val="21"/>
              </w:rPr>
              <w:t>Pre</w:t>
            </w:r>
            <w:r>
              <w:rPr>
                <w:rFonts w:cs="Times New Roman"/>
                <w:color w:val="111111"/>
                <w:sz w:val="13"/>
                <w:szCs w:val="21"/>
              </w:rPr>
              <w:t>-</w:t>
            </w:r>
            <w:r>
              <w:rPr>
                <w:rFonts w:hint="eastAsia" w:cs="Times New Roman"/>
                <w:color w:val="111111"/>
                <w:sz w:val="13"/>
                <w:szCs w:val="21"/>
              </w:rPr>
              <w:t>COVID-19</w:t>
            </w:r>
            <w:r>
              <w:rPr>
                <w:rFonts w:cs="Times New Roman"/>
                <w:color w:val="111111"/>
                <w:sz w:val="13"/>
                <w:szCs w:val="21"/>
              </w:rPr>
              <w:t xml:space="preserve"> (n=1240)</w:t>
            </w:r>
          </w:p>
        </w:tc>
        <w:tc>
          <w:tcPr>
            <w:tcW w:w="111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111111"/>
                <w:sz w:val="13"/>
                <w:szCs w:val="21"/>
              </w:rPr>
            </w:pPr>
            <w:r>
              <w:rPr>
                <w:rFonts w:hint="eastAsia" w:cs="Times New Roman"/>
                <w:color w:val="111111"/>
                <w:sz w:val="13"/>
                <w:szCs w:val="21"/>
              </w:rPr>
              <w:t>COVID-19</w:t>
            </w:r>
            <w:r>
              <w:rPr>
                <w:rFonts w:cs="Times New Roman"/>
                <w:color w:val="111111"/>
                <w:sz w:val="13"/>
                <w:szCs w:val="21"/>
              </w:rPr>
              <w:t xml:space="preserve"> (n=1354)</w:t>
            </w:r>
          </w:p>
        </w:tc>
        <w:tc>
          <w:tcPr>
            <w:tcW w:w="792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i/>
                <w:color w:val="111111"/>
                <w:sz w:val="13"/>
                <w:szCs w:val="21"/>
              </w:rPr>
            </w:pPr>
            <w:r>
              <w:rPr>
                <w:rFonts w:hint="eastAsia" w:cs="Times New Roman"/>
                <w:i/>
                <w:color w:val="111111"/>
                <w:sz w:val="13"/>
                <w:szCs w:val="21"/>
              </w:rPr>
              <w:t>P</w:t>
            </w:r>
            <w:r>
              <w:rPr>
                <w:rFonts w:cs="Times New Roman"/>
                <w:i/>
                <w:color w:val="111111"/>
                <w:sz w:val="13"/>
                <w:szCs w:val="21"/>
              </w:rPr>
              <w:t>-</w:t>
            </w:r>
            <w:r>
              <w:rPr>
                <w:rFonts w:hint="eastAsia" w:cs="Times New Roman"/>
                <w:color w:val="111111"/>
                <w:sz w:val="13"/>
                <w:szCs w:val="21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i/>
                <w:sz w:val="13"/>
                <w:szCs w:val="21"/>
              </w:rPr>
            </w:pPr>
            <w:r>
              <w:rPr>
                <w:rFonts w:cs="Times New Roman"/>
                <w:b/>
                <w:i/>
                <w:sz w:val="13"/>
                <w:szCs w:val="21"/>
              </w:rPr>
              <w:t xml:space="preserve">Demographic </w:t>
            </w:r>
            <w:r>
              <w:rPr>
                <w:rFonts w:hint="eastAsia" w:cs="Times New Roman"/>
                <w:b/>
                <w:i/>
                <w:sz w:val="13"/>
                <w:szCs w:val="21"/>
              </w:rPr>
              <w:t>Data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b/>
                <w:sz w:val="13"/>
                <w:szCs w:val="21"/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418(33.7%)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469(34.6%)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822(66.3%)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885(65.4%)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Age, years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Mean ± SD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49.7</w:t>
            </w: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±16.0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51.4</w:t>
            </w: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±16.3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i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i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Injury-related Data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eastAsia="宋体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Trauma type，n（%）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Blunt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976 (78.8%)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1028 (76.0%)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Sharp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263 (21.2%)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324(24.0%)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sz w:val="13"/>
                <w:szCs w:val="21"/>
              </w:rPr>
            </w:pPr>
            <w:r>
              <w:rPr>
                <w:rFonts w:cs="Times New Roman"/>
                <w:b/>
                <w:sz w:val="13"/>
                <w:szCs w:val="21"/>
              </w:rPr>
              <w:t>Injuries Sustained，n（%）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  <w:r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sz w:val="13"/>
                <w:szCs w:val="21"/>
              </w:rPr>
            </w:pPr>
            <w:r>
              <w:rPr>
                <w:rFonts w:cs="Times New Roman"/>
                <w:sz w:val="13"/>
                <w:szCs w:val="21"/>
              </w:rPr>
              <w:t>Isolated injury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  <w:r>
              <w:rPr>
                <w:rFonts w:cs="Times New Roman"/>
                <w:sz w:val="13"/>
                <w:szCs w:val="21"/>
              </w:rPr>
              <w:t>853 (69.0%)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  <w:r>
              <w:rPr>
                <w:rFonts w:cs="Times New Roman"/>
                <w:sz w:val="13"/>
                <w:szCs w:val="21"/>
              </w:rPr>
              <w:t>924 (68.4%)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sz w:val="13"/>
                <w:szCs w:val="21"/>
              </w:rPr>
            </w:pPr>
            <w:r>
              <w:rPr>
                <w:rFonts w:cs="Times New Roman"/>
                <w:sz w:val="13"/>
                <w:szCs w:val="21"/>
              </w:rPr>
              <w:t>Multiple body regions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  <w:r>
              <w:rPr>
                <w:rFonts w:cs="Times New Roman"/>
                <w:sz w:val="13"/>
                <w:szCs w:val="21"/>
              </w:rPr>
              <w:t>383(31.0%)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  <w:r>
              <w:rPr>
                <w:rFonts w:cs="Times New Roman"/>
                <w:sz w:val="13"/>
                <w:szCs w:val="21"/>
              </w:rPr>
              <w:t>427 (31.6%)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sz w:val="13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echanism of injury, n (%)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Traffic accident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464 (37.4%)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503(37.1%)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Industrial injury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448 (36.1%)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507 (37.4%)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ssault 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63(5.1%)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48 (3.5%)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High fall（≥2m）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95 (7.7%)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108 (8.0%)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Low fall</w:t>
            </w: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（&lt;2m）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139 (11.2%)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159 (11.7%)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Self-mutilation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11 (0.9%)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16(1.2%)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Other</w:t>
            </w:r>
            <w:r>
              <w:rPr>
                <w:rFonts w:cs="Times New Roman"/>
                <w:color w:val="000000" w:themeColor="text1"/>
                <w:sz w:val="13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20 (1.6%)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13(1.0%)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color w:val="FF0000"/>
                <w:sz w:val="13"/>
                <w:szCs w:val="21"/>
              </w:rPr>
            </w:pP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Injury Severity Score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FF0000"/>
                <w:sz w:val="13"/>
                <w:szCs w:val="21"/>
              </w:rPr>
            </w:pP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FF0000"/>
                <w:sz w:val="13"/>
                <w:szCs w:val="21"/>
              </w:rPr>
            </w:pP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FF0000"/>
                <w:sz w:val="13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ISS, (median, IQR)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8 (4-9)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8 (4-9)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Major trauma (ISS &gt;</w:t>
            </w: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5) , n（%）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140(11.3%)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139 (10.3%)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Admission to ICU, n（%）</w:t>
            </w:r>
          </w:p>
        </w:tc>
        <w:tc>
          <w:tcPr>
            <w:tcW w:w="1111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56(4.5%)</w:t>
            </w:r>
          </w:p>
        </w:tc>
        <w:tc>
          <w:tcPr>
            <w:tcW w:w="1110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40 (3.0%)</w:t>
            </w:r>
          </w:p>
        </w:tc>
        <w:tc>
          <w:tcPr>
            <w:tcW w:w="792" w:type="pct"/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7" w:type="pct"/>
            <w:tcBorders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left"/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ied</w:t>
            </w: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in 24</w:t>
            </w:r>
            <w:r>
              <w:rPr>
                <w:rFonts w:hint="eastAsia"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cs="Times New Roman"/>
                <w:b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, n（%）</w:t>
            </w:r>
          </w:p>
        </w:tc>
        <w:tc>
          <w:tcPr>
            <w:tcW w:w="1111" w:type="pct"/>
            <w:tcBorders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19 (1.5%)</w:t>
            </w:r>
          </w:p>
        </w:tc>
        <w:tc>
          <w:tcPr>
            <w:tcW w:w="1110" w:type="pct"/>
            <w:tcBorders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20 (1.5%)</w:t>
            </w:r>
          </w:p>
        </w:tc>
        <w:tc>
          <w:tcPr>
            <w:tcW w:w="792" w:type="pct"/>
            <w:tcBorders>
              <w:bottom w:val="single" w:color="auto" w:sz="4" w:space="0"/>
            </w:tcBorders>
          </w:tcPr>
          <w:p>
            <w:pPr>
              <w:spacing w:before="0" w:beforeLines="0" w:after="0" w:afterLines="0" w:line="192" w:lineRule="auto"/>
              <w:ind w:firstLine="0" w:firstLineChars="0"/>
              <w:jc w:val="center"/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cs="Times New Roman"/>
                <w:color w:val="000000" w:themeColor="text1"/>
                <w:sz w:val="13"/>
                <w:szCs w:val="21"/>
                <w14:textFill>
                  <w14:solidFill>
                    <w14:schemeClr w14:val="tx1"/>
                  </w14:solidFill>
                </w14:textFill>
              </w:rPr>
              <w:t>908</w:t>
            </w:r>
          </w:p>
        </w:tc>
      </w:tr>
    </w:tbl>
    <w:p>
      <w:pPr>
        <w:spacing w:before="0" w:beforeLines="0" w:after="0" w:afterLines="0" w:line="240" w:lineRule="auto"/>
        <w:ind w:firstLine="320"/>
        <w:jc w:val="left"/>
        <w:rPr>
          <w:rFonts w:cs="Times New Roman"/>
          <w:sz w:val="16"/>
          <w:szCs w:val="21"/>
        </w:rPr>
      </w:pPr>
      <w:r>
        <w:rPr>
          <w:rFonts w:cs="Times New Roman"/>
          <w:sz w:val="16"/>
          <w:szCs w:val="21"/>
        </w:rPr>
        <w:t>*Includes electrical, chemical, recreational, iatrogenic injuries and so on.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2MjVhNGZmYmJlMzRlOGUzNWMxMWZiYTY4NjEyOTUifQ=="/>
  </w:docVars>
  <w:rsids>
    <w:rsidRoot w:val="00603907"/>
    <w:rsid w:val="00000065"/>
    <w:rsid w:val="00005131"/>
    <w:rsid w:val="00026475"/>
    <w:rsid w:val="00027495"/>
    <w:rsid w:val="000331D2"/>
    <w:rsid w:val="0004351C"/>
    <w:rsid w:val="00051B0A"/>
    <w:rsid w:val="00052C18"/>
    <w:rsid w:val="00054800"/>
    <w:rsid w:val="000678EC"/>
    <w:rsid w:val="00076911"/>
    <w:rsid w:val="000865A4"/>
    <w:rsid w:val="000B4BA9"/>
    <w:rsid w:val="000C12BA"/>
    <w:rsid w:val="000C5E10"/>
    <w:rsid w:val="000D2D6B"/>
    <w:rsid w:val="000D5732"/>
    <w:rsid w:val="000D6540"/>
    <w:rsid w:val="00140B93"/>
    <w:rsid w:val="00162733"/>
    <w:rsid w:val="00162FBD"/>
    <w:rsid w:val="00165BCB"/>
    <w:rsid w:val="0017598E"/>
    <w:rsid w:val="00181C4F"/>
    <w:rsid w:val="00182D98"/>
    <w:rsid w:val="001915B3"/>
    <w:rsid w:val="001B7490"/>
    <w:rsid w:val="001C48C6"/>
    <w:rsid w:val="00207634"/>
    <w:rsid w:val="00207B3F"/>
    <w:rsid w:val="00235394"/>
    <w:rsid w:val="002879D3"/>
    <w:rsid w:val="002A0D44"/>
    <w:rsid w:val="002A3814"/>
    <w:rsid w:val="002C7F77"/>
    <w:rsid w:val="002E1085"/>
    <w:rsid w:val="00320250"/>
    <w:rsid w:val="00325481"/>
    <w:rsid w:val="00326B94"/>
    <w:rsid w:val="003273DB"/>
    <w:rsid w:val="0034157C"/>
    <w:rsid w:val="00342C4A"/>
    <w:rsid w:val="00350790"/>
    <w:rsid w:val="003A2C70"/>
    <w:rsid w:val="003A3723"/>
    <w:rsid w:val="003B2AD3"/>
    <w:rsid w:val="003C1581"/>
    <w:rsid w:val="003C24DE"/>
    <w:rsid w:val="003C6170"/>
    <w:rsid w:val="003F1F51"/>
    <w:rsid w:val="00424EDF"/>
    <w:rsid w:val="00425A81"/>
    <w:rsid w:val="004513BF"/>
    <w:rsid w:val="00457B1A"/>
    <w:rsid w:val="00471448"/>
    <w:rsid w:val="00476868"/>
    <w:rsid w:val="004A0032"/>
    <w:rsid w:val="004C71B6"/>
    <w:rsid w:val="004D51EC"/>
    <w:rsid w:val="004E0788"/>
    <w:rsid w:val="005107C5"/>
    <w:rsid w:val="00515E14"/>
    <w:rsid w:val="00524E12"/>
    <w:rsid w:val="005472CB"/>
    <w:rsid w:val="00567BCD"/>
    <w:rsid w:val="00581704"/>
    <w:rsid w:val="0058798D"/>
    <w:rsid w:val="005B7D6C"/>
    <w:rsid w:val="005E163B"/>
    <w:rsid w:val="005E2E11"/>
    <w:rsid w:val="00603907"/>
    <w:rsid w:val="0061229B"/>
    <w:rsid w:val="00616066"/>
    <w:rsid w:val="006224CB"/>
    <w:rsid w:val="0062780B"/>
    <w:rsid w:val="00630A10"/>
    <w:rsid w:val="0063653C"/>
    <w:rsid w:val="00661AB4"/>
    <w:rsid w:val="006720B6"/>
    <w:rsid w:val="0067316E"/>
    <w:rsid w:val="00684E25"/>
    <w:rsid w:val="00695590"/>
    <w:rsid w:val="006A404B"/>
    <w:rsid w:val="006F6D80"/>
    <w:rsid w:val="00703203"/>
    <w:rsid w:val="00743E44"/>
    <w:rsid w:val="007970FF"/>
    <w:rsid w:val="007D7AEF"/>
    <w:rsid w:val="007F63C2"/>
    <w:rsid w:val="00814F05"/>
    <w:rsid w:val="00845E94"/>
    <w:rsid w:val="00880107"/>
    <w:rsid w:val="008945EF"/>
    <w:rsid w:val="008A7C1F"/>
    <w:rsid w:val="008E1C4E"/>
    <w:rsid w:val="008F6AEF"/>
    <w:rsid w:val="00904335"/>
    <w:rsid w:val="009324FE"/>
    <w:rsid w:val="009377DC"/>
    <w:rsid w:val="009413DB"/>
    <w:rsid w:val="009542E0"/>
    <w:rsid w:val="00980C8B"/>
    <w:rsid w:val="009942DE"/>
    <w:rsid w:val="00995C5F"/>
    <w:rsid w:val="009C3A6F"/>
    <w:rsid w:val="00A102DC"/>
    <w:rsid w:val="00A259C5"/>
    <w:rsid w:val="00A2609E"/>
    <w:rsid w:val="00A274E5"/>
    <w:rsid w:val="00A54014"/>
    <w:rsid w:val="00A57628"/>
    <w:rsid w:val="00A72749"/>
    <w:rsid w:val="00A86CB5"/>
    <w:rsid w:val="00A93C70"/>
    <w:rsid w:val="00AB0FC9"/>
    <w:rsid w:val="00AC5734"/>
    <w:rsid w:val="00AD78DF"/>
    <w:rsid w:val="00AE5728"/>
    <w:rsid w:val="00B20896"/>
    <w:rsid w:val="00B51C2C"/>
    <w:rsid w:val="00B56B5E"/>
    <w:rsid w:val="00B610E9"/>
    <w:rsid w:val="00B719E7"/>
    <w:rsid w:val="00B83420"/>
    <w:rsid w:val="00BB4C50"/>
    <w:rsid w:val="00BC4EC5"/>
    <w:rsid w:val="00BD6307"/>
    <w:rsid w:val="00C35680"/>
    <w:rsid w:val="00C6731E"/>
    <w:rsid w:val="00C70EF2"/>
    <w:rsid w:val="00C73DBC"/>
    <w:rsid w:val="00C8611C"/>
    <w:rsid w:val="00C9332C"/>
    <w:rsid w:val="00CA7789"/>
    <w:rsid w:val="00CD033A"/>
    <w:rsid w:val="00CD7685"/>
    <w:rsid w:val="00D04198"/>
    <w:rsid w:val="00D125BB"/>
    <w:rsid w:val="00D13293"/>
    <w:rsid w:val="00D27D8C"/>
    <w:rsid w:val="00D4733A"/>
    <w:rsid w:val="00D50D26"/>
    <w:rsid w:val="00D53B92"/>
    <w:rsid w:val="00D676CC"/>
    <w:rsid w:val="00D818C0"/>
    <w:rsid w:val="00DA0C8B"/>
    <w:rsid w:val="00DD1BEF"/>
    <w:rsid w:val="00DD4C45"/>
    <w:rsid w:val="00DE1B51"/>
    <w:rsid w:val="00DF5CE8"/>
    <w:rsid w:val="00E56B15"/>
    <w:rsid w:val="00E66ACF"/>
    <w:rsid w:val="00E85E91"/>
    <w:rsid w:val="00EB7951"/>
    <w:rsid w:val="00EC56BD"/>
    <w:rsid w:val="00ED4248"/>
    <w:rsid w:val="00EE450D"/>
    <w:rsid w:val="00EE6A0F"/>
    <w:rsid w:val="00F2049B"/>
    <w:rsid w:val="00F66839"/>
    <w:rsid w:val="00F86E78"/>
    <w:rsid w:val="00FE6424"/>
    <w:rsid w:val="1BB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50" w:beforeLines="50" w:after="50" w:afterLines="50" w:line="300" w:lineRule="auto"/>
      <w:ind w:firstLine="200" w:firstLineChars="200"/>
      <w:jc w:val="both"/>
    </w:pPr>
    <w:rPr>
      <w:rFonts w:ascii="Times New Roman" w:hAnsi="Times New Roman" w:eastAsia="楷体" w:cs="Times New Roman (正文 CS 字体)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next w:val="1"/>
    <w:qFormat/>
    <w:uiPriority w:val="0"/>
    <w:pPr>
      <w:jc w:val="left"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917</Characters>
  <Lines>8</Lines>
  <Paragraphs>2</Paragraphs>
  <TotalTime>0</TotalTime>
  <ScaleCrop>false</ScaleCrop>
  <LinksUpToDate>false</LinksUpToDate>
  <CharactersWithSpaces>996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2022-03-16T09:51:00Z</dcterms:created>
  <dc:creator>Microsoft Office User</dc:creator>
  <cp:lastModifiedBy>赤心木</cp:lastModifiedBy>
  <dcterms:modified xsi:type="dcterms:W3CDTF">2023-02-27T01:51:56Z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C58E2AE5A75C41199E05DE99CB19197B</vt:lpwstr>
  </property>
</Properties>
</file>