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309" w:type="dxa"/>
        <w:tblInd w:w="-567" w:type="dxa"/>
        <w:tblLook w:val="04A0" w:firstRow="1" w:lastRow="0" w:firstColumn="1" w:lastColumn="0" w:noHBand="0" w:noVBand="1"/>
      </w:tblPr>
      <w:tblGrid>
        <w:gridCol w:w="2694"/>
        <w:gridCol w:w="1417"/>
        <w:gridCol w:w="2835"/>
        <w:gridCol w:w="2835"/>
        <w:gridCol w:w="2835"/>
        <w:gridCol w:w="2693"/>
      </w:tblGrid>
      <w:tr w:rsidR="00B934D1" w:rsidRPr="00B934D1" w14:paraId="1A54671A" w14:textId="77777777" w:rsidTr="00F7685B">
        <w:trPr>
          <w:trHeight w:val="372"/>
        </w:trPr>
        <w:tc>
          <w:tcPr>
            <w:tcW w:w="15309" w:type="dxa"/>
            <w:gridSpan w:val="6"/>
            <w:tcBorders>
              <w:top w:val="nil"/>
              <w:left w:val="nil"/>
              <w:bottom w:val="single" w:sz="4" w:space="0" w:color="auto"/>
              <w:right w:val="nil"/>
            </w:tcBorders>
            <w:shd w:val="clear" w:color="auto" w:fill="auto"/>
            <w:noWrap/>
            <w:vAlign w:val="center"/>
            <w:hideMark/>
          </w:tcPr>
          <w:p w14:paraId="523D723D" w14:textId="35E3D406"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eTable 6. Mediation (by healthy lifestyles) analysis of socioeconomic status and all-cause mortality: sensitivity analysis</w:t>
            </w:r>
            <w:r w:rsidR="002941A2">
              <w:rPr>
                <w:rFonts w:ascii="Arial" w:eastAsia="等线" w:hAnsi="Arial" w:cs="Arial" w:hint="eastAsia"/>
                <w:color w:val="000000"/>
                <w:kern w:val="0"/>
                <w:sz w:val="20"/>
                <w:szCs w:val="20"/>
              </w:rPr>
              <w:t>.</w:t>
            </w:r>
          </w:p>
        </w:tc>
      </w:tr>
      <w:tr w:rsidR="00B934D1" w:rsidRPr="00B934D1" w14:paraId="458B1E45" w14:textId="77777777" w:rsidTr="00F7685B">
        <w:trPr>
          <w:trHeight w:val="276"/>
        </w:trPr>
        <w:tc>
          <w:tcPr>
            <w:tcW w:w="2694" w:type="dxa"/>
            <w:vMerge w:val="restart"/>
            <w:tcBorders>
              <w:top w:val="nil"/>
              <w:left w:val="nil"/>
              <w:bottom w:val="single" w:sz="4" w:space="0" w:color="000000"/>
              <w:right w:val="nil"/>
            </w:tcBorders>
            <w:shd w:val="clear" w:color="auto" w:fill="auto"/>
            <w:noWrap/>
            <w:vAlign w:val="center"/>
            <w:hideMark/>
          </w:tcPr>
          <w:p w14:paraId="33041B3A"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 xml:space="preserve">　</w:t>
            </w:r>
          </w:p>
        </w:tc>
        <w:tc>
          <w:tcPr>
            <w:tcW w:w="1417" w:type="dxa"/>
            <w:vMerge w:val="restart"/>
            <w:tcBorders>
              <w:top w:val="nil"/>
              <w:left w:val="nil"/>
              <w:bottom w:val="single" w:sz="4" w:space="0" w:color="000000"/>
              <w:right w:val="nil"/>
            </w:tcBorders>
            <w:shd w:val="clear" w:color="auto" w:fill="auto"/>
            <w:vAlign w:val="center"/>
            <w:hideMark/>
          </w:tcPr>
          <w:p w14:paraId="3F953E3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Deaths/total</w:t>
            </w:r>
          </w:p>
        </w:tc>
        <w:tc>
          <w:tcPr>
            <w:tcW w:w="11198" w:type="dxa"/>
            <w:gridSpan w:val="4"/>
            <w:tcBorders>
              <w:top w:val="single" w:sz="4" w:space="0" w:color="auto"/>
              <w:left w:val="nil"/>
              <w:bottom w:val="single" w:sz="4" w:space="0" w:color="auto"/>
              <w:right w:val="nil"/>
            </w:tcBorders>
            <w:shd w:val="clear" w:color="auto" w:fill="auto"/>
            <w:noWrap/>
            <w:vAlign w:val="center"/>
            <w:hideMark/>
          </w:tcPr>
          <w:p w14:paraId="5B7F812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Association</w:t>
            </w:r>
            <w:r w:rsidRPr="00B934D1">
              <w:rPr>
                <w:rFonts w:ascii="Arial" w:eastAsia="等线" w:hAnsi="Arial" w:cs="Arial"/>
                <w:color w:val="000000"/>
                <w:kern w:val="0"/>
                <w:sz w:val="20"/>
                <w:szCs w:val="20"/>
                <w:vertAlign w:val="superscript"/>
              </w:rPr>
              <w:t>a</w:t>
            </w:r>
          </w:p>
        </w:tc>
      </w:tr>
      <w:tr w:rsidR="00B934D1" w:rsidRPr="00B934D1" w14:paraId="40830B9E" w14:textId="77777777" w:rsidTr="00F7685B">
        <w:trPr>
          <w:trHeight w:val="540"/>
        </w:trPr>
        <w:tc>
          <w:tcPr>
            <w:tcW w:w="2694" w:type="dxa"/>
            <w:vMerge/>
            <w:tcBorders>
              <w:top w:val="nil"/>
              <w:left w:val="nil"/>
              <w:bottom w:val="single" w:sz="4" w:space="0" w:color="000000"/>
              <w:right w:val="nil"/>
            </w:tcBorders>
            <w:vAlign w:val="center"/>
            <w:hideMark/>
          </w:tcPr>
          <w:p w14:paraId="05151A22"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p>
        </w:tc>
        <w:tc>
          <w:tcPr>
            <w:tcW w:w="1417" w:type="dxa"/>
            <w:vMerge/>
            <w:tcBorders>
              <w:top w:val="nil"/>
              <w:left w:val="nil"/>
              <w:bottom w:val="single" w:sz="4" w:space="0" w:color="000000"/>
              <w:right w:val="nil"/>
            </w:tcBorders>
            <w:vAlign w:val="center"/>
            <w:hideMark/>
          </w:tcPr>
          <w:p w14:paraId="15982E65"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p>
        </w:tc>
        <w:tc>
          <w:tcPr>
            <w:tcW w:w="2835" w:type="dxa"/>
            <w:tcBorders>
              <w:top w:val="nil"/>
              <w:left w:val="nil"/>
              <w:bottom w:val="single" w:sz="4" w:space="0" w:color="auto"/>
              <w:right w:val="nil"/>
            </w:tcBorders>
            <w:shd w:val="clear" w:color="auto" w:fill="auto"/>
            <w:vAlign w:val="center"/>
            <w:hideMark/>
          </w:tcPr>
          <w:p w14:paraId="0A389A55"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Total effect;</w:t>
            </w:r>
            <w:r w:rsidRPr="00B934D1">
              <w:rPr>
                <w:rFonts w:ascii="Arial" w:eastAsia="等线" w:hAnsi="Arial" w:cs="Arial"/>
                <w:color w:val="000000"/>
                <w:kern w:val="0"/>
                <w:sz w:val="20"/>
                <w:szCs w:val="20"/>
                <w:vertAlign w:val="superscript"/>
              </w:rPr>
              <w:br/>
            </w:r>
            <w:r w:rsidRPr="00B934D1">
              <w:rPr>
                <w:rFonts w:ascii="Arial" w:eastAsia="等线" w:hAnsi="Arial" w:cs="Arial"/>
                <w:color w:val="000000"/>
                <w:kern w:val="0"/>
                <w:sz w:val="20"/>
                <w:szCs w:val="20"/>
              </w:rPr>
              <w:t>HR (95% CI), p</w:t>
            </w:r>
          </w:p>
        </w:tc>
        <w:tc>
          <w:tcPr>
            <w:tcW w:w="2835" w:type="dxa"/>
            <w:tcBorders>
              <w:top w:val="nil"/>
              <w:left w:val="nil"/>
              <w:bottom w:val="single" w:sz="4" w:space="0" w:color="auto"/>
              <w:right w:val="nil"/>
            </w:tcBorders>
            <w:shd w:val="clear" w:color="auto" w:fill="auto"/>
            <w:vAlign w:val="center"/>
            <w:hideMark/>
          </w:tcPr>
          <w:p w14:paraId="388566D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Natural direct effect;</w:t>
            </w:r>
            <w:r w:rsidRPr="00B934D1">
              <w:rPr>
                <w:rFonts w:ascii="Arial" w:eastAsia="等线" w:hAnsi="Arial" w:cs="Arial"/>
                <w:color w:val="000000"/>
                <w:kern w:val="0"/>
                <w:sz w:val="20"/>
                <w:szCs w:val="20"/>
              </w:rPr>
              <w:br/>
              <w:t xml:space="preserve"> HR (95% CI), p</w:t>
            </w:r>
          </w:p>
        </w:tc>
        <w:tc>
          <w:tcPr>
            <w:tcW w:w="2835" w:type="dxa"/>
            <w:tcBorders>
              <w:top w:val="nil"/>
              <w:left w:val="nil"/>
              <w:bottom w:val="single" w:sz="4" w:space="0" w:color="auto"/>
              <w:right w:val="nil"/>
            </w:tcBorders>
            <w:shd w:val="clear" w:color="auto" w:fill="auto"/>
            <w:vAlign w:val="center"/>
            <w:hideMark/>
          </w:tcPr>
          <w:p w14:paraId="70C786F8"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Natural indirect effect;</w:t>
            </w:r>
            <w:r w:rsidRPr="00B934D1">
              <w:rPr>
                <w:rFonts w:ascii="Arial" w:eastAsia="等线" w:hAnsi="Arial" w:cs="Arial"/>
                <w:color w:val="000000"/>
                <w:kern w:val="0"/>
                <w:sz w:val="20"/>
                <w:szCs w:val="20"/>
              </w:rPr>
              <w:br/>
              <w:t>HR (95% CI), p</w:t>
            </w:r>
          </w:p>
        </w:tc>
        <w:tc>
          <w:tcPr>
            <w:tcW w:w="2693" w:type="dxa"/>
            <w:tcBorders>
              <w:top w:val="nil"/>
              <w:left w:val="nil"/>
              <w:bottom w:val="single" w:sz="4" w:space="0" w:color="auto"/>
              <w:right w:val="nil"/>
            </w:tcBorders>
            <w:shd w:val="clear" w:color="auto" w:fill="auto"/>
            <w:vAlign w:val="center"/>
            <w:hideMark/>
          </w:tcPr>
          <w:p w14:paraId="3191C6C4"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Mediation proportion;</w:t>
            </w:r>
            <w:r w:rsidRPr="00B934D1">
              <w:rPr>
                <w:rFonts w:ascii="Arial" w:eastAsia="等线" w:hAnsi="Arial" w:cs="Arial"/>
                <w:color w:val="000000"/>
                <w:kern w:val="0"/>
                <w:sz w:val="20"/>
                <w:szCs w:val="20"/>
              </w:rPr>
              <w:br/>
              <w:t>% (95% CI), p</w:t>
            </w:r>
          </w:p>
        </w:tc>
      </w:tr>
      <w:tr w:rsidR="00E92801" w:rsidRPr="00B934D1" w14:paraId="437D019A" w14:textId="77777777" w:rsidTr="00922972">
        <w:trPr>
          <w:trHeight w:val="276"/>
        </w:trPr>
        <w:tc>
          <w:tcPr>
            <w:tcW w:w="6946" w:type="dxa"/>
            <w:gridSpan w:val="3"/>
            <w:tcBorders>
              <w:top w:val="nil"/>
              <w:left w:val="nil"/>
              <w:bottom w:val="nil"/>
              <w:right w:val="nil"/>
            </w:tcBorders>
            <w:shd w:val="clear" w:color="auto" w:fill="auto"/>
            <w:noWrap/>
            <w:vAlign w:val="center"/>
            <w:hideMark/>
          </w:tcPr>
          <w:p w14:paraId="0A33ECAE" w14:textId="3B775ED3" w:rsidR="00E92801" w:rsidRPr="00B934D1" w:rsidRDefault="00E92801" w:rsidP="00E92801">
            <w:pPr>
              <w:widowControl/>
              <w:adjustRightInd w:val="0"/>
              <w:snapToGrid w:val="0"/>
              <w:spacing w:line="360" w:lineRule="auto"/>
              <w:rPr>
                <w:rFonts w:ascii="Times New Roman" w:eastAsia="Times New Roman" w:hAnsi="Times New Roman" w:cs="Times New Roman"/>
                <w:kern w:val="0"/>
                <w:sz w:val="20"/>
                <w:szCs w:val="20"/>
              </w:rPr>
            </w:pPr>
            <w:r w:rsidRPr="00B934D1">
              <w:rPr>
                <w:rFonts w:ascii="Arial" w:eastAsia="等线" w:hAnsi="Arial" w:cs="Arial"/>
                <w:color w:val="0D0D0D"/>
                <w:kern w:val="0"/>
                <w:sz w:val="20"/>
                <w:szCs w:val="20"/>
              </w:rPr>
              <w:t>Excluding deaths within the first year</w:t>
            </w:r>
          </w:p>
        </w:tc>
        <w:tc>
          <w:tcPr>
            <w:tcW w:w="2835" w:type="dxa"/>
            <w:tcBorders>
              <w:top w:val="nil"/>
              <w:left w:val="nil"/>
              <w:bottom w:val="nil"/>
              <w:right w:val="nil"/>
            </w:tcBorders>
            <w:shd w:val="clear" w:color="auto" w:fill="auto"/>
            <w:noWrap/>
            <w:vAlign w:val="center"/>
            <w:hideMark/>
          </w:tcPr>
          <w:p w14:paraId="050B9280"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27FFFEB3"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22DAEB2E"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7CFB28A7" w14:textId="77777777" w:rsidTr="00F7685B">
        <w:trPr>
          <w:trHeight w:val="255"/>
        </w:trPr>
        <w:tc>
          <w:tcPr>
            <w:tcW w:w="2694" w:type="dxa"/>
            <w:tcBorders>
              <w:top w:val="nil"/>
              <w:left w:val="nil"/>
              <w:bottom w:val="nil"/>
              <w:right w:val="nil"/>
            </w:tcBorders>
            <w:shd w:val="clear" w:color="auto" w:fill="auto"/>
            <w:vAlign w:val="center"/>
            <w:hideMark/>
          </w:tcPr>
          <w:p w14:paraId="2DB34C22"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High SES</w:t>
            </w:r>
          </w:p>
        </w:tc>
        <w:tc>
          <w:tcPr>
            <w:tcW w:w="1417" w:type="dxa"/>
            <w:tcBorders>
              <w:top w:val="nil"/>
              <w:left w:val="nil"/>
              <w:bottom w:val="nil"/>
              <w:right w:val="nil"/>
            </w:tcBorders>
            <w:shd w:val="clear" w:color="auto" w:fill="auto"/>
            <w:vAlign w:val="center"/>
            <w:hideMark/>
          </w:tcPr>
          <w:p w14:paraId="527C905D"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1147/2232</w:t>
            </w:r>
          </w:p>
        </w:tc>
        <w:tc>
          <w:tcPr>
            <w:tcW w:w="2835" w:type="dxa"/>
            <w:tcBorders>
              <w:top w:val="nil"/>
              <w:left w:val="nil"/>
              <w:bottom w:val="nil"/>
              <w:right w:val="nil"/>
            </w:tcBorders>
            <w:shd w:val="clear" w:color="auto" w:fill="auto"/>
            <w:noWrap/>
            <w:vAlign w:val="center"/>
            <w:hideMark/>
          </w:tcPr>
          <w:p w14:paraId="0FBB1BB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 [Reference]</w:t>
            </w:r>
            <w:bookmarkStart w:id="0" w:name="_GoBack"/>
            <w:bookmarkEnd w:id="0"/>
          </w:p>
        </w:tc>
        <w:tc>
          <w:tcPr>
            <w:tcW w:w="2835" w:type="dxa"/>
            <w:tcBorders>
              <w:top w:val="nil"/>
              <w:left w:val="nil"/>
              <w:bottom w:val="nil"/>
              <w:right w:val="nil"/>
            </w:tcBorders>
            <w:shd w:val="clear" w:color="auto" w:fill="auto"/>
            <w:noWrap/>
            <w:vAlign w:val="center"/>
            <w:hideMark/>
          </w:tcPr>
          <w:p w14:paraId="18235D2E"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2835" w:type="dxa"/>
            <w:tcBorders>
              <w:top w:val="nil"/>
              <w:left w:val="nil"/>
              <w:bottom w:val="nil"/>
              <w:right w:val="nil"/>
            </w:tcBorders>
            <w:shd w:val="clear" w:color="auto" w:fill="auto"/>
            <w:noWrap/>
            <w:vAlign w:val="center"/>
            <w:hideMark/>
          </w:tcPr>
          <w:p w14:paraId="1FBA6071"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4C128167"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68261BBB" w14:textId="77777777" w:rsidTr="00F7685B">
        <w:trPr>
          <w:trHeight w:val="312"/>
        </w:trPr>
        <w:tc>
          <w:tcPr>
            <w:tcW w:w="2694" w:type="dxa"/>
            <w:tcBorders>
              <w:top w:val="nil"/>
              <w:left w:val="nil"/>
              <w:bottom w:val="nil"/>
              <w:right w:val="nil"/>
            </w:tcBorders>
            <w:shd w:val="clear" w:color="auto" w:fill="auto"/>
            <w:vAlign w:val="center"/>
            <w:hideMark/>
          </w:tcPr>
          <w:p w14:paraId="4A537F82"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Medium SES</w:t>
            </w:r>
          </w:p>
        </w:tc>
        <w:tc>
          <w:tcPr>
            <w:tcW w:w="1417" w:type="dxa"/>
            <w:tcBorders>
              <w:top w:val="nil"/>
              <w:left w:val="nil"/>
              <w:bottom w:val="nil"/>
              <w:right w:val="nil"/>
            </w:tcBorders>
            <w:shd w:val="clear" w:color="auto" w:fill="auto"/>
            <w:vAlign w:val="center"/>
            <w:hideMark/>
          </w:tcPr>
          <w:p w14:paraId="004F8D59"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4745/7341</w:t>
            </w:r>
          </w:p>
        </w:tc>
        <w:tc>
          <w:tcPr>
            <w:tcW w:w="2835" w:type="dxa"/>
            <w:tcBorders>
              <w:top w:val="nil"/>
              <w:left w:val="nil"/>
              <w:bottom w:val="nil"/>
              <w:right w:val="nil"/>
            </w:tcBorders>
            <w:shd w:val="clear" w:color="auto" w:fill="auto"/>
            <w:noWrap/>
            <w:vAlign w:val="center"/>
            <w:hideMark/>
          </w:tcPr>
          <w:p w14:paraId="06EE511F"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1.128 (1.054-1.202), 0.002</w:t>
            </w:r>
          </w:p>
        </w:tc>
        <w:tc>
          <w:tcPr>
            <w:tcW w:w="2835" w:type="dxa"/>
            <w:tcBorders>
              <w:top w:val="nil"/>
              <w:left w:val="nil"/>
              <w:bottom w:val="nil"/>
              <w:right w:val="nil"/>
            </w:tcBorders>
            <w:shd w:val="clear" w:color="auto" w:fill="auto"/>
            <w:noWrap/>
            <w:vAlign w:val="center"/>
            <w:hideMark/>
          </w:tcPr>
          <w:p w14:paraId="7FAAD82B"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1.129 (1.056-1.202), 0.002</w:t>
            </w:r>
          </w:p>
        </w:tc>
        <w:tc>
          <w:tcPr>
            <w:tcW w:w="2835" w:type="dxa"/>
            <w:tcBorders>
              <w:top w:val="nil"/>
              <w:left w:val="nil"/>
              <w:bottom w:val="nil"/>
              <w:right w:val="nil"/>
            </w:tcBorders>
            <w:shd w:val="clear" w:color="auto" w:fill="auto"/>
            <w:noWrap/>
            <w:vAlign w:val="center"/>
            <w:hideMark/>
          </w:tcPr>
          <w:p w14:paraId="5833E3E5"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0.999 (0.996-1.003), 0.654</w:t>
            </w:r>
          </w:p>
        </w:tc>
        <w:tc>
          <w:tcPr>
            <w:tcW w:w="2693" w:type="dxa"/>
            <w:tcBorders>
              <w:top w:val="nil"/>
              <w:left w:val="nil"/>
              <w:bottom w:val="nil"/>
              <w:right w:val="nil"/>
            </w:tcBorders>
            <w:shd w:val="clear" w:color="auto" w:fill="auto"/>
            <w:noWrap/>
            <w:vAlign w:val="center"/>
            <w:hideMark/>
          </w:tcPr>
          <w:p w14:paraId="59BAA3AD"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-0.7 (-4.8 to 2.7), 0.656</w:t>
            </w:r>
          </w:p>
        </w:tc>
      </w:tr>
      <w:tr w:rsidR="00B934D1" w:rsidRPr="00B934D1" w14:paraId="39E52B02" w14:textId="77777777" w:rsidTr="00F7685B">
        <w:trPr>
          <w:trHeight w:val="255"/>
        </w:trPr>
        <w:tc>
          <w:tcPr>
            <w:tcW w:w="2694" w:type="dxa"/>
            <w:tcBorders>
              <w:top w:val="nil"/>
              <w:left w:val="nil"/>
              <w:bottom w:val="nil"/>
              <w:right w:val="nil"/>
            </w:tcBorders>
            <w:shd w:val="clear" w:color="auto" w:fill="auto"/>
            <w:vAlign w:val="center"/>
            <w:hideMark/>
          </w:tcPr>
          <w:p w14:paraId="1902C6C1"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Low SES</w:t>
            </w:r>
          </w:p>
        </w:tc>
        <w:tc>
          <w:tcPr>
            <w:tcW w:w="1417" w:type="dxa"/>
            <w:tcBorders>
              <w:top w:val="nil"/>
              <w:left w:val="nil"/>
              <w:bottom w:val="nil"/>
              <w:right w:val="nil"/>
            </w:tcBorders>
            <w:shd w:val="clear" w:color="auto" w:fill="auto"/>
            <w:vAlign w:val="center"/>
            <w:hideMark/>
          </w:tcPr>
          <w:p w14:paraId="1A8F8A38"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7579/10270</w:t>
            </w:r>
          </w:p>
        </w:tc>
        <w:tc>
          <w:tcPr>
            <w:tcW w:w="2835" w:type="dxa"/>
            <w:tcBorders>
              <w:top w:val="nil"/>
              <w:left w:val="nil"/>
              <w:bottom w:val="nil"/>
              <w:right w:val="nil"/>
            </w:tcBorders>
            <w:shd w:val="clear" w:color="auto" w:fill="auto"/>
            <w:noWrap/>
            <w:vAlign w:val="center"/>
            <w:hideMark/>
          </w:tcPr>
          <w:p w14:paraId="0FB6515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1.164 (1.084-1.239), &lt;0.001</w:t>
            </w:r>
          </w:p>
        </w:tc>
        <w:tc>
          <w:tcPr>
            <w:tcW w:w="2835" w:type="dxa"/>
            <w:tcBorders>
              <w:top w:val="nil"/>
              <w:left w:val="nil"/>
              <w:bottom w:val="nil"/>
              <w:right w:val="nil"/>
            </w:tcBorders>
            <w:shd w:val="clear" w:color="auto" w:fill="auto"/>
            <w:noWrap/>
            <w:vAlign w:val="center"/>
            <w:hideMark/>
          </w:tcPr>
          <w:p w14:paraId="605B965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1.178 (1.097-1.254), &lt;0.001</w:t>
            </w:r>
          </w:p>
        </w:tc>
        <w:tc>
          <w:tcPr>
            <w:tcW w:w="2835" w:type="dxa"/>
            <w:tcBorders>
              <w:top w:val="nil"/>
              <w:left w:val="nil"/>
              <w:bottom w:val="nil"/>
              <w:right w:val="nil"/>
            </w:tcBorders>
            <w:shd w:val="clear" w:color="auto" w:fill="auto"/>
            <w:noWrap/>
            <w:vAlign w:val="center"/>
            <w:hideMark/>
          </w:tcPr>
          <w:p w14:paraId="34A3DE6D"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0.988 (0.983-0.992), &lt;0.001</w:t>
            </w:r>
          </w:p>
        </w:tc>
        <w:tc>
          <w:tcPr>
            <w:tcW w:w="2693" w:type="dxa"/>
            <w:tcBorders>
              <w:top w:val="nil"/>
              <w:left w:val="nil"/>
              <w:bottom w:val="nil"/>
              <w:right w:val="nil"/>
            </w:tcBorders>
            <w:shd w:val="clear" w:color="auto" w:fill="auto"/>
            <w:noWrap/>
            <w:vAlign w:val="center"/>
            <w:hideMark/>
          </w:tcPr>
          <w:p w14:paraId="0D98CC6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-8.6 (-17.3 to -4.9), &lt;0.001</w:t>
            </w:r>
          </w:p>
        </w:tc>
      </w:tr>
      <w:tr w:rsidR="00B934D1" w:rsidRPr="00B934D1" w14:paraId="1D902C17" w14:textId="77777777" w:rsidTr="00F7685B">
        <w:trPr>
          <w:trHeight w:val="255"/>
        </w:trPr>
        <w:tc>
          <w:tcPr>
            <w:tcW w:w="2694" w:type="dxa"/>
            <w:tcBorders>
              <w:top w:val="nil"/>
              <w:left w:val="nil"/>
              <w:bottom w:val="nil"/>
              <w:right w:val="nil"/>
            </w:tcBorders>
            <w:shd w:val="clear" w:color="auto" w:fill="auto"/>
            <w:vAlign w:val="center"/>
            <w:hideMark/>
          </w:tcPr>
          <w:p w14:paraId="27AFC50B"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1417" w:type="dxa"/>
            <w:tcBorders>
              <w:top w:val="nil"/>
              <w:left w:val="nil"/>
              <w:bottom w:val="nil"/>
              <w:right w:val="nil"/>
            </w:tcBorders>
            <w:shd w:val="clear" w:color="auto" w:fill="auto"/>
            <w:vAlign w:val="center"/>
            <w:hideMark/>
          </w:tcPr>
          <w:p w14:paraId="1D26FE41" w14:textId="77777777" w:rsidR="00B934D1" w:rsidRPr="00B934D1" w:rsidRDefault="00B934D1" w:rsidP="00D74760">
            <w:pPr>
              <w:widowControl/>
              <w:adjustRightInd w:val="0"/>
              <w:snapToGrid w:val="0"/>
              <w:spacing w:line="360" w:lineRule="auto"/>
              <w:ind w:firstLineChars="100" w:firstLine="200"/>
              <w:jc w:val="left"/>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7BF4D37C"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7A622E02"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238C0D92"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4EF163D8"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E92801" w:rsidRPr="00B934D1" w14:paraId="783B6431" w14:textId="77777777" w:rsidTr="0084110B">
        <w:trPr>
          <w:trHeight w:val="510"/>
        </w:trPr>
        <w:tc>
          <w:tcPr>
            <w:tcW w:w="6946" w:type="dxa"/>
            <w:gridSpan w:val="3"/>
            <w:tcBorders>
              <w:top w:val="nil"/>
              <w:left w:val="nil"/>
              <w:bottom w:val="nil"/>
              <w:right w:val="nil"/>
            </w:tcBorders>
            <w:shd w:val="clear" w:color="auto" w:fill="auto"/>
            <w:vAlign w:val="center"/>
            <w:hideMark/>
          </w:tcPr>
          <w:p w14:paraId="333F676D" w14:textId="64AD1B8D" w:rsidR="00E92801" w:rsidRPr="00B934D1" w:rsidRDefault="00E92801" w:rsidP="00E92801">
            <w:pPr>
              <w:widowControl/>
              <w:adjustRightInd w:val="0"/>
              <w:snapToGrid w:val="0"/>
              <w:spacing w:line="360" w:lineRule="auto"/>
              <w:rPr>
                <w:rFonts w:ascii="Times New Roman" w:eastAsia="Times New Roman" w:hAnsi="Times New Roman" w:cs="Times New Roman"/>
                <w:kern w:val="0"/>
                <w:sz w:val="20"/>
                <w:szCs w:val="20"/>
              </w:rPr>
            </w:pPr>
            <w:r w:rsidRPr="00B934D1">
              <w:rPr>
                <w:rFonts w:ascii="Arial" w:eastAsia="等线" w:hAnsi="Arial" w:cs="Arial"/>
                <w:color w:val="000000"/>
                <w:kern w:val="0"/>
                <w:sz w:val="20"/>
                <w:szCs w:val="20"/>
              </w:rPr>
              <w:t>Considering the losses censored at the</w:t>
            </w:r>
            <w:r>
              <w:rPr>
                <w:rFonts w:ascii="Arial" w:eastAsia="等线" w:hAnsi="Arial" w:cs="Arial"/>
                <w:color w:val="000000"/>
                <w:kern w:val="0"/>
                <w:sz w:val="20"/>
                <w:szCs w:val="20"/>
              </w:rPr>
              <w:t xml:space="preserve"> </w:t>
            </w:r>
            <w:r w:rsidRPr="00B934D1">
              <w:rPr>
                <w:rFonts w:ascii="Arial" w:eastAsia="等线" w:hAnsi="Arial" w:cs="Arial"/>
                <w:color w:val="000000"/>
                <w:kern w:val="0"/>
                <w:sz w:val="20"/>
                <w:szCs w:val="20"/>
              </w:rPr>
              <w:t>median (3.12 years) of the study</w:t>
            </w:r>
          </w:p>
        </w:tc>
        <w:tc>
          <w:tcPr>
            <w:tcW w:w="2835" w:type="dxa"/>
            <w:tcBorders>
              <w:top w:val="nil"/>
              <w:left w:val="nil"/>
              <w:bottom w:val="nil"/>
              <w:right w:val="nil"/>
            </w:tcBorders>
            <w:shd w:val="clear" w:color="auto" w:fill="auto"/>
            <w:noWrap/>
            <w:vAlign w:val="center"/>
            <w:hideMark/>
          </w:tcPr>
          <w:p w14:paraId="226F8A54"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2C1A882A"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10E69052"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42623274" w14:textId="77777777" w:rsidTr="00F7685B">
        <w:trPr>
          <w:trHeight w:val="255"/>
        </w:trPr>
        <w:tc>
          <w:tcPr>
            <w:tcW w:w="2694" w:type="dxa"/>
            <w:tcBorders>
              <w:top w:val="nil"/>
              <w:left w:val="nil"/>
              <w:bottom w:val="nil"/>
              <w:right w:val="nil"/>
            </w:tcBorders>
            <w:shd w:val="clear" w:color="auto" w:fill="auto"/>
            <w:vAlign w:val="center"/>
            <w:hideMark/>
          </w:tcPr>
          <w:p w14:paraId="197F93CE"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High SES</w:t>
            </w:r>
          </w:p>
        </w:tc>
        <w:tc>
          <w:tcPr>
            <w:tcW w:w="1417" w:type="dxa"/>
            <w:tcBorders>
              <w:top w:val="nil"/>
              <w:left w:val="nil"/>
              <w:bottom w:val="nil"/>
              <w:right w:val="nil"/>
            </w:tcBorders>
            <w:shd w:val="clear" w:color="auto" w:fill="auto"/>
            <w:vAlign w:val="center"/>
            <w:hideMark/>
          </w:tcPr>
          <w:p w14:paraId="4E55FDCF"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1298/3103</w:t>
            </w:r>
          </w:p>
        </w:tc>
        <w:tc>
          <w:tcPr>
            <w:tcW w:w="2835" w:type="dxa"/>
            <w:tcBorders>
              <w:top w:val="nil"/>
              <w:left w:val="nil"/>
              <w:bottom w:val="nil"/>
              <w:right w:val="nil"/>
            </w:tcBorders>
            <w:shd w:val="clear" w:color="auto" w:fill="auto"/>
            <w:noWrap/>
            <w:vAlign w:val="center"/>
            <w:hideMark/>
          </w:tcPr>
          <w:p w14:paraId="53F6BBF9"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 [Reference]</w:t>
            </w:r>
          </w:p>
        </w:tc>
        <w:tc>
          <w:tcPr>
            <w:tcW w:w="2835" w:type="dxa"/>
            <w:tcBorders>
              <w:top w:val="nil"/>
              <w:left w:val="nil"/>
              <w:bottom w:val="nil"/>
              <w:right w:val="nil"/>
            </w:tcBorders>
            <w:shd w:val="clear" w:color="auto" w:fill="auto"/>
            <w:noWrap/>
            <w:vAlign w:val="center"/>
            <w:hideMark/>
          </w:tcPr>
          <w:p w14:paraId="3B962E2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2835" w:type="dxa"/>
            <w:tcBorders>
              <w:top w:val="nil"/>
              <w:left w:val="nil"/>
              <w:bottom w:val="nil"/>
              <w:right w:val="nil"/>
            </w:tcBorders>
            <w:shd w:val="clear" w:color="auto" w:fill="auto"/>
            <w:noWrap/>
            <w:vAlign w:val="center"/>
            <w:hideMark/>
          </w:tcPr>
          <w:p w14:paraId="0B746655"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0B868327"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321976B8" w14:textId="77777777" w:rsidTr="00F7685B">
        <w:trPr>
          <w:trHeight w:val="255"/>
        </w:trPr>
        <w:tc>
          <w:tcPr>
            <w:tcW w:w="2694" w:type="dxa"/>
            <w:tcBorders>
              <w:top w:val="nil"/>
              <w:left w:val="nil"/>
              <w:bottom w:val="nil"/>
              <w:right w:val="nil"/>
            </w:tcBorders>
            <w:shd w:val="clear" w:color="auto" w:fill="auto"/>
            <w:vAlign w:val="center"/>
            <w:hideMark/>
          </w:tcPr>
          <w:p w14:paraId="4C366A53"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Medium SES</w:t>
            </w:r>
          </w:p>
        </w:tc>
        <w:tc>
          <w:tcPr>
            <w:tcW w:w="1417" w:type="dxa"/>
            <w:tcBorders>
              <w:top w:val="nil"/>
              <w:left w:val="nil"/>
              <w:bottom w:val="nil"/>
              <w:right w:val="nil"/>
            </w:tcBorders>
            <w:shd w:val="clear" w:color="auto" w:fill="auto"/>
            <w:vAlign w:val="center"/>
            <w:hideMark/>
          </w:tcPr>
          <w:p w14:paraId="5E99D85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5514/9775</w:t>
            </w:r>
          </w:p>
        </w:tc>
        <w:tc>
          <w:tcPr>
            <w:tcW w:w="2835" w:type="dxa"/>
            <w:tcBorders>
              <w:top w:val="nil"/>
              <w:left w:val="nil"/>
              <w:bottom w:val="nil"/>
              <w:right w:val="nil"/>
            </w:tcBorders>
            <w:shd w:val="clear" w:color="auto" w:fill="auto"/>
            <w:noWrap/>
            <w:vAlign w:val="center"/>
            <w:hideMark/>
          </w:tcPr>
          <w:p w14:paraId="4F0DEB9B"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1.155 (1.081-1.225), &lt;0.001</w:t>
            </w:r>
          </w:p>
        </w:tc>
        <w:tc>
          <w:tcPr>
            <w:tcW w:w="2835" w:type="dxa"/>
            <w:tcBorders>
              <w:top w:val="nil"/>
              <w:left w:val="nil"/>
              <w:bottom w:val="nil"/>
              <w:right w:val="nil"/>
            </w:tcBorders>
            <w:shd w:val="clear" w:color="auto" w:fill="auto"/>
            <w:noWrap/>
            <w:vAlign w:val="center"/>
            <w:hideMark/>
          </w:tcPr>
          <w:p w14:paraId="64147D43"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1.155 (1.081-1.227), &lt;0.001</w:t>
            </w:r>
          </w:p>
        </w:tc>
        <w:tc>
          <w:tcPr>
            <w:tcW w:w="2835" w:type="dxa"/>
            <w:tcBorders>
              <w:top w:val="nil"/>
              <w:left w:val="nil"/>
              <w:bottom w:val="nil"/>
              <w:right w:val="nil"/>
            </w:tcBorders>
            <w:shd w:val="clear" w:color="auto" w:fill="auto"/>
            <w:noWrap/>
            <w:vAlign w:val="center"/>
            <w:hideMark/>
          </w:tcPr>
          <w:p w14:paraId="01165906"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0.999 (0.996-1.003), 0.770</w:t>
            </w:r>
          </w:p>
        </w:tc>
        <w:tc>
          <w:tcPr>
            <w:tcW w:w="2693" w:type="dxa"/>
            <w:tcBorders>
              <w:top w:val="nil"/>
              <w:left w:val="nil"/>
              <w:bottom w:val="nil"/>
              <w:right w:val="nil"/>
            </w:tcBorders>
            <w:shd w:val="clear" w:color="auto" w:fill="auto"/>
            <w:noWrap/>
            <w:vAlign w:val="center"/>
            <w:hideMark/>
          </w:tcPr>
          <w:p w14:paraId="5161DAF3"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-0.4 (-3.4 to 2.3), 0.770</w:t>
            </w:r>
          </w:p>
        </w:tc>
      </w:tr>
      <w:tr w:rsidR="00B934D1" w:rsidRPr="00B934D1" w14:paraId="165E5EE3" w14:textId="77777777" w:rsidTr="00F7685B">
        <w:trPr>
          <w:trHeight w:val="255"/>
        </w:trPr>
        <w:tc>
          <w:tcPr>
            <w:tcW w:w="2694" w:type="dxa"/>
            <w:tcBorders>
              <w:top w:val="nil"/>
              <w:left w:val="nil"/>
              <w:bottom w:val="nil"/>
              <w:right w:val="nil"/>
            </w:tcBorders>
            <w:shd w:val="clear" w:color="auto" w:fill="auto"/>
            <w:vAlign w:val="center"/>
            <w:hideMark/>
          </w:tcPr>
          <w:p w14:paraId="15EC3901"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Low SES</w:t>
            </w:r>
          </w:p>
        </w:tc>
        <w:tc>
          <w:tcPr>
            <w:tcW w:w="1417" w:type="dxa"/>
            <w:tcBorders>
              <w:top w:val="nil"/>
              <w:left w:val="nil"/>
              <w:bottom w:val="nil"/>
              <w:right w:val="nil"/>
            </w:tcBorders>
            <w:shd w:val="clear" w:color="auto" w:fill="auto"/>
            <w:vAlign w:val="center"/>
            <w:hideMark/>
          </w:tcPr>
          <w:p w14:paraId="22538BC5"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8909/13647</w:t>
            </w:r>
          </w:p>
        </w:tc>
        <w:tc>
          <w:tcPr>
            <w:tcW w:w="2835" w:type="dxa"/>
            <w:tcBorders>
              <w:top w:val="nil"/>
              <w:left w:val="nil"/>
              <w:bottom w:val="nil"/>
              <w:right w:val="nil"/>
            </w:tcBorders>
            <w:shd w:val="clear" w:color="auto" w:fill="auto"/>
            <w:noWrap/>
            <w:vAlign w:val="center"/>
            <w:hideMark/>
          </w:tcPr>
          <w:p w14:paraId="7A25C514"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1.188 (1.117-1.267), &lt;0.001</w:t>
            </w:r>
          </w:p>
        </w:tc>
        <w:tc>
          <w:tcPr>
            <w:tcW w:w="2835" w:type="dxa"/>
            <w:tcBorders>
              <w:top w:val="nil"/>
              <w:left w:val="nil"/>
              <w:bottom w:val="nil"/>
              <w:right w:val="nil"/>
            </w:tcBorders>
            <w:shd w:val="clear" w:color="auto" w:fill="auto"/>
            <w:noWrap/>
            <w:vAlign w:val="center"/>
            <w:hideMark/>
          </w:tcPr>
          <w:p w14:paraId="1606792B"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1.204 (1.133-1.281), &lt;0.001</w:t>
            </w:r>
          </w:p>
        </w:tc>
        <w:tc>
          <w:tcPr>
            <w:tcW w:w="2835" w:type="dxa"/>
            <w:tcBorders>
              <w:top w:val="nil"/>
              <w:left w:val="nil"/>
              <w:bottom w:val="nil"/>
              <w:right w:val="nil"/>
            </w:tcBorders>
            <w:shd w:val="clear" w:color="auto" w:fill="auto"/>
            <w:noWrap/>
            <w:vAlign w:val="center"/>
            <w:hideMark/>
          </w:tcPr>
          <w:p w14:paraId="1163257D"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0.987 (0.982-0.991), &lt;0.001</w:t>
            </w:r>
          </w:p>
        </w:tc>
        <w:tc>
          <w:tcPr>
            <w:tcW w:w="2693" w:type="dxa"/>
            <w:tcBorders>
              <w:top w:val="nil"/>
              <w:left w:val="nil"/>
              <w:bottom w:val="nil"/>
              <w:right w:val="nil"/>
            </w:tcBorders>
            <w:shd w:val="clear" w:color="auto" w:fill="auto"/>
            <w:noWrap/>
            <w:vAlign w:val="center"/>
            <w:hideMark/>
          </w:tcPr>
          <w:p w14:paraId="23A1EF19"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-8.3 (-14.5 to -5.1), &lt;0.001</w:t>
            </w:r>
          </w:p>
        </w:tc>
      </w:tr>
      <w:tr w:rsidR="00E92801" w:rsidRPr="00B934D1" w14:paraId="10555339" w14:textId="77777777" w:rsidTr="00B90652">
        <w:trPr>
          <w:trHeight w:val="612"/>
        </w:trPr>
        <w:tc>
          <w:tcPr>
            <w:tcW w:w="6946" w:type="dxa"/>
            <w:gridSpan w:val="3"/>
            <w:tcBorders>
              <w:top w:val="nil"/>
              <w:left w:val="nil"/>
              <w:bottom w:val="nil"/>
              <w:right w:val="nil"/>
            </w:tcBorders>
            <w:shd w:val="clear" w:color="auto" w:fill="auto"/>
            <w:vAlign w:val="center"/>
            <w:hideMark/>
          </w:tcPr>
          <w:p w14:paraId="4FFB33ED" w14:textId="2B1EFC07" w:rsidR="00E92801" w:rsidRPr="00B934D1" w:rsidRDefault="00E92801" w:rsidP="00E92801">
            <w:pPr>
              <w:widowControl/>
              <w:adjustRightInd w:val="0"/>
              <w:snapToGrid w:val="0"/>
              <w:spacing w:line="360" w:lineRule="auto"/>
              <w:rPr>
                <w:rFonts w:ascii="Times New Roman" w:eastAsia="Times New Roman" w:hAnsi="Times New Roman" w:cs="Times New Roman"/>
                <w:kern w:val="0"/>
                <w:sz w:val="20"/>
                <w:szCs w:val="20"/>
              </w:rPr>
            </w:pPr>
            <w:r w:rsidRPr="00B934D1">
              <w:rPr>
                <w:rFonts w:ascii="Arial" w:eastAsia="等线" w:hAnsi="Arial" w:cs="Arial"/>
                <w:color w:val="000000"/>
                <w:kern w:val="0"/>
                <w:sz w:val="20"/>
                <w:szCs w:val="20"/>
              </w:rPr>
              <w:t>Considering the losses censored at the end (17.3 years) of the study</w:t>
            </w:r>
          </w:p>
        </w:tc>
        <w:tc>
          <w:tcPr>
            <w:tcW w:w="2835" w:type="dxa"/>
            <w:tcBorders>
              <w:top w:val="nil"/>
              <w:left w:val="nil"/>
              <w:bottom w:val="nil"/>
              <w:right w:val="nil"/>
            </w:tcBorders>
            <w:shd w:val="clear" w:color="auto" w:fill="auto"/>
            <w:noWrap/>
            <w:vAlign w:val="center"/>
            <w:hideMark/>
          </w:tcPr>
          <w:p w14:paraId="7303FC29"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7AEDB4C4"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0C3CB76C" w14:textId="77777777" w:rsidR="00E92801" w:rsidRPr="00B934D1" w:rsidRDefault="00E9280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7D49762C" w14:textId="77777777" w:rsidTr="00F7685B">
        <w:trPr>
          <w:trHeight w:val="255"/>
        </w:trPr>
        <w:tc>
          <w:tcPr>
            <w:tcW w:w="2694" w:type="dxa"/>
            <w:tcBorders>
              <w:top w:val="nil"/>
              <w:left w:val="nil"/>
              <w:bottom w:val="nil"/>
              <w:right w:val="nil"/>
            </w:tcBorders>
            <w:shd w:val="clear" w:color="auto" w:fill="auto"/>
            <w:vAlign w:val="center"/>
            <w:hideMark/>
          </w:tcPr>
          <w:p w14:paraId="346672E5"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High SES</w:t>
            </w:r>
          </w:p>
        </w:tc>
        <w:tc>
          <w:tcPr>
            <w:tcW w:w="1417" w:type="dxa"/>
            <w:tcBorders>
              <w:top w:val="nil"/>
              <w:left w:val="nil"/>
              <w:bottom w:val="nil"/>
              <w:right w:val="nil"/>
            </w:tcBorders>
            <w:shd w:val="clear" w:color="auto" w:fill="auto"/>
            <w:vAlign w:val="center"/>
            <w:hideMark/>
          </w:tcPr>
          <w:p w14:paraId="59529614"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1298/3103</w:t>
            </w:r>
          </w:p>
        </w:tc>
        <w:tc>
          <w:tcPr>
            <w:tcW w:w="2835" w:type="dxa"/>
            <w:tcBorders>
              <w:top w:val="nil"/>
              <w:left w:val="nil"/>
              <w:bottom w:val="nil"/>
              <w:right w:val="nil"/>
            </w:tcBorders>
            <w:shd w:val="clear" w:color="auto" w:fill="auto"/>
            <w:noWrap/>
            <w:vAlign w:val="center"/>
            <w:hideMark/>
          </w:tcPr>
          <w:p w14:paraId="505463C4"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 [Reference]</w:t>
            </w:r>
          </w:p>
        </w:tc>
        <w:tc>
          <w:tcPr>
            <w:tcW w:w="2835" w:type="dxa"/>
            <w:tcBorders>
              <w:top w:val="nil"/>
              <w:left w:val="nil"/>
              <w:bottom w:val="nil"/>
              <w:right w:val="nil"/>
            </w:tcBorders>
            <w:shd w:val="clear" w:color="auto" w:fill="auto"/>
            <w:noWrap/>
            <w:vAlign w:val="center"/>
            <w:hideMark/>
          </w:tcPr>
          <w:p w14:paraId="508442A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2835" w:type="dxa"/>
            <w:tcBorders>
              <w:top w:val="nil"/>
              <w:left w:val="nil"/>
              <w:bottom w:val="nil"/>
              <w:right w:val="nil"/>
            </w:tcBorders>
            <w:shd w:val="clear" w:color="auto" w:fill="auto"/>
            <w:noWrap/>
            <w:vAlign w:val="center"/>
            <w:hideMark/>
          </w:tcPr>
          <w:p w14:paraId="7CFCC797"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0881F966"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0B63F734" w14:textId="77777777" w:rsidTr="00F7685B">
        <w:trPr>
          <w:trHeight w:val="255"/>
        </w:trPr>
        <w:tc>
          <w:tcPr>
            <w:tcW w:w="2694" w:type="dxa"/>
            <w:tcBorders>
              <w:top w:val="nil"/>
              <w:left w:val="nil"/>
              <w:bottom w:val="nil"/>
              <w:right w:val="nil"/>
            </w:tcBorders>
            <w:shd w:val="clear" w:color="auto" w:fill="auto"/>
            <w:vAlign w:val="center"/>
            <w:hideMark/>
          </w:tcPr>
          <w:p w14:paraId="06477810"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Medium SES</w:t>
            </w:r>
          </w:p>
        </w:tc>
        <w:tc>
          <w:tcPr>
            <w:tcW w:w="1417" w:type="dxa"/>
            <w:tcBorders>
              <w:top w:val="nil"/>
              <w:left w:val="nil"/>
              <w:bottom w:val="nil"/>
              <w:right w:val="nil"/>
            </w:tcBorders>
            <w:shd w:val="clear" w:color="auto" w:fill="auto"/>
            <w:vAlign w:val="center"/>
            <w:hideMark/>
          </w:tcPr>
          <w:p w14:paraId="7ED5BDDF"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5514/9775</w:t>
            </w:r>
          </w:p>
        </w:tc>
        <w:tc>
          <w:tcPr>
            <w:tcW w:w="2835" w:type="dxa"/>
            <w:tcBorders>
              <w:top w:val="nil"/>
              <w:left w:val="nil"/>
              <w:bottom w:val="nil"/>
              <w:right w:val="nil"/>
            </w:tcBorders>
            <w:shd w:val="clear" w:color="auto" w:fill="auto"/>
            <w:noWrap/>
            <w:vAlign w:val="center"/>
            <w:hideMark/>
          </w:tcPr>
          <w:p w14:paraId="68E21FD3"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1.223 (1.145-1.299), &lt;0.001</w:t>
            </w:r>
          </w:p>
        </w:tc>
        <w:tc>
          <w:tcPr>
            <w:tcW w:w="2835" w:type="dxa"/>
            <w:tcBorders>
              <w:top w:val="nil"/>
              <w:left w:val="nil"/>
              <w:bottom w:val="nil"/>
              <w:right w:val="nil"/>
            </w:tcBorders>
            <w:shd w:val="clear" w:color="auto" w:fill="auto"/>
            <w:noWrap/>
            <w:vAlign w:val="center"/>
            <w:hideMark/>
          </w:tcPr>
          <w:p w14:paraId="45EBDFC2"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1.224 (1.145-1.301), &lt;0.001</w:t>
            </w:r>
          </w:p>
        </w:tc>
        <w:tc>
          <w:tcPr>
            <w:tcW w:w="2835" w:type="dxa"/>
            <w:tcBorders>
              <w:top w:val="nil"/>
              <w:left w:val="nil"/>
              <w:bottom w:val="nil"/>
              <w:right w:val="nil"/>
            </w:tcBorders>
            <w:shd w:val="clear" w:color="auto" w:fill="auto"/>
            <w:noWrap/>
            <w:vAlign w:val="center"/>
            <w:hideMark/>
          </w:tcPr>
          <w:p w14:paraId="04F3E3DB"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 (0.996-1.003), 0.770</w:t>
            </w:r>
          </w:p>
        </w:tc>
        <w:tc>
          <w:tcPr>
            <w:tcW w:w="2693" w:type="dxa"/>
            <w:tcBorders>
              <w:top w:val="nil"/>
              <w:left w:val="nil"/>
              <w:bottom w:val="nil"/>
              <w:right w:val="nil"/>
            </w:tcBorders>
            <w:shd w:val="clear" w:color="auto" w:fill="auto"/>
            <w:noWrap/>
            <w:vAlign w:val="center"/>
            <w:hideMark/>
          </w:tcPr>
          <w:p w14:paraId="1B78FBE3"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-0.3 (-2.4 to 1.6), 0.770</w:t>
            </w:r>
          </w:p>
        </w:tc>
      </w:tr>
      <w:tr w:rsidR="00B934D1" w:rsidRPr="00B934D1" w14:paraId="4F30127D" w14:textId="77777777" w:rsidTr="00F7685B">
        <w:trPr>
          <w:trHeight w:val="255"/>
        </w:trPr>
        <w:tc>
          <w:tcPr>
            <w:tcW w:w="2694" w:type="dxa"/>
            <w:tcBorders>
              <w:top w:val="nil"/>
              <w:left w:val="nil"/>
              <w:bottom w:val="nil"/>
              <w:right w:val="nil"/>
            </w:tcBorders>
            <w:shd w:val="clear" w:color="auto" w:fill="auto"/>
            <w:vAlign w:val="center"/>
            <w:hideMark/>
          </w:tcPr>
          <w:p w14:paraId="150F4129"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Low SES</w:t>
            </w:r>
          </w:p>
        </w:tc>
        <w:tc>
          <w:tcPr>
            <w:tcW w:w="1417" w:type="dxa"/>
            <w:tcBorders>
              <w:top w:val="nil"/>
              <w:left w:val="nil"/>
              <w:bottom w:val="nil"/>
              <w:right w:val="nil"/>
            </w:tcBorders>
            <w:shd w:val="clear" w:color="auto" w:fill="auto"/>
            <w:vAlign w:val="center"/>
            <w:hideMark/>
          </w:tcPr>
          <w:p w14:paraId="05438F6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8909/13647</w:t>
            </w:r>
          </w:p>
        </w:tc>
        <w:tc>
          <w:tcPr>
            <w:tcW w:w="2835" w:type="dxa"/>
            <w:tcBorders>
              <w:top w:val="nil"/>
              <w:left w:val="nil"/>
              <w:bottom w:val="nil"/>
              <w:right w:val="nil"/>
            </w:tcBorders>
            <w:shd w:val="clear" w:color="auto" w:fill="auto"/>
            <w:noWrap/>
            <w:vAlign w:val="center"/>
            <w:hideMark/>
          </w:tcPr>
          <w:p w14:paraId="0BE0025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1.290 (1.205-1.382), &lt;0.001</w:t>
            </w:r>
          </w:p>
        </w:tc>
        <w:tc>
          <w:tcPr>
            <w:tcW w:w="2835" w:type="dxa"/>
            <w:tcBorders>
              <w:top w:val="nil"/>
              <w:left w:val="nil"/>
              <w:bottom w:val="nil"/>
              <w:right w:val="nil"/>
            </w:tcBorders>
            <w:shd w:val="clear" w:color="auto" w:fill="auto"/>
            <w:noWrap/>
            <w:vAlign w:val="center"/>
            <w:hideMark/>
          </w:tcPr>
          <w:p w14:paraId="2BC55F86"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1.307 (1.223-1.400), &lt;0.001</w:t>
            </w:r>
          </w:p>
        </w:tc>
        <w:tc>
          <w:tcPr>
            <w:tcW w:w="2835" w:type="dxa"/>
            <w:tcBorders>
              <w:top w:val="nil"/>
              <w:left w:val="nil"/>
              <w:bottom w:val="nil"/>
              <w:right w:val="nil"/>
            </w:tcBorders>
            <w:shd w:val="clear" w:color="auto" w:fill="auto"/>
            <w:noWrap/>
            <w:vAlign w:val="center"/>
            <w:hideMark/>
          </w:tcPr>
          <w:p w14:paraId="4DEE74D1"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0.987 (0.982-0.991), &lt;0.001</w:t>
            </w:r>
          </w:p>
        </w:tc>
        <w:tc>
          <w:tcPr>
            <w:tcW w:w="2693" w:type="dxa"/>
            <w:tcBorders>
              <w:top w:val="nil"/>
              <w:left w:val="nil"/>
              <w:bottom w:val="nil"/>
              <w:right w:val="nil"/>
            </w:tcBorders>
            <w:shd w:val="clear" w:color="auto" w:fill="auto"/>
            <w:noWrap/>
            <w:vAlign w:val="center"/>
            <w:hideMark/>
          </w:tcPr>
          <w:p w14:paraId="5004474C"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-5.7 (-8.7 to -3.6), &lt;0.001</w:t>
            </w:r>
          </w:p>
        </w:tc>
      </w:tr>
      <w:tr w:rsidR="00B934D1" w:rsidRPr="00B934D1" w14:paraId="0EB50DCA" w14:textId="77777777" w:rsidTr="00F7685B">
        <w:trPr>
          <w:trHeight w:val="255"/>
        </w:trPr>
        <w:tc>
          <w:tcPr>
            <w:tcW w:w="2694" w:type="dxa"/>
            <w:tcBorders>
              <w:top w:val="nil"/>
              <w:left w:val="nil"/>
              <w:bottom w:val="nil"/>
              <w:right w:val="nil"/>
            </w:tcBorders>
            <w:shd w:val="clear" w:color="auto" w:fill="auto"/>
            <w:vAlign w:val="center"/>
            <w:hideMark/>
          </w:tcPr>
          <w:p w14:paraId="02422420"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1417" w:type="dxa"/>
            <w:tcBorders>
              <w:top w:val="nil"/>
              <w:left w:val="nil"/>
              <w:bottom w:val="nil"/>
              <w:right w:val="nil"/>
            </w:tcBorders>
            <w:shd w:val="clear" w:color="auto" w:fill="auto"/>
            <w:vAlign w:val="center"/>
            <w:hideMark/>
          </w:tcPr>
          <w:p w14:paraId="3E708384" w14:textId="77777777" w:rsidR="00B934D1" w:rsidRPr="00B934D1" w:rsidRDefault="00B934D1" w:rsidP="00D74760">
            <w:pPr>
              <w:widowControl/>
              <w:adjustRightInd w:val="0"/>
              <w:snapToGrid w:val="0"/>
              <w:spacing w:line="360" w:lineRule="auto"/>
              <w:ind w:firstLineChars="100" w:firstLine="200"/>
              <w:jc w:val="left"/>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7D723904"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22024C09"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4D2BB93B"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216DDC9C"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6FF9DA86" w14:textId="77777777" w:rsidTr="00F7685B">
        <w:trPr>
          <w:trHeight w:val="285"/>
        </w:trPr>
        <w:tc>
          <w:tcPr>
            <w:tcW w:w="2694" w:type="dxa"/>
            <w:tcBorders>
              <w:top w:val="nil"/>
              <w:left w:val="nil"/>
              <w:bottom w:val="nil"/>
              <w:right w:val="nil"/>
            </w:tcBorders>
            <w:shd w:val="clear" w:color="auto" w:fill="auto"/>
            <w:noWrap/>
            <w:vAlign w:val="center"/>
            <w:hideMark/>
          </w:tcPr>
          <w:p w14:paraId="52DEABF0" w14:textId="77777777" w:rsidR="00B934D1" w:rsidRPr="00B934D1" w:rsidRDefault="00B934D1" w:rsidP="00D74760">
            <w:pPr>
              <w:widowControl/>
              <w:adjustRightInd w:val="0"/>
              <w:snapToGrid w:val="0"/>
              <w:spacing w:line="360" w:lineRule="auto"/>
              <w:jc w:val="left"/>
              <w:rPr>
                <w:rFonts w:ascii="Arial" w:eastAsia="等线" w:hAnsi="Arial" w:cs="Arial"/>
                <w:color w:val="0D0D0D"/>
                <w:kern w:val="0"/>
                <w:sz w:val="20"/>
                <w:szCs w:val="20"/>
              </w:rPr>
            </w:pPr>
            <w:r w:rsidRPr="00B934D1">
              <w:rPr>
                <w:rFonts w:ascii="Arial" w:eastAsia="等线" w:hAnsi="Arial" w:cs="Arial"/>
                <w:color w:val="0D0D0D"/>
                <w:kern w:val="0"/>
                <w:sz w:val="20"/>
                <w:szCs w:val="20"/>
              </w:rPr>
              <w:t>After multiple imputation</w:t>
            </w:r>
            <w:r w:rsidRPr="00B934D1">
              <w:rPr>
                <w:rFonts w:ascii="Arial" w:eastAsia="等线" w:hAnsi="Arial" w:cs="Arial"/>
                <w:color w:val="0D0D0D"/>
                <w:kern w:val="0"/>
                <w:sz w:val="20"/>
                <w:szCs w:val="20"/>
                <w:vertAlign w:val="superscript"/>
              </w:rPr>
              <w:t>b</w:t>
            </w:r>
          </w:p>
        </w:tc>
        <w:tc>
          <w:tcPr>
            <w:tcW w:w="1417" w:type="dxa"/>
            <w:tcBorders>
              <w:top w:val="nil"/>
              <w:left w:val="nil"/>
              <w:bottom w:val="nil"/>
              <w:right w:val="nil"/>
            </w:tcBorders>
            <w:shd w:val="clear" w:color="auto" w:fill="auto"/>
            <w:vAlign w:val="center"/>
            <w:hideMark/>
          </w:tcPr>
          <w:p w14:paraId="437700D0" w14:textId="77777777" w:rsidR="00B934D1" w:rsidRPr="00B934D1" w:rsidRDefault="00B934D1" w:rsidP="00D74760">
            <w:pPr>
              <w:widowControl/>
              <w:adjustRightInd w:val="0"/>
              <w:snapToGrid w:val="0"/>
              <w:spacing w:line="360" w:lineRule="auto"/>
              <w:jc w:val="left"/>
              <w:rPr>
                <w:rFonts w:ascii="Arial" w:eastAsia="等线" w:hAnsi="Arial" w:cs="Arial"/>
                <w:color w:val="0D0D0D"/>
                <w:kern w:val="0"/>
                <w:sz w:val="20"/>
                <w:szCs w:val="20"/>
              </w:rPr>
            </w:pPr>
          </w:p>
        </w:tc>
        <w:tc>
          <w:tcPr>
            <w:tcW w:w="2835" w:type="dxa"/>
            <w:tcBorders>
              <w:top w:val="nil"/>
              <w:left w:val="nil"/>
              <w:bottom w:val="nil"/>
              <w:right w:val="nil"/>
            </w:tcBorders>
            <w:shd w:val="clear" w:color="auto" w:fill="auto"/>
            <w:noWrap/>
            <w:vAlign w:val="center"/>
            <w:hideMark/>
          </w:tcPr>
          <w:p w14:paraId="4766F13F"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5341D4E1"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835" w:type="dxa"/>
            <w:tcBorders>
              <w:top w:val="nil"/>
              <w:left w:val="nil"/>
              <w:bottom w:val="nil"/>
              <w:right w:val="nil"/>
            </w:tcBorders>
            <w:shd w:val="clear" w:color="auto" w:fill="auto"/>
            <w:noWrap/>
            <w:vAlign w:val="center"/>
            <w:hideMark/>
          </w:tcPr>
          <w:p w14:paraId="1F909129"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081D8812"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05A7208B" w14:textId="77777777" w:rsidTr="00F7685B">
        <w:trPr>
          <w:trHeight w:val="255"/>
        </w:trPr>
        <w:tc>
          <w:tcPr>
            <w:tcW w:w="2694" w:type="dxa"/>
            <w:tcBorders>
              <w:top w:val="nil"/>
              <w:left w:val="nil"/>
              <w:bottom w:val="nil"/>
              <w:right w:val="nil"/>
            </w:tcBorders>
            <w:shd w:val="clear" w:color="auto" w:fill="auto"/>
            <w:vAlign w:val="center"/>
            <w:hideMark/>
          </w:tcPr>
          <w:p w14:paraId="5F414B87"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High SES</w:t>
            </w:r>
          </w:p>
        </w:tc>
        <w:tc>
          <w:tcPr>
            <w:tcW w:w="1417" w:type="dxa"/>
            <w:tcBorders>
              <w:top w:val="nil"/>
              <w:left w:val="nil"/>
              <w:bottom w:val="nil"/>
              <w:right w:val="nil"/>
            </w:tcBorders>
            <w:shd w:val="clear" w:color="auto" w:fill="auto"/>
            <w:vAlign w:val="center"/>
            <w:hideMark/>
          </w:tcPr>
          <w:p w14:paraId="66FB55D4"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1464/2605</w:t>
            </w:r>
          </w:p>
        </w:tc>
        <w:tc>
          <w:tcPr>
            <w:tcW w:w="2835" w:type="dxa"/>
            <w:tcBorders>
              <w:top w:val="nil"/>
              <w:left w:val="nil"/>
              <w:bottom w:val="nil"/>
              <w:right w:val="nil"/>
            </w:tcBorders>
            <w:shd w:val="clear" w:color="auto" w:fill="auto"/>
            <w:noWrap/>
            <w:vAlign w:val="center"/>
            <w:hideMark/>
          </w:tcPr>
          <w:p w14:paraId="53189369"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 [Reference]</w:t>
            </w:r>
          </w:p>
        </w:tc>
        <w:tc>
          <w:tcPr>
            <w:tcW w:w="2835" w:type="dxa"/>
            <w:tcBorders>
              <w:top w:val="nil"/>
              <w:left w:val="nil"/>
              <w:bottom w:val="nil"/>
              <w:right w:val="nil"/>
            </w:tcBorders>
            <w:shd w:val="clear" w:color="auto" w:fill="auto"/>
            <w:noWrap/>
            <w:vAlign w:val="center"/>
            <w:hideMark/>
          </w:tcPr>
          <w:p w14:paraId="70DC0479"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p>
        </w:tc>
        <w:tc>
          <w:tcPr>
            <w:tcW w:w="2835" w:type="dxa"/>
            <w:tcBorders>
              <w:top w:val="nil"/>
              <w:left w:val="nil"/>
              <w:bottom w:val="nil"/>
              <w:right w:val="nil"/>
            </w:tcBorders>
            <w:shd w:val="clear" w:color="auto" w:fill="auto"/>
            <w:noWrap/>
            <w:vAlign w:val="center"/>
            <w:hideMark/>
          </w:tcPr>
          <w:p w14:paraId="43A49449"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c>
          <w:tcPr>
            <w:tcW w:w="2693" w:type="dxa"/>
            <w:tcBorders>
              <w:top w:val="nil"/>
              <w:left w:val="nil"/>
              <w:bottom w:val="nil"/>
              <w:right w:val="nil"/>
            </w:tcBorders>
            <w:shd w:val="clear" w:color="auto" w:fill="auto"/>
            <w:noWrap/>
            <w:vAlign w:val="center"/>
            <w:hideMark/>
          </w:tcPr>
          <w:p w14:paraId="1BD997F4" w14:textId="77777777" w:rsidR="00B934D1" w:rsidRPr="00B934D1" w:rsidRDefault="00B934D1" w:rsidP="00D74760">
            <w:pPr>
              <w:widowControl/>
              <w:adjustRightInd w:val="0"/>
              <w:snapToGrid w:val="0"/>
              <w:spacing w:line="360" w:lineRule="auto"/>
              <w:jc w:val="center"/>
              <w:rPr>
                <w:rFonts w:ascii="Times New Roman" w:eastAsia="Times New Roman" w:hAnsi="Times New Roman" w:cs="Times New Roman"/>
                <w:kern w:val="0"/>
                <w:sz w:val="20"/>
                <w:szCs w:val="20"/>
              </w:rPr>
            </w:pPr>
          </w:p>
        </w:tc>
      </w:tr>
      <w:tr w:rsidR="00B934D1" w:rsidRPr="00B934D1" w14:paraId="5269D268" w14:textId="77777777" w:rsidTr="00F7685B">
        <w:trPr>
          <w:trHeight w:val="255"/>
        </w:trPr>
        <w:tc>
          <w:tcPr>
            <w:tcW w:w="2694" w:type="dxa"/>
            <w:tcBorders>
              <w:top w:val="nil"/>
              <w:left w:val="nil"/>
              <w:bottom w:val="nil"/>
              <w:right w:val="nil"/>
            </w:tcBorders>
            <w:shd w:val="clear" w:color="auto" w:fill="auto"/>
            <w:vAlign w:val="center"/>
            <w:hideMark/>
          </w:tcPr>
          <w:p w14:paraId="7798311C"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Medium SES</w:t>
            </w:r>
          </w:p>
        </w:tc>
        <w:tc>
          <w:tcPr>
            <w:tcW w:w="1417" w:type="dxa"/>
            <w:tcBorders>
              <w:top w:val="nil"/>
              <w:left w:val="nil"/>
              <w:bottom w:val="nil"/>
              <w:right w:val="nil"/>
            </w:tcBorders>
            <w:shd w:val="clear" w:color="auto" w:fill="auto"/>
            <w:vAlign w:val="center"/>
            <w:hideMark/>
          </w:tcPr>
          <w:p w14:paraId="24A0FD5A"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6584/9409</w:t>
            </w:r>
          </w:p>
        </w:tc>
        <w:tc>
          <w:tcPr>
            <w:tcW w:w="2835" w:type="dxa"/>
            <w:tcBorders>
              <w:top w:val="nil"/>
              <w:left w:val="nil"/>
              <w:bottom w:val="nil"/>
              <w:right w:val="nil"/>
            </w:tcBorders>
            <w:shd w:val="clear" w:color="auto" w:fill="auto"/>
            <w:noWrap/>
            <w:vAlign w:val="center"/>
            <w:hideMark/>
          </w:tcPr>
          <w:p w14:paraId="4F243B0A"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1.124 (1.057-1.187), &lt;0.001</w:t>
            </w:r>
          </w:p>
        </w:tc>
        <w:tc>
          <w:tcPr>
            <w:tcW w:w="2835" w:type="dxa"/>
            <w:tcBorders>
              <w:top w:val="nil"/>
              <w:left w:val="nil"/>
              <w:bottom w:val="nil"/>
              <w:right w:val="nil"/>
            </w:tcBorders>
            <w:shd w:val="clear" w:color="auto" w:fill="auto"/>
            <w:noWrap/>
            <w:vAlign w:val="center"/>
            <w:hideMark/>
          </w:tcPr>
          <w:p w14:paraId="3BF9C434"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1.126 (1.058-1.189), &lt;0.001</w:t>
            </w:r>
          </w:p>
        </w:tc>
        <w:tc>
          <w:tcPr>
            <w:tcW w:w="2835" w:type="dxa"/>
            <w:tcBorders>
              <w:top w:val="nil"/>
              <w:left w:val="nil"/>
              <w:bottom w:val="nil"/>
              <w:right w:val="nil"/>
            </w:tcBorders>
            <w:shd w:val="clear" w:color="auto" w:fill="auto"/>
            <w:noWrap/>
            <w:vAlign w:val="center"/>
            <w:hideMark/>
          </w:tcPr>
          <w:p w14:paraId="77E8C2FF"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0.999 (0.995-1.002), 0.374</w:t>
            </w:r>
          </w:p>
        </w:tc>
        <w:tc>
          <w:tcPr>
            <w:tcW w:w="2693" w:type="dxa"/>
            <w:tcBorders>
              <w:top w:val="nil"/>
              <w:left w:val="nil"/>
              <w:bottom w:val="nil"/>
              <w:right w:val="nil"/>
            </w:tcBorders>
            <w:shd w:val="clear" w:color="auto" w:fill="auto"/>
            <w:noWrap/>
            <w:vAlign w:val="center"/>
            <w:hideMark/>
          </w:tcPr>
          <w:p w14:paraId="378DB51C"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-1.2 (-5.2 to 1.7), 0.374</w:t>
            </w:r>
          </w:p>
        </w:tc>
      </w:tr>
      <w:tr w:rsidR="00B934D1" w:rsidRPr="00B934D1" w14:paraId="5BCA8E1D" w14:textId="77777777" w:rsidTr="00F7685B">
        <w:trPr>
          <w:trHeight w:val="255"/>
        </w:trPr>
        <w:tc>
          <w:tcPr>
            <w:tcW w:w="2694" w:type="dxa"/>
            <w:tcBorders>
              <w:top w:val="nil"/>
              <w:left w:val="nil"/>
              <w:bottom w:val="nil"/>
              <w:right w:val="nil"/>
            </w:tcBorders>
            <w:shd w:val="clear" w:color="auto" w:fill="auto"/>
            <w:vAlign w:val="center"/>
            <w:hideMark/>
          </w:tcPr>
          <w:p w14:paraId="40B9B473" w14:textId="77777777" w:rsidR="00B934D1" w:rsidRPr="00B934D1" w:rsidRDefault="00B934D1" w:rsidP="00D74760">
            <w:pPr>
              <w:widowControl/>
              <w:adjustRightInd w:val="0"/>
              <w:snapToGrid w:val="0"/>
              <w:spacing w:line="360" w:lineRule="auto"/>
              <w:ind w:firstLineChars="100" w:firstLine="200"/>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Low SES</w:t>
            </w:r>
          </w:p>
        </w:tc>
        <w:tc>
          <w:tcPr>
            <w:tcW w:w="1417" w:type="dxa"/>
            <w:tcBorders>
              <w:top w:val="nil"/>
              <w:left w:val="nil"/>
              <w:bottom w:val="nil"/>
              <w:right w:val="nil"/>
            </w:tcBorders>
            <w:shd w:val="clear" w:color="auto" w:fill="auto"/>
            <w:vAlign w:val="center"/>
            <w:hideMark/>
          </w:tcPr>
          <w:p w14:paraId="2F4C835C" w14:textId="77777777" w:rsidR="00B934D1" w:rsidRPr="00B934D1" w:rsidRDefault="00B934D1" w:rsidP="00D74760">
            <w:pPr>
              <w:widowControl/>
              <w:adjustRightInd w:val="0"/>
              <w:snapToGrid w:val="0"/>
              <w:spacing w:line="360" w:lineRule="auto"/>
              <w:jc w:val="center"/>
              <w:rPr>
                <w:rFonts w:ascii="Arial" w:eastAsia="等线" w:hAnsi="Arial" w:cs="Arial"/>
                <w:color w:val="000000"/>
                <w:kern w:val="0"/>
                <w:sz w:val="20"/>
                <w:szCs w:val="20"/>
              </w:rPr>
            </w:pPr>
            <w:r w:rsidRPr="00B934D1">
              <w:rPr>
                <w:rFonts w:ascii="Arial" w:eastAsia="等线" w:hAnsi="Arial" w:cs="Arial"/>
                <w:color w:val="000000"/>
                <w:kern w:val="0"/>
                <w:sz w:val="20"/>
                <w:szCs w:val="20"/>
              </w:rPr>
              <w:t>11759/14800</w:t>
            </w:r>
          </w:p>
        </w:tc>
        <w:tc>
          <w:tcPr>
            <w:tcW w:w="2835" w:type="dxa"/>
            <w:tcBorders>
              <w:top w:val="nil"/>
              <w:left w:val="nil"/>
              <w:bottom w:val="nil"/>
              <w:right w:val="nil"/>
            </w:tcBorders>
            <w:shd w:val="clear" w:color="auto" w:fill="auto"/>
            <w:noWrap/>
            <w:vAlign w:val="center"/>
            <w:hideMark/>
          </w:tcPr>
          <w:p w14:paraId="25582343"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1.133 (1.065-1.197), &lt;0.001</w:t>
            </w:r>
          </w:p>
        </w:tc>
        <w:tc>
          <w:tcPr>
            <w:tcW w:w="2835" w:type="dxa"/>
            <w:tcBorders>
              <w:top w:val="nil"/>
              <w:left w:val="nil"/>
              <w:bottom w:val="nil"/>
              <w:right w:val="nil"/>
            </w:tcBorders>
            <w:shd w:val="clear" w:color="auto" w:fill="auto"/>
            <w:noWrap/>
            <w:vAlign w:val="center"/>
            <w:hideMark/>
          </w:tcPr>
          <w:p w14:paraId="414D75B7"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1.148 (1.08-1.212), &lt;0.001</w:t>
            </w:r>
          </w:p>
        </w:tc>
        <w:tc>
          <w:tcPr>
            <w:tcW w:w="2835" w:type="dxa"/>
            <w:tcBorders>
              <w:top w:val="nil"/>
              <w:left w:val="nil"/>
              <w:bottom w:val="nil"/>
              <w:right w:val="nil"/>
            </w:tcBorders>
            <w:shd w:val="clear" w:color="auto" w:fill="auto"/>
            <w:noWrap/>
            <w:vAlign w:val="center"/>
            <w:hideMark/>
          </w:tcPr>
          <w:p w14:paraId="53A9C60B"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0.987 (0.982-0.991), &lt;0.001</w:t>
            </w:r>
          </w:p>
        </w:tc>
        <w:tc>
          <w:tcPr>
            <w:tcW w:w="2693" w:type="dxa"/>
            <w:tcBorders>
              <w:top w:val="nil"/>
              <w:left w:val="nil"/>
              <w:bottom w:val="nil"/>
              <w:right w:val="nil"/>
            </w:tcBorders>
            <w:shd w:val="clear" w:color="auto" w:fill="auto"/>
            <w:noWrap/>
            <w:vAlign w:val="center"/>
            <w:hideMark/>
          </w:tcPr>
          <w:p w14:paraId="331F88A9"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rPr>
              <w:t>-11.0 (-23.2 to -6.6), &lt;0.001</w:t>
            </w:r>
          </w:p>
        </w:tc>
      </w:tr>
      <w:tr w:rsidR="00B934D1" w:rsidRPr="00B934D1" w14:paraId="0FB3B960" w14:textId="77777777" w:rsidTr="00F7685B">
        <w:trPr>
          <w:trHeight w:val="1789"/>
        </w:trPr>
        <w:tc>
          <w:tcPr>
            <w:tcW w:w="15309" w:type="dxa"/>
            <w:gridSpan w:val="6"/>
            <w:tcBorders>
              <w:top w:val="single" w:sz="4" w:space="0" w:color="auto"/>
              <w:left w:val="nil"/>
              <w:bottom w:val="nil"/>
              <w:right w:val="nil"/>
            </w:tcBorders>
            <w:shd w:val="clear" w:color="auto" w:fill="auto"/>
            <w:hideMark/>
          </w:tcPr>
          <w:p w14:paraId="04BADCC2" w14:textId="77777777" w:rsidR="00B934D1" w:rsidRPr="00B934D1" w:rsidRDefault="00B934D1" w:rsidP="00D74760">
            <w:pPr>
              <w:widowControl/>
              <w:adjustRightInd w:val="0"/>
              <w:snapToGrid w:val="0"/>
              <w:spacing w:line="360" w:lineRule="auto"/>
              <w:jc w:val="left"/>
              <w:rPr>
                <w:rFonts w:ascii="Arial" w:eastAsia="等线" w:hAnsi="Arial" w:cs="Arial"/>
                <w:color w:val="000000"/>
                <w:kern w:val="0"/>
                <w:sz w:val="20"/>
                <w:szCs w:val="20"/>
              </w:rPr>
            </w:pPr>
            <w:r w:rsidRPr="00B934D1">
              <w:rPr>
                <w:rFonts w:ascii="Arial" w:eastAsia="等线" w:hAnsi="Arial" w:cs="Arial"/>
                <w:color w:val="000000"/>
                <w:kern w:val="0"/>
                <w:sz w:val="20"/>
                <w:szCs w:val="20"/>
                <w:vertAlign w:val="superscript"/>
              </w:rPr>
              <w:lastRenderedPageBreak/>
              <w:t>a</w:t>
            </w:r>
            <w:r w:rsidRPr="00B934D1">
              <w:rPr>
                <w:rFonts w:ascii="Arial" w:eastAsia="等线" w:hAnsi="Arial" w:cs="Arial"/>
                <w:color w:val="000000"/>
                <w:kern w:val="0"/>
                <w:sz w:val="20"/>
                <w:szCs w:val="20"/>
              </w:rPr>
              <w:t xml:space="preserve"> Natural direct effect and natural indirect effect estimated the effects of SES on mortality that did not or did act through the mediator (i.e. healthy lifestyles), respectively. Mediation proportion estimated the percent of SES effect, on the log(HR) scale, that acted through the mediator, i.e. healthy lifestyles. The results were calculated without considering exposure-mediator interaction.</w:t>
            </w:r>
            <w:r w:rsidRPr="00B934D1">
              <w:rPr>
                <w:rFonts w:ascii="Arial" w:eastAsia="等线" w:hAnsi="Arial" w:cs="Arial"/>
                <w:color w:val="000000"/>
                <w:kern w:val="0"/>
                <w:sz w:val="20"/>
                <w:szCs w:val="20"/>
              </w:rPr>
              <w:br/>
            </w:r>
            <w:r w:rsidRPr="00B934D1">
              <w:rPr>
                <w:rFonts w:ascii="Arial" w:eastAsia="等线" w:hAnsi="Arial" w:cs="Arial"/>
                <w:color w:val="000000"/>
                <w:kern w:val="0"/>
                <w:sz w:val="20"/>
                <w:szCs w:val="20"/>
                <w:vertAlign w:val="superscript"/>
              </w:rPr>
              <w:t>b</w:t>
            </w:r>
            <w:r w:rsidRPr="00B934D1">
              <w:rPr>
                <w:rFonts w:ascii="Arial" w:eastAsia="等线" w:hAnsi="Arial" w:cs="Arial"/>
                <w:color w:val="000000"/>
                <w:kern w:val="0"/>
                <w:sz w:val="20"/>
                <w:szCs w:val="20"/>
              </w:rPr>
              <w:t xml:space="preserve"> Calculation within 1 completed dataset.</w:t>
            </w:r>
            <w:r w:rsidRPr="00B934D1">
              <w:rPr>
                <w:rFonts w:ascii="Arial" w:eastAsia="等线" w:hAnsi="Arial" w:cs="Arial"/>
                <w:color w:val="000000"/>
                <w:kern w:val="0"/>
                <w:sz w:val="20"/>
                <w:szCs w:val="20"/>
              </w:rPr>
              <w:br/>
              <w:t>Abbreviations: ADL = activities of daily living, CI = confidence interval, HR = hazard ratio, SES = socioeconomic status.</w:t>
            </w:r>
          </w:p>
        </w:tc>
      </w:tr>
    </w:tbl>
    <w:p w14:paraId="7B08CB20" w14:textId="77777777" w:rsidR="007542C6" w:rsidRPr="00B934D1" w:rsidRDefault="007542C6" w:rsidP="00D74760">
      <w:pPr>
        <w:adjustRightInd w:val="0"/>
        <w:snapToGrid w:val="0"/>
        <w:spacing w:line="360" w:lineRule="auto"/>
      </w:pPr>
    </w:p>
    <w:sectPr w:rsidR="007542C6" w:rsidRPr="00B934D1" w:rsidSect="00860374">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75FCE" w14:textId="77777777" w:rsidR="00AF1D92" w:rsidRDefault="00AF1D92" w:rsidP="00B934D1">
      <w:r>
        <w:separator/>
      </w:r>
    </w:p>
  </w:endnote>
  <w:endnote w:type="continuationSeparator" w:id="0">
    <w:p w14:paraId="25241FF5" w14:textId="77777777" w:rsidR="00AF1D92" w:rsidRDefault="00AF1D92" w:rsidP="00B9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1E23D" w14:textId="77777777" w:rsidR="00AF1D92" w:rsidRDefault="00AF1D92" w:rsidP="00B934D1">
      <w:r>
        <w:separator/>
      </w:r>
    </w:p>
  </w:footnote>
  <w:footnote w:type="continuationSeparator" w:id="0">
    <w:p w14:paraId="5D823EF4" w14:textId="77777777" w:rsidR="00AF1D92" w:rsidRDefault="00AF1D92" w:rsidP="00B934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06C"/>
    <w:rsid w:val="00135021"/>
    <w:rsid w:val="002941A2"/>
    <w:rsid w:val="002D02F2"/>
    <w:rsid w:val="0065206C"/>
    <w:rsid w:val="007542C6"/>
    <w:rsid w:val="00860374"/>
    <w:rsid w:val="00AF1D92"/>
    <w:rsid w:val="00B934D1"/>
    <w:rsid w:val="00D74760"/>
    <w:rsid w:val="00E92801"/>
    <w:rsid w:val="00F7685B"/>
    <w:rsid w:val="00F94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FBBFE"/>
  <w15:chartTrackingRefBased/>
  <w15:docId w15:val="{C2549281-8BEE-486E-A8DF-FC7AB9E1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4D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934D1"/>
    <w:rPr>
      <w:sz w:val="18"/>
      <w:szCs w:val="18"/>
    </w:rPr>
  </w:style>
  <w:style w:type="paragraph" w:styleId="Footer">
    <w:name w:val="footer"/>
    <w:basedOn w:val="Normal"/>
    <w:link w:val="FooterChar"/>
    <w:uiPriority w:val="99"/>
    <w:unhideWhenUsed/>
    <w:rsid w:val="00B934D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934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906748">
      <w:bodyDiv w:val="1"/>
      <w:marLeft w:val="0"/>
      <w:marRight w:val="0"/>
      <w:marTop w:val="0"/>
      <w:marBottom w:val="0"/>
      <w:divBdr>
        <w:top w:val="none" w:sz="0" w:space="0" w:color="auto"/>
        <w:left w:val="none" w:sz="0" w:space="0" w:color="auto"/>
        <w:bottom w:val="none" w:sz="0" w:space="0" w:color="auto"/>
        <w:right w:val="none" w:sz="0" w:space="0" w:color="auto"/>
      </w:divBdr>
    </w:div>
    <w:div w:id="166601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ZIQIONG</dc:creator>
  <cp:keywords/>
  <dc:description/>
  <cp:lastModifiedBy>Arun Madhavan</cp:lastModifiedBy>
  <cp:revision>7</cp:revision>
  <dcterms:created xsi:type="dcterms:W3CDTF">2022-09-29T08:24:00Z</dcterms:created>
  <dcterms:modified xsi:type="dcterms:W3CDTF">2023-02-27T09:16:00Z</dcterms:modified>
</cp:coreProperties>
</file>